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33D5C">
      <w:pPr>
        <w:jc w:val="center"/>
        <w:rPr>
          <w:rFonts w:hint="eastAsia" w:ascii="仿宋" w:hAnsi="仿宋" w:eastAsia="仿宋" w:cs="仿宋"/>
          <w:b/>
          <w:bCs/>
          <w:color w:val="auto"/>
          <w:sz w:val="48"/>
          <w:szCs w:val="48"/>
        </w:rPr>
      </w:pPr>
      <w:r>
        <w:rPr>
          <w:rFonts w:hint="eastAsia" w:ascii="仿宋" w:hAnsi="仿宋" w:eastAsia="仿宋" w:cs="仿宋"/>
          <w:b/>
          <w:bCs/>
          <w:color w:val="auto"/>
          <w:sz w:val="48"/>
          <w:szCs w:val="48"/>
        </w:rPr>
        <w:t>政府采购合同</w:t>
      </w:r>
    </w:p>
    <w:p w14:paraId="77A90D49">
      <w:pPr>
        <w:pStyle w:val="5"/>
        <w:wordWrap w:val="0"/>
        <w:spacing w:before="0" w:beforeAutospacing="0" w:after="0" w:afterAutospacing="0" w:line="38" w:lineRule="atLeast"/>
        <w:ind w:firstLine="420"/>
        <w:rPr>
          <w:rFonts w:hint="eastAsia" w:ascii="仿宋" w:hAnsi="仿宋" w:eastAsia="仿宋" w:cs="仿宋"/>
          <w:b/>
          <w:bCs/>
          <w:color w:val="auto"/>
          <w:sz w:val="31"/>
          <w:szCs w:val="31"/>
        </w:rPr>
      </w:pPr>
      <w:r>
        <w:rPr>
          <w:rFonts w:hint="eastAsia" w:ascii="仿宋" w:hAnsi="仿宋" w:eastAsia="仿宋" w:cs="仿宋"/>
          <w:b/>
          <w:bCs/>
          <w:color w:val="auto"/>
          <w:sz w:val="31"/>
          <w:szCs w:val="31"/>
        </w:rPr>
        <w:t>合同编号：</w:t>
      </w:r>
      <w:r>
        <w:rPr>
          <w:rFonts w:hint="eastAsia" w:ascii="仿宋" w:hAnsi="仿宋" w:eastAsia="仿宋" w:cs="仿宋"/>
          <w:b/>
          <w:bCs/>
          <w:color w:val="auto"/>
        </w:rPr>
        <w:t> __________________________</w:t>
      </w:r>
    </w:p>
    <w:p w14:paraId="20EEC03A">
      <w:pPr>
        <w:pStyle w:val="5"/>
        <w:wordWrap w:val="0"/>
        <w:spacing w:before="0" w:beforeAutospacing="0" w:after="0" w:afterAutospacing="0" w:line="38" w:lineRule="atLeast"/>
        <w:ind w:firstLine="420"/>
        <w:rPr>
          <w:rFonts w:hint="eastAsia" w:ascii="仿宋" w:hAnsi="仿宋" w:eastAsia="仿宋" w:cs="仿宋"/>
          <w:b/>
          <w:bCs/>
          <w:color w:val="auto"/>
          <w:sz w:val="31"/>
          <w:szCs w:val="31"/>
        </w:rPr>
      </w:pPr>
      <w:r>
        <w:rPr>
          <w:rFonts w:hint="eastAsia" w:ascii="仿宋" w:hAnsi="仿宋" w:eastAsia="仿宋" w:cs="仿宋"/>
          <w:b/>
          <w:bCs/>
          <w:color w:val="auto"/>
          <w:sz w:val="31"/>
          <w:szCs w:val="31"/>
        </w:rPr>
        <w:t>采购人（甲方）：</w:t>
      </w:r>
      <w:r>
        <w:rPr>
          <w:rFonts w:hint="eastAsia" w:ascii="仿宋" w:hAnsi="仿宋" w:eastAsia="仿宋" w:cs="仿宋"/>
          <w:b/>
          <w:bCs/>
          <w:color w:val="auto"/>
        </w:rPr>
        <w:t>__________________________</w:t>
      </w:r>
    </w:p>
    <w:p w14:paraId="58032A2E">
      <w:pPr>
        <w:pStyle w:val="5"/>
        <w:wordWrap w:val="0"/>
        <w:spacing w:before="0" w:beforeAutospacing="0" w:after="0" w:afterAutospacing="0" w:line="38" w:lineRule="atLeast"/>
        <w:ind w:firstLine="420"/>
        <w:rPr>
          <w:rFonts w:hint="eastAsia" w:ascii="仿宋" w:hAnsi="仿宋" w:eastAsia="仿宋" w:cs="仿宋"/>
          <w:b/>
          <w:bCs/>
          <w:color w:val="auto"/>
          <w:sz w:val="31"/>
          <w:szCs w:val="31"/>
        </w:rPr>
      </w:pPr>
      <w:r>
        <w:rPr>
          <w:rFonts w:hint="eastAsia" w:ascii="仿宋" w:hAnsi="仿宋" w:eastAsia="仿宋" w:cs="仿宋"/>
          <w:b/>
          <w:bCs/>
          <w:color w:val="auto"/>
          <w:sz w:val="31"/>
          <w:szCs w:val="31"/>
        </w:rPr>
        <w:t>供应商（乙方）：</w:t>
      </w:r>
      <w:r>
        <w:rPr>
          <w:rFonts w:hint="eastAsia" w:ascii="仿宋" w:hAnsi="仿宋" w:eastAsia="仿宋" w:cs="仿宋"/>
          <w:b/>
          <w:bCs/>
          <w:color w:val="auto"/>
        </w:rPr>
        <w:t>__________________________</w:t>
      </w:r>
    </w:p>
    <w:p w14:paraId="1A43BF0C">
      <w:pPr>
        <w:pStyle w:val="5"/>
        <w:wordWrap w:val="0"/>
        <w:spacing w:before="0" w:beforeAutospacing="0" w:after="0" w:afterAutospacing="0" w:line="38" w:lineRule="atLeast"/>
        <w:ind w:firstLine="420"/>
        <w:rPr>
          <w:rFonts w:hint="eastAsia" w:ascii="仿宋" w:hAnsi="仿宋" w:eastAsia="仿宋" w:cs="仿宋"/>
          <w:b/>
          <w:bCs/>
          <w:color w:val="auto"/>
          <w:sz w:val="31"/>
          <w:szCs w:val="31"/>
        </w:rPr>
      </w:pPr>
      <w:r>
        <w:rPr>
          <w:rFonts w:hint="eastAsia" w:ascii="仿宋" w:hAnsi="仿宋" w:eastAsia="仿宋" w:cs="仿宋"/>
          <w:b/>
          <w:bCs/>
          <w:color w:val="auto"/>
          <w:sz w:val="31"/>
          <w:szCs w:val="31"/>
        </w:rPr>
        <w:t>签订地点：</w:t>
      </w:r>
      <w:r>
        <w:rPr>
          <w:rFonts w:hint="eastAsia" w:ascii="仿宋" w:hAnsi="仿宋" w:eastAsia="仿宋" w:cs="仿宋"/>
          <w:b/>
          <w:bCs/>
          <w:color w:val="auto"/>
        </w:rPr>
        <w:t> __________________________</w:t>
      </w:r>
    </w:p>
    <w:p w14:paraId="0D9BD358">
      <w:pPr>
        <w:pStyle w:val="5"/>
        <w:wordWrap w:val="0"/>
        <w:spacing w:before="0" w:beforeAutospacing="0" w:after="0" w:afterAutospacing="0" w:line="38" w:lineRule="atLeast"/>
        <w:ind w:firstLine="420"/>
        <w:rPr>
          <w:rFonts w:hint="eastAsia" w:ascii="仿宋" w:hAnsi="仿宋" w:eastAsia="仿宋" w:cs="仿宋"/>
          <w:b/>
          <w:bCs/>
          <w:color w:val="auto"/>
          <w:sz w:val="31"/>
          <w:szCs w:val="31"/>
        </w:rPr>
      </w:pPr>
      <w:r>
        <w:rPr>
          <w:rFonts w:hint="eastAsia" w:ascii="仿宋" w:hAnsi="仿宋" w:eastAsia="仿宋" w:cs="仿宋"/>
          <w:b/>
          <w:bCs/>
          <w:color w:val="auto"/>
          <w:sz w:val="31"/>
          <w:szCs w:val="31"/>
        </w:rPr>
        <w:t>签订时间：</w:t>
      </w:r>
      <w:r>
        <w:rPr>
          <w:rFonts w:hint="eastAsia" w:ascii="仿宋" w:hAnsi="仿宋" w:eastAsia="仿宋" w:cs="仿宋"/>
          <w:b/>
          <w:bCs/>
          <w:color w:val="auto"/>
        </w:rPr>
        <w:t> __________________________</w:t>
      </w:r>
    </w:p>
    <w:p w14:paraId="2B6D6D3D">
      <w:pPr>
        <w:pStyle w:val="5"/>
        <w:wordWrap w:val="0"/>
        <w:spacing w:before="0" w:beforeAutospacing="0" w:after="0" w:afterAutospacing="0" w:line="38" w:lineRule="atLeast"/>
        <w:ind w:firstLine="420"/>
        <w:rPr>
          <w:rFonts w:hint="eastAsia" w:ascii="仿宋" w:hAnsi="仿宋" w:eastAsia="仿宋" w:cs="仿宋"/>
          <w:color w:val="auto"/>
        </w:rPr>
      </w:pPr>
      <w:r>
        <w:rPr>
          <w:rFonts w:hint="eastAsia" w:ascii="仿宋" w:hAnsi="仿宋" w:eastAsia="仿宋" w:cs="仿宋"/>
          <w:color w:val="auto"/>
        </w:rPr>
        <w:t> </w:t>
      </w:r>
    </w:p>
    <w:p w14:paraId="0AD2C912">
      <w:pPr>
        <w:pStyle w:val="2"/>
        <w:keepNext w:val="0"/>
        <w:keepLines w:val="0"/>
        <w:widowControl/>
        <w:spacing w:before="0" w:after="300" w:line="360" w:lineRule="auto"/>
        <w:rPr>
          <w:rFonts w:hint="eastAsia" w:ascii="仿宋" w:hAnsi="仿宋" w:eastAsia="仿宋" w:cs="仿宋"/>
          <w:color w:val="auto"/>
          <w:sz w:val="36"/>
          <w:szCs w:val="36"/>
        </w:rPr>
      </w:pPr>
      <w:r>
        <w:rPr>
          <w:rFonts w:hint="eastAsia" w:ascii="仿宋" w:hAnsi="仿宋" w:eastAsia="仿宋" w:cs="仿宋"/>
          <w:color w:val="auto"/>
          <w:sz w:val="36"/>
          <w:szCs w:val="36"/>
        </w:rPr>
        <w:t>使用说明</w:t>
      </w:r>
    </w:p>
    <w:p w14:paraId="6EAABFB2">
      <w:pPr>
        <w:pStyle w:val="4"/>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根据《中华人民共和国民法典》《中华人民共和国政府采购法》等法律法规，以及本采购项目的采购文件、乙方的《投标（响应）文件》及《中标（成交）通知书》，甲乙双方同意签订本合同，共同遵守如下条款：</w:t>
      </w:r>
    </w:p>
    <w:p w14:paraId="37C44034">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一、项目信息</w:t>
      </w:r>
    </w:p>
    <w:p w14:paraId="3E71983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1.1.采购项目名称：___________________________</w:t>
      </w:r>
    </w:p>
    <w:p w14:paraId="2B23F3C6">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1.2.采购项目编号：___________________________</w:t>
      </w:r>
    </w:p>
    <w:p w14:paraId="74CB86D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1.3.采购计划编号：___________________________</w:t>
      </w:r>
    </w:p>
    <w:p w14:paraId="39A8F33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1.4.政府采购组织形式：___________________________</w:t>
      </w:r>
    </w:p>
    <w:p w14:paraId="14AB352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1.5.政府采购方式：___________________________</w:t>
      </w:r>
    </w:p>
    <w:p w14:paraId="143CECD5">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1.6.落实政府采购政策情况：</w:t>
      </w:r>
    </w:p>
    <w:p w14:paraId="7DC9134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1.6.1中标（成交）采购标的制造商是否为中小企业：是否</w:t>
      </w:r>
    </w:p>
    <w:p w14:paraId="10632F53">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1.6.2本合同是否为专门面向中小企业的采购合同（中小企业预留合同）：是否</w:t>
      </w:r>
    </w:p>
    <w:p w14:paraId="1D3F9B06">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1.6.3若本项目不专门面向中小企业采购，是否给予小微企业评审优惠是否</w:t>
      </w:r>
    </w:p>
    <w:p w14:paraId="07C80A4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1.6.4中标（成交）采购标的制造商是否为残疾人福利性单位：是否</w:t>
      </w:r>
    </w:p>
    <w:p w14:paraId="0F5876A2">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1.6.5中标（成交）采购标的制造商是否为监狱企业：是否</w:t>
      </w:r>
    </w:p>
    <w:p w14:paraId="28F9329E">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1.7中标（成交）供应商是否为外商投资企业：是否</w:t>
      </w:r>
    </w:p>
    <w:p w14:paraId="30CABA5F">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本项目外商投资企业类型为：全部由外国投资者投资部分由外国投资者投资</w:t>
      </w:r>
    </w:p>
    <w:p w14:paraId="63D3770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1.8项目内容：</w:t>
      </w:r>
    </w:p>
    <w:p w14:paraId="54BC767C">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采购标的及数量（台/套/个/架/组等）：___________________</w:t>
      </w:r>
    </w:p>
    <w:p w14:paraId="02EF6EF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品牌： ___________________ 规格型号：___________________</w:t>
      </w:r>
    </w:p>
    <w:p w14:paraId="626A84C3">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涉及信息类产品：</w:t>
      </w:r>
    </w:p>
    <w:tbl>
      <w:tblPr>
        <w:tblStyle w:val="6"/>
        <w:tblW w:w="8389" w:type="dxa"/>
        <w:tblInd w:w="0" w:type="dxa"/>
        <w:tblLayout w:type="autofit"/>
        <w:tblCellMar>
          <w:top w:w="0" w:type="dxa"/>
          <w:left w:w="0" w:type="dxa"/>
          <w:bottom w:w="0" w:type="dxa"/>
          <w:right w:w="0" w:type="dxa"/>
        </w:tblCellMar>
      </w:tblPr>
      <w:tblGrid>
        <w:gridCol w:w="864"/>
        <w:gridCol w:w="1439"/>
        <w:gridCol w:w="1231"/>
        <w:gridCol w:w="2904"/>
        <w:gridCol w:w="1951"/>
      </w:tblGrid>
      <w:tr w14:paraId="38C86B03">
        <w:tblPrEx>
          <w:tblCellMar>
            <w:top w:w="0" w:type="dxa"/>
            <w:left w:w="0" w:type="dxa"/>
            <w:bottom w:w="0" w:type="dxa"/>
            <w:right w:w="0" w:type="dxa"/>
          </w:tblCellMar>
        </w:tblPrEx>
        <w:trPr>
          <w:trHeight w:val="482" w:hRule="atLeast"/>
          <w:tblHeader/>
        </w:trPr>
        <w:tc>
          <w:tcPr>
            <w:tcW w:w="51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720E3F1">
            <w:pPr>
              <w:widowControl/>
              <w:wordWrap w:val="0"/>
              <w:spacing w:line="360" w:lineRule="auto"/>
              <w:jc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85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DF33B44">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标的名称</w:t>
            </w:r>
          </w:p>
        </w:tc>
        <w:tc>
          <w:tcPr>
            <w:tcW w:w="73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CCB7613">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关键部件</w:t>
            </w:r>
          </w:p>
        </w:tc>
        <w:tc>
          <w:tcPr>
            <w:tcW w:w="173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668E5DD">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品牌</w:t>
            </w:r>
          </w:p>
        </w:tc>
        <w:tc>
          <w:tcPr>
            <w:tcW w:w="116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9734C23">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型号</w:t>
            </w:r>
          </w:p>
        </w:tc>
      </w:tr>
      <w:tr w14:paraId="175D22BE">
        <w:tblPrEx>
          <w:tblCellMar>
            <w:top w:w="0" w:type="dxa"/>
            <w:left w:w="0" w:type="dxa"/>
            <w:bottom w:w="0" w:type="dxa"/>
            <w:right w:w="0" w:type="dxa"/>
          </w:tblCellMar>
        </w:tblPrEx>
        <w:trPr>
          <w:trHeight w:val="482" w:hRule="atLeast"/>
        </w:trPr>
        <w:tc>
          <w:tcPr>
            <w:tcW w:w="51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43B3704">
            <w:pPr>
              <w:spacing w:line="360" w:lineRule="auto"/>
              <w:jc w:val="center"/>
              <w:rPr>
                <w:rFonts w:hint="eastAsia" w:ascii="仿宋" w:hAnsi="仿宋" w:eastAsia="仿宋" w:cs="仿宋"/>
                <w:color w:val="auto"/>
                <w:sz w:val="24"/>
              </w:rPr>
            </w:pPr>
          </w:p>
        </w:tc>
        <w:tc>
          <w:tcPr>
            <w:tcW w:w="85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09D0151">
            <w:pPr>
              <w:spacing w:line="360" w:lineRule="auto"/>
              <w:jc w:val="left"/>
              <w:rPr>
                <w:rFonts w:hint="eastAsia" w:ascii="仿宋" w:hAnsi="仿宋" w:eastAsia="仿宋" w:cs="仿宋"/>
                <w:color w:val="auto"/>
                <w:sz w:val="24"/>
              </w:rPr>
            </w:pPr>
          </w:p>
        </w:tc>
        <w:tc>
          <w:tcPr>
            <w:tcW w:w="73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23A7681">
            <w:pPr>
              <w:spacing w:line="360" w:lineRule="auto"/>
              <w:jc w:val="left"/>
              <w:rPr>
                <w:rFonts w:hint="eastAsia" w:ascii="仿宋" w:hAnsi="仿宋" w:eastAsia="仿宋" w:cs="仿宋"/>
                <w:color w:val="auto"/>
                <w:sz w:val="24"/>
              </w:rPr>
            </w:pPr>
          </w:p>
        </w:tc>
        <w:tc>
          <w:tcPr>
            <w:tcW w:w="173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D9A9AEF">
            <w:pPr>
              <w:spacing w:line="360" w:lineRule="auto"/>
              <w:jc w:val="left"/>
              <w:rPr>
                <w:rFonts w:hint="eastAsia" w:ascii="仿宋" w:hAnsi="仿宋" w:eastAsia="仿宋" w:cs="仿宋"/>
                <w:color w:val="auto"/>
                <w:sz w:val="24"/>
              </w:rPr>
            </w:pPr>
          </w:p>
        </w:tc>
        <w:tc>
          <w:tcPr>
            <w:tcW w:w="116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DB1E3C2">
            <w:pPr>
              <w:spacing w:line="360" w:lineRule="auto"/>
              <w:jc w:val="left"/>
              <w:rPr>
                <w:rFonts w:hint="eastAsia" w:ascii="仿宋" w:hAnsi="仿宋" w:eastAsia="仿宋" w:cs="仿宋"/>
                <w:color w:val="auto"/>
                <w:sz w:val="24"/>
              </w:rPr>
            </w:pPr>
          </w:p>
        </w:tc>
      </w:tr>
    </w:tbl>
    <w:p w14:paraId="1D1F383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（注：关键部件是指财政部会同有关部门发布的政府采购需求标准规定的需要通过国家有关部门指定的测评机构开展的安全可靠测评的软硬件，如CPU芯片、操作系统、数据库等。）</w:t>
      </w:r>
    </w:p>
    <w:p w14:paraId="13D8B09E">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涉及采购新能源汽车：</w:t>
      </w:r>
    </w:p>
    <w:tbl>
      <w:tblPr>
        <w:tblStyle w:val="6"/>
        <w:tblW w:w="8401" w:type="dxa"/>
        <w:tblInd w:w="0" w:type="dxa"/>
        <w:tblLayout w:type="autofit"/>
        <w:tblCellMar>
          <w:top w:w="0" w:type="dxa"/>
          <w:left w:w="0" w:type="dxa"/>
          <w:bottom w:w="0" w:type="dxa"/>
          <w:right w:w="0" w:type="dxa"/>
        </w:tblCellMar>
      </w:tblPr>
      <w:tblGrid>
        <w:gridCol w:w="1047"/>
        <w:gridCol w:w="3831"/>
        <w:gridCol w:w="1889"/>
        <w:gridCol w:w="1634"/>
      </w:tblGrid>
      <w:tr w14:paraId="62C2AB2D">
        <w:tblPrEx>
          <w:tblCellMar>
            <w:top w:w="0" w:type="dxa"/>
            <w:left w:w="0" w:type="dxa"/>
            <w:bottom w:w="0" w:type="dxa"/>
            <w:right w:w="0" w:type="dxa"/>
          </w:tblCellMar>
        </w:tblPrEx>
        <w:trPr>
          <w:trHeight w:val="482" w:hRule="atLeast"/>
          <w:tblHeader/>
        </w:trPr>
        <w:tc>
          <w:tcPr>
            <w:tcW w:w="62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85AA281">
            <w:pPr>
              <w:widowControl/>
              <w:wordWrap w:val="0"/>
              <w:spacing w:line="360" w:lineRule="auto"/>
              <w:jc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227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F055CFE">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采购品目名称</w:t>
            </w:r>
          </w:p>
        </w:tc>
        <w:tc>
          <w:tcPr>
            <w:tcW w:w="112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6F5C917">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97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5D20D10">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金额</w:t>
            </w:r>
          </w:p>
        </w:tc>
      </w:tr>
      <w:tr w14:paraId="4B80A990">
        <w:tblPrEx>
          <w:tblCellMar>
            <w:top w:w="0" w:type="dxa"/>
            <w:left w:w="0" w:type="dxa"/>
            <w:bottom w:w="0" w:type="dxa"/>
            <w:right w:w="0" w:type="dxa"/>
          </w:tblCellMar>
        </w:tblPrEx>
        <w:trPr>
          <w:trHeight w:val="482" w:hRule="atLeast"/>
        </w:trPr>
        <w:tc>
          <w:tcPr>
            <w:tcW w:w="62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31748CA">
            <w:pPr>
              <w:spacing w:line="360" w:lineRule="auto"/>
              <w:jc w:val="left"/>
              <w:rPr>
                <w:rFonts w:hint="eastAsia" w:ascii="仿宋" w:hAnsi="仿宋" w:eastAsia="仿宋" w:cs="仿宋"/>
                <w:color w:val="auto"/>
                <w:sz w:val="24"/>
              </w:rPr>
            </w:pPr>
          </w:p>
        </w:tc>
        <w:tc>
          <w:tcPr>
            <w:tcW w:w="227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7AF6830">
            <w:pPr>
              <w:spacing w:line="360" w:lineRule="auto"/>
              <w:jc w:val="left"/>
              <w:rPr>
                <w:rFonts w:hint="eastAsia" w:ascii="仿宋" w:hAnsi="仿宋" w:eastAsia="仿宋" w:cs="仿宋"/>
                <w:color w:val="auto"/>
                <w:sz w:val="24"/>
              </w:rPr>
            </w:pPr>
          </w:p>
        </w:tc>
        <w:tc>
          <w:tcPr>
            <w:tcW w:w="112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5E74413">
            <w:pPr>
              <w:spacing w:line="360" w:lineRule="auto"/>
              <w:jc w:val="left"/>
              <w:rPr>
                <w:rFonts w:hint="eastAsia" w:ascii="仿宋" w:hAnsi="仿宋" w:eastAsia="仿宋" w:cs="仿宋"/>
                <w:color w:val="auto"/>
                <w:sz w:val="24"/>
              </w:rPr>
            </w:pPr>
          </w:p>
        </w:tc>
        <w:tc>
          <w:tcPr>
            <w:tcW w:w="97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C64B5DE">
            <w:pPr>
              <w:spacing w:line="360" w:lineRule="auto"/>
              <w:jc w:val="left"/>
              <w:rPr>
                <w:rFonts w:hint="eastAsia" w:ascii="仿宋" w:hAnsi="仿宋" w:eastAsia="仿宋" w:cs="仿宋"/>
                <w:color w:val="auto"/>
                <w:sz w:val="24"/>
              </w:rPr>
            </w:pPr>
          </w:p>
        </w:tc>
      </w:tr>
    </w:tbl>
    <w:p w14:paraId="7274B4A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合同分包：</w:t>
      </w:r>
    </w:p>
    <w:p w14:paraId="1B172E42">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涉及采购进口产品：</w:t>
      </w:r>
    </w:p>
    <w:p w14:paraId="2AFF75C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涉及强制采购节能产品：</w:t>
      </w:r>
    </w:p>
    <w:tbl>
      <w:tblPr>
        <w:tblStyle w:val="6"/>
        <w:tblW w:w="8377" w:type="dxa"/>
        <w:tblInd w:w="0" w:type="dxa"/>
        <w:tblLayout w:type="autofit"/>
        <w:tblCellMar>
          <w:top w:w="0" w:type="dxa"/>
          <w:left w:w="0" w:type="dxa"/>
          <w:bottom w:w="0" w:type="dxa"/>
          <w:right w:w="0" w:type="dxa"/>
        </w:tblCellMar>
      </w:tblPr>
      <w:tblGrid>
        <w:gridCol w:w="816"/>
        <w:gridCol w:w="1829"/>
        <w:gridCol w:w="1684"/>
        <w:gridCol w:w="1438"/>
        <w:gridCol w:w="939"/>
        <w:gridCol w:w="1671"/>
      </w:tblGrid>
      <w:tr w14:paraId="64D10BDC">
        <w:tblPrEx>
          <w:tblCellMar>
            <w:top w:w="0" w:type="dxa"/>
            <w:left w:w="0" w:type="dxa"/>
            <w:bottom w:w="0" w:type="dxa"/>
            <w:right w:w="0" w:type="dxa"/>
          </w:tblCellMar>
        </w:tblPrEx>
        <w:trPr>
          <w:trHeight w:val="482" w:hRule="atLeast"/>
          <w:tblHeader/>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F6843A9">
            <w:pPr>
              <w:widowControl/>
              <w:wordWrap w:val="0"/>
              <w:spacing w:line="360" w:lineRule="auto"/>
              <w:jc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3AE7396">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采购品目名称</w:t>
            </w: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CECEBD6">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标的名称</w:t>
            </w: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AFFA0C7">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产品名称</w:t>
            </w: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6D26433">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品牌</w:t>
            </w: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5D05C0B">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规格型号</w:t>
            </w:r>
          </w:p>
        </w:tc>
      </w:tr>
      <w:tr w14:paraId="7E390ACB">
        <w:tblPrEx>
          <w:tblCellMar>
            <w:top w:w="0" w:type="dxa"/>
            <w:left w:w="0" w:type="dxa"/>
            <w:bottom w:w="0" w:type="dxa"/>
            <w:right w:w="0" w:type="dxa"/>
          </w:tblCellMar>
        </w:tblPrEx>
        <w:trPr>
          <w:trHeight w:val="482" w:hRule="atLeast"/>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FB8511C">
            <w:pPr>
              <w:spacing w:line="360" w:lineRule="auto"/>
              <w:jc w:val="left"/>
              <w:rPr>
                <w:rFonts w:hint="eastAsia" w:ascii="仿宋" w:hAnsi="仿宋" w:eastAsia="仿宋" w:cs="仿宋"/>
                <w:color w:val="auto"/>
                <w:sz w:val="24"/>
              </w:rPr>
            </w:pP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2430BDB">
            <w:pPr>
              <w:spacing w:line="360" w:lineRule="auto"/>
              <w:jc w:val="left"/>
              <w:rPr>
                <w:rFonts w:hint="eastAsia" w:ascii="仿宋" w:hAnsi="仿宋" w:eastAsia="仿宋" w:cs="仿宋"/>
                <w:color w:val="auto"/>
                <w:sz w:val="24"/>
              </w:rPr>
            </w:pP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6A316DA">
            <w:pPr>
              <w:spacing w:line="360" w:lineRule="auto"/>
              <w:jc w:val="left"/>
              <w:rPr>
                <w:rFonts w:hint="eastAsia" w:ascii="仿宋" w:hAnsi="仿宋" w:eastAsia="仿宋" w:cs="仿宋"/>
                <w:color w:val="auto"/>
                <w:sz w:val="24"/>
              </w:rPr>
            </w:pP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62DDD29">
            <w:pPr>
              <w:spacing w:line="360" w:lineRule="auto"/>
              <w:jc w:val="left"/>
              <w:rPr>
                <w:rFonts w:hint="eastAsia" w:ascii="仿宋" w:hAnsi="仿宋" w:eastAsia="仿宋" w:cs="仿宋"/>
                <w:color w:val="auto"/>
                <w:sz w:val="24"/>
              </w:rPr>
            </w:pP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39368FE">
            <w:pPr>
              <w:spacing w:line="360" w:lineRule="auto"/>
              <w:jc w:val="left"/>
              <w:rPr>
                <w:rFonts w:hint="eastAsia" w:ascii="仿宋" w:hAnsi="仿宋" w:eastAsia="仿宋" w:cs="仿宋"/>
                <w:color w:val="auto"/>
                <w:sz w:val="24"/>
              </w:rPr>
            </w:pP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E7CA821">
            <w:pPr>
              <w:spacing w:line="360" w:lineRule="auto"/>
              <w:jc w:val="left"/>
              <w:rPr>
                <w:rFonts w:hint="eastAsia" w:ascii="仿宋" w:hAnsi="仿宋" w:eastAsia="仿宋" w:cs="仿宋"/>
                <w:color w:val="auto"/>
                <w:sz w:val="24"/>
              </w:rPr>
            </w:pPr>
          </w:p>
        </w:tc>
      </w:tr>
    </w:tbl>
    <w:p w14:paraId="43D1F508">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涉及优先采购节能产品：</w:t>
      </w:r>
    </w:p>
    <w:tbl>
      <w:tblPr>
        <w:tblStyle w:val="6"/>
        <w:tblW w:w="8377" w:type="dxa"/>
        <w:tblInd w:w="0" w:type="dxa"/>
        <w:tblLayout w:type="autofit"/>
        <w:tblCellMar>
          <w:top w:w="0" w:type="dxa"/>
          <w:left w:w="0" w:type="dxa"/>
          <w:bottom w:w="0" w:type="dxa"/>
          <w:right w:w="0" w:type="dxa"/>
        </w:tblCellMar>
      </w:tblPr>
      <w:tblGrid>
        <w:gridCol w:w="816"/>
        <w:gridCol w:w="1829"/>
        <w:gridCol w:w="1684"/>
        <w:gridCol w:w="1438"/>
        <w:gridCol w:w="939"/>
        <w:gridCol w:w="1671"/>
      </w:tblGrid>
      <w:tr w14:paraId="55F4AEFE">
        <w:tblPrEx>
          <w:tblCellMar>
            <w:top w:w="0" w:type="dxa"/>
            <w:left w:w="0" w:type="dxa"/>
            <w:bottom w:w="0" w:type="dxa"/>
            <w:right w:w="0" w:type="dxa"/>
          </w:tblCellMar>
        </w:tblPrEx>
        <w:trPr>
          <w:trHeight w:val="482" w:hRule="atLeast"/>
          <w:tblHeader/>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4D0FBA2">
            <w:pPr>
              <w:widowControl/>
              <w:wordWrap w:val="0"/>
              <w:spacing w:line="360" w:lineRule="auto"/>
              <w:jc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A4F92A6">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采购品目名称</w:t>
            </w: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46EE5E4">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标的名称</w:t>
            </w: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E94ED41">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产品名称</w:t>
            </w: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DBF4680">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品牌</w:t>
            </w: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568B590">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规格型号</w:t>
            </w:r>
          </w:p>
        </w:tc>
      </w:tr>
      <w:tr w14:paraId="0CFEC85C">
        <w:tblPrEx>
          <w:tblCellMar>
            <w:top w:w="0" w:type="dxa"/>
            <w:left w:w="0" w:type="dxa"/>
            <w:bottom w:w="0" w:type="dxa"/>
            <w:right w:w="0" w:type="dxa"/>
          </w:tblCellMar>
        </w:tblPrEx>
        <w:trPr>
          <w:trHeight w:val="482" w:hRule="atLeast"/>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E21A491">
            <w:pPr>
              <w:spacing w:line="360" w:lineRule="auto"/>
              <w:jc w:val="left"/>
              <w:rPr>
                <w:rFonts w:hint="eastAsia" w:ascii="仿宋" w:hAnsi="仿宋" w:eastAsia="仿宋" w:cs="仿宋"/>
                <w:color w:val="auto"/>
                <w:sz w:val="24"/>
              </w:rPr>
            </w:pP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68EA19C">
            <w:pPr>
              <w:spacing w:line="360" w:lineRule="auto"/>
              <w:jc w:val="left"/>
              <w:rPr>
                <w:rFonts w:hint="eastAsia" w:ascii="仿宋" w:hAnsi="仿宋" w:eastAsia="仿宋" w:cs="仿宋"/>
                <w:color w:val="auto"/>
                <w:sz w:val="24"/>
              </w:rPr>
            </w:pP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0FCD8EB">
            <w:pPr>
              <w:spacing w:line="360" w:lineRule="auto"/>
              <w:jc w:val="left"/>
              <w:rPr>
                <w:rFonts w:hint="eastAsia" w:ascii="仿宋" w:hAnsi="仿宋" w:eastAsia="仿宋" w:cs="仿宋"/>
                <w:color w:val="auto"/>
                <w:sz w:val="24"/>
              </w:rPr>
            </w:pP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EEF9C13">
            <w:pPr>
              <w:spacing w:line="360" w:lineRule="auto"/>
              <w:jc w:val="left"/>
              <w:rPr>
                <w:rFonts w:hint="eastAsia" w:ascii="仿宋" w:hAnsi="仿宋" w:eastAsia="仿宋" w:cs="仿宋"/>
                <w:color w:val="auto"/>
                <w:sz w:val="24"/>
              </w:rPr>
            </w:pP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35A86BB">
            <w:pPr>
              <w:spacing w:line="360" w:lineRule="auto"/>
              <w:jc w:val="left"/>
              <w:rPr>
                <w:rFonts w:hint="eastAsia" w:ascii="仿宋" w:hAnsi="仿宋" w:eastAsia="仿宋" w:cs="仿宋"/>
                <w:color w:val="auto"/>
                <w:sz w:val="24"/>
              </w:rPr>
            </w:pP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3BFC303">
            <w:pPr>
              <w:spacing w:line="360" w:lineRule="auto"/>
              <w:jc w:val="left"/>
              <w:rPr>
                <w:rFonts w:hint="eastAsia" w:ascii="仿宋" w:hAnsi="仿宋" w:eastAsia="仿宋" w:cs="仿宋"/>
                <w:color w:val="auto"/>
                <w:sz w:val="24"/>
              </w:rPr>
            </w:pPr>
          </w:p>
        </w:tc>
      </w:tr>
    </w:tbl>
    <w:p w14:paraId="6CFEBD78">
      <w:pPr>
        <w:pStyle w:val="5"/>
        <w:wordWrap w:val="0"/>
        <w:spacing w:before="0" w:beforeAutospacing="0" w:after="0" w:afterAutospacing="0" w:line="360" w:lineRule="auto"/>
        <w:ind w:firstLine="420"/>
        <w:rPr>
          <w:rFonts w:hint="eastAsia" w:ascii="仿宋" w:hAnsi="仿宋" w:eastAsia="仿宋" w:cs="仿宋"/>
          <w:color w:val="auto"/>
        </w:rPr>
      </w:pPr>
    </w:p>
    <w:p w14:paraId="511F026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涉及优先采购环境标志产品：</w:t>
      </w:r>
    </w:p>
    <w:tbl>
      <w:tblPr>
        <w:tblStyle w:val="6"/>
        <w:tblW w:w="8377" w:type="dxa"/>
        <w:tblInd w:w="0" w:type="dxa"/>
        <w:tblLayout w:type="autofit"/>
        <w:tblCellMar>
          <w:top w:w="0" w:type="dxa"/>
          <w:left w:w="0" w:type="dxa"/>
          <w:bottom w:w="0" w:type="dxa"/>
          <w:right w:w="0" w:type="dxa"/>
        </w:tblCellMar>
      </w:tblPr>
      <w:tblGrid>
        <w:gridCol w:w="816"/>
        <w:gridCol w:w="1829"/>
        <w:gridCol w:w="1684"/>
        <w:gridCol w:w="1438"/>
        <w:gridCol w:w="939"/>
        <w:gridCol w:w="1671"/>
      </w:tblGrid>
      <w:tr w14:paraId="6EE82848">
        <w:tblPrEx>
          <w:tblCellMar>
            <w:top w:w="0" w:type="dxa"/>
            <w:left w:w="0" w:type="dxa"/>
            <w:bottom w:w="0" w:type="dxa"/>
            <w:right w:w="0" w:type="dxa"/>
          </w:tblCellMar>
        </w:tblPrEx>
        <w:trPr>
          <w:trHeight w:val="482" w:hRule="atLeast"/>
          <w:tblHeader/>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3862116">
            <w:pPr>
              <w:widowControl/>
              <w:wordWrap w:val="0"/>
              <w:spacing w:line="360" w:lineRule="auto"/>
              <w:jc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C8D2DBD">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采购品目名称</w:t>
            </w: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9B02818">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标的名称</w:t>
            </w: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2D94B07">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产品名称</w:t>
            </w: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C4355FB">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品牌</w:t>
            </w: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5CC3AA8">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规格型号</w:t>
            </w:r>
          </w:p>
        </w:tc>
      </w:tr>
      <w:tr w14:paraId="7635A4DE">
        <w:tblPrEx>
          <w:tblCellMar>
            <w:top w:w="0" w:type="dxa"/>
            <w:left w:w="0" w:type="dxa"/>
            <w:bottom w:w="0" w:type="dxa"/>
            <w:right w:w="0" w:type="dxa"/>
          </w:tblCellMar>
        </w:tblPrEx>
        <w:trPr>
          <w:trHeight w:val="482" w:hRule="atLeast"/>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EED0EF0">
            <w:pPr>
              <w:spacing w:line="360" w:lineRule="auto"/>
              <w:jc w:val="left"/>
              <w:rPr>
                <w:rFonts w:hint="eastAsia" w:ascii="仿宋" w:hAnsi="仿宋" w:eastAsia="仿宋" w:cs="仿宋"/>
                <w:color w:val="auto"/>
                <w:sz w:val="24"/>
              </w:rPr>
            </w:pP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4D202A3">
            <w:pPr>
              <w:spacing w:line="360" w:lineRule="auto"/>
              <w:jc w:val="left"/>
              <w:rPr>
                <w:rFonts w:hint="eastAsia" w:ascii="仿宋" w:hAnsi="仿宋" w:eastAsia="仿宋" w:cs="仿宋"/>
                <w:color w:val="auto"/>
                <w:sz w:val="24"/>
              </w:rPr>
            </w:pP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AB3F34">
            <w:pPr>
              <w:spacing w:line="360" w:lineRule="auto"/>
              <w:jc w:val="left"/>
              <w:rPr>
                <w:rFonts w:hint="eastAsia" w:ascii="仿宋" w:hAnsi="仿宋" w:eastAsia="仿宋" w:cs="仿宋"/>
                <w:color w:val="auto"/>
                <w:sz w:val="24"/>
              </w:rPr>
            </w:pP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9BF1174">
            <w:pPr>
              <w:spacing w:line="360" w:lineRule="auto"/>
              <w:jc w:val="left"/>
              <w:rPr>
                <w:rFonts w:hint="eastAsia" w:ascii="仿宋" w:hAnsi="仿宋" w:eastAsia="仿宋" w:cs="仿宋"/>
                <w:color w:val="auto"/>
                <w:sz w:val="24"/>
              </w:rPr>
            </w:pP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344F9BC">
            <w:pPr>
              <w:spacing w:line="360" w:lineRule="auto"/>
              <w:jc w:val="left"/>
              <w:rPr>
                <w:rFonts w:hint="eastAsia" w:ascii="仿宋" w:hAnsi="仿宋" w:eastAsia="仿宋" w:cs="仿宋"/>
                <w:color w:val="auto"/>
                <w:sz w:val="24"/>
              </w:rPr>
            </w:pP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3D07F9D">
            <w:pPr>
              <w:spacing w:line="360" w:lineRule="auto"/>
              <w:jc w:val="left"/>
              <w:rPr>
                <w:rFonts w:hint="eastAsia" w:ascii="仿宋" w:hAnsi="仿宋" w:eastAsia="仿宋" w:cs="仿宋"/>
                <w:color w:val="auto"/>
                <w:sz w:val="24"/>
              </w:rPr>
            </w:pPr>
          </w:p>
        </w:tc>
      </w:tr>
    </w:tbl>
    <w:p w14:paraId="591B06A5">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涉及绿色产品：</w:t>
      </w:r>
    </w:p>
    <w:tbl>
      <w:tblPr>
        <w:tblStyle w:val="6"/>
        <w:tblW w:w="8377" w:type="dxa"/>
        <w:tblInd w:w="0" w:type="dxa"/>
        <w:tblLayout w:type="autofit"/>
        <w:tblCellMar>
          <w:top w:w="0" w:type="dxa"/>
          <w:left w:w="0" w:type="dxa"/>
          <w:bottom w:w="0" w:type="dxa"/>
          <w:right w:w="0" w:type="dxa"/>
        </w:tblCellMar>
      </w:tblPr>
      <w:tblGrid>
        <w:gridCol w:w="816"/>
        <w:gridCol w:w="1829"/>
        <w:gridCol w:w="1684"/>
        <w:gridCol w:w="1438"/>
        <w:gridCol w:w="939"/>
        <w:gridCol w:w="1671"/>
      </w:tblGrid>
      <w:tr w14:paraId="5F2062CD">
        <w:trPr>
          <w:trHeight w:val="482" w:hRule="atLeast"/>
          <w:tblHeader/>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68C6356">
            <w:pPr>
              <w:widowControl/>
              <w:wordWrap w:val="0"/>
              <w:spacing w:line="360" w:lineRule="auto"/>
              <w:jc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D366147">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采购品目名称</w:t>
            </w: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E9A8A29">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标的名称</w:t>
            </w: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146C2E9">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产品名称</w:t>
            </w: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A4579B9">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品牌</w:t>
            </w: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49F0917">
            <w:pPr>
              <w:widowControl/>
              <w:wordWrap w:val="0"/>
              <w:spacing w:line="360" w:lineRule="auto"/>
              <w:jc w:val="left"/>
              <w:rPr>
                <w:rFonts w:hint="eastAsia" w:ascii="仿宋" w:hAnsi="仿宋" w:eastAsia="仿宋" w:cs="仿宋"/>
                <w:b/>
                <w:bCs/>
                <w:color w:val="auto"/>
                <w:sz w:val="24"/>
              </w:rPr>
            </w:pPr>
            <w:r>
              <w:rPr>
                <w:rFonts w:hint="eastAsia" w:ascii="仿宋" w:hAnsi="仿宋" w:eastAsia="仿宋" w:cs="仿宋"/>
                <w:b/>
                <w:bCs/>
                <w:color w:val="auto"/>
                <w:kern w:val="0"/>
                <w:sz w:val="24"/>
                <w:lang w:bidi="ar"/>
              </w:rPr>
              <w:t>规格型号</w:t>
            </w:r>
          </w:p>
        </w:tc>
      </w:tr>
      <w:tr w14:paraId="206B2B5D">
        <w:tblPrEx>
          <w:tblCellMar>
            <w:top w:w="0" w:type="dxa"/>
            <w:left w:w="0" w:type="dxa"/>
            <w:bottom w:w="0" w:type="dxa"/>
            <w:right w:w="0" w:type="dxa"/>
          </w:tblCellMar>
        </w:tblPrEx>
        <w:trPr>
          <w:trHeight w:val="482" w:hRule="atLeast"/>
        </w:trPr>
        <w:tc>
          <w:tcPr>
            <w:tcW w:w="48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BB5A668">
            <w:pPr>
              <w:spacing w:line="360" w:lineRule="auto"/>
              <w:jc w:val="left"/>
              <w:rPr>
                <w:rFonts w:hint="eastAsia" w:ascii="仿宋" w:hAnsi="仿宋" w:eastAsia="仿宋" w:cs="仿宋"/>
                <w:color w:val="auto"/>
                <w:sz w:val="24"/>
              </w:rPr>
            </w:pPr>
          </w:p>
        </w:tc>
        <w:tc>
          <w:tcPr>
            <w:tcW w:w="10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FC427E">
            <w:pPr>
              <w:spacing w:line="360" w:lineRule="auto"/>
              <w:jc w:val="left"/>
              <w:rPr>
                <w:rFonts w:hint="eastAsia" w:ascii="仿宋" w:hAnsi="仿宋" w:eastAsia="仿宋" w:cs="仿宋"/>
                <w:color w:val="auto"/>
                <w:sz w:val="24"/>
              </w:rPr>
            </w:pPr>
          </w:p>
        </w:tc>
        <w:tc>
          <w:tcPr>
            <w:tcW w:w="100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E306A37">
            <w:pPr>
              <w:spacing w:line="360" w:lineRule="auto"/>
              <w:jc w:val="left"/>
              <w:rPr>
                <w:rFonts w:hint="eastAsia" w:ascii="仿宋" w:hAnsi="仿宋" w:eastAsia="仿宋" w:cs="仿宋"/>
                <w:color w:val="auto"/>
                <w:sz w:val="24"/>
              </w:rPr>
            </w:pPr>
          </w:p>
        </w:tc>
        <w:tc>
          <w:tcPr>
            <w:tcW w:w="85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19DCBB1">
            <w:pPr>
              <w:spacing w:line="360" w:lineRule="auto"/>
              <w:jc w:val="left"/>
              <w:rPr>
                <w:rFonts w:hint="eastAsia" w:ascii="仿宋" w:hAnsi="仿宋" w:eastAsia="仿宋" w:cs="仿宋"/>
                <w:color w:val="auto"/>
                <w:sz w:val="24"/>
              </w:rPr>
            </w:pPr>
          </w:p>
        </w:tc>
        <w:tc>
          <w:tcPr>
            <w:tcW w:w="56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D410738">
            <w:pPr>
              <w:spacing w:line="360" w:lineRule="auto"/>
              <w:jc w:val="left"/>
              <w:rPr>
                <w:rFonts w:hint="eastAsia" w:ascii="仿宋" w:hAnsi="仿宋" w:eastAsia="仿宋" w:cs="仿宋"/>
                <w:color w:val="auto"/>
                <w:sz w:val="24"/>
              </w:rPr>
            </w:pPr>
          </w:p>
        </w:tc>
        <w:tc>
          <w:tcPr>
            <w:tcW w:w="99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B6295D8">
            <w:pPr>
              <w:spacing w:line="360" w:lineRule="auto"/>
              <w:jc w:val="left"/>
              <w:rPr>
                <w:rFonts w:hint="eastAsia" w:ascii="仿宋" w:hAnsi="仿宋" w:eastAsia="仿宋" w:cs="仿宋"/>
                <w:color w:val="auto"/>
                <w:sz w:val="24"/>
              </w:rPr>
            </w:pPr>
          </w:p>
        </w:tc>
      </w:tr>
    </w:tbl>
    <w:p w14:paraId="1E00C5A4">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二、货物要求</w:t>
      </w:r>
    </w:p>
    <w:p w14:paraId="17F188A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2.1.质量要求</w:t>
      </w:r>
    </w:p>
    <w:p w14:paraId="0DB5BEBE">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31194D2">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2.1.2乙方所提供的所有货物、辅材中属于《国家强制性货物认证目录》范围内货物的，均通过国家强制性货物认证并取得认证证书。</w:t>
      </w:r>
    </w:p>
    <w:p w14:paraId="2106842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2.1.3乙方所提供的货物应符合国家有关安全、环保、卫生的规定。</w:t>
      </w:r>
    </w:p>
    <w:p w14:paraId="1639427F">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2.1.4乙方应向甲方提交所提供货物的技术文件，包括相应的中文技术文件，如：产品目录、图纸、操作手册、使用说明、维护手册或服务指南等。上述文件应包装好随货物一同发运。</w:t>
      </w:r>
    </w:p>
    <w:p w14:paraId="336B93CA">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2.2.包装方式及运输方式</w:t>
      </w:r>
    </w:p>
    <w:p w14:paraId="55616BF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DF4C123">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2.3.质量保修范围和保修期</w:t>
      </w:r>
    </w:p>
    <w:p w14:paraId="331C12C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时间不一致的，以较长的为准）的保修期内，本保证保持有效。</w:t>
      </w:r>
    </w:p>
    <w:p w14:paraId="1BEF8A0B">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2.3.2在保修期内所发现的缺陷，甲方应尽快通知乙方，乙方在接到通知后 ×小时内响应，×小时内到达现场，×小时内完成更换。</w:t>
      </w:r>
    </w:p>
    <w:p w14:paraId="7A1CFBE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2.3.3乙方收到通知后，应在XX日内免费维修或更换有缺陷的货物或部件。在保修期内，同一货物、同一质量问题连续两次维修仍无法正常使用的，须更换同品牌、同型号新货物，并对更换后的新货物质量实行“三包”服务，自重新更换之日其重新计算保修期。</w:t>
      </w:r>
    </w:p>
    <w:p w14:paraId="4A8FEA6C">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2.3.4在保修期内，如果货物的质量或规格与合同不符，或证实货物是有缺陷的，包括潜在的缺陷或使用不符合要求的材料等，甲方可以根据本合同第8.1条规定以书面形式追究乙方的违约责任。</w:t>
      </w:r>
    </w:p>
    <w:p w14:paraId="600417B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2.3.5乙方在约定的时间内未能弥补缺陷，甲方可采取必要的补救措施，但其风险和费用将由乙方承担，甲方根据合同约定对乙方行使的其他权利不受影响。</w:t>
      </w:r>
    </w:p>
    <w:p w14:paraId="4E36D108">
      <w:pPr>
        <w:pStyle w:val="5"/>
        <w:ind w:firstLine="360" w:firstLineChars="150"/>
        <w:rPr>
          <w:rFonts w:hint="eastAsia" w:ascii="仿宋" w:hAnsi="仿宋" w:eastAsia="仿宋" w:cs="仿宋"/>
          <w:color w:val="auto"/>
        </w:rPr>
      </w:pPr>
      <w:r>
        <w:rPr>
          <w:rFonts w:hint="eastAsia" w:ascii="仿宋" w:hAnsi="仿宋" w:eastAsia="仿宋" w:cs="仿宋"/>
          <w:color w:val="auto"/>
        </w:rPr>
        <w:t xml:space="preserve">2.3.6乙方应提供24小时技术支持服务。货物使用期内，乙方须针对该项目指定人员定期向甲方指定人员采用电话回访方式了解货物使用情况和售后服务质量。当货物使用过程中出现问题时，乙方在接到报告的当天，作出相应的行动和解决方案，并及时解决问题。乙方须指派专人负责与甲方联系售后服务事宜。乙方项目负责人：   电话：   </w:t>
      </w:r>
    </w:p>
    <w:p w14:paraId="004482FD">
      <w:pPr>
        <w:pStyle w:val="5"/>
        <w:ind w:firstLine="360" w:firstLineChars="150"/>
        <w:rPr>
          <w:rFonts w:hint="eastAsia" w:ascii="仿宋" w:hAnsi="仿宋" w:eastAsia="仿宋" w:cs="仿宋"/>
          <w:color w:val="auto"/>
        </w:rPr>
      </w:pPr>
      <w:r>
        <w:rPr>
          <w:rFonts w:hint="eastAsia" w:ascii="仿宋" w:hAnsi="仿宋" w:eastAsia="仿宋" w:cs="仿宋"/>
          <w:color w:val="auto"/>
        </w:rPr>
        <w:t>2.3.7保修期外，产生的货物维修、配件更换等，乙方应负责维修、更换，乙方只收取成本费用,不收取人工工时技术费用。</w:t>
      </w:r>
    </w:p>
    <w:p w14:paraId="365E291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2.4.其他要求</w:t>
      </w:r>
    </w:p>
    <w:p w14:paraId="14A7E7C9">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三、合同价款、支付方式和付款进度安排</w:t>
      </w:r>
    </w:p>
    <w:p w14:paraId="42F8E1B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3.1合同价款</w:t>
      </w:r>
    </w:p>
    <w:p w14:paraId="76CAF3D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本合同总金额为____________________元（大写：____________________元。 ）</w:t>
      </w:r>
    </w:p>
    <w:p w14:paraId="28A3EA67">
      <w:pPr>
        <w:pStyle w:val="5"/>
        <w:ind w:firstLine="480" w:firstLineChars="200"/>
        <w:rPr>
          <w:rFonts w:hint="eastAsia" w:ascii="仿宋" w:hAnsi="仿宋" w:eastAsia="仿宋" w:cs="仿宋"/>
          <w:color w:val="auto"/>
        </w:rPr>
      </w:pPr>
      <w:r>
        <w:rPr>
          <w:rFonts w:hint="eastAsia" w:ascii="仿宋" w:hAnsi="仿宋" w:eastAsia="仿宋" w:cs="仿宋"/>
          <w:color w:val="auto"/>
        </w:rPr>
        <w:t>以上合同价款已包括货物本项目货物所需的设计、生产及加工所需的原材料、辅材、配件、制造、人工、上门比量、包装、运输、装卸、安装调试、退换货、检测、验收合格交付使用之前及保修期内保修服务与备用物件等等所有其他有关各项的含税费用，本合同执行期间合同总价不变，甲方无须另向乙方支付本合同规定之外的其他任何费用。</w:t>
      </w:r>
    </w:p>
    <w:p w14:paraId="04504AEA">
      <w:pPr>
        <w:pStyle w:val="5"/>
        <w:wordWrap w:val="0"/>
        <w:spacing w:before="0" w:beforeAutospacing="0" w:after="0" w:afterAutospacing="0" w:line="360" w:lineRule="auto"/>
        <w:ind w:firstLine="420"/>
        <w:rPr>
          <w:rFonts w:hint="eastAsia" w:ascii="仿宋" w:hAnsi="仿宋" w:eastAsia="仿宋" w:cs="仿宋"/>
          <w:color w:val="auto"/>
        </w:rPr>
      </w:pPr>
    </w:p>
    <w:p w14:paraId="5D9AA3A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其他情况说明：</w:t>
      </w:r>
    </w:p>
    <w:p w14:paraId="03CF346C">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3.2支付方式</w:t>
      </w:r>
    </w:p>
    <w:p w14:paraId="754D62C3">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一次性支付分期付款</w:t>
      </w:r>
    </w:p>
    <w:p w14:paraId="7948202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3.3付款进度安排</w:t>
      </w:r>
    </w:p>
    <w:p w14:paraId="1092E419">
      <w:pPr>
        <w:pStyle w:val="5"/>
        <w:ind w:firstLine="480" w:firstLineChars="200"/>
        <w:rPr>
          <w:rFonts w:hint="eastAsia" w:ascii="仿宋" w:hAnsi="仿宋" w:eastAsia="仿宋" w:cs="仿宋"/>
          <w:color w:val="auto"/>
        </w:rPr>
      </w:pPr>
      <w:r>
        <w:rPr>
          <w:rFonts w:hint="eastAsia" w:ascii="仿宋" w:hAnsi="仿宋" w:eastAsia="仿宋" w:cs="仿宋"/>
          <w:color w:val="auto"/>
        </w:rPr>
        <w:t>3.4甲方付款前，乙方应提供合法有效完整并符合甲方要求的增值税发票，否则甲方有权不予付款并不承担任何违约责任。</w:t>
      </w:r>
    </w:p>
    <w:p w14:paraId="201FDDAC">
      <w:pPr>
        <w:pStyle w:val="5"/>
        <w:ind w:firstLine="480" w:firstLineChars="200"/>
        <w:rPr>
          <w:rFonts w:hint="eastAsia" w:ascii="仿宋" w:hAnsi="仿宋" w:eastAsia="仿宋" w:cs="仿宋"/>
          <w:color w:val="auto"/>
        </w:rPr>
      </w:pPr>
      <w:r>
        <w:rPr>
          <w:rFonts w:hint="eastAsia" w:ascii="仿宋" w:hAnsi="仿宋" w:eastAsia="仿宋" w:cs="仿宋"/>
          <w:color w:val="auto"/>
        </w:rPr>
        <w:t>3.5甲方在满足付款申报流程后，及时向财政申报资金付款流程，待财政资金下发到甲方账户后，甲方的付款条件即成就。因财政资金未及时下发导致的延迟付款，不属于甲方的违约情形。</w:t>
      </w:r>
    </w:p>
    <w:p w14:paraId="4B45F63B">
      <w:pPr>
        <w:pStyle w:val="5"/>
        <w:wordWrap w:val="0"/>
        <w:spacing w:before="0" w:beforeAutospacing="0" w:after="0" w:afterAutospacing="0" w:line="360" w:lineRule="auto"/>
        <w:ind w:firstLine="420"/>
        <w:rPr>
          <w:rFonts w:hint="eastAsia" w:ascii="仿宋" w:hAnsi="仿宋" w:eastAsia="仿宋" w:cs="仿宋"/>
          <w:color w:val="auto"/>
        </w:rPr>
      </w:pPr>
    </w:p>
    <w:p w14:paraId="76DB3FB2">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四、合同履行</w:t>
      </w:r>
    </w:p>
    <w:p w14:paraId="3F6EA4B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4.1交货时间：____________________，履约时间：-</w:t>
      </w:r>
    </w:p>
    <w:p w14:paraId="6F68F16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4.2履约地点：____________________</w:t>
      </w:r>
    </w:p>
    <w:p w14:paraId="77CC46AC">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4.3分期履行要求：____________________</w:t>
      </w:r>
    </w:p>
    <w:p w14:paraId="01BDBAE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4.4风险处置措施和替代方案：____________________</w:t>
      </w:r>
    </w:p>
    <w:p w14:paraId="30EE9F43">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五、验收、交付标准和方法</w:t>
      </w:r>
    </w:p>
    <w:p w14:paraId="52390D32">
      <w:pPr>
        <w:pStyle w:val="5"/>
        <w:wordWrap w:val="0"/>
        <w:spacing w:before="0" w:beforeAutospacing="0" w:after="0" w:afterAutospacing="0" w:line="360" w:lineRule="auto"/>
        <w:ind w:firstLine="300"/>
        <w:rPr>
          <w:rFonts w:hint="eastAsia" w:ascii="仿宋" w:hAnsi="仿宋" w:eastAsia="仿宋" w:cs="仿宋"/>
          <w:color w:val="auto"/>
        </w:rPr>
      </w:pPr>
      <w:r>
        <w:rPr>
          <w:rFonts w:hint="eastAsia" w:ascii="仿宋" w:hAnsi="仿宋" w:eastAsia="仿宋" w:cs="仿宋"/>
          <w:color w:val="auto"/>
        </w:rPr>
        <w:t>是否以采购活动中供应商提供的样品作为参考：是否</w:t>
      </w:r>
    </w:p>
    <w:p w14:paraId="16F0B44C">
      <w:pPr>
        <w:pStyle w:val="5"/>
        <w:rPr>
          <w:rFonts w:hint="eastAsia" w:ascii="仿宋" w:hAnsi="仿宋" w:eastAsia="仿宋" w:cs="仿宋"/>
          <w:color w:val="auto"/>
        </w:rPr>
      </w:pPr>
      <w:r>
        <w:rPr>
          <w:rFonts w:hint="eastAsia" w:ascii="仿宋" w:hAnsi="仿宋" w:eastAsia="仿宋" w:cs="仿宋"/>
          <w:color w:val="auto"/>
        </w:rPr>
        <w:t>5.1交付标准：</w:t>
      </w:r>
    </w:p>
    <w:p w14:paraId="3F635120">
      <w:pPr>
        <w:pStyle w:val="5"/>
        <w:rPr>
          <w:rFonts w:hint="eastAsia" w:ascii="仿宋" w:hAnsi="仿宋" w:eastAsia="仿宋" w:cs="仿宋"/>
          <w:color w:val="auto"/>
        </w:rPr>
      </w:pPr>
      <w:r>
        <w:rPr>
          <w:rFonts w:hint="eastAsia" w:ascii="仿宋" w:hAnsi="仿宋" w:eastAsia="仿宋" w:cs="仿宋"/>
          <w:color w:val="auto"/>
        </w:rPr>
        <w:t>按照采购文件要求的质量要求和技术指标、标准规范、数量、样式进行交付。乙方在交货期限内将合同全部货物交付至甲方指定地点，乙方应将所提供货物的装箱清单、配件等资料交付给甲方；乙方不能完整交付货物及本款规定的单证的，必须负责补齐，否则视为未按合同约定交货。</w:t>
      </w:r>
    </w:p>
    <w:p w14:paraId="5F429827">
      <w:pPr>
        <w:pStyle w:val="5"/>
        <w:rPr>
          <w:rFonts w:hint="eastAsia" w:ascii="仿宋" w:hAnsi="仿宋" w:eastAsia="仿宋" w:cs="仿宋"/>
          <w:color w:val="auto"/>
        </w:rPr>
      </w:pPr>
      <w:r>
        <w:rPr>
          <w:rFonts w:hint="eastAsia" w:ascii="仿宋" w:hAnsi="仿宋" w:eastAsia="仿宋" w:cs="仿宋"/>
          <w:color w:val="auto"/>
        </w:rPr>
        <w:t>5.2交付验收标准和方法：</w:t>
      </w:r>
    </w:p>
    <w:p w14:paraId="1FA525A4">
      <w:pPr>
        <w:pStyle w:val="5"/>
        <w:rPr>
          <w:rFonts w:hint="eastAsia" w:ascii="仿宋" w:hAnsi="仿宋" w:eastAsia="仿宋" w:cs="仿宋"/>
          <w:color w:val="auto"/>
        </w:rPr>
      </w:pPr>
      <w:r>
        <w:rPr>
          <w:rFonts w:hint="eastAsia" w:ascii="仿宋" w:hAnsi="仿宋" w:eastAsia="仿宋" w:cs="仿宋"/>
          <w:color w:val="auto"/>
        </w:rPr>
        <w:t xml:space="preserve">验收由乙方申请，甲方组织，乙方配合进行： </w:t>
      </w:r>
    </w:p>
    <w:p w14:paraId="1329BCB3">
      <w:pPr>
        <w:pStyle w:val="5"/>
        <w:rPr>
          <w:rFonts w:hint="eastAsia" w:ascii="仿宋" w:hAnsi="仿宋" w:eastAsia="仿宋" w:cs="仿宋"/>
          <w:color w:val="auto"/>
        </w:rPr>
      </w:pPr>
      <w:r>
        <w:rPr>
          <w:rFonts w:hint="eastAsia" w:ascii="仿宋" w:hAnsi="仿宋" w:eastAsia="仿宋" w:cs="仿宋"/>
          <w:color w:val="auto"/>
        </w:rPr>
        <w:t>5.3验收标准：</w:t>
      </w:r>
    </w:p>
    <w:p w14:paraId="59E05E57">
      <w:pPr>
        <w:pStyle w:val="5"/>
        <w:rPr>
          <w:rFonts w:hint="eastAsia" w:ascii="仿宋" w:hAnsi="仿宋" w:eastAsia="仿宋" w:cs="仿宋"/>
          <w:color w:val="auto"/>
        </w:rPr>
      </w:pPr>
      <w:r>
        <w:rPr>
          <w:rFonts w:hint="eastAsia" w:ascii="仿宋" w:hAnsi="仿宋" w:eastAsia="仿宋" w:cs="仿宋"/>
          <w:color w:val="auto"/>
        </w:rPr>
        <w:t>按国家有关规定以及甲方采购文件的质量要求和技术指标、乙方的响应文件及承诺与本合同约定标准进行验收；甲乙双方如对质量要求和技术指标的约定标准有相互抵触或异议的事项，由甲方在招标与响应文件中按质量要求和技术指标比较优胜的原则确定该项的约定标准进行验收。</w:t>
      </w:r>
    </w:p>
    <w:p w14:paraId="05963759">
      <w:pPr>
        <w:pStyle w:val="5"/>
        <w:rPr>
          <w:rFonts w:hint="eastAsia" w:ascii="仿宋" w:hAnsi="仿宋" w:eastAsia="仿宋" w:cs="仿宋"/>
          <w:color w:val="auto"/>
        </w:rPr>
      </w:pPr>
      <w:r>
        <w:rPr>
          <w:rFonts w:hint="eastAsia" w:ascii="仿宋" w:hAnsi="仿宋" w:eastAsia="仿宋" w:cs="仿宋"/>
          <w:color w:val="auto"/>
        </w:rPr>
        <w:t>5.4验收方法：</w:t>
      </w:r>
    </w:p>
    <w:p w14:paraId="0CDA2F53">
      <w:pPr>
        <w:pStyle w:val="5"/>
        <w:rPr>
          <w:rFonts w:hint="eastAsia" w:ascii="仿宋" w:hAnsi="仿宋" w:eastAsia="仿宋" w:cs="仿宋"/>
          <w:color w:val="auto"/>
        </w:rPr>
      </w:pPr>
      <w:r>
        <w:rPr>
          <w:rFonts w:hint="eastAsia" w:ascii="仿宋" w:hAnsi="仿宋" w:eastAsia="仿宋" w:cs="仿宋"/>
          <w:color w:val="auto"/>
        </w:rPr>
        <w:t>5.4.1核对产品规格型号、数量、对比样品、检查外观质量等进行交付验收，验收时如发现所交付的货物有短装、次品、损坏或其它不符合标准及本合同规定之情形者，甲方应做出详尽的现场记录，或由双方签署备忘录，此现场记录或备忘录可用作补充、缺失和更换损坏部件的有效证据，由此产生的时间延误与有关费用由乙方承担，验收时间相应顺延。</w:t>
      </w:r>
    </w:p>
    <w:p w14:paraId="1986D8ED">
      <w:pPr>
        <w:pStyle w:val="5"/>
        <w:rPr>
          <w:rFonts w:hint="eastAsia" w:ascii="仿宋" w:hAnsi="仿宋" w:eastAsia="仿宋" w:cs="仿宋"/>
          <w:color w:val="auto"/>
        </w:rPr>
      </w:pPr>
      <w:r>
        <w:rPr>
          <w:rFonts w:hint="eastAsia" w:ascii="仿宋" w:hAnsi="仿宋" w:eastAsia="仿宋" w:cs="仿宋"/>
          <w:color w:val="auto"/>
        </w:rPr>
        <w:t xml:space="preserve">5.4.2如交付验收合格，双方签署交付验收单证；如验收货物不合格，或未按照采购文件要求提供货物的，甲方有权将不合格的货物退还给乙方，并要求乙方重新更换合格货物，更换过程中产生的费用由乙方自行负责。 </w:t>
      </w:r>
    </w:p>
    <w:p w14:paraId="4D8CED64">
      <w:pPr>
        <w:pStyle w:val="5"/>
        <w:rPr>
          <w:rFonts w:hint="eastAsia" w:ascii="仿宋" w:hAnsi="仿宋" w:eastAsia="仿宋" w:cs="仿宋"/>
          <w:color w:val="auto"/>
        </w:rPr>
      </w:pPr>
      <w:r>
        <w:rPr>
          <w:rFonts w:hint="eastAsia" w:ascii="仿宋" w:hAnsi="仿宋" w:eastAsia="仿宋" w:cs="仿宋"/>
          <w:color w:val="auto"/>
        </w:rPr>
        <w:t>5.4.3如货物经乙方一次更换后仍不能通过验收的，甲方有权退货，并视作乙方不能交付货物而须支付违约赔偿金给甲方，甲方还可依照本合同第8.3条约定追究乙方的违约责任。</w:t>
      </w:r>
    </w:p>
    <w:p w14:paraId="59145D6B">
      <w:pPr>
        <w:pStyle w:val="5"/>
        <w:wordWrap w:val="0"/>
        <w:spacing w:before="0" w:beforeAutospacing="0" w:after="0" w:afterAutospacing="0" w:line="360" w:lineRule="auto"/>
        <w:ind w:firstLine="300"/>
        <w:rPr>
          <w:rFonts w:hint="eastAsia" w:ascii="仿宋" w:hAnsi="仿宋" w:eastAsia="仿宋" w:cs="仿宋"/>
          <w:color w:val="auto"/>
        </w:rPr>
      </w:pPr>
      <w:r>
        <w:rPr>
          <w:rFonts w:hint="eastAsia" w:ascii="仿宋" w:hAnsi="仿宋" w:eastAsia="仿宋" w:cs="仿宋"/>
          <w:color w:val="auto"/>
        </w:rPr>
        <w:t>5.5上述验收合格仅代表货物在交付验收时的即时质量状态符合约定，并不因此免除乙方在合同约定的 ×年质量保证期内的法定及约定质量保证责任。</w:t>
      </w:r>
    </w:p>
    <w:p w14:paraId="255D9026">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六、甲方的权利和义务</w:t>
      </w:r>
    </w:p>
    <w:p w14:paraId="07658657">
      <w:pPr>
        <w:pStyle w:val="5"/>
        <w:wordWrap w:val="0"/>
        <w:spacing w:before="0" w:beforeAutospacing="0" w:after="0" w:afterAutospacing="0" w:line="360" w:lineRule="auto"/>
        <w:ind w:firstLine="420"/>
        <w:rPr>
          <w:rFonts w:hint="eastAsia" w:ascii="仿宋" w:hAnsi="仿宋" w:eastAsia="仿宋" w:cs="仿宋"/>
          <w:color w:val="auto"/>
          <w:lang w:eastAsia="zh-CN"/>
        </w:rPr>
      </w:pPr>
      <w:r>
        <w:rPr>
          <w:rFonts w:hint="eastAsia" w:ascii="仿宋" w:hAnsi="仿宋" w:eastAsia="仿宋" w:cs="仿宋"/>
          <w:color w:val="auto"/>
        </w:rPr>
        <w:t>6.1.甲方有权依据双方签订的合同对乙方提供的货物进行验收。甲方应当配合乙方完成相关项目实施工作。甲方验收为形式验收，不免除乙方的产品质量责任。</w:t>
      </w:r>
    </w:p>
    <w:p w14:paraId="3915E7C3">
      <w:pPr>
        <w:pStyle w:val="5"/>
        <w:wordWrap w:val="0"/>
        <w:spacing w:before="0" w:beforeAutospacing="0" w:after="0" w:afterAutospacing="0" w:line="360" w:lineRule="auto"/>
        <w:ind w:firstLine="420"/>
        <w:rPr>
          <w:rFonts w:hint="eastAsia" w:ascii="仿宋" w:hAnsi="仿宋" w:eastAsia="仿宋" w:cs="仿宋"/>
          <w:color w:val="auto"/>
          <w:lang w:eastAsia="zh-CN"/>
        </w:rPr>
      </w:pPr>
      <w:r>
        <w:rPr>
          <w:rFonts w:hint="eastAsia" w:ascii="仿宋" w:hAnsi="仿宋" w:eastAsia="仿宋" w:cs="仿宋"/>
          <w:color w:val="auto"/>
        </w:rPr>
        <w:t>6.2.根据本合同规定，满足约定支付条件的，无特殊情况甲方应当自收到发票后10日内将资金支付到合同约定的供应商账户</w:t>
      </w:r>
      <w:r>
        <w:rPr>
          <w:rFonts w:hint="eastAsia" w:ascii="仿宋" w:hAnsi="仿宋" w:eastAsia="仿宋" w:cs="仿宋"/>
          <w:color w:val="auto"/>
          <w:lang w:eastAsia="zh-CN"/>
        </w:rPr>
        <w:t>。</w:t>
      </w:r>
    </w:p>
    <w:p w14:paraId="3D2FD7C3">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七、乙方的权利和义务</w:t>
      </w:r>
    </w:p>
    <w:p w14:paraId="37BCB87A">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7.1.乙方有权根据本合同约定向甲方收取合同价款。</w:t>
      </w:r>
    </w:p>
    <w:p w14:paraId="288F5F3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12C505F">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7.3.乙方承诺遵守《中华人民共和国劳动合同法》有关规定和《中华人民共和国妇女权益保障法》中关于“劳动和社会保障权益”的有关要求。如本项目涉及现场安装或施工的，乙方对进入甲方场地的乙方工作人员，负有安全保障义务。合同履行过程中发生的安全事故、意外事故或对第三人造成的人身或财产侵权损害的，由乙方承担所有责任。甲方因此承担连带责任的，甲方有权向乙方追偿。</w:t>
      </w:r>
    </w:p>
    <w:p w14:paraId="6BFCEBF5">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八、违约责任</w:t>
      </w:r>
    </w:p>
    <w:p w14:paraId="77456BB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8.1质量瑕疵的违约责任</w:t>
      </w:r>
    </w:p>
    <w:p w14:paraId="56207F5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乙方提供的产品不符合合同约定的质量标准或存在产品质量缺陷，甲方有权要求乙方及时修理、重作、更换，并承担由此给甲方造成的损失。修理、重作、更换的具体要求为：XX。</w:t>
      </w:r>
    </w:p>
    <w:p w14:paraId="0295FA1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8.2迟延交货的违约责任</w:t>
      </w:r>
    </w:p>
    <w:p w14:paraId="35CEA66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8.2.1乙方应按照本合同规定的时间、地点交货和提供相关服务。在履行合同过程中，如果乙方遇到可能影响按时交货和提供服务的情形时，应及时以书面形式将迟延的事实、可能迟延的期限和理由</w:t>
      </w:r>
      <w:r>
        <w:rPr>
          <w:rFonts w:hint="eastAsia" w:ascii="仿宋" w:hAnsi="仿宋" w:eastAsia="仿宋" w:cs="仿宋"/>
          <w:strike/>
          <w:color w:val="auto"/>
        </w:rPr>
        <w:t>通知</w:t>
      </w:r>
      <w:r>
        <w:rPr>
          <w:rFonts w:hint="eastAsia" w:ascii="仿宋" w:hAnsi="仿宋" w:eastAsia="仿宋" w:cs="仿宋"/>
          <w:color w:val="auto"/>
        </w:rPr>
        <w:t>告知甲方，甲方同意延长交货时间的，双方另行以书面形式确定延期交货时间；甲方不同意延期的，乙方应在合同约定的期限内按时交货和提供服务。</w:t>
      </w:r>
    </w:p>
    <w:p w14:paraId="1D0AA1D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14:paraId="7C83589A">
      <w:pPr>
        <w:pStyle w:val="5"/>
        <w:rPr>
          <w:rFonts w:hint="eastAsia" w:ascii="仿宋" w:hAnsi="仿宋" w:eastAsia="仿宋" w:cs="仿宋"/>
          <w:color w:val="auto"/>
        </w:rPr>
      </w:pPr>
      <w:r>
        <w:rPr>
          <w:rFonts w:hint="eastAsia" w:ascii="仿宋" w:hAnsi="仿宋" w:eastAsia="仿宋" w:cs="仿宋"/>
          <w:color w:val="auto"/>
        </w:rPr>
        <w:t>8.2.3乙方逾期交付货物并通过验收的，乙方应承担违约责任，应向甲方偿付合同总额的万分之五 /天的违约金；逾期交货时间超过30天申请验收，甲方有权拒绝验收并解除合同，乙方逾期交付货物时间超过30天未申请验收，甲方有权解除合同，甲方就此提出解除合同，不需要向乙方支付任何货款及其他任何相关费用。同时，乙方向甲方支付合同总价的百分之十的违约金；</w:t>
      </w:r>
    </w:p>
    <w:p w14:paraId="43BDE813">
      <w:pPr>
        <w:pStyle w:val="5"/>
        <w:rPr>
          <w:rFonts w:hint="eastAsia" w:ascii="仿宋" w:hAnsi="仿宋" w:eastAsia="仿宋" w:cs="仿宋"/>
          <w:color w:val="auto"/>
        </w:rPr>
      </w:pPr>
      <w:r>
        <w:rPr>
          <w:rFonts w:hint="eastAsia" w:ascii="仿宋" w:hAnsi="仿宋" w:eastAsia="仿宋" w:cs="仿宋"/>
          <w:color w:val="auto"/>
        </w:rPr>
        <w:t>8.3 验收不合格的违约责任</w:t>
      </w:r>
    </w:p>
    <w:p w14:paraId="291BCC14">
      <w:pPr>
        <w:pStyle w:val="5"/>
        <w:rPr>
          <w:rFonts w:hint="eastAsia" w:ascii="仿宋" w:hAnsi="仿宋" w:eastAsia="仿宋" w:cs="仿宋"/>
          <w:color w:val="auto"/>
        </w:rPr>
      </w:pPr>
      <w:r>
        <w:rPr>
          <w:rFonts w:hint="eastAsia" w:ascii="仿宋" w:hAnsi="仿宋" w:eastAsia="仿宋" w:cs="仿宋"/>
          <w:color w:val="auto"/>
        </w:rPr>
        <w:t>8.3.1乙方按合同约定时间完成本项目所有货物的安装调试能正常使用并申请验收，验收中因乙方原因导致不能通过验收的，乙方向甲方支付合同总价的百分之十的违约金。</w:t>
      </w:r>
    </w:p>
    <w:p w14:paraId="793718ED">
      <w:pPr>
        <w:pStyle w:val="5"/>
        <w:rPr>
          <w:rFonts w:hint="eastAsia" w:ascii="仿宋" w:hAnsi="仿宋" w:eastAsia="仿宋" w:cs="仿宋"/>
          <w:color w:val="auto"/>
        </w:rPr>
      </w:pPr>
      <w:r>
        <w:rPr>
          <w:rFonts w:hint="eastAsia" w:ascii="仿宋" w:hAnsi="仿宋" w:eastAsia="仿宋" w:cs="仿宋"/>
          <w:color w:val="auto"/>
        </w:rPr>
        <w:t>8.3.2乙方在合同约定时间完成本项目所有货物安装调试能正常使用并申请验收，因乙方原因未通过验收的，乙方需在未通过验收之日起7个日历天内对未能通过验收问题进行整改并申请再次验收，如乙方未能在7个日历天内完成整改或再次验收因乙方原因未能通过，均视为乙方不能交付货物，甲方有权解除合同，不需要向乙方支付任何货款及其他任何相关费用。同时，乙方向甲方支付合同总价的百分之十五的违约金。甲方不提出解除合同且乙方整改后通过验收的，视乙方逾期交付货物并按照本条款前述8.2条约定承担违约责任。</w:t>
      </w:r>
    </w:p>
    <w:p w14:paraId="1F66CCEB">
      <w:pPr>
        <w:pStyle w:val="5"/>
        <w:rPr>
          <w:rFonts w:hint="eastAsia" w:ascii="仿宋" w:hAnsi="仿宋" w:eastAsia="仿宋" w:cs="仿宋"/>
          <w:color w:val="auto"/>
        </w:rPr>
      </w:pPr>
      <w:r>
        <w:rPr>
          <w:rFonts w:hint="eastAsia" w:ascii="仿宋" w:hAnsi="仿宋" w:eastAsia="仿宋" w:cs="仿宋"/>
          <w:color w:val="auto"/>
        </w:rPr>
        <w:t>8.4瑕疵交货的违约责任</w:t>
      </w:r>
    </w:p>
    <w:p w14:paraId="56654ED2">
      <w:pPr>
        <w:pStyle w:val="5"/>
        <w:rPr>
          <w:rFonts w:hint="eastAsia" w:ascii="仿宋" w:hAnsi="仿宋" w:eastAsia="仿宋" w:cs="仿宋"/>
          <w:color w:val="auto"/>
        </w:rPr>
      </w:pPr>
      <w:r>
        <w:rPr>
          <w:rFonts w:hint="eastAsia" w:ascii="仿宋" w:hAnsi="仿宋" w:eastAsia="仿宋" w:cs="仿宋"/>
          <w:color w:val="auto"/>
        </w:rPr>
        <w:t>8.4.1乙方保证本合同货物的权利无瑕疵，包括货物所有权及知识产权等权利无瑕疵。如任何第三方经法院（或仲裁机构）裁决有权对上述货物主张权利或国家机关依法对货物进行没收查处的，乙方除应向甲方返还已收货款项外，还应另按合同总价的百分之十向甲方支付违约金并赔偿因此给甲方造成的一切损失；</w:t>
      </w:r>
    </w:p>
    <w:p w14:paraId="5E890D0C">
      <w:pPr>
        <w:pStyle w:val="5"/>
        <w:rPr>
          <w:rFonts w:hint="eastAsia" w:ascii="仿宋" w:hAnsi="仿宋" w:eastAsia="仿宋" w:cs="仿宋"/>
          <w:color w:val="auto"/>
        </w:rPr>
      </w:pPr>
      <w:r>
        <w:rPr>
          <w:rFonts w:hint="eastAsia" w:ascii="仿宋" w:hAnsi="仿宋" w:eastAsia="仿宋" w:cs="仿宋"/>
          <w:color w:val="auto"/>
        </w:rPr>
        <w:t>8.5乙方的以上违约行为偿付的违约金不足以弥补甲方损失的，还应按甲方损失尚未弥补的部分支付赔偿金给甲方。</w:t>
      </w:r>
    </w:p>
    <w:p w14:paraId="2694CC6B">
      <w:pPr>
        <w:pStyle w:val="5"/>
        <w:wordWrap w:val="0"/>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8.</w:t>
      </w:r>
      <w:r>
        <w:rPr>
          <w:rFonts w:hint="eastAsia" w:ascii="仿宋" w:hAnsi="仿宋" w:eastAsia="仿宋" w:cs="仿宋"/>
          <w:strike/>
          <w:color w:val="auto"/>
          <w:lang w:val="en-US" w:eastAsia="zh-CN"/>
        </w:rPr>
        <w:t>6</w:t>
      </w:r>
      <w:r>
        <w:rPr>
          <w:rFonts w:hint="eastAsia" w:ascii="仿宋" w:hAnsi="仿宋" w:eastAsia="仿宋" w:cs="仿宋"/>
          <w:color w:val="auto"/>
        </w:rPr>
        <w:t>迟延支付的违约责任</w:t>
      </w:r>
    </w:p>
    <w:p w14:paraId="5C837D4E">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甲方存在迟延支付乙方合同款项的，应当支付逾期付款利息，计算方法为：XX。</w:t>
      </w:r>
    </w:p>
    <w:p w14:paraId="77CA3718">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九、争议解决方法</w:t>
      </w:r>
    </w:p>
    <w:p w14:paraId="3AA44626">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9.1.因本合同及合同有关事项发生的争议，由甲乙双方友好协商解决。协商不成时，可以向有关组织申请调解。合同一方或双方不愿调解或调解不成的，可以向甲方所在地人民法院提起诉讼。</w:t>
      </w:r>
    </w:p>
    <w:p w14:paraId="7F0B15A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9.2.如甲乙双方有争议的事项不影响合同其他部分的履行，在争议解决期间，合同其他部分应当继续履行。</w:t>
      </w:r>
    </w:p>
    <w:p w14:paraId="113F5AEA">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十、组成合同的文件</w:t>
      </w:r>
    </w:p>
    <w:p w14:paraId="6633E48E">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本合同与下列文件一起构成合同文件，如下述文件之间有任何抵触、矛盾或歧义，应按以下顺序解释：</w:t>
      </w:r>
    </w:p>
    <w:p w14:paraId="530872B2">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（1）政府采购合同及其变更、补充协议</w:t>
      </w:r>
    </w:p>
    <w:p w14:paraId="6A678973">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（2）中标（成交）通知书</w:t>
      </w:r>
    </w:p>
    <w:p w14:paraId="168A7B0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（3）投标（响应）文件</w:t>
      </w:r>
    </w:p>
    <w:p w14:paraId="06B3B273">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（4）采购文件</w:t>
      </w:r>
    </w:p>
    <w:p w14:paraId="52FCCAD6">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（5）有关技术文件，图纸</w:t>
      </w:r>
    </w:p>
    <w:p w14:paraId="72D4202B">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（6）国家法律、行政法规和规章制度规定或合同约定的作为合同组成部分的其他文件</w:t>
      </w:r>
    </w:p>
    <w:p w14:paraId="4E9170C3">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十一、其他条款</w:t>
      </w:r>
    </w:p>
    <w:p w14:paraId="62C633BB">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11.1履约保证金</w:t>
      </w:r>
    </w:p>
    <w:p w14:paraId="2E4972B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如果乙方未能按合同约定全面履行义务，甲方有权从履约保证金中扣除乙方应支付的违约金和赔偿金，且不影响甲方要求乙方承担合同约定的超过履约保证金的违约责任的权利。甲方逾期退还履约保证金的，乙方可要求甲方支付违约金，违约金支付比例：XX。</w:t>
      </w:r>
    </w:p>
    <w:p w14:paraId="6360D74A">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11.2不可抗力事件处理</w:t>
      </w:r>
    </w:p>
    <w:p w14:paraId="00BFE6F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11.2.1.任何一方对由于不可抗力造成的部分或全部不能履行合同不承担违约责任。但迟延履行后发生不可抗力的，不能免除责任。</w:t>
      </w:r>
    </w:p>
    <w:p w14:paraId="716F223C">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14:paraId="72F20FF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11.2.3.不可抗力事件延续XX天以上，双方应通过友好协商，确定是否继续履行合同。</w:t>
      </w:r>
    </w:p>
    <w:p w14:paraId="732D535B">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11.3权利瑕疵担保</w:t>
      </w:r>
    </w:p>
    <w:p w14:paraId="742A9D5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乙方保证对其出售的货物享有合法的权利。乙方保证在交付的货物上不存在抵押权等担保物权。如甲方使用上述货物构成对第三人侵权的，则由乙方承担全部责任，同时，甲方可依据本合同第8.4条的约定追究乙方的违约责任。</w:t>
      </w:r>
    </w:p>
    <w:p w14:paraId="05C9CEE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11.4知识产权保护</w:t>
      </w:r>
    </w:p>
    <w:p w14:paraId="1B9FF5B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3DF7FB32">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11.5保密义务</w:t>
      </w:r>
    </w:p>
    <w:p w14:paraId="07818BA1">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因乙方泄密给甲方造成损失的，乙方应当承担全部赔偿责任。</w:t>
      </w:r>
    </w:p>
    <w:p w14:paraId="15B4A04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11.6售后服务</w:t>
      </w:r>
    </w:p>
    <w:p w14:paraId="12B30D1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除项目不涉及或采购活动中明确约定无须承担外，乙方还应提供下列服务：</w:t>
      </w:r>
    </w:p>
    <w:p w14:paraId="01AB75FF">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（1）货物的现场移动、安装、调试、启动监督及技术支持；</w:t>
      </w:r>
    </w:p>
    <w:p w14:paraId="54C3FE9A">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（2）提供货物组装和维修所需的专用工具和辅助材料；</w:t>
      </w:r>
    </w:p>
    <w:p w14:paraId="2EE586A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（3）在XX期限内对所有的货物实施运行监督、维修，但前提条件是该服务并不能免除乙方在质量保证期内所承担的义务；</w:t>
      </w:r>
    </w:p>
    <w:p w14:paraId="4ECA29FC">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（4）在制造商所在地或指定现场就货物的安装、启动、运营、维护、废弃处置等对甲方操作人员进行培训；</w:t>
      </w:r>
    </w:p>
    <w:p w14:paraId="72836ED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（5）依照法律、行政法规的规定或者因XX原因，货物在有效使用年限届满后应予回收的，乙方负有自行或者委托第三人对货物予以回收的义务；</w:t>
      </w:r>
    </w:p>
    <w:p w14:paraId="4605F57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乙方提供的售后服务的费用已包含在合同价款中，甲方不再另行支付。</w:t>
      </w:r>
    </w:p>
    <w:p w14:paraId="152CD846">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11.7合同变更、中止与终止</w:t>
      </w:r>
    </w:p>
    <w:p w14:paraId="2B54DDCF">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11.7.1.合同的变更</w:t>
      </w:r>
    </w:p>
    <w:p w14:paraId="0AE1BF1F">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政府采购合同履行中，在不改变合同其他条款的前提下，甲方可以在合同价款10%的范围内追加与合同标的相同的货物，并就此与乙方协商一致后签订补充协议。</w:t>
      </w:r>
    </w:p>
    <w:p w14:paraId="6AEA1B77">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11.7.2.合同的中止</w:t>
      </w:r>
    </w:p>
    <w:p w14:paraId="2ADB6C08">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11.7.2.1合同履行过程中因供应商就采购文件、采购过程或结果提起投诉的，甲方认为有必要的，可以中止合同的履行。</w:t>
      </w:r>
    </w:p>
    <w:p w14:paraId="1F6834C6">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1328BEC">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11.7.2.3乙方分立、合并或者变更住所的，应当及时以书面形式告知甲方。乙方没有及时告知甲方，致使合同履行发生困难的，甲方可以中止合同履行并要求乙方承担由此给甲方造成的损失。</w:t>
      </w:r>
    </w:p>
    <w:p w14:paraId="2B12E08E">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11.7.2.4甲方不得以行政区划调整、政府换届、机构或者职能调整以及相关责任人更替为由中止合同。</w:t>
      </w:r>
    </w:p>
    <w:p w14:paraId="7E6D70FB">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11.7.3.合同的终止</w:t>
      </w:r>
    </w:p>
    <w:p w14:paraId="56A6611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11.7.3.1合同因有效期限届满而终止；</w:t>
      </w:r>
    </w:p>
    <w:p w14:paraId="55A2803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11.7.3.2乙方未按合同约定履行，构成根本性违约的，甲方有权终止合同，并追究乙方的违约责任。</w:t>
      </w:r>
    </w:p>
    <w:p w14:paraId="7E674FF3">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11.7.4.涉及国家利益、社会公共利益的情形</w:t>
      </w:r>
    </w:p>
    <w:p w14:paraId="7607C030">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政府采购合同继续履行将损害国家利益和社会公共利益的，双方当事人应当变更、中止或者终止合同。有过错的一方应当承担赔偿责任，双方都有过错的，各自承担相应的责任。</w:t>
      </w:r>
    </w:p>
    <w:p w14:paraId="71C9B39A">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11.8.合同分包</w:t>
      </w:r>
    </w:p>
    <w:p w14:paraId="2B29526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乙方不得将合同转包给其他供应商。涉及合同分包的，乙方应根据采购文件和投标（响应）文件规定进行合同分包。</w:t>
      </w:r>
    </w:p>
    <w:p w14:paraId="13E5CA6E">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乙方执行政府采购政策向中小企业依法分包的，乙方应当按采购文件和投标（响应）文件签订分包意向协议，分包意向协议属于本合同组成部分。</w:t>
      </w:r>
    </w:p>
    <w:p w14:paraId="3C652969">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11.9法律适用</w:t>
      </w:r>
    </w:p>
    <w:p w14:paraId="57D6732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本合同的订立、生效、解释、履行及与本合同有关的争议解决，均适用法律、行政法规。</w:t>
      </w:r>
    </w:p>
    <w:p w14:paraId="16C3760B">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本合同条款与法律、行政法规的强制性规定不一致的，双方当事人应按照法律、行政法规的强制性规定修改本合同的相关条款。</w:t>
      </w:r>
    </w:p>
    <w:p w14:paraId="69CE1644">
      <w:pPr>
        <w:pStyle w:val="3"/>
        <w:widowControl/>
        <w:spacing w:before="0" w:beforeAutospacing="0" w:after="0" w:afterAutospacing="0" w:line="360" w:lineRule="auto"/>
        <w:rPr>
          <w:rFonts w:hint="eastAsia" w:ascii="仿宋" w:hAnsi="仿宋" w:eastAsia="仿宋" w:cs="仿宋"/>
          <w:color w:val="auto"/>
        </w:rPr>
      </w:pPr>
      <w:r>
        <w:rPr>
          <w:rFonts w:hint="eastAsia" w:ascii="仿宋" w:hAnsi="仿宋" w:eastAsia="仿宋" w:cs="仿宋"/>
          <w:color w:val="auto"/>
        </w:rPr>
        <w:t>十二、合同生效及其他</w:t>
      </w:r>
    </w:p>
    <w:p w14:paraId="2A11C46D">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12.1.合同经双方法定代表人（或主要负责人）或授权委托代理人签字并加盖公章后生效。</w:t>
      </w:r>
    </w:p>
    <w:p w14:paraId="06A283F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18F88784">
      <w:pPr>
        <w:pStyle w:val="5"/>
        <w:wordWrap w:val="0"/>
        <w:spacing w:before="0" w:beforeAutospacing="0" w:after="0" w:afterAutospacing="0" w:line="360" w:lineRule="auto"/>
        <w:ind w:firstLine="420"/>
        <w:rPr>
          <w:rFonts w:hint="eastAsia" w:ascii="仿宋" w:hAnsi="仿宋" w:eastAsia="仿宋" w:cs="仿宋"/>
          <w:color w:val="auto"/>
        </w:rPr>
      </w:pPr>
      <w:r>
        <w:rPr>
          <w:rFonts w:hint="eastAsia" w:ascii="仿宋" w:hAnsi="仿宋" w:eastAsia="仿宋" w:cs="仿宋"/>
          <w:color w:val="auto"/>
        </w:rPr>
        <w:t>12.3.本合同一式XX份，自双方签章之日起生效。甲方持有XX份，乙方持有XX份，项目同级财政部门备案XX份，均具有同等法律效力。</w:t>
      </w:r>
    </w:p>
    <w:p w14:paraId="26AFECB0">
      <w:pPr>
        <w:pStyle w:val="5"/>
        <w:wordWrap w:val="0"/>
        <w:spacing w:before="0" w:beforeAutospacing="0" w:after="0" w:afterAutospacing="0" w:line="360" w:lineRule="auto"/>
        <w:ind w:firstLine="420"/>
        <w:rPr>
          <w:rFonts w:hint="eastAsia" w:ascii="仿宋" w:hAnsi="仿宋" w:eastAsia="仿宋" w:cs="仿宋"/>
          <w:color w:val="auto"/>
        </w:rPr>
      </w:pPr>
    </w:p>
    <w:p w14:paraId="17A4B866">
      <w:pPr>
        <w:pStyle w:val="5"/>
        <w:wordWrap w:val="0"/>
        <w:spacing w:before="0" w:beforeAutospacing="0" w:after="0" w:afterAutospacing="0" w:line="360" w:lineRule="auto"/>
        <w:ind w:firstLine="420"/>
        <w:rPr>
          <w:rFonts w:hint="eastAsia" w:ascii="仿宋" w:hAnsi="仿宋" w:eastAsia="仿宋" w:cs="仿宋"/>
          <w:color w:val="auto"/>
        </w:rPr>
      </w:pPr>
    </w:p>
    <w:p w14:paraId="62242185">
      <w:pPr>
        <w:pStyle w:val="5"/>
        <w:wordWrap w:val="0"/>
        <w:spacing w:before="0" w:beforeAutospacing="0" w:after="0" w:afterAutospacing="0" w:line="360" w:lineRule="auto"/>
        <w:ind w:firstLine="420"/>
        <w:rPr>
          <w:rFonts w:hint="eastAsia" w:ascii="仿宋" w:hAnsi="仿宋" w:eastAsia="仿宋" w:cs="仿宋"/>
          <w:color w:val="auto"/>
        </w:rPr>
      </w:pPr>
    </w:p>
    <w:p w14:paraId="779AFC44">
      <w:pPr>
        <w:pStyle w:val="5"/>
        <w:wordWrap w:val="0"/>
        <w:spacing w:before="0" w:beforeAutospacing="0" w:after="0" w:afterAutospacing="0" w:line="360" w:lineRule="auto"/>
        <w:ind w:firstLine="420"/>
        <w:rPr>
          <w:rFonts w:hint="eastAsia" w:ascii="仿宋" w:hAnsi="仿宋" w:eastAsia="仿宋" w:cs="仿宋"/>
          <w:color w:val="auto"/>
        </w:rPr>
      </w:pPr>
    </w:p>
    <w:p w14:paraId="68817576">
      <w:pPr>
        <w:pStyle w:val="5"/>
        <w:wordWrap w:val="0"/>
        <w:spacing w:before="0" w:beforeAutospacing="0" w:after="0" w:afterAutospacing="0" w:line="360" w:lineRule="auto"/>
        <w:ind w:firstLine="420"/>
        <w:rPr>
          <w:rFonts w:hint="eastAsia" w:ascii="仿宋" w:hAnsi="仿宋" w:eastAsia="仿宋" w:cs="仿宋"/>
          <w:color w:val="auto"/>
        </w:rPr>
      </w:pPr>
    </w:p>
    <w:p w14:paraId="47F031DA">
      <w:pPr>
        <w:pStyle w:val="5"/>
        <w:wordWrap w:val="0"/>
        <w:spacing w:before="0" w:beforeAutospacing="0" w:after="0" w:afterAutospacing="0" w:line="360" w:lineRule="auto"/>
        <w:ind w:firstLine="420"/>
        <w:rPr>
          <w:rFonts w:hint="eastAsia" w:ascii="仿宋" w:hAnsi="仿宋" w:eastAsia="仿宋" w:cs="仿宋"/>
          <w:color w:val="auto"/>
        </w:rPr>
      </w:pPr>
    </w:p>
    <w:tbl>
      <w:tblPr>
        <w:tblStyle w:val="6"/>
        <w:tblpPr w:leftFromText="180" w:rightFromText="180" w:vertAnchor="text" w:horzAnchor="page" w:tblpX="1100" w:tblpY="273"/>
        <w:tblOverlap w:val="never"/>
        <w:tblW w:w="4541" w:type="dxa"/>
        <w:tblInd w:w="0" w:type="dxa"/>
        <w:tblLayout w:type="autofit"/>
        <w:tblCellMar>
          <w:top w:w="0" w:type="dxa"/>
          <w:left w:w="0" w:type="dxa"/>
          <w:bottom w:w="0" w:type="dxa"/>
          <w:right w:w="0" w:type="dxa"/>
        </w:tblCellMar>
      </w:tblPr>
      <w:tblGrid>
        <w:gridCol w:w="1957"/>
        <w:gridCol w:w="2584"/>
      </w:tblGrid>
      <w:tr w14:paraId="46DA49D9">
        <w:tblPrEx>
          <w:tblCellMar>
            <w:top w:w="0" w:type="dxa"/>
            <w:left w:w="0" w:type="dxa"/>
            <w:bottom w:w="0" w:type="dxa"/>
            <w:right w:w="0" w:type="dxa"/>
          </w:tblCellMar>
        </w:tblPrEx>
        <w:trPr>
          <w:trHeight w:val="482" w:hRule="atLeast"/>
        </w:trPr>
        <w:tc>
          <w:tcPr>
            <w:tcW w:w="4541" w:type="dxa"/>
            <w:gridSpan w:val="2"/>
            <w:shd w:val="clear" w:color="auto" w:fill="auto"/>
            <w:tcMar>
              <w:top w:w="75" w:type="dxa"/>
              <w:left w:w="120" w:type="dxa"/>
              <w:bottom w:w="75" w:type="dxa"/>
              <w:right w:w="120" w:type="dxa"/>
            </w:tcMar>
            <w:vAlign w:val="center"/>
          </w:tcPr>
          <w:p w14:paraId="6A477C34">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甲方</w:t>
            </w:r>
          </w:p>
        </w:tc>
      </w:tr>
      <w:tr w14:paraId="4DEC85D9">
        <w:tblPrEx>
          <w:tblCellMar>
            <w:top w:w="0" w:type="dxa"/>
            <w:left w:w="0" w:type="dxa"/>
            <w:bottom w:w="0" w:type="dxa"/>
            <w:right w:w="0" w:type="dxa"/>
          </w:tblCellMar>
        </w:tblPrEx>
        <w:trPr>
          <w:trHeight w:val="482" w:hRule="atLeast"/>
        </w:trPr>
        <w:tc>
          <w:tcPr>
            <w:tcW w:w="1957" w:type="dxa"/>
            <w:shd w:val="clear" w:color="auto" w:fill="auto"/>
            <w:tcMar>
              <w:top w:w="75" w:type="dxa"/>
              <w:left w:w="120" w:type="dxa"/>
              <w:bottom w:w="75" w:type="dxa"/>
              <w:right w:w="120" w:type="dxa"/>
            </w:tcMar>
            <w:vAlign w:val="center"/>
          </w:tcPr>
          <w:p w14:paraId="7E3064CE">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单位名称</w:t>
            </w:r>
          </w:p>
        </w:tc>
        <w:tc>
          <w:tcPr>
            <w:tcW w:w="2584" w:type="dxa"/>
            <w:shd w:val="clear" w:color="auto" w:fill="auto"/>
            <w:tcMar>
              <w:top w:w="75" w:type="dxa"/>
              <w:left w:w="120" w:type="dxa"/>
              <w:bottom w:w="75" w:type="dxa"/>
              <w:right w:w="120" w:type="dxa"/>
            </w:tcMar>
            <w:vAlign w:val="center"/>
          </w:tcPr>
          <w:p w14:paraId="147E21FD">
            <w:pPr>
              <w:widowControl/>
              <w:wordWrap w:val="0"/>
              <w:spacing w:line="480" w:lineRule="atLeast"/>
              <w:jc w:val="right"/>
              <w:rPr>
                <w:rFonts w:hint="eastAsia" w:ascii="仿宋" w:hAnsi="仿宋" w:eastAsia="仿宋" w:cs="仿宋"/>
                <w:color w:val="auto"/>
                <w:sz w:val="24"/>
              </w:rPr>
            </w:pPr>
            <w:r>
              <w:rPr>
                <w:rFonts w:hint="eastAsia" w:ascii="仿宋" w:hAnsi="仿宋" w:eastAsia="仿宋" w:cs="仿宋"/>
                <w:color w:val="auto"/>
                <w:kern w:val="0"/>
                <w:sz w:val="24"/>
                <w:lang w:bidi="ar"/>
              </w:rPr>
              <w:t>（盖章）</w:t>
            </w:r>
          </w:p>
        </w:tc>
      </w:tr>
      <w:tr w14:paraId="4C7823BD">
        <w:tblPrEx>
          <w:tblCellMar>
            <w:top w:w="0" w:type="dxa"/>
            <w:left w:w="0" w:type="dxa"/>
            <w:bottom w:w="0" w:type="dxa"/>
            <w:right w:w="0" w:type="dxa"/>
          </w:tblCellMar>
        </w:tblPrEx>
        <w:trPr>
          <w:trHeight w:val="482" w:hRule="atLeast"/>
        </w:trPr>
        <w:tc>
          <w:tcPr>
            <w:tcW w:w="1957" w:type="dxa"/>
            <w:shd w:val="clear" w:color="auto" w:fill="auto"/>
            <w:tcMar>
              <w:top w:w="75" w:type="dxa"/>
              <w:left w:w="120" w:type="dxa"/>
              <w:bottom w:w="75" w:type="dxa"/>
              <w:right w:w="120" w:type="dxa"/>
            </w:tcMar>
            <w:vAlign w:val="center"/>
          </w:tcPr>
          <w:p w14:paraId="799BA84B">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法定代表人或其委托代理人（签章）</w:t>
            </w:r>
          </w:p>
        </w:tc>
        <w:tc>
          <w:tcPr>
            <w:tcW w:w="2584" w:type="dxa"/>
            <w:shd w:val="clear" w:color="auto" w:fill="auto"/>
            <w:tcMar>
              <w:top w:w="75" w:type="dxa"/>
              <w:left w:w="120" w:type="dxa"/>
              <w:bottom w:w="75" w:type="dxa"/>
              <w:right w:w="120" w:type="dxa"/>
            </w:tcMar>
            <w:vAlign w:val="center"/>
          </w:tcPr>
          <w:p w14:paraId="6B358061">
            <w:pPr>
              <w:jc w:val="left"/>
              <w:rPr>
                <w:rFonts w:hint="eastAsia" w:ascii="仿宋" w:hAnsi="仿宋" w:eastAsia="仿宋" w:cs="仿宋"/>
                <w:color w:val="auto"/>
                <w:sz w:val="24"/>
              </w:rPr>
            </w:pPr>
          </w:p>
        </w:tc>
      </w:tr>
      <w:tr w14:paraId="0EF9CF21">
        <w:tblPrEx>
          <w:tblCellMar>
            <w:top w:w="0" w:type="dxa"/>
            <w:left w:w="0" w:type="dxa"/>
            <w:bottom w:w="0" w:type="dxa"/>
            <w:right w:w="0" w:type="dxa"/>
          </w:tblCellMar>
        </w:tblPrEx>
        <w:trPr>
          <w:trHeight w:val="482" w:hRule="atLeast"/>
        </w:trPr>
        <w:tc>
          <w:tcPr>
            <w:tcW w:w="1957" w:type="dxa"/>
            <w:shd w:val="clear" w:color="auto" w:fill="auto"/>
            <w:tcMar>
              <w:top w:w="75" w:type="dxa"/>
              <w:left w:w="120" w:type="dxa"/>
              <w:bottom w:w="75" w:type="dxa"/>
              <w:right w:w="120" w:type="dxa"/>
            </w:tcMar>
            <w:vAlign w:val="center"/>
          </w:tcPr>
          <w:p w14:paraId="17F905BA">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住 所</w:t>
            </w:r>
          </w:p>
        </w:tc>
        <w:tc>
          <w:tcPr>
            <w:tcW w:w="2584" w:type="dxa"/>
            <w:shd w:val="clear" w:color="auto" w:fill="auto"/>
            <w:tcMar>
              <w:top w:w="75" w:type="dxa"/>
              <w:left w:w="120" w:type="dxa"/>
              <w:bottom w:w="75" w:type="dxa"/>
              <w:right w:w="120" w:type="dxa"/>
            </w:tcMar>
            <w:vAlign w:val="center"/>
          </w:tcPr>
          <w:p w14:paraId="4F7F23CF">
            <w:pPr>
              <w:jc w:val="left"/>
              <w:rPr>
                <w:rFonts w:hint="eastAsia" w:ascii="仿宋" w:hAnsi="仿宋" w:eastAsia="仿宋" w:cs="仿宋"/>
                <w:color w:val="auto"/>
                <w:sz w:val="24"/>
              </w:rPr>
            </w:pPr>
          </w:p>
        </w:tc>
      </w:tr>
      <w:tr w14:paraId="68012B15">
        <w:tblPrEx>
          <w:tblCellMar>
            <w:top w:w="0" w:type="dxa"/>
            <w:left w:w="0" w:type="dxa"/>
            <w:bottom w:w="0" w:type="dxa"/>
            <w:right w:w="0" w:type="dxa"/>
          </w:tblCellMar>
        </w:tblPrEx>
        <w:trPr>
          <w:trHeight w:val="482" w:hRule="atLeast"/>
        </w:trPr>
        <w:tc>
          <w:tcPr>
            <w:tcW w:w="1957" w:type="dxa"/>
            <w:shd w:val="clear" w:color="auto" w:fill="auto"/>
            <w:tcMar>
              <w:top w:w="75" w:type="dxa"/>
              <w:left w:w="120" w:type="dxa"/>
              <w:bottom w:w="75" w:type="dxa"/>
              <w:right w:w="120" w:type="dxa"/>
            </w:tcMar>
            <w:vAlign w:val="center"/>
          </w:tcPr>
          <w:p w14:paraId="2A1CE57F">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开户银行</w:t>
            </w:r>
          </w:p>
        </w:tc>
        <w:tc>
          <w:tcPr>
            <w:tcW w:w="2584" w:type="dxa"/>
            <w:shd w:val="clear" w:color="auto" w:fill="auto"/>
            <w:tcMar>
              <w:top w:w="75" w:type="dxa"/>
              <w:left w:w="120" w:type="dxa"/>
              <w:bottom w:w="75" w:type="dxa"/>
              <w:right w:w="120" w:type="dxa"/>
            </w:tcMar>
            <w:vAlign w:val="center"/>
          </w:tcPr>
          <w:p w14:paraId="58259C71">
            <w:pPr>
              <w:jc w:val="left"/>
              <w:rPr>
                <w:rFonts w:hint="eastAsia" w:ascii="仿宋" w:hAnsi="仿宋" w:eastAsia="仿宋" w:cs="仿宋"/>
                <w:color w:val="auto"/>
                <w:sz w:val="24"/>
              </w:rPr>
            </w:pPr>
          </w:p>
        </w:tc>
      </w:tr>
      <w:tr w14:paraId="15295920">
        <w:tblPrEx>
          <w:tblCellMar>
            <w:top w:w="0" w:type="dxa"/>
            <w:left w:w="0" w:type="dxa"/>
            <w:bottom w:w="0" w:type="dxa"/>
            <w:right w:w="0" w:type="dxa"/>
          </w:tblCellMar>
        </w:tblPrEx>
        <w:trPr>
          <w:trHeight w:val="482" w:hRule="atLeast"/>
        </w:trPr>
        <w:tc>
          <w:tcPr>
            <w:tcW w:w="1957" w:type="dxa"/>
            <w:shd w:val="clear" w:color="auto" w:fill="auto"/>
            <w:tcMar>
              <w:top w:w="75" w:type="dxa"/>
              <w:left w:w="120" w:type="dxa"/>
              <w:bottom w:w="75" w:type="dxa"/>
              <w:right w:w="120" w:type="dxa"/>
            </w:tcMar>
            <w:vAlign w:val="center"/>
          </w:tcPr>
          <w:p w14:paraId="5671ED1F">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银行账号</w:t>
            </w:r>
          </w:p>
        </w:tc>
        <w:tc>
          <w:tcPr>
            <w:tcW w:w="2584" w:type="dxa"/>
            <w:shd w:val="clear" w:color="auto" w:fill="auto"/>
            <w:tcMar>
              <w:top w:w="75" w:type="dxa"/>
              <w:left w:w="120" w:type="dxa"/>
              <w:bottom w:w="75" w:type="dxa"/>
              <w:right w:w="120" w:type="dxa"/>
            </w:tcMar>
            <w:vAlign w:val="center"/>
          </w:tcPr>
          <w:p w14:paraId="156A679A">
            <w:pPr>
              <w:jc w:val="left"/>
              <w:rPr>
                <w:rFonts w:hint="eastAsia" w:ascii="仿宋" w:hAnsi="仿宋" w:eastAsia="仿宋" w:cs="仿宋"/>
                <w:color w:val="auto"/>
                <w:sz w:val="24"/>
              </w:rPr>
            </w:pPr>
          </w:p>
        </w:tc>
      </w:tr>
      <w:tr w14:paraId="39FE1906">
        <w:tblPrEx>
          <w:tblCellMar>
            <w:top w:w="0" w:type="dxa"/>
            <w:left w:w="0" w:type="dxa"/>
            <w:bottom w:w="0" w:type="dxa"/>
            <w:right w:w="0" w:type="dxa"/>
          </w:tblCellMar>
        </w:tblPrEx>
        <w:trPr>
          <w:trHeight w:val="482" w:hRule="atLeast"/>
        </w:trPr>
        <w:tc>
          <w:tcPr>
            <w:tcW w:w="1957" w:type="dxa"/>
            <w:shd w:val="clear" w:color="auto" w:fill="auto"/>
            <w:tcMar>
              <w:top w:w="75" w:type="dxa"/>
              <w:left w:w="120" w:type="dxa"/>
              <w:bottom w:w="75" w:type="dxa"/>
              <w:right w:w="120" w:type="dxa"/>
            </w:tcMar>
            <w:vAlign w:val="center"/>
          </w:tcPr>
          <w:p w14:paraId="2C79AEF5">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签订时间</w:t>
            </w:r>
          </w:p>
        </w:tc>
        <w:tc>
          <w:tcPr>
            <w:tcW w:w="2584" w:type="dxa"/>
            <w:shd w:val="clear" w:color="auto" w:fill="auto"/>
            <w:tcMar>
              <w:top w:w="75" w:type="dxa"/>
              <w:left w:w="120" w:type="dxa"/>
              <w:bottom w:w="75" w:type="dxa"/>
              <w:right w:w="120" w:type="dxa"/>
            </w:tcMar>
            <w:vAlign w:val="center"/>
          </w:tcPr>
          <w:p w14:paraId="275AEA05">
            <w:pPr>
              <w:jc w:val="left"/>
              <w:rPr>
                <w:rFonts w:hint="eastAsia" w:ascii="仿宋" w:hAnsi="仿宋" w:eastAsia="仿宋" w:cs="仿宋"/>
                <w:color w:val="auto"/>
                <w:sz w:val="24"/>
              </w:rPr>
            </w:pPr>
          </w:p>
        </w:tc>
      </w:tr>
    </w:tbl>
    <w:tbl>
      <w:tblPr>
        <w:tblStyle w:val="6"/>
        <w:tblpPr w:leftFromText="180" w:rightFromText="180" w:vertAnchor="text" w:horzAnchor="page" w:tblpX="6378" w:tblpY="224"/>
        <w:tblOverlap w:val="never"/>
        <w:tblW w:w="4885" w:type="dxa"/>
        <w:tblInd w:w="0" w:type="dxa"/>
        <w:tblLayout w:type="autofit"/>
        <w:tblCellMar>
          <w:top w:w="0" w:type="dxa"/>
          <w:left w:w="0" w:type="dxa"/>
          <w:bottom w:w="0" w:type="dxa"/>
          <w:right w:w="0" w:type="dxa"/>
        </w:tblCellMar>
      </w:tblPr>
      <w:tblGrid>
        <w:gridCol w:w="1987"/>
        <w:gridCol w:w="2898"/>
      </w:tblGrid>
      <w:tr w14:paraId="3E6CE7D9">
        <w:tblPrEx>
          <w:tblCellMar>
            <w:top w:w="0" w:type="dxa"/>
            <w:left w:w="0" w:type="dxa"/>
            <w:bottom w:w="0" w:type="dxa"/>
            <w:right w:w="0" w:type="dxa"/>
          </w:tblCellMar>
        </w:tblPrEx>
        <w:trPr>
          <w:trHeight w:val="482" w:hRule="atLeast"/>
        </w:trPr>
        <w:tc>
          <w:tcPr>
            <w:tcW w:w="4885" w:type="dxa"/>
            <w:gridSpan w:val="2"/>
            <w:shd w:val="clear" w:color="auto" w:fill="auto"/>
            <w:tcMar>
              <w:top w:w="75" w:type="dxa"/>
              <w:left w:w="120" w:type="dxa"/>
              <w:bottom w:w="75" w:type="dxa"/>
              <w:right w:w="120" w:type="dxa"/>
            </w:tcMar>
            <w:vAlign w:val="center"/>
          </w:tcPr>
          <w:p w14:paraId="1FC35C07">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乙方</w:t>
            </w:r>
          </w:p>
        </w:tc>
      </w:tr>
      <w:tr w14:paraId="422DE77F">
        <w:tblPrEx>
          <w:tblCellMar>
            <w:top w:w="0" w:type="dxa"/>
            <w:left w:w="0" w:type="dxa"/>
            <w:bottom w:w="0" w:type="dxa"/>
            <w:right w:w="0" w:type="dxa"/>
          </w:tblCellMar>
        </w:tblPrEx>
        <w:trPr>
          <w:trHeight w:val="482" w:hRule="atLeast"/>
        </w:trPr>
        <w:tc>
          <w:tcPr>
            <w:tcW w:w="1987" w:type="dxa"/>
            <w:shd w:val="clear" w:color="auto" w:fill="auto"/>
            <w:tcMar>
              <w:top w:w="75" w:type="dxa"/>
              <w:left w:w="120" w:type="dxa"/>
              <w:bottom w:w="75" w:type="dxa"/>
              <w:right w:w="120" w:type="dxa"/>
            </w:tcMar>
            <w:vAlign w:val="center"/>
          </w:tcPr>
          <w:p w14:paraId="5F30BCD2">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单位名称</w:t>
            </w:r>
          </w:p>
        </w:tc>
        <w:tc>
          <w:tcPr>
            <w:tcW w:w="2898" w:type="dxa"/>
            <w:shd w:val="clear" w:color="auto" w:fill="auto"/>
            <w:tcMar>
              <w:top w:w="75" w:type="dxa"/>
              <w:left w:w="120" w:type="dxa"/>
              <w:bottom w:w="75" w:type="dxa"/>
              <w:right w:w="120" w:type="dxa"/>
            </w:tcMar>
            <w:vAlign w:val="center"/>
          </w:tcPr>
          <w:p w14:paraId="162CC237">
            <w:pPr>
              <w:widowControl/>
              <w:wordWrap w:val="0"/>
              <w:spacing w:line="480" w:lineRule="atLeast"/>
              <w:jc w:val="right"/>
              <w:rPr>
                <w:rFonts w:hint="eastAsia" w:ascii="仿宋" w:hAnsi="仿宋" w:eastAsia="仿宋" w:cs="仿宋"/>
                <w:color w:val="auto"/>
                <w:sz w:val="24"/>
              </w:rPr>
            </w:pPr>
            <w:r>
              <w:rPr>
                <w:rFonts w:hint="eastAsia" w:ascii="仿宋" w:hAnsi="仿宋" w:eastAsia="仿宋" w:cs="仿宋"/>
                <w:color w:val="auto"/>
                <w:kern w:val="0"/>
                <w:sz w:val="24"/>
                <w:lang w:bidi="ar"/>
              </w:rPr>
              <w:t>（盖章）</w:t>
            </w:r>
          </w:p>
        </w:tc>
      </w:tr>
      <w:tr w14:paraId="5DFC7242">
        <w:tblPrEx>
          <w:tblCellMar>
            <w:top w:w="0" w:type="dxa"/>
            <w:left w:w="0" w:type="dxa"/>
            <w:bottom w:w="0" w:type="dxa"/>
            <w:right w:w="0" w:type="dxa"/>
          </w:tblCellMar>
        </w:tblPrEx>
        <w:trPr>
          <w:trHeight w:val="482" w:hRule="atLeast"/>
        </w:trPr>
        <w:tc>
          <w:tcPr>
            <w:tcW w:w="1987" w:type="dxa"/>
            <w:shd w:val="clear" w:color="auto" w:fill="auto"/>
            <w:tcMar>
              <w:top w:w="75" w:type="dxa"/>
              <w:left w:w="120" w:type="dxa"/>
              <w:bottom w:w="75" w:type="dxa"/>
              <w:right w:w="120" w:type="dxa"/>
            </w:tcMar>
            <w:vAlign w:val="center"/>
          </w:tcPr>
          <w:p w14:paraId="44703986">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法定代表人或其委托代理人（签章）</w:t>
            </w:r>
          </w:p>
        </w:tc>
        <w:tc>
          <w:tcPr>
            <w:tcW w:w="2898" w:type="dxa"/>
            <w:shd w:val="clear" w:color="auto" w:fill="auto"/>
            <w:tcMar>
              <w:top w:w="75" w:type="dxa"/>
              <w:left w:w="120" w:type="dxa"/>
              <w:bottom w:w="75" w:type="dxa"/>
              <w:right w:w="120" w:type="dxa"/>
            </w:tcMar>
            <w:vAlign w:val="center"/>
          </w:tcPr>
          <w:p w14:paraId="236FA9EA">
            <w:pPr>
              <w:jc w:val="left"/>
              <w:rPr>
                <w:rFonts w:hint="eastAsia" w:ascii="仿宋" w:hAnsi="仿宋" w:eastAsia="仿宋" w:cs="仿宋"/>
                <w:color w:val="auto"/>
                <w:sz w:val="24"/>
              </w:rPr>
            </w:pPr>
          </w:p>
        </w:tc>
      </w:tr>
      <w:tr w14:paraId="05181111">
        <w:tblPrEx>
          <w:tblCellMar>
            <w:top w:w="0" w:type="dxa"/>
            <w:left w:w="0" w:type="dxa"/>
            <w:bottom w:w="0" w:type="dxa"/>
            <w:right w:w="0" w:type="dxa"/>
          </w:tblCellMar>
        </w:tblPrEx>
        <w:trPr>
          <w:trHeight w:val="482" w:hRule="atLeast"/>
        </w:trPr>
        <w:tc>
          <w:tcPr>
            <w:tcW w:w="1987" w:type="dxa"/>
            <w:shd w:val="clear" w:color="auto" w:fill="auto"/>
            <w:tcMar>
              <w:top w:w="75" w:type="dxa"/>
              <w:left w:w="120" w:type="dxa"/>
              <w:bottom w:w="75" w:type="dxa"/>
              <w:right w:w="120" w:type="dxa"/>
            </w:tcMar>
            <w:vAlign w:val="center"/>
          </w:tcPr>
          <w:p w14:paraId="29A94A0E">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住 所</w:t>
            </w:r>
          </w:p>
        </w:tc>
        <w:tc>
          <w:tcPr>
            <w:tcW w:w="2898" w:type="dxa"/>
            <w:shd w:val="clear" w:color="auto" w:fill="auto"/>
            <w:tcMar>
              <w:top w:w="75" w:type="dxa"/>
              <w:left w:w="120" w:type="dxa"/>
              <w:bottom w:w="75" w:type="dxa"/>
              <w:right w:w="120" w:type="dxa"/>
            </w:tcMar>
            <w:vAlign w:val="center"/>
          </w:tcPr>
          <w:p w14:paraId="4AFCE1A4">
            <w:pPr>
              <w:jc w:val="left"/>
              <w:rPr>
                <w:rFonts w:hint="eastAsia" w:ascii="仿宋" w:hAnsi="仿宋" w:eastAsia="仿宋" w:cs="仿宋"/>
                <w:color w:val="auto"/>
                <w:sz w:val="24"/>
              </w:rPr>
            </w:pPr>
          </w:p>
        </w:tc>
      </w:tr>
      <w:tr w14:paraId="4DC7C07D">
        <w:tblPrEx>
          <w:tblCellMar>
            <w:top w:w="0" w:type="dxa"/>
            <w:left w:w="0" w:type="dxa"/>
            <w:bottom w:w="0" w:type="dxa"/>
            <w:right w:w="0" w:type="dxa"/>
          </w:tblCellMar>
        </w:tblPrEx>
        <w:trPr>
          <w:trHeight w:val="482" w:hRule="atLeast"/>
        </w:trPr>
        <w:tc>
          <w:tcPr>
            <w:tcW w:w="1987" w:type="dxa"/>
            <w:shd w:val="clear" w:color="auto" w:fill="auto"/>
            <w:tcMar>
              <w:top w:w="75" w:type="dxa"/>
              <w:left w:w="120" w:type="dxa"/>
              <w:bottom w:w="75" w:type="dxa"/>
              <w:right w:w="120" w:type="dxa"/>
            </w:tcMar>
            <w:vAlign w:val="center"/>
          </w:tcPr>
          <w:p w14:paraId="538EC36D">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开户银行</w:t>
            </w:r>
          </w:p>
        </w:tc>
        <w:tc>
          <w:tcPr>
            <w:tcW w:w="2898" w:type="dxa"/>
            <w:shd w:val="clear" w:color="auto" w:fill="auto"/>
            <w:tcMar>
              <w:top w:w="75" w:type="dxa"/>
              <w:left w:w="120" w:type="dxa"/>
              <w:bottom w:w="75" w:type="dxa"/>
              <w:right w:w="120" w:type="dxa"/>
            </w:tcMar>
            <w:vAlign w:val="center"/>
          </w:tcPr>
          <w:p w14:paraId="7C4BEC67">
            <w:pPr>
              <w:jc w:val="left"/>
              <w:rPr>
                <w:rFonts w:hint="eastAsia" w:ascii="仿宋" w:hAnsi="仿宋" w:eastAsia="仿宋" w:cs="仿宋"/>
                <w:color w:val="auto"/>
                <w:sz w:val="24"/>
              </w:rPr>
            </w:pPr>
          </w:p>
        </w:tc>
      </w:tr>
      <w:tr w14:paraId="43D96D16">
        <w:tblPrEx>
          <w:tblCellMar>
            <w:top w:w="0" w:type="dxa"/>
            <w:left w:w="0" w:type="dxa"/>
            <w:bottom w:w="0" w:type="dxa"/>
            <w:right w:w="0" w:type="dxa"/>
          </w:tblCellMar>
        </w:tblPrEx>
        <w:trPr>
          <w:trHeight w:val="482" w:hRule="atLeast"/>
        </w:trPr>
        <w:tc>
          <w:tcPr>
            <w:tcW w:w="1987" w:type="dxa"/>
            <w:shd w:val="clear" w:color="auto" w:fill="auto"/>
            <w:tcMar>
              <w:top w:w="75" w:type="dxa"/>
              <w:left w:w="120" w:type="dxa"/>
              <w:bottom w:w="75" w:type="dxa"/>
              <w:right w:w="120" w:type="dxa"/>
            </w:tcMar>
            <w:vAlign w:val="center"/>
          </w:tcPr>
          <w:p w14:paraId="6117746C">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银行账号</w:t>
            </w:r>
          </w:p>
        </w:tc>
        <w:tc>
          <w:tcPr>
            <w:tcW w:w="2898" w:type="dxa"/>
            <w:shd w:val="clear" w:color="auto" w:fill="auto"/>
            <w:tcMar>
              <w:top w:w="75" w:type="dxa"/>
              <w:left w:w="120" w:type="dxa"/>
              <w:bottom w:w="75" w:type="dxa"/>
              <w:right w:w="120" w:type="dxa"/>
            </w:tcMar>
            <w:vAlign w:val="center"/>
          </w:tcPr>
          <w:p w14:paraId="65354989">
            <w:pPr>
              <w:jc w:val="left"/>
              <w:rPr>
                <w:rFonts w:hint="eastAsia" w:ascii="仿宋" w:hAnsi="仿宋" w:eastAsia="仿宋" w:cs="仿宋"/>
                <w:color w:val="auto"/>
                <w:sz w:val="24"/>
              </w:rPr>
            </w:pPr>
          </w:p>
        </w:tc>
      </w:tr>
      <w:tr w14:paraId="48702668">
        <w:tblPrEx>
          <w:tblCellMar>
            <w:top w:w="0" w:type="dxa"/>
            <w:left w:w="0" w:type="dxa"/>
            <w:bottom w:w="0" w:type="dxa"/>
            <w:right w:w="0" w:type="dxa"/>
          </w:tblCellMar>
        </w:tblPrEx>
        <w:trPr>
          <w:trHeight w:val="578" w:hRule="atLeast"/>
        </w:trPr>
        <w:tc>
          <w:tcPr>
            <w:tcW w:w="1987" w:type="dxa"/>
            <w:shd w:val="clear" w:color="auto" w:fill="FFFFFF"/>
            <w:tcMar>
              <w:top w:w="75" w:type="dxa"/>
              <w:left w:w="120" w:type="dxa"/>
              <w:bottom w:w="75" w:type="dxa"/>
              <w:right w:w="120" w:type="dxa"/>
            </w:tcMar>
            <w:vAlign w:val="center"/>
          </w:tcPr>
          <w:p w14:paraId="7D3A3E20">
            <w:pPr>
              <w:widowControl/>
              <w:wordWrap w:val="0"/>
              <w:spacing w:line="480" w:lineRule="atLeast"/>
              <w:jc w:val="center"/>
              <w:rPr>
                <w:rFonts w:hint="eastAsia" w:ascii="仿宋" w:hAnsi="仿宋" w:eastAsia="仿宋" w:cs="仿宋"/>
                <w:color w:val="auto"/>
                <w:sz w:val="24"/>
              </w:rPr>
            </w:pPr>
            <w:r>
              <w:rPr>
                <w:rFonts w:hint="eastAsia" w:ascii="仿宋" w:hAnsi="仿宋" w:eastAsia="仿宋" w:cs="仿宋"/>
                <w:color w:val="auto"/>
                <w:kern w:val="0"/>
                <w:sz w:val="24"/>
                <w:lang w:bidi="ar"/>
              </w:rPr>
              <w:t>签订时间</w:t>
            </w:r>
          </w:p>
        </w:tc>
        <w:tc>
          <w:tcPr>
            <w:tcW w:w="2898" w:type="dxa"/>
            <w:shd w:val="clear" w:color="auto" w:fill="auto"/>
            <w:vAlign w:val="center"/>
          </w:tcPr>
          <w:p w14:paraId="5B58A5FF">
            <w:pPr>
              <w:rPr>
                <w:rFonts w:hint="eastAsia" w:ascii="仿宋" w:hAnsi="仿宋" w:eastAsia="仿宋" w:cs="仿宋"/>
                <w:color w:val="auto"/>
                <w:sz w:val="24"/>
              </w:rPr>
            </w:pPr>
          </w:p>
        </w:tc>
      </w:tr>
    </w:tbl>
    <w:p w14:paraId="270356D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F"/>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02698"/>
    <w:rsid w:val="5920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0" w:after="20" w:line="600" w:lineRule="exact"/>
      <w:jc w:val="center"/>
      <w:outlineLvl w:val="1"/>
    </w:pPr>
    <w:rPr>
      <w:rFonts w:ascii="Arial" w:hAnsi="Arial"/>
      <w:b/>
      <w:bCs/>
      <w:sz w:val="24"/>
      <w:szCs w:val="32"/>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b/>
      <w:bCs/>
      <w:kern w:val="0"/>
      <w:sz w:val="27"/>
      <w:szCs w:val="27"/>
    </w:rPr>
  </w:style>
  <w:style w:type="paragraph" w:styleId="4">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2026-05-08T02:03:00Z</dcterms:created>
  <dc:creator>梁潇</dc:creator>
  <cp:lastModifiedBy>梁潇</cp:lastModifiedBy>
  <dcterms:modified xsi:type="dcterms:W3CDTF">2026-05-08T02:04:24Z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D2586A31BF0346FC9613C88D006C16B2_11</vt:lpwstr>
  </property>
  <property fmtid="{D5CDD505-2E9C-101B-9397-08002B2CF9AE}" pid="4" name="KSOTemplateDocerSaveRecord">
    <vt:lpwstr>eyJoZGlkIjoiNGVkMzdkNzFhNjNmYTZiNWNlODY0NDVkM2JmMzFjY2EiLCJ1c2VySWQiOiIxNzExNDM2MzY3In0=</vt:lpwstr>
  </property>
</Properties>
</file>