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版本号：N510101202600007120260611001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2025年一体式计算机采购项目(三次)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N5101012026000071</w:t>
      </w:r>
    </w:p>
    <w:p>
      <w:pPr>
        <w:pStyle w:val="null3"/>
        <w:jc w:val="left"/>
        <w:outlineLvl w:val="2"/>
      </w:pPr>
      <w:r>
        <w:rPr>
          <w:rFonts w:ascii="仿宋_GB2312" w:hAnsi="仿宋_GB2312" w:cs="仿宋_GB2312" w:eastAsia="仿宋_GB2312"/>
          <w:sz w:val="28"/>
          <w:b/>
        </w:rPr>
        <w:t>成都市第五人民医院</w:t>
      </w:r>
    </w:p>
    <w:p>
      <w:pPr>
        <w:pStyle w:val="null3"/>
        <w:jc w:val="center"/>
        <w:outlineLvl w:val="2"/>
      </w:pPr>
      <w:r>
        <w:rPr>
          <w:rFonts w:ascii="仿宋_GB2312" w:hAnsi="仿宋_GB2312" w:cs="仿宋_GB2312" w:eastAsia="仿宋_GB2312"/>
          <w:sz w:val="28"/>
          <w:b/>
        </w:rPr>
        <w:t>成都市政府采购中心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成都市第五人民医院</w:t>
      </w:r>
      <w:r>
        <w:rPr>
          <w:rFonts w:ascii="仿宋_GB2312" w:hAnsi="仿宋_GB2312" w:cs="仿宋_GB2312" w:eastAsia="仿宋_GB2312"/>
        </w:rPr>
        <w:t xml:space="preserve"> 委托，拟对 </w:t>
      </w:r>
      <w:r>
        <w:rPr>
          <w:rFonts w:ascii="仿宋_GB2312" w:hAnsi="仿宋_GB2312" w:cs="仿宋_GB2312" w:eastAsia="仿宋_GB2312"/>
        </w:rPr>
        <w:t>2025年一体式计算机采购项目(三次)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N5101012026000071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2025年一体式计算机采购项目(三次)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4"/>
        </w:rPr>
        <w:t>一、财政性资金，政府采购实施计划备案表号：51010025210200047576[2026]00101；预算品目：台式计算机；预算金额：880000元；最高限价：880000元。二、投诉受理单位：本项目同级财政部门，即成都市财政局。联系电话：028-61882648。地址：成都市高新区锦城大道366号。邮编：610041。三、采购需求：</w:t>
      </w:r>
      <w:r>
        <w:rPr>
          <w:rFonts w:ascii="仿宋_GB2312" w:hAnsi="仿宋_GB2312" w:cs="仿宋_GB2312" w:eastAsia="仿宋_GB2312"/>
        </w:rPr>
        <w:t>现拟采购一体式计算机200台，用于保障医院各科室日常工作的基本计算机使用需求，提升系统运行效率与稳定性，确保医院业务连续、安全、平稳运行。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成都市第五人民医院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成都市温江区麻市街33号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李苗</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028-82689950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四川省成都市武侯区成都市高新区天府大道北段966号天府国际金融中心7号楼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陈秋月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028-85325792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成都市第五人民医院</w:t>
      </w:r>
      <w:r>
        <w:rPr>
          <w:rFonts w:ascii="仿宋_GB2312" w:hAnsi="仿宋_GB2312" w:cs="仿宋_GB2312" w:eastAsia="仿宋_GB2312"/>
        </w:rPr>
        <w:t xml:space="preserve"> 和 </w:t>
      </w:r>
      <w:r>
        <w:rPr>
          <w:rFonts w:ascii="仿宋_GB2312" w:hAnsi="仿宋_GB2312" w:cs="仿宋_GB2312" w:eastAsia="仿宋_GB2312"/>
        </w:rPr>
        <w:t>成都市政府采购中心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成都市第五人民医院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当批次货物安装调试完毕并复验合格后，接采购人通知，中标人向采购人提供合法有效的发票和双方签署的验收合格文件</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整体项目验收合格后经采购人确认无质量问题，中标人提出支付申请并向采购人提供双方签署的整体验收合格文件</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成都市第五人民医院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联系人：李苗</w:t>
      </w:r>
    </w:p>
    <w:p>
      <w:pPr>
        <w:pStyle w:val="null3"/>
        <w:jc w:val="left"/>
      </w:pPr>
      <w:r>
        <w:rPr>
          <w:rFonts w:ascii="仿宋_GB2312" w:hAnsi="仿宋_GB2312" w:cs="仿宋_GB2312" w:eastAsia="仿宋_GB2312"/>
        </w:rPr>
        <w:t>联系电话：028-82689950</w:t>
      </w:r>
    </w:p>
    <w:p>
      <w:pPr>
        <w:pStyle w:val="null3"/>
        <w:jc w:val="left"/>
      </w:pPr>
      <w:r>
        <w:rPr>
          <w:rFonts w:ascii="仿宋_GB2312" w:hAnsi="仿宋_GB2312" w:cs="仿宋_GB2312" w:eastAsia="仿宋_GB2312"/>
        </w:rPr>
        <w:t>地址：成都市温江区麻市街33号</w:t>
      </w:r>
    </w:p>
    <w:p>
      <w:pPr>
        <w:pStyle w:val="null3"/>
        <w:jc w:val="left"/>
      </w:pPr>
      <w:r>
        <w:rPr>
          <w:rFonts w:ascii="仿宋_GB2312" w:hAnsi="仿宋_GB2312" w:cs="仿宋_GB2312" w:eastAsia="仿宋_GB2312"/>
        </w:rPr>
        <w:t>邮编：611130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联系人：陈秋月</w:t>
      </w:r>
    </w:p>
    <w:p>
      <w:pPr>
        <w:pStyle w:val="null3"/>
        <w:jc w:val="left"/>
      </w:pPr>
      <w:r>
        <w:rPr>
          <w:rFonts w:ascii="仿宋_GB2312" w:hAnsi="仿宋_GB2312" w:cs="仿宋_GB2312" w:eastAsia="仿宋_GB2312"/>
        </w:rPr>
        <w:t>联系电话：028-85325792</w:t>
      </w:r>
    </w:p>
    <w:p>
      <w:pPr>
        <w:pStyle w:val="null3"/>
        <w:jc w:val="left"/>
      </w:pPr>
      <w:r>
        <w:rPr>
          <w:rFonts w:ascii="仿宋_GB2312" w:hAnsi="仿宋_GB2312" w:cs="仿宋_GB2312" w:eastAsia="仿宋_GB2312"/>
        </w:rPr>
        <w:t>地址：成都市高新区天府大道北段966号天府国际金融中心7号楼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880,000.00</w:t>
      </w:r>
    </w:p>
    <w:p>
      <w:pPr>
        <w:pStyle w:val="null3"/>
        <w:jc w:val="left"/>
      </w:pPr>
      <w:r>
        <w:rPr>
          <w:rFonts w:ascii="仿宋_GB2312" w:hAnsi="仿宋_GB2312" w:cs="仿宋_GB2312" w:eastAsia="仿宋_GB2312"/>
        </w:rPr>
        <w:t>采购包最高限价（元）: 880,000.00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一体式计算机</w:t>
            </w:r>
          </w:p>
        </w:tc>
        <w:tc>
          <w:tcPr>
            <w:tcW w:type="dxa" w:w="821"/>
          </w:tcPr>
          <w:p>
            <w:pPr>
              <w:pStyle w:val="null3"/>
              <w:jc w:val="right"/>
            </w:pPr>
            <w:r>
              <w:rPr>
                <w:rFonts w:ascii="仿宋_GB2312" w:hAnsi="仿宋_GB2312" w:cs="仿宋_GB2312" w:eastAsia="仿宋_GB2312"/>
              </w:rPr>
              <w:t>200.00（台）</w:t>
            </w:r>
          </w:p>
        </w:tc>
        <w:tc>
          <w:tcPr>
            <w:tcW w:type="dxa" w:w="821"/>
          </w:tcPr>
          <w:p>
            <w:pPr>
              <w:pStyle w:val="null3"/>
              <w:jc w:val="right"/>
            </w:pPr>
            <w:r>
              <w:rPr>
                <w:rFonts w:ascii="仿宋_GB2312" w:hAnsi="仿宋_GB2312" w:cs="仿宋_GB2312" w:eastAsia="仿宋_GB2312"/>
              </w:rPr>
              <w:t>880,000.00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一体式计算机</w:t>
            </w:r>
          </w:p>
        </w:tc>
        <w:tc>
          <w:tcPr>
            <w:tcW w:type="dxa" w:w="1138"/>
          </w:tcPr>
          <w:p>
            <w:pPr>
              <w:pStyle w:val="null3"/>
              <w:jc w:val="center"/>
            </w:pPr>
            <w:r>
              <w:rPr>
                <w:rFonts w:ascii="仿宋_GB2312" w:hAnsi="仿宋_GB2312" w:cs="仿宋_GB2312" w:eastAsia="仿宋_GB2312"/>
              </w:rPr>
              <w:t>200.00（台）</w:t>
            </w:r>
          </w:p>
        </w:tc>
        <w:tc>
          <w:tcPr>
            <w:tcW w:type="dxa" w:w="1365"/>
          </w:tcPr>
          <w:p>
            <w:pPr>
              <w:pStyle w:val="null3"/>
              <w:jc w:val="center"/>
            </w:pPr>
            <w:r>
              <w:rPr>
                <w:rFonts w:ascii="仿宋_GB2312" w:hAnsi="仿宋_GB2312" w:cs="仿宋_GB2312" w:eastAsia="仿宋_GB2312"/>
              </w:rPr>
              <w:t>880,000.00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响应报价=单价*数量</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一体式计算机</w:t>
            </w:r>
          </w:p>
        </w:tc>
        <w:tc>
          <w:tcPr>
            <w:tcW w:type="dxa" w:w="2492"/>
          </w:tcPr>
          <w:p>
            <w:pPr>
              <w:pStyle w:val="null3"/>
              <w:jc w:val="left"/>
            </w:pPr>
            <w:r>
              <w:rPr>
                <w:rFonts w:ascii="仿宋_GB2312" w:hAnsi="仿宋_GB2312" w:cs="仿宋_GB2312" w:eastAsia="仿宋_GB2312"/>
              </w:rPr>
              <w:t>一体式计算机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一体式计算机</w:t>
            </w:r>
          </w:p>
        </w:tc>
        <w:tc>
          <w:tcPr>
            <w:tcW w:type="dxa" w:w="2492"/>
          </w:tcPr>
          <w:p>
            <w:pPr>
              <w:pStyle w:val="null3"/>
              <w:jc w:val="left"/>
            </w:pPr>
            <w:r>
              <w:rPr>
                <w:rFonts w:ascii="仿宋_GB2312" w:hAnsi="仿宋_GB2312" w:cs="仿宋_GB2312" w:eastAsia="仿宋_GB2312"/>
              </w:rPr>
              <w:t>一体式计算机（品目：台式计算机，依据标准：GB 28380）</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一体式计算机</w:t>
            </w:r>
          </w:p>
        </w:tc>
        <w:tc>
          <w:tcPr>
            <w:tcW w:type="dxa" w:w="2492"/>
          </w:tcPr>
          <w:p>
            <w:pPr>
              <w:pStyle w:val="null3"/>
              <w:jc w:val="left"/>
            </w:pPr>
            <w:r>
              <w:rPr>
                <w:rFonts w:ascii="仿宋_GB2312" w:hAnsi="仿宋_GB2312" w:cs="仿宋_GB2312" w:eastAsia="仿宋_GB2312"/>
              </w:rPr>
              <w:t>一体式计算机（品目：台式计算机，依据标准：HJ2536 ）</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标的名称：一体式计算机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1.CPU</w:t>
            </w:r>
            <w:r>
              <w:rPr>
                <w:rFonts w:ascii="仿宋_GB2312" w:hAnsi="仿宋_GB2312" w:cs="仿宋_GB2312" w:eastAsia="仿宋_GB2312"/>
                <w:sz w:val="20"/>
              </w:rPr>
              <w:t>要求：物理核心数≥</w:t>
            </w:r>
            <w:r>
              <w:rPr>
                <w:rFonts w:ascii="仿宋_GB2312" w:hAnsi="仿宋_GB2312" w:cs="仿宋_GB2312" w:eastAsia="仿宋_GB2312"/>
                <w:sz w:val="20"/>
              </w:rPr>
              <w:t>6</w:t>
            </w:r>
            <w:r>
              <w:rPr>
                <w:rFonts w:ascii="仿宋_GB2312" w:hAnsi="仿宋_GB2312" w:cs="仿宋_GB2312" w:eastAsia="仿宋_GB2312"/>
                <w:sz w:val="20"/>
              </w:rPr>
              <w:t>个、</w:t>
            </w:r>
            <w:r>
              <w:rPr>
                <w:rFonts w:ascii="仿宋_GB2312" w:hAnsi="仿宋_GB2312" w:cs="仿宋_GB2312" w:eastAsia="仿宋_GB2312"/>
                <w:sz w:val="20"/>
              </w:rPr>
              <w:t>CPU</w:t>
            </w:r>
            <w:r>
              <w:rPr>
                <w:rFonts w:ascii="仿宋_GB2312" w:hAnsi="仿宋_GB2312" w:cs="仿宋_GB2312" w:eastAsia="仿宋_GB2312"/>
                <w:sz w:val="20"/>
              </w:rPr>
              <w:t>线程数≥</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CPU</w:t>
            </w:r>
            <w:r>
              <w:rPr>
                <w:rFonts w:ascii="仿宋_GB2312" w:hAnsi="仿宋_GB2312" w:cs="仿宋_GB2312" w:eastAsia="仿宋_GB2312"/>
                <w:sz w:val="20"/>
              </w:rPr>
              <w:t>主频≥</w:t>
            </w:r>
            <w:r>
              <w:rPr>
                <w:rFonts w:ascii="仿宋_GB2312" w:hAnsi="仿宋_GB2312" w:cs="仿宋_GB2312" w:eastAsia="仿宋_GB2312"/>
                <w:sz w:val="20"/>
              </w:rPr>
              <w:t>2.5 GHz</w:t>
            </w:r>
            <w:r>
              <w:rPr>
                <w:rFonts w:ascii="仿宋_GB2312" w:hAnsi="仿宋_GB2312" w:cs="仿宋_GB2312" w:eastAsia="仿宋_GB2312"/>
                <w:sz w:val="20"/>
              </w:rPr>
              <w:t>、</w:t>
            </w:r>
            <w:r>
              <w:rPr>
                <w:rFonts w:ascii="仿宋_GB2312" w:hAnsi="仿宋_GB2312" w:cs="仿宋_GB2312" w:eastAsia="仿宋_GB2312"/>
                <w:sz w:val="20"/>
              </w:rPr>
              <w:t>CPU</w:t>
            </w:r>
            <w:r>
              <w:rPr>
                <w:rFonts w:ascii="仿宋_GB2312" w:hAnsi="仿宋_GB2312" w:cs="仿宋_GB2312" w:eastAsia="仿宋_GB2312"/>
                <w:sz w:val="20"/>
              </w:rPr>
              <w:t>睿频≥</w:t>
            </w:r>
            <w:r>
              <w:rPr>
                <w:rFonts w:ascii="仿宋_GB2312" w:hAnsi="仿宋_GB2312" w:cs="仿宋_GB2312" w:eastAsia="仿宋_GB2312"/>
                <w:sz w:val="20"/>
              </w:rPr>
              <w:t>4.4GHz</w:t>
            </w:r>
            <w:r>
              <w:rPr>
                <w:rFonts w:ascii="仿宋_GB2312" w:hAnsi="仿宋_GB2312" w:cs="仿宋_GB2312" w:eastAsia="仿宋_GB2312"/>
                <w:sz w:val="20"/>
              </w:rPr>
              <w:t>、末级缓存容量≥</w:t>
            </w:r>
            <w:r>
              <w:rPr>
                <w:rFonts w:ascii="仿宋_GB2312" w:hAnsi="仿宋_GB2312" w:cs="仿宋_GB2312" w:eastAsia="仿宋_GB2312"/>
                <w:sz w:val="20"/>
              </w:rPr>
              <w:t>18MB</w:t>
            </w:r>
            <w:r>
              <w:rPr>
                <w:rFonts w:ascii="仿宋_GB2312" w:hAnsi="仿宋_GB2312" w:cs="仿宋_GB2312" w:eastAsia="仿宋_GB2312"/>
                <w:sz w:val="20"/>
              </w:rPr>
              <w:t>、热设计功耗≥</w:t>
            </w:r>
            <w:r>
              <w:rPr>
                <w:rFonts w:ascii="仿宋_GB2312" w:hAnsi="仿宋_GB2312" w:cs="仿宋_GB2312" w:eastAsia="仿宋_GB2312"/>
                <w:sz w:val="20"/>
              </w:rPr>
              <w:t>65W</w:t>
            </w:r>
            <w:r>
              <w:rPr>
                <w:rFonts w:ascii="仿宋_GB2312" w:hAnsi="仿宋_GB2312" w:cs="仿宋_GB2312" w:eastAsia="仿宋_GB2312"/>
                <w:sz w:val="20"/>
              </w:rPr>
              <w:t>。投标人须在投标文件中载明</w:t>
            </w:r>
            <w:r>
              <w:rPr>
                <w:rFonts w:ascii="仿宋_GB2312" w:hAnsi="仿宋_GB2312" w:cs="仿宋_GB2312" w:eastAsia="仿宋_GB2312"/>
                <w:sz w:val="20"/>
              </w:rPr>
              <w:t>CPU</w:t>
            </w:r>
            <w:r>
              <w:rPr>
                <w:rFonts w:ascii="仿宋_GB2312" w:hAnsi="仿宋_GB2312" w:cs="仿宋_GB2312" w:eastAsia="仿宋_GB2312"/>
                <w:sz w:val="20"/>
              </w:rPr>
              <w:t>信息，包含</w:t>
            </w:r>
            <w:r>
              <w:rPr>
                <w:rFonts w:ascii="仿宋_GB2312" w:hAnsi="仿宋_GB2312" w:cs="仿宋_GB2312" w:eastAsia="仿宋_GB2312"/>
                <w:sz w:val="20"/>
              </w:rPr>
              <w:t>CPU</w:t>
            </w:r>
            <w:r>
              <w:rPr>
                <w:rFonts w:ascii="仿宋_GB2312" w:hAnsi="仿宋_GB2312" w:cs="仿宋_GB2312" w:eastAsia="仿宋_GB2312"/>
                <w:sz w:val="20"/>
              </w:rPr>
              <w:t>型号、物理核心数、主频、末级缓存容量、线程数、热设计功耗及内存的最高速率、通道数和位宽。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内存要求：内存配置容量≥</w:t>
            </w:r>
            <w:r>
              <w:rPr>
                <w:rFonts w:ascii="仿宋_GB2312" w:hAnsi="仿宋_GB2312" w:cs="仿宋_GB2312" w:eastAsia="仿宋_GB2312"/>
                <w:sz w:val="20"/>
              </w:rPr>
              <w:t>16GB</w:t>
            </w:r>
            <w:r>
              <w:rPr>
                <w:rFonts w:ascii="仿宋_GB2312" w:hAnsi="仿宋_GB2312" w:cs="仿宋_GB2312" w:eastAsia="仿宋_GB2312"/>
                <w:sz w:val="20"/>
              </w:rPr>
              <w:t>、内存类型支持</w:t>
            </w:r>
            <w:r>
              <w:rPr>
                <w:rFonts w:ascii="仿宋_GB2312" w:hAnsi="仿宋_GB2312" w:cs="仿宋_GB2312" w:eastAsia="仿宋_GB2312"/>
                <w:sz w:val="20"/>
              </w:rPr>
              <w:t xml:space="preserve"> DDR4/LPDDR4/LPDDR4X </w:t>
            </w:r>
            <w:r>
              <w:rPr>
                <w:rFonts w:ascii="仿宋_GB2312" w:hAnsi="仿宋_GB2312" w:cs="仿宋_GB2312" w:eastAsia="仿宋_GB2312"/>
                <w:sz w:val="20"/>
              </w:rPr>
              <w:t>及以上内存类型、内存条配置数量 ≥</w:t>
            </w:r>
            <w:r>
              <w:rPr>
                <w:rFonts w:ascii="仿宋_GB2312" w:hAnsi="仿宋_GB2312" w:cs="仿宋_GB2312" w:eastAsia="仿宋_GB2312"/>
                <w:sz w:val="20"/>
              </w:rPr>
              <w:t>1</w:t>
            </w:r>
            <w:r>
              <w:rPr>
                <w:rFonts w:ascii="仿宋_GB2312" w:hAnsi="仿宋_GB2312" w:cs="仿宋_GB2312" w:eastAsia="仿宋_GB2312"/>
                <w:sz w:val="20"/>
              </w:rPr>
              <w:t>、内存性能 内存读写速率≥</w:t>
            </w:r>
            <w:r>
              <w:rPr>
                <w:rFonts w:ascii="仿宋_GB2312" w:hAnsi="仿宋_GB2312" w:cs="仿宋_GB2312" w:eastAsia="仿宋_GB2312"/>
                <w:sz w:val="20"/>
              </w:rPr>
              <w:t>3200MT/s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主板要求：提供≥</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M.2</w:t>
            </w:r>
            <w:r>
              <w:rPr>
                <w:rFonts w:ascii="仿宋_GB2312" w:hAnsi="仿宋_GB2312" w:cs="仿宋_GB2312" w:eastAsia="仿宋_GB2312"/>
                <w:sz w:val="20"/>
              </w:rPr>
              <w:t>接口。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4. </w:t>
            </w:r>
            <w:r>
              <w:rPr>
                <w:rFonts w:ascii="仿宋_GB2312" w:hAnsi="仿宋_GB2312" w:cs="仿宋_GB2312" w:eastAsia="仿宋_GB2312"/>
                <w:sz w:val="20"/>
              </w:rPr>
              <w:t>主板要求：提供≥</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 xml:space="preserve">SATA </w:t>
            </w:r>
            <w:r>
              <w:rPr>
                <w:rFonts w:ascii="仿宋_GB2312" w:hAnsi="仿宋_GB2312" w:cs="仿宋_GB2312" w:eastAsia="仿宋_GB2312"/>
                <w:sz w:val="20"/>
              </w:rPr>
              <w:t>3.0</w:t>
            </w:r>
            <w:r>
              <w:rPr>
                <w:rFonts w:ascii="仿宋_GB2312" w:hAnsi="仿宋_GB2312" w:cs="仿宋_GB2312" w:eastAsia="仿宋_GB2312"/>
                <w:sz w:val="20"/>
              </w:rPr>
              <w:t>接口。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主板要求：集成</w:t>
            </w:r>
            <w:r>
              <w:rPr>
                <w:rFonts w:ascii="仿宋_GB2312" w:hAnsi="仿宋_GB2312" w:cs="仿宋_GB2312" w:eastAsia="仿宋_GB2312"/>
                <w:sz w:val="20"/>
              </w:rPr>
              <w:t>10/100/1000M</w:t>
            </w:r>
            <w:r>
              <w:rPr>
                <w:rFonts w:ascii="仿宋_GB2312" w:hAnsi="仿宋_GB2312" w:cs="仿宋_GB2312" w:eastAsia="仿宋_GB2312"/>
                <w:sz w:val="20"/>
              </w:rPr>
              <w:t>自适应千兆以太网卡。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存储设备要求：固态盘数量 ≥</w:t>
            </w:r>
            <w:r>
              <w:rPr>
                <w:rFonts w:ascii="仿宋_GB2312" w:hAnsi="仿宋_GB2312" w:cs="仿宋_GB2312" w:eastAsia="仿宋_GB2312"/>
                <w:sz w:val="20"/>
              </w:rPr>
              <w:t xml:space="preserve">1 </w:t>
            </w:r>
            <w:r>
              <w:rPr>
                <w:rFonts w:ascii="仿宋_GB2312" w:hAnsi="仿宋_GB2312" w:cs="仿宋_GB2312" w:eastAsia="仿宋_GB2312"/>
                <w:sz w:val="20"/>
              </w:rPr>
              <w:t>个、固态硬盘容量≥</w:t>
            </w:r>
            <w:r>
              <w:rPr>
                <w:rFonts w:ascii="仿宋_GB2312" w:hAnsi="仿宋_GB2312" w:cs="仿宋_GB2312" w:eastAsia="仿宋_GB2312"/>
                <w:sz w:val="20"/>
              </w:rPr>
              <w:t>512GB</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7. </w:t>
            </w:r>
            <w:r>
              <w:rPr>
                <w:rFonts w:ascii="仿宋_GB2312" w:hAnsi="仿宋_GB2312" w:cs="仿宋_GB2312" w:eastAsia="仿宋_GB2312"/>
                <w:sz w:val="20"/>
              </w:rPr>
              <w:t>固态硬盘接口协议为</w:t>
            </w:r>
            <w:r>
              <w:rPr>
                <w:rFonts w:ascii="仿宋_GB2312" w:hAnsi="仿宋_GB2312" w:cs="仿宋_GB2312" w:eastAsia="仿宋_GB2312"/>
                <w:sz w:val="20"/>
              </w:rPr>
              <w:t>NVMe</w:t>
            </w:r>
            <w:r>
              <w:rPr>
                <w:rFonts w:ascii="仿宋_GB2312" w:hAnsi="仿宋_GB2312" w:cs="仿宋_GB2312" w:eastAsia="仿宋_GB2312"/>
                <w:sz w:val="20"/>
              </w:rPr>
              <w:t>，形态为</w:t>
            </w:r>
            <w:r>
              <w:rPr>
                <w:rFonts w:ascii="仿宋_GB2312" w:hAnsi="仿宋_GB2312" w:cs="仿宋_GB2312" w:eastAsia="仿宋_GB2312"/>
                <w:sz w:val="20"/>
              </w:rPr>
              <w:t>M.2</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显卡要求：集成显卡。</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电源要求：额定功率≥</w:t>
            </w:r>
            <w:r>
              <w:rPr>
                <w:rFonts w:ascii="仿宋_GB2312" w:hAnsi="仿宋_GB2312" w:cs="仿宋_GB2312" w:eastAsia="仿宋_GB2312"/>
                <w:sz w:val="20"/>
              </w:rPr>
              <w:t>150W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一体机屏幕要求：显示屏尺寸≥</w:t>
            </w:r>
            <w:r>
              <w:rPr>
                <w:rFonts w:ascii="仿宋_GB2312" w:hAnsi="仿宋_GB2312" w:cs="仿宋_GB2312" w:eastAsia="仿宋_GB2312"/>
                <w:sz w:val="20"/>
              </w:rPr>
              <w:t>23.8</w:t>
            </w:r>
            <w:r>
              <w:rPr>
                <w:rFonts w:ascii="仿宋_GB2312" w:hAnsi="仿宋_GB2312" w:cs="仿宋_GB2312" w:eastAsia="仿宋_GB2312"/>
                <w:sz w:val="20"/>
              </w:rPr>
              <w:t>英寸、显示分辨率≥</w:t>
            </w:r>
            <w:r>
              <w:rPr>
                <w:rFonts w:ascii="仿宋_GB2312" w:hAnsi="仿宋_GB2312" w:cs="仿宋_GB2312" w:eastAsia="仿宋_GB2312"/>
                <w:sz w:val="20"/>
              </w:rPr>
              <w:t xml:space="preserve">1920 </w:t>
            </w:r>
            <w:r>
              <w:rPr>
                <w:rFonts w:ascii="仿宋_GB2312" w:hAnsi="仿宋_GB2312" w:cs="仿宋_GB2312" w:eastAsia="仿宋_GB2312"/>
                <w:sz w:val="20"/>
              </w:rPr>
              <w:t>×</w:t>
            </w:r>
            <w:r>
              <w:rPr>
                <w:rFonts w:ascii="仿宋_GB2312" w:hAnsi="仿宋_GB2312" w:cs="仿宋_GB2312" w:eastAsia="仿宋_GB2312"/>
                <w:sz w:val="20"/>
              </w:rPr>
              <w:t xml:space="preserve"> 1080</w:t>
            </w:r>
            <w:r>
              <w:rPr>
                <w:rFonts w:ascii="仿宋_GB2312" w:hAnsi="仿宋_GB2312" w:cs="仿宋_GB2312" w:eastAsia="仿宋_GB2312"/>
                <w:sz w:val="20"/>
              </w:rPr>
              <w:t>（</w:t>
            </w:r>
            <w:r>
              <w:rPr>
                <w:rFonts w:ascii="仿宋_GB2312" w:hAnsi="仿宋_GB2312" w:cs="仿宋_GB2312" w:eastAsia="仿宋_GB2312"/>
                <w:sz w:val="20"/>
              </w:rPr>
              <w:t>FHD</w:t>
            </w:r>
            <w:r>
              <w:rPr>
                <w:rFonts w:ascii="仿宋_GB2312" w:hAnsi="仿宋_GB2312" w:cs="仿宋_GB2312" w:eastAsia="仿宋_GB2312"/>
                <w:sz w:val="20"/>
              </w:rPr>
              <w:t>）、 显示屏屏幕比例</w:t>
            </w:r>
            <w:r>
              <w:rPr>
                <w:rFonts w:ascii="仿宋_GB2312" w:hAnsi="仿宋_GB2312" w:cs="仿宋_GB2312" w:eastAsia="仿宋_GB2312"/>
                <w:sz w:val="20"/>
              </w:rPr>
              <w:t xml:space="preserve">  16:9</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一体机屏幕要求：显示屏屏占比 ≥</w:t>
            </w:r>
            <w:r>
              <w:rPr>
                <w:rFonts w:ascii="仿宋_GB2312" w:hAnsi="仿宋_GB2312" w:cs="仿宋_GB2312" w:eastAsia="仿宋_GB2312"/>
                <w:sz w:val="20"/>
              </w:rPr>
              <w:t>80%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一体机屏幕要求：支持</w:t>
            </w:r>
            <w:r>
              <w:rPr>
                <w:rFonts w:ascii="仿宋_GB2312" w:hAnsi="仿宋_GB2312" w:cs="仿宋_GB2312" w:eastAsia="仿宋_GB2312"/>
                <w:sz w:val="20"/>
              </w:rPr>
              <w:t>防</w:t>
            </w:r>
            <w:r>
              <w:rPr>
                <w:rFonts w:ascii="仿宋_GB2312" w:hAnsi="仿宋_GB2312" w:cs="仿宋_GB2312" w:eastAsia="仿宋_GB2312"/>
                <w:sz w:val="20"/>
              </w:rPr>
              <w:t>蓝光模式。</w:t>
            </w:r>
          </w:p>
          <w:p>
            <w:pPr>
              <w:pStyle w:val="null3"/>
              <w:jc w:val="left"/>
            </w:pPr>
            <w:r>
              <w:rPr>
                <w:rFonts w:ascii="仿宋_GB2312" w:hAnsi="仿宋_GB2312" w:cs="仿宋_GB2312" w:eastAsia="仿宋_GB2312"/>
                <w:sz w:val="20"/>
              </w:rPr>
              <w:t xml:space="preserve">13. </w:t>
            </w:r>
            <w:r>
              <w:rPr>
                <w:rFonts w:ascii="仿宋_GB2312" w:hAnsi="仿宋_GB2312" w:cs="仿宋_GB2312" w:eastAsia="仿宋_GB2312"/>
                <w:sz w:val="20"/>
              </w:rPr>
              <w:t>一体机屏幕要求：支持低频闪≤</w:t>
            </w:r>
            <w:r>
              <w:rPr>
                <w:rFonts w:ascii="仿宋_GB2312" w:hAnsi="仿宋_GB2312" w:cs="仿宋_GB2312" w:eastAsia="仿宋_GB2312"/>
                <w:sz w:val="20"/>
              </w:rPr>
              <w:t>-35dB</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一体机屏幕要求：集成隐藏式摄像头，像素≥</w:t>
            </w:r>
            <w:r>
              <w:rPr>
                <w:rFonts w:ascii="仿宋_GB2312" w:hAnsi="仿宋_GB2312" w:cs="仿宋_GB2312" w:eastAsia="仿宋_GB2312"/>
                <w:sz w:val="20"/>
              </w:rPr>
              <w:t>200</w:t>
            </w:r>
            <w:r>
              <w:rPr>
                <w:rFonts w:ascii="仿宋_GB2312" w:hAnsi="仿宋_GB2312" w:cs="仿宋_GB2312" w:eastAsia="仿宋_GB2312"/>
                <w:sz w:val="20"/>
              </w:rPr>
              <w:t>万。</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一体机屏幕要求：</w:t>
            </w:r>
            <w:r>
              <w:rPr>
                <w:rFonts w:ascii="仿宋_GB2312" w:hAnsi="仿宋_GB2312" w:cs="仿宋_GB2312" w:eastAsia="仿宋_GB2312"/>
                <w:sz w:val="20"/>
              </w:rPr>
              <w:t>提供显示器支架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外设要求：提供</w:t>
            </w:r>
            <w:r>
              <w:rPr>
                <w:rFonts w:ascii="仿宋_GB2312" w:hAnsi="仿宋_GB2312" w:cs="仿宋_GB2312" w:eastAsia="仿宋_GB2312"/>
                <w:sz w:val="20"/>
              </w:rPr>
              <w:t>USB</w:t>
            </w:r>
            <w:r>
              <w:rPr>
                <w:rFonts w:ascii="仿宋_GB2312" w:hAnsi="仿宋_GB2312" w:cs="仿宋_GB2312" w:eastAsia="仿宋_GB2312"/>
                <w:sz w:val="20"/>
              </w:rPr>
              <w:t>接口有线键盘≥</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外设要求：提供</w:t>
            </w:r>
            <w:r>
              <w:rPr>
                <w:rFonts w:ascii="仿宋_GB2312" w:hAnsi="仿宋_GB2312" w:cs="仿宋_GB2312" w:eastAsia="仿宋_GB2312"/>
                <w:sz w:val="20"/>
              </w:rPr>
              <w:t>USB</w:t>
            </w:r>
            <w:r>
              <w:rPr>
                <w:rFonts w:ascii="仿宋_GB2312" w:hAnsi="仿宋_GB2312" w:cs="仿宋_GB2312" w:eastAsia="仿宋_GB2312"/>
                <w:sz w:val="20"/>
              </w:rPr>
              <w:t>接口有线鼠标≥</w:t>
            </w:r>
            <w:r>
              <w:rPr>
                <w:rFonts w:ascii="仿宋_GB2312" w:hAnsi="仿宋_GB2312" w:cs="仿宋_GB2312" w:eastAsia="仿宋_GB2312"/>
                <w:sz w:val="20"/>
              </w:rPr>
              <w:t>1</w:t>
            </w:r>
            <w:r>
              <w:rPr>
                <w:rFonts w:ascii="仿宋_GB2312" w:hAnsi="仿宋_GB2312" w:cs="仿宋_GB2312" w:eastAsia="仿宋_GB2312"/>
                <w:sz w:val="20"/>
              </w:rPr>
              <w:t>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 18.</w:t>
            </w:r>
            <w:r>
              <w:rPr>
                <w:rFonts w:ascii="仿宋_GB2312" w:hAnsi="仿宋_GB2312" w:cs="仿宋_GB2312" w:eastAsia="仿宋_GB2312"/>
                <w:sz w:val="20"/>
              </w:rPr>
              <w:t>外部接口要求：</w:t>
            </w:r>
            <w:r>
              <w:rPr>
                <w:rFonts w:ascii="仿宋_GB2312" w:hAnsi="仿宋_GB2312" w:cs="仿宋_GB2312" w:eastAsia="仿宋_GB2312"/>
                <w:sz w:val="20"/>
              </w:rPr>
              <w:t xml:space="preserve"> USB </w:t>
            </w:r>
            <w:r>
              <w:rPr>
                <w:rFonts w:ascii="仿宋_GB2312" w:hAnsi="仿宋_GB2312" w:cs="仿宋_GB2312" w:eastAsia="仿宋_GB2312"/>
                <w:sz w:val="20"/>
              </w:rPr>
              <w:t>接口数量应不少于</w:t>
            </w:r>
            <w:r>
              <w:rPr>
                <w:rFonts w:ascii="仿宋_GB2312" w:hAnsi="仿宋_GB2312" w:cs="仿宋_GB2312" w:eastAsia="仿宋_GB2312"/>
                <w:sz w:val="20"/>
              </w:rPr>
              <w:t>3</w:t>
            </w:r>
            <w:r>
              <w:rPr>
                <w:rFonts w:ascii="仿宋_GB2312" w:hAnsi="仿宋_GB2312" w:cs="仿宋_GB2312" w:eastAsia="仿宋_GB2312"/>
                <w:sz w:val="20"/>
              </w:rPr>
              <w:t>个，至少包含</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 xml:space="preserve">USB3.0 </w:t>
            </w:r>
            <w:r>
              <w:rPr>
                <w:rFonts w:ascii="仿宋_GB2312" w:hAnsi="仿宋_GB2312" w:cs="仿宋_GB2312" w:eastAsia="仿宋_GB2312"/>
                <w:sz w:val="20"/>
              </w:rPr>
              <w:t>及以上标准接口、视频接口数量 ≥</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19. </w:t>
            </w:r>
            <w:r>
              <w:rPr>
                <w:rFonts w:ascii="仿宋_GB2312" w:hAnsi="仿宋_GB2312" w:cs="仿宋_GB2312" w:eastAsia="仿宋_GB2312"/>
                <w:sz w:val="20"/>
              </w:rPr>
              <w:t>操作系统要求：至少自带预装正版</w:t>
            </w:r>
            <w:r>
              <w:rPr>
                <w:rFonts w:ascii="仿宋_GB2312" w:hAnsi="仿宋_GB2312" w:cs="仿宋_GB2312" w:eastAsia="仿宋_GB2312"/>
                <w:sz w:val="20"/>
              </w:rPr>
              <w:t>Windows 10</w:t>
            </w:r>
            <w:r>
              <w:rPr>
                <w:rFonts w:ascii="仿宋_GB2312" w:hAnsi="仿宋_GB2312" w:cs="仿宋_GB2312" w:eastAsia="仿宋_GB2312"/>
                <w:sz w:val="20"/>
              </w:rPr>
              <w:t>专业版（</w:t>
            </w:r>
            <w:r>
              <w:rPr>
                <w:rFonts w:ascii="仿宋_GB2312" w:hAnsi="仿宋_GB2312" w:cs="仿宋_GB2312" w:eastAsia="仿宋_GB2312"/>
                <w:sz w:val="20"/>
              </w:rPr>
              <w:t>64</w:t>
            </w:r>
            <w:r>
              <w:rPr>
                <w:rFonts w:ascii="仿宋_GB2312" w:hAnsi="仿宋_GB2312" w:cs="仿宋_GB2312" w:eastAsia="仿宋_GB2312"/>
                <w:sz w:val="20"/>
              </w:rPr>
              <w:t>位）操作系统。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 xml:space="preserve">20. </w:t>
            </w:r>
            <w:r>
              <w:rPr>
                <w:rFonts w:ascii="仿宋_GB2312" w:hAnsi="仿宋_GB2312" w:cs="仿宋_GB2312" w:eastAsia="仿宋_GB2312"/>
                <w:sz w:val="20"/>
              </w:rPr>
              <w:t>整机可靠性要求</w:t>
            </w:r>
            <w:r>
              <w:rPr>
                <w:rFonts w:ascii="仿宋_GB2312" w:hAnsi="仿宋_GB2312" w:cs="仿宋_GB2312" w:eastAsia="仿宋_GB2312"/>
                <w:sz w:val="20"/>
              </w:rPr>
              <w:t>:</w:t>
            </w:r>
            <w:r>
              <w:rPr>
                <w:rFonts w:ascii="仿宋_GB2312" w:hAnsi="仿宋_GB2312" w:cs="仿宋_GB2312" w:eastAsia="仿宋_GB2312"/>
                <w:sz w:val="20"/>
              </w:rPr>
              <w:t>整机噪音 产品工作在空闲状态下，产品的声功率级应不超过</w:t>
            </w:r>
            <w:r>
              <w:rPr>
                <w:rFonts w:ascii="仿宋_GB2312" w:hAnsi="仿宋_GB2312" w:cs="仿宋_GB2312" w:eastAsia="仿宋_GB2312"/>
                <w:sz w:val="20"/>
              </w:rPr>
              <w:t xml:space="preserve"> 4.5 Bel</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21. </w:t>
            </w:r>
            <w:r>
              <w:rPr>
                <w:rFonts w:ascii="仿宋_GB2312" w:hAnsi="仿宋_GB2312" w:cs="仿宋_GB2312" w:eastAsia="仿宋_GB2312"/>
                <w:sz w:val="20"/>
              </w:rPr>
              <w:t>整机可靠性要求</w:t>
            </w:r>
            <w:r>
              <w:rPr>
                <w:rFonts w:ascii="仿宋_GB2312" w:hAnsi="仿宋_GB2312" w:cs="仿宋_GB2312" w:eastAsia="仿宋_GB2312"/>
                <w:sz w:val="20"/>
              </w:rPr>
              <w:t xml:space="preserve">:MTBF </w:t>
            </w:r>
            <w:r>
              <w:rPr>
                <w:rFonts w:ascii="仿宋_GB2312" w:hAnsi="仿宋_GB2312" w:cs="仿宋_GB2312" w:eastAsia="仿宋_GB2312"/>
                <w:sz w:val="20"/>
              </w:rPr>
              <w:t>测试</w:t>
            </w:r>
            <w:r>
              <w:rPr>
                <w:rFonts w:ascii="仿宋_GB2312" w:hAnsi="仿宋_GB2312" w:cs="仿宋_GB2312" w:eastAsia="仿宋_GB2312"/>
                <w:sz w:val="20"/>
              </w:rPr>
              <w:t xml:space="preserve">  MTBF(m1)</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万小时。</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整机可靠性要求</w:t>
            </w:r>
            <w:r>
              <w:rPr>
                <w:rFonts w:ascii="仿宋_GB2312" w:hAnsi="仿宋_GB2312" w:cs="仿宋_GB2312" w:eastAsia="仿宋_GB2312"/>
                <w:sz w:val="20"/>
              </w:rPr>
              <w:t>:</w:t>
            </w:r>
            <w:r>
              <w:rPr>
                <w:rFonts w:ascii="仿宋_GB2312" w:hAnsi="仿宋_GB2312" w:cs="仿宋_GB2312" w:eastAsia="仿宋_GB2312"/>
                <w:sz w:val="20"/>
              </w:rPr>
              <w:t>处理器满载时（环境温度</w:t>
            </w:r>
            <w:r>
              <w:rPr>
                <w:rFonts w:ascii="仿宋_GB2312" w:hAnsi="仿宋_GB2312" w:cs="仿宋_GB2312" w:eastAsia="仿宋_GB2312"/>
                <w:sz w:val="20"/>
              </w:rPr>
              <w:t>25</w:t>
            </w:r>
            <w:r>
              <w:rPr>
                <w:rFonts w:ascii="仿宋_GB2312" w:hAnsi="仿宋_GB2312" w:cs="仿宋_GB2312" w:eastAsia="仿宋_GB2312"/>
                <w:sz w:val="20"/>
              </w:rPr>
              <w:t>℃），出风口温度≤</w:t>
            </w:r>
            <w:r>
              <w:rPr>
                <w:rFonts w:ascii="仿宋_GB2312" w:hAnsi="仿宋_GB2312" w:cs="仿宋_GB2312" w:eastAsia="仿宋_GB2312"/>
                <w:sz w:val="20"/>
              </w:rPr>
              <w:t>55</w:t>
            </w:r>
            <w:r>
              <w:rPr>
                <w:rFonts w:ascii="仿宋_GB2312" w:hAnsi="仿宋_GB2312" w:cs="仿宋_GB2312" w:eastAsia="仿宋_GB2312"/>
                <w:sz w:val="20"/>
              </w:rPr>
              <w:t>℃，机箱可触及表面温度≤</w:t>
            </w:r>
            <w:r>
              <w:rPr>
                <w:rFonts w:ascii="仿宋_GB2312" w:hAnsi="仿宋_GB2312" w:cs="仿宋_GB2312" w:eastAsia="仿宋_GB2312"/>
                <w:sz w:val="20"/>
              </w:rPr>
              <w:t>45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23.</w:t>
            </w:r>
            <w:r>
              <w:rPr>
                <w:rFonts w:ascii="仿宋_GB2312" w:hAnsi="仿宋_GB2312" w:cs="仿宋_GB2312" w:eastAsia="仿宋_GB2312"/>
                <w:sz w:val="20"/>
              </w:rPr>
              <w:t>除以上技术参数与性能指标外，投标人所投一体式计算机还应满足《财政部 工业和信息化部关于印发</w:t>
            </w:r>
            <w:r>
              <w:rPr>
                <w:rFonts w:ascii="仿宋_GB2312" w:hAnsi="仿宋_GB2312" w:cs="仿宋_GB2312" w:eastAsia="仿宋_GB2312"/>
                <w:sz w:val="20"/>
              </w:rPr>
              <w:t>&lt;</w:t>
            </w:r>
            <w:r>
              <w:rPr>
                <w:rFonts w:ascii="仿宋_GB2312" w:hAnsi="仿宋_GB2312" w:cs="仿宋_GB2312" w:eastAsia="仿宋_GB2312"/>
                <w:sz w:val="20"/>
              </w:rPr>
              <w:t>一体式计算机政府采购需求标准（</w:t>
            </w:r>
            <w:r>
              <w:rPr>
                <w:rFonts w:ascii="仿宋_GB2312" w:hAnsi="仿宋_GB2312" w:cs="仿宋_GB2312" w:eastAsia="仿宋_GB2312"/>
                <w:sz w:val="20"/>
              </w:rPr>
              <w:t>2023</w:t>
            </w:r>
            <w:r>
              <w:rPr>
                <w:rFonts w:ascii="仿宋_GB2312" w:hAnsi="仿宋_GB2312" w:cs="仿宋_GB2312" w:eastAsia="仿宋_GB2312"/>
                <w:sz w:val="20"/>
              </w:rPr>
              <w:t>年版）</w:t>
            </w:r>
            <w:r>
              <w:rPr>
                <w:rFonts w:ascii="仿宋_GB2312" w:hAnsi="仿宋_GB2312" w:cs="仿宋_GB2312" w:eastAsia="仿宋_GB2312"/>
                <w:sz w:val="20"/>
              </w:rPr>
              <w:t>&gt;</w:t>
            </w:r>
            <w:r>
              <w:rPr>
                <w:rFonts w:ascii="仿宋_GB2312" w:hAnsi="仿宋_GB2312" w:cs="仿宋_GB2312" w:eastAsia="仿宋_GB2312"/>
                <w:sz w:val="20"/>
              </w:rPr>
              <w:t>的通知》（财库〔</w:t>
            </w:r>
            <w:r>
              <w:rPr>
                <w:rFonts w:ascii="仿宋_GB2312" w:hAnsi="仿宋_GB2312" w:cs="仿宋_GB2312" w:eastAsia="仿宋_GB2312"/>
                <w:sz w:val="20"/>
              </w:rPr>
              <w:t>2023</w:t>
            </w:r>
            <w:r>
              <w:rPr>
                <w:rFonts w:ascii="仿宋_GB2312" w:hAnsi="仿宋_GB2312" w:cs="仿宋_GB2312" w:eastAsia="仿宋_GB2312"/>
                <w:sz w:val="20"/>
              </w:rPr>
              <w:t>〕</w:t>
            </w:r>
            <w:r>
              <w:rPr>
                <w:rFonts w:ascii="仿宋_GB2312" w:hAnsi="仿宋_GB2312" w:cs="仿宋_GB2312" w:eastAsia="仿宋_GB2312"/>
                <w:sz w:val="20"/>
              </w:rPr>
              <w:t>31</w:t>
            </w:r>
            <w:r>
              <w:rPr>
                <w:rFonts w:ascii="仿宋_GB2312" w:hAnsi="仿宋_GB2312" w:cs="仿宋_GB2312" w:eastAsia="仿宋_GB2312"/>
                <w:sz w:val="20"/>
              </w:rPr>
              <w:t>号）的附件“一体式计算机政府采购需求标准（</w:t>
            </w:r>
            <w:r>
              <w:rPr>
                <w:rFonts w:ascii="仿宋_GB2312" w:hAnsi="仿宋_GB2312" w:cs="仿宋_GB2312" w:eastAsia="仿宋_GB2312"/>
                <w:sz w:val="20"/>
              </w:rPr>
              <w:t xml:space="preserve">2023 </w:t>
            </w:r>
            <w:r>
              <w:rPr>
                <w:rFonts w:ascii="仿宋_GB2312" w:hAnsi="仿宋_GB2312" w:cs="仿宋_GB2312" w:eastAsia="仿宋_GB2312"/>
                <w:sz w:val="20"/>
              </w:rPr>
              <w:t>年版）”中全部加“</w:t>
            </w:r>
            <w:r>
              <w:rPr>
                <w:rFonts w:ascii="仿宋_GB2312" w:hAnsi="仿宋_GB2312" w:cs="仿宋_GB2312" w:eastAsia="仿宋_GB2312"/>
                <w:sz w:val="20"/>
              </w:rPr>
              <w:t>*</w:t>
            </w:r>
            <w:r>
              <w:rPr>
                <w:rFonts w:ascii="仿宋_GB2312" w:hAnsi="仿宋_GB2312" w:cs="仿宋_GB2312" w:eastAsia="仿宋_GB2312"/>
                <w:sz w:val="20"/>
              </w:rPr>
              <w:t>”（不包含“</w:t>
            </w:r>
            <w:r>
              <w:rPr>
                <w:rFonts w:ascii="仿宋_GB2312" w:hAnsi="仿宋_GB2312" w:cs="仿宋_GB2312" w:eastAsia="仿宋_GB2312"/>
                <w:sz w:val="20"/>
              </w:rPr>
              <w:t xml:space="preserve">CPU </w:t>
            </w:r>
            <w:r>
              <w:rPr>
                <w:rFonts w:ascii="仿宋_GB2312" w:hAnsi="仿宋_GB2312" w:cs="仿宋_GB2312" w:eastAsia="仿宋_GB2312"/>
                <w:sz w:val="20"/>
              </w:rPr>
              <w:t>和操作系统等关键部件应当符合安全可靠测评要求”）指标要求。</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投标人所投一体式计算机应具有国家确定的认证机构出具的处于有效期之内的节能产品认证证书。（说明：1.提供由国家确定的认证机构出具的、处于有效期之内的节能产品认证证书的原件扫描件，或“全国认证认可信息公共服务平台”（http://cx.cnca.cn）的认证信息截图。2.若提供“全国认证认可信息公共服务平台”（http://cx.cnca.cn）的认证信息截图的，截图内容至少包含证书到期日期、认证依据的标准和技术要求以及响应产品规格型号。）</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主体资格、知识产权及履约承诺（说明：投标人在投标文件中响应）</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）中标人应保证其所投标的拥有完全的所有权或已得到所有者充分的销售授权，并确保提供的所有资质文件真实有效合法。</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）中标人保证其拥有该标的所有知识产权，在合同签订后如有任何第三方就该标的所涉及知识产权主张权利，采购人有权解除合同，中标人应在采购人发出解除通知后</w:t>
            </w:r>
            <w:r>
              <w:rPr>
                <w:rFonts w:ascii="仿宋_GB2312" w:hAnsi="仿宋_GB2312" w:cs="仿宋_GB2312" w:eastAsia="仿宋_GB2312"/>
                <w:sz w:val="20"/>
              </w:rPr>
              <w:t>3</w:t>
            </w:r>
            <w:r>
              <w:rPr>
                <w:rFonts w:ascii="仿宋_GB2312" w:hAnsi="仿宋_GB2312" w:cs="仿宋_GB2312" w:eastAsia="仿宋_GB2312"/>
                <w:sz w:val="20"/>
              </w:rPr>
              <w:t>日内返还采购人已支付的全部费用并承担损失赔偿责任。如果由于中标人的原因导致采购人被第三方起诉或者追究侵权责任，中标人应向采购人承担赔偿责任（赔偿责任计算方式：按照采购人向第三人支付的赔偿数额或者赔偿方式计算）。</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中标人保证所供货物及配件均为合法销售、渠道正规的全新、未使用过的原装合格正品，完全符合国家及采购人提出的有关质量标准及招投标过程中展示的质量、规格和性能要求。如出现严重质量问题或产品制造商推诿质量、服务责任时，中标人须承担终极责任并提供质量和服务保障。如果出现假冒伪劣、盗版、产权不明等不合格产品，或供货质量货不对板的，假一赔三。情况严重者，采购人有权报监管部门进行处理。</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）货物运抵交货地点的运输费、装卸费、安装费及人工费等均由中标人承担，并在货物拆箱安装完成当天将外包装清理并运离医院，按照国家行业的相关要求进行环保回收。复验合格前所有风险由中标人承担。</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在充分保证货物财产安全的前提下，中标人应选择快捷高效的运输途径，尽量减少货物中转、装卸的次数。如委托第三方运输货物的，中标人须全程跟踪，不得任由承运人随意处置货物，否则由此引发的一切损失均由中标人予以赔偿。货物抵达采购人收货地点进行卸货作业时，不得损坏采购人电梯、墙体、家具、用具等物品，如有对采购人造成财产损失的，中标人须赔偿采购人全部损失。</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）所有货物须在出厂前完成硬件配置及操作系统预装，供应商应在每批次送货安装时同步提交与设备一一对应的“一机一号”清单。同时，中标供应商须为本项目组建不少于</w:t>
            </w:r>
            <w:r>
              <w:rPr>
                <w:rFonts w:ascii="仿宋_GB2312" w:hAnsi="仿宋_GB2312" w:cs="仿宋_GB2312" w:eastAsia="仿宋_GB2312"/>
                <w:sz w:val="20"/>
              </w:rPr>
              <w:t>1</w:t>
            </w:r>
            <w:r>
              <w:rPr>
                <w:rFonts w:ascii="仿宋_GB2312" w:hAnsi="仿宋_GB2312" w:cs="仿宋_GB2312" w:eastAsia="仿宋_GB2312"/>
                <w:sz w:val="20"/>
              </w:rPr>
              <w:t>名项目经理及至少</w:t>
            </w:r>
            <w:r>
              <w:rPr>
                <w:rFonts w:ascii="仿宋_GB2312" w:hAnsi="仿宋_GB2312" w:cs="仿宋_GB2312" w:eastAsia="仿宋_GB2312"/>
                <w:sz w:val="20"/>
              </w:rPr>
              <w:t>3</w:t>
            </w:r>
            <w:r>
              <w:rPr>
                <w:rFonts w:ascii="仿宋_GB2312" w:hAnsi="仿宋_GB2312" w:cs="仿宋_GB2312" w:eastAsia="仿宋_GB2312"/>
                <w:sz w:val="20"/>
              </w:rPr>
              <w:t>名技术工程师的专职服务团队（须提供完整人员名单、岗位职责），并确保该团队在收到采购人每批次送货通知</w:t>
            </w:r>
            <w:r>
              <w:rPr>
                <w:rFonts w:ascii="仿宋_GB2312" w:hAnsi="仿宋_GB2312" w:cs="仿宋_GB2312" w:eastAsia="仿宋_GB2312"/>
                <w:sz w:val="20"/>
              </w:rPr>
              <w:t xml:space="preserve"> 30 </w:t>
            </w:r>
            <w:r>
              <w:rPr>
                <w:rFonts w:ascii="仿宋_GB2312" w:hAnsi="仿宋_GB2312" w:cs="仿宋_GB2312" w:eastAsia="仿宋_GB2312"/>
                <w:sz w:val="20"/>
              </w:rPr>
              <w:t>日内（或采购人另行要求的时间），完成将货物运抵指定安装地点、旧机拆除、新货物安装调试、原设备数据迁移、软件部署及内外网联调等全部工作。以上所有人员与服务费用均已包含在项目总价中，采购人无需另行支付。</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人员培训（说明：投标人在投标文件中响应）</w:t>
            </w:r>
          </w:p>
          <w:p>
            <w:pPr>
              <w:pStyle w:val="null3"/>
              <w:ind w:firstLine="480"/>
              <w:jc w:val="left"/>
            </w:pPr>
            <w:r>
              <w:rPr>
                <w:rFonts w:ascii="仿宋_GB2312" w:hAnsi="仿宋_GB2312" w:cs="仿宋_GB2312" w:eastAsia="仿宋_GB2312"/>
                <w:sz w:val="21"/>
              </w:rPr>
              <w:t>中标人应在货物安装调试前和安装调试中对采购人相关使用人员进行技术培训（操作、简易维修等）。并保证采购人相关使用人员熟练掌握操作使用，保证货物正常使用并能排除货物的一般故障。中标人应对采购人维修工程师进行货物全系统维修培训。培训费用全部包含在合同总价中，采购人不再支付任何费用。</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0"/>
              </w:rPr>
              <w:t>★一、投标人为本项目提供的所有产品、辅材符合现行的强制性国家相关标准、行业标准（说明：投标人在投标文件中响应）</w:t>
            </w:r>
          </w:p>
          <w:p>
            <w:pPr>
              <w:pStyle w:val="null3"/>
              <w:jc w:val="left"/>
            </w:pPr>
            <w:r>
              <w:rPr>
                <w:rFonts w:ascii="仿宋_GB2312" w:hAnsi="仿宋_GB2312" w:cs="仿宋_GB2312" w:eastAsia="仿宋_GB2312"/>
                <w:sz w:val="20"/>
              </w:rPr>
              <w:t>★二、投标人为本项目提供的所有产品均为非进口产品。（说明：投标人在投标文件中响应）</w:t>
            </w:r>
          </w:p>
          <w:p>
            <w:pPr>
              <w:pStyle w:val="null3"/>
              <w:jc w:val="left"/>
            </w:pPr>
            <w:r>
              <w:rPr>
                <w:rFonts w:ascii="仿宋_GB2312" w:hAnsi="仿宋_GB2312" w:cs="仿宋_GB2312" w:eastAsia="仿宋_GB2312"/>
                <w:sz w:val="20"/>
              </w:rPr>
              <w:t>★三、本项目不接受联合体投标。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四、采购内容中的所有标的（标的名称以招标文件3.1采购内容为准），投标人必须在报价表中载明单价、响应报价、产地、品牌、规格型号、制造商。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（说明：投标人在投标文件中响应）在合同签订生效后，供应商按采购人需求分2批次进行送货及安装调试，每批次100台。中标人接采购人每批次送货通知 30 日以内或采购人另行要求的时间内负责将货物运输到达采购人指定的安装地点交货并完成安装调试和初验。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（说明：投标人在投标文件中响应）成都市第五人民医院（成都市温江区麻市街33号）内采购人指定的交货安装地点。</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说明：投标人在投标文件中响应）1、当批次货物安装调试完毕并复验合格后，接采购人通知，中标人向采购人提供合法有效的发票和双方签署的验收合格文件，采购人收到货后，达到付款条件起14日内，支付合同总金额的95.00%</w:t>
            </w:r>
          </w:p>
          <w:p>
            <w:pPr>
              <w:pStyle w:val="null3"/>
              <w:jc w:val="left"/>
            </w:pPr>
            <w:r>
              <w:rPr>
                <w:rFonts w:ascii="仿宋_GB2312" w:hAnsi="仿宋_GB2312" w:cs="仿宋_GB2312" w:eastAsia="仿宋_GB2312"/>
              </w:rPr>
              <w:t>2、整体项目验收合格后经采购人确认无质量问题，中标人提出支付申请并向采购人提供双方签署的整体验收合格文件，采购人收到后于10个工作日内进行支付，达到付款条件起14日内，支付合同总金额的5.00%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（说明：投标人在投标文件中响应） （1）初验： 中标供应商将货物运送至采购人指定地点，并及时通知采购人指派工作人员进行现场清点及安装位置确认。如安装涉及特殊场地条件或前置要求，供应商须提前书面告知采购人。对于隐蔽部件的安装，应在封闭前通知采购人现场核验。货物需适配采购人现有核心应用系统，现有核心应用系统包含：（1）医院信息系统(HIS)：生产厂商为北京天健源达科技股份有限公司；相关接口：医保，三医监管，外联平台；中间件：WEBSERVICE,数据集成ETL工具（KETTLE）：数据库：Oracle Database 12c Enterprise Edition Release 12.2.0.1.0 - 64bit Production。（2）电子病历系统(EMR)：生产厂商为江苏曼荼罗软件股份有限公司；中间件：WINDOWS 7及以上版本，framework4.0；数据库：Oracle Database 11g Enterprise Edition Release 11.2.0.4.0 - 64bit Production。3）医学检验系统(LIS)：生产厂商为上海杏和；中间件：Windows Server 2026 IIS；数据库：ORACLE19G；供应商应负责完成全部对接工作并实现调试运行状态，相关费用由中标供应商承担。 （2）复验： 货物初验合格后7个工作日内，中标供应商应完成安装调试工作，并确保达到采购人实际使用要求。调试完成后，中标供应商需向采购人提供该批次已安装货物的“一机一号”清单，并通知采购人进行复验。采购人将依据招标文件技术要求及中标供应商投标响应内容进行复验。 若货物未能通过复验，采购人有权要求中标供应商在7个工作日内重新调试；若再次未通过，采购人有权要求更换货物。如更换后仍无法通过验收，采购人有权作退货及解除合同，并要求中标供应商支付合同总金额的20%作为违约金。 复验合格的，由采购人及中标供应商双方指定工作人员共同签署验收合格文件。 （3）整体项目验收： 在所有批次货物均已交付、安装、调试并满足采购人实际运行要求后，中标供应商应书面通知采购人进行整体项目验收。供应商需同时提交以下资料： 1.整体项目验收申请； 2.全部货物的安装位置与“一机一号”对应清单； 3.设备合法性、使用授权及质量保证等相关书面文件； 4.全套使用说明书、产品合格证、保修卡或保修条例。 整体项目验收合格的，由采购人及中标供应商双方指定工作人员共同签署整体项目验收合格文件。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（说明：投标人在投标文件中响应） （1）中标供应商须为所供货物提供为期≥3年的全包保修及上门服务，保修期自货物整体项目最终验收合格并经双方书面确认之日起计算；期间货物维护维修、非人为损坏的零配件更换、培训等费用由中标供应商支付。 （2）中标人指派专人负责与采购人联系售后服务事宜，设置专人售后服务电话，并承诺7天*24小时接听电话，电话响应后售后人员能4小时内到达。 （3）全包质保期内，中标人负责提供货物维修、维护、保养、退换、非人为损坏的零配（部）件更换及上门服务等，接到电话后48小时内完成维修。若超过48小时仍未无法排除故障，供应商需提供备用货物采购人不再支付任何费用。 （4）质保期满后，中标人终身提供及时的维修、维护服务。 （5）质保期内货物单次维修时间超过10天或维修次数超过3次，采购人有权要求中标人无条件更换货物，中标人不得推诿拒绝。</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说明：投标人在投标文件中响应）（1）中标人延迟到货或安装则按中标总价的0.5％/天作为违约金支付给采购人（如因采购人场地原因延迟到货除外）。中标人延迟到货或安装时间逾超超过30天的，采购人有权单方面解除合同，采购人因此解除合同的，中标人应按中标总价的20%向采购人支付违约金。违约金不足弥补采购人损失的，中标人还应赔偿损失。（2）如中标人未能及时履行维修义务，采购人有权聘请第三方进行维修。中标人应承担第三方维修的所有风险和责任，包括但不限于因第三方维修导致的任何直接或间接损失，采购人根据合同规定对中标人行使的其它权利不受影响。因第三方维修产生的所有费用由中标人全额承担。若采购人已先行垫付相关费用，采购人有权向中标人追偿全部垫付款项。此外，采购人有权要求中标人按照合同金额的20%支付违约金。因产品质量问题导致采购人无法正常使用或未达到预期使用效果的，由此引发的所有纠纷及赔偿责任均由中标人承担。 （3）中标人交付的货物质量不符合合同规定的，中标人应向采购人支付中标总价的百分之五的违约金，并须在采购人规定时间内更换合格的货物给采购人，否则，视作供中标应商不能交付货物而违约，采购人有权立即解除本合同，中标人则应按中标总价的百分之十的款额向采购人支付违约金，并须全额退还采购人已经付给供应商的货款。 （4）中标人若未将货物包装物等及时清理出医院，采购人有权从应付货款中扣除2000元人民币（贰仟元正）作为违约金，若实际清理成本超过2000元，则采购人有权要求中标人承担超出部分的清理费用，并以实际发生的清理成本为准。 （5）中标人偿付的违约金不足以弥补采购人损失的，还应按采购人损失尚未弥补的部分，支付赔偿金给采购人。 （6）因采购人原因造成逾期支付款项的，除应及时付足款项外，应向供应商偿付欠款总额万分之一/天的违约金；因供应商自身原因造成款项逾期支付的，采购人不承担违约责任。 9.责任追责与责任分配 （1）中标人作为直接销售者，对货物的质量和安全性负有首要责任。中标人应确保所销售的产品符合国家相关安全标准和法律法规的要求，并承担因产品缺陷导致的一切损害赔偿责任。 （2）中标人与生产厂家或其他第三方供应商之间的责任问题，包括但不限于产品责任、质量保证、追偿权等，由中标人自行解决。采购人不参与中标人与生产厂家之间的任何内部责任划分和追偿事宜。 （3）在货物正常使用过程中，如发生因非人为损坏所导致的人员伤亡、建筑损毁等严重后果，采购人仅向中标人追究责任。采购人不介入中标人与生产厂家或任何第三方供应商之间的责任划分和追偿事宜。 （4）在发生上述严重后果时，中标人应先行赔付采购人的全部损失，包括但不限于人身损害赔偿、财产损失赔偿、精神损害赔偿等。中标人应在收到采购人索赔通知后15个工作日内，与采购人协商赔偿事宜，并达成一致解决方案。 （5）如中标人未能履行本项目条款规定的赔偿责任，采购人有权通过法律程序维护自身权益，包括但不限于向法院提起诉讼。采购人在法律程序中仅追究中标人的责任，不涉及中标人与生产厂家或其他第三方供应商之间的责任问题。</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说明：投标人在投标文件中响应）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行贿犯罪记录：在行贿犯罪信息查询期限内，投标人及其现任法定代表人、主要负责人没有行贿犯罪记录的书面声明材料。[说明：①按声明函的内容及要求提供书面声明材料并进行电子签章；投标文件中不需提供中国裁判文书网（https://wenshu.court.gov.cn）查询结果的证明材料；②在行贿犯罪信息查询期限内，供应商及其现任法定代表人、主要负责人没有行贿犯罪记录。] 3、未被列入失信被执行人、重大税收违法案件当事人名单、政府采购严重违法失信行为记录名单：（1）投标人未列入失信被执行人、重大税收违法案件当事人名单、政府采购严重违法失信行为记录名单的书面声明材料。[说明：①按声明函的内容及要求提供书面声明材料并进行电子签章；②投标人未列入失信被执行人、重大税收违法案件当事人名单、政府采购严重违法失信行为记录名单。]（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 4、未处于被行政部门禁止参与政府采购活动的期限内：投标人未处于被行政部门禁止参与政府采购活动的期限内。[说明：①按声明函的内容及要求提供书面声明材料并进行电子签章；②供应商未处于被行政部门禁止参与政府采购活动的期限内。] 5、不属于国家相关法律法规规定的其他禁止参加投标的情形：（1）根据招标文件的要求不属于禁止参加投标或投标无效的供应商；（2）资格审查小组未发现或者未知晓投标人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投标文件的计量单位、语言、报价货币、响应有效期、知识产权等均符合采购文件的实质性要求以及不应当作无效响应处理。</w:t>
            </w:r>
          </w:p>
        </w:tc>
        <w:tc>
          <w:tcPr>
            <w:tcW w:type="dxa" w:w="1661"/>
          </w:tcPr>
          <w:p>
            <w:pPr>
              <w:pStyle w:val="null3"/>
              <w:jc w:val="left"/>
            </w:pPr>
            <w:r>
              <w:rPr>
                <w:rFonts w:ascii="仿宋_GB2312" w:hAnsi="仿宋_GB2312" w:cs="仿宋_GB2312" w:eastAsia="仿宋_GB2312"/>
              </w:rPr>
              <w:t>服务应答表,投标（响应）函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3、投标报价应包含本次招标要求的所有货物及服务的费用。4、投标报价符合招标文件2.4.5.投标报价要求。</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加★号的技术、服务、商务及其他要求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投标文件均实质性响应招标文件中加★号的技术、服务、商务及其他要求。</w:t>
            </w:r>
          </w:p>
        </w:tc>
        <w:tc>
          <w:tcPr>
            <w:tcW w:type="dxa" w:w="1661"/>
          </w:tcPr>
          <w:p>
            <w:pPr>
              <w:pStyle w:val="null3"/>
              <w:jc w:val="left"/>
            </w:pPr>
            <w:r>
              <w:rPr>
                <w:rFonts w:ascii="仿宋_GB2312" w:hAnsi="仿宋_GB2312" w:cs="仿宋_GB2312" w:eastAsia="仿宋_GB2312"/>
              </w:rPr>
              <w:t>服务应答表,投标（响应）函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 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详细评审50.00分</w:t>
            </w:r>
          </w:p>
          <w:p>
            <w:pPr>
              <w:pStyle w:val="null3"/>
              <w:jc w:val="left"/>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1、投标人投标产品的技术参数完全满足招标文件技术要求中未加★号的技术参数与性能指标的得48分；投标人投标产品的技术参数不满足招标文件技术要求中未加★号的技术参数与性能指标的,则在48分的基础上，按以下原则扣分,扣完为止：每有一项不满足招标文件中未加★号的技术参数与性能指标的扣6分。（说明：以阿拉伯数字标注为一项。）</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投标人提供2023年1月1日（含1日）以后一体式计算机销售业绩的，得1分，本项最多得2分。 （说明：以合同签订时间为准，提供合同复印件及合同资金支付银行转账凭证，如为分期付款的，至少提供一次与之对应的银行转账凭证。）</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1、经评标委员会评审，通过资格性和符合性审查，且投标报价最低的投标人的投标报价作为评审基准价； 2、评审报价得分=评审基准价／响应报价×50。</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投标人投标产品为采购文件载明的采购标的及所属行业（采购标的及所属行业详见3.1采购内容）的小型微型企业制造的货物的价格（如涉及）给予10%的价格扣除，用扣除后的价格参与评审；[说明：（１）监狱企业、残疾人福利性单位视同小型、微型企业；（2）投标人投标产品为中小企业制造的货物提供中小企业申明函；投标人投标产品为残疾人福利性单位制造的货物提供残疾人福利性单位声明函；投标人投标产品中为监狱企业制造的货物应提供由省级以上监狱管理局、戒毒管理局（含新疆生产建设兵团）出具的制造商属于监狱企业的证明文件复印件。（３）同一货物仅作一次价格扣除；（４）提供的货物既有中小企业制造货物，也有大型企业制造货物的，不享受价格扣除。]</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产品技术参数响应表,服务应答表</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详见附件：声明函.docx</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