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B85E">
      <w:pPr>
        <w:jc w:val="center"/>
        <w:outlineLvl w:val="0"/>
        <w:rPr>
          <w:rFonts w:hint="eastAsia" w:ascii="宋体" w:hAnsi="宋体" w:cs="宋体"/>
          <w:b/>
          <w:bCs/>
          <w:color w:val="auto"/>
          <w:sz w:val="72"/>
          <w:szCs w:val="96"/>
          <w:highlight w:val="none"/>
          <w:lang w:eastAsia="zh-CN"/>
        </w:rPr>
      </w:pPr>
      <w:bookmarkStart w:id="0" w:name="_Toc6322"/>
      <w:bookmarkStart w:id="1" w:name="_Toc30354"/>
      <w:r>
        <w:rPr>
          <w:rFonts w:hint="eastAsia" w:ascii="宋体" w:hAnsi="宋体" w:cs="宋体"/>
          <w:b/>
          <w:bCs/>
          <w:color w:val="auto"/>
          <w:sz w:val="72"/>
          <w:szCs w:val="96"/>
          <w:highlight w:val="none"/>
          <w:lang w:val="en-US" w:eastAsia="zh-CN"/>
        </w:rPr>
        <w:t>招标</w:t>
      </w:r>
      <w:r>
        <w:rPr>
          <w:rFonts w:hint="eastAsia" w:ascii="宋体" w:hAnsi="宋体" w:cs="宋体"/>
          <w:b/>
          <w:bCs/>
          <w:color w:val="auto"/>
          <w:sz w:val="72"/>
          <w:szCs w:val="96"/>
          <w:highlight w:val="none"/>
          <w:lang w:eastAsia="zh-CN"/>
        </w:rPr>
        <w:t>文件</w:t>
      </w:r>
    </w:p>
    <w:p w14:paraId="5CB0A02C">
      <w:pPr>
        <w:pStyle w:val="5"/>
        <w:bidi w:val="0"/>
        <w:jc w:val="center"/>
        <w:rPr>
          <w:rFonts w:hint="eastAsia"/>
          <w:sz w:val="24"/>
          <w:szCs w:val="22"/>
        </w:rPr>
      </w:pPr>
      <w:r>
        <w:rPr>
          <w:rFonts w:hint="eastAsia"/>
          <w:sz w:val="24"/>
          <w:szCs w:val="22"/>
        </w:rPr>
        <w:t>（ 公 开 招 标 ）</w:t>
      </w:r>
    </w:p>
    <w:p w14:paraId="5AA944CD">
      <w:pPr>
        <w:jc w:val="center"/>
        <w:outlineLvl w:val="0"/>
        <w:rPr>
          <w:rFonts w:hint="eastAsia" w:ascii="宋体" w:hAnsi="宋体" w:cs="宋体"/>
          <w:b/>
          <w:bCs/>
          <w:color w:val="auto"/>
          <w:sz w:val="72"/>
          <w:szCs w:val="96"/>
          <w:highlight w:val="none"/>
          <w:lang w:eastAsia="zh-CN"/>
        </w:rPr>
      </w:pPr>
    </w:p>
    <w:p w14:paraId="628A3E93">
      <w:pPr>
        <w:jc w:val="center"/>
        <w:rPr>
          <w:rFonts w:hint="eastAsia" w:ascii="宋体" w:hAnsi="宋体" w:eastAsia="宋体" w:cs="宋体"/>
          <w:b/>
          <w:bCs/>
          <w:color w:val="auto"/>
          <w:sz w:val="36"/>
          <w:szCs w:val="36"/>
          <w:highlight w:val="none"/>
        </w:rPr>
      </w:pPr>
    </w:p>
    <w:p w14:paraId="42D76818">
      <w:pPr>
        <w:pStyle w:val="9"/>
        <w:widowControl/>
        <w:kinsoku w:val="0"/>
        <w:autoSpaceDE w:val="0"/>
        <w:autoSpaceDN w:val="0"/>
        <w:adjustRightInd w:val="0"/>
        <w:snapToGrid w:val="0"/>
        <w:spacing w:before="100" w:line="360" w:lineRule="auto"/>
        <w:jc w:val="both"/>
        <w:textAlignment w:val="baseline"/>
        <w:rPr>
          <w:rFonts w:hint="default" w:ascii="宋体" w:hAnsi="宋体" w:eastAsia="宋体" w:cs="宋体"/>
          <w:b/>
          <w:bCs/>
          <w:snapToGrid w:val="0"/>
          <w:color w:val="auto"/>
          <w:spacing w:val="25"/>
          <w:kern w:val="0"/>
          <w:sz w:val="31"/>
          <w:szCs w:val="31"/>
          <w:lang w:val="en-US" w:eastAsia="zh-CN"/>
        </w:rPr>
      </w:pPr>
    </w:p>
    <w:p w14:paraId="41419375">
      <w:pPr>
        <w:pStyle w:val="9"/>
        <w:widowControl/>
        <w:kinsoku w:val="0"/>
        <w:autoSpaceDE w:val="0"/>
        <w:autoSpaceDN w:val="0"/>
        <w:adjustRightInd w:val="0"/>
        <w:snapToGrid w:val="0"/>
        <w:spacing w:before="100" w:line="360" w:lineRule="auto"/>
        <w:jc w:val="both"/>
        <w:textAlignment w:val="baseline"/>
        <w:rPr>
          <w:rFonts w:hint="default" w:ascii="宋体" w:hAnsi="宋体" w:eastAsia="宋体" w:cs="宋体"/>
          <w:b/>
          <w:bCs/>
          <w:snapToGrid w:val="0"/>
          <w:color w:val="auto"/>
          <w:spacing w:val="25"/>
          <w:kern w:val="0"/>
          <w:sz w:val="31"/>
          <w:szCs w:val="31"/>
          <w:lang w:val="en-US" w:eastAsia="zh-CN"/>
        </w:rPr>
      </w:pPr>
    </w:p>
    <w:p w14:paraId="655EBF24">
      <w:pPr>
        <w:pStyle w:val="9"/>
        <w:widowControl/>
        <w:kinsoku w:val="0"/>
        <w:autoSpaceDE w:val="0"/>
        <w:autoSpaceDN w:val="0"/>
        <w:adjustRightInd w:val="0"/>
        <w:snapToGrid w:val="0"/>
        <w:spacing w:before="100" w:line="360" w:lineRule="auto"/>
        <w:jc w:val="both"/>
        <w:textAlignment w:val="baseline"/>
        <w:rPr>
          <w:rFonts w:hint="default" w:ascii="宋体" w:hAnsi="宋体" w:eastAsia="宋体" w:cs="宋体"/>
          <w:b/>
          <w:bCs/>
          <w:snapToGrid w:val="0"/>
          <w:color w:val="auto"/>
          <w:spacing w:val="25"/>
          <w:kern w:val="0"/>
          <w:sz w:val="31"/>
          <w:szCs w:val="31"/>
          <w:lang w:val="en-US" w:eastAsia="zh-CN"/>
        </w:rPr>
      </w:pPr>
    </w:p>
    <w:p w14:paraId="32B1C861">
      <w:pPr>
        <w:pStyle w:val="9"/>
        <w:widowControl/>
        <w:kinsoku w:val="0"/>
        <w:autoSpaceDE w:val="0"/>
        <w:autoSpaceDN w:val="0"/>
        <w:adjustRightInd w:val="0"/>
        <w:snapToGrid w:val="0"/>
        <w:spacing w:before="100" w:line="360" w:lineRule="auto"/>
        <w:jc w:val="both"/>
        <w:textAlignment w:val="baseline"/>
        <w:rPr>
          <w:rFonts w:hint="default" w:ascii="宋体" w:hAnsi="宋体" w:eastAsia="宋体" w:cs="宋体"/>
          <w:b/>
          <w:bCs/>
          <w:snapToGrid w:val="0"/>
          <w:color w:val="auto"/>
          <w:spacing w:val="25"/>
          <w:kern w:val="0"/>
          <w:sz w:val="31"/>
          <w:szCs w:val="31"/>
          <w:lang w:val="en-US" w:eastAsia="zh-CN"/>
        </w:rPr>
      </w:pPr>
    </w:p>
    <w:p w14:paraId="5DA2B49C">
      <w:pPr>
        <w:pStyle w:val="9"/>
        <w:widowControl/>
        <w:kinsoku w:val="0"/>
        <w:autoSpaceDE w:val="0"/>
        <w:autoSpaceDN w:val="0"/>
        <w:adjustRightInd w:val="0"/>
        <w:snapToGrid w:val="0"/>
        <w:spacing w:before="100" w:line="360" w:lineRule="auto"/>
        <w:ind w:left="1756" w:hanging="1756" w:hangingChars="500"/>
        <w:jc w:val="both"/>
        <w:textAlignment w:val="baseline"/>
        <w:rPr>
          <w:rFonts w:hint="eastAsia" w:ascii="宋体" w:hAnsi="宋体" w:eastAsia="宋体" w:cs="宋体"/>
          <w:b/>
          <w:bCs/>
          <w:snapToGrid w:val="0"/>
          <w:color w:val="auto"/>
          <w:spacing w:val="25"/>
          <w:kern w:val="0"/>
          <w:sz w:val="30"/>
          <w:szCs w:val="30"/>
          <w:lang w:val="en-US" w:eastAsia="zh-CN"/>
        </w:rPr>
      </w:pPr>
      <w:r>
        <w:rPr>
          <w:rFonts w:hint="eastAsia" w:ascii="宋体" w:hAnsi="宋体" w:eastAsia="宋体" w:cs="宋体"/>
          <w:b/>
          <w:bCs/>
          <w:snapToGrid w:val="0"/>
          <w:color w:val="auto"/>
          <w:spacing w:val="25"/>
          <w:kern w:val="0"/>
          <w:sz w:val="30"/>
          <w:szCs w:val="30"/>
          <w:lang w:val="en-US" w:eastAsia="zh-CN"/>
        </w:rPr>
        <w:t>项目名称：2026年前郭县义务教育薄弱环节改善与能力提升—教学计算机采购项目</w:t>
      </w:r>
    </w:p>
    <w:p w14:paraId="2388111D">
      <w:pPr>
        <w:pStyle w:val="9"/>
        <w:widowControl/>
        <w:kinsoku w:val="0"/>
        <w:autoSpaceDE w:val="0"/>
        <w:autoSpaceDN w:val="0"/>
        <w:adjustRightInd w:val="0"/>
        <w:snapToGrid w:val="0"/>
        <w:spacing w:before="100" w:line="360" w:lineRule="auto"/>
        <w:jc w:val="both"/>
        <w:textAlignment w:val="baseline"/>
        <w:rPr>
          <w:rFonts w:hint="eastAsia" w:ascii="宋体" w:hAnsi="宋体" w:eastAsia="宋体" w:cs="宋体"/>
          <w:b/>
          <w:bCs/>
          <w:snapToGrid w:val="0"/>
          <w:color w:val="auto"/>
          <w:spacing w:val="25"/>
          <w:kern w:val="0"/>
          <w:sz w:val="30"/>
          <w:szCs w:val="30"/>
          <w:lang w:val="en-US" w:eastAsia="zh-CN"/>
        </w:rPr>
      </w:pPr>
      <w:r>
        <w:rPr>
          <w:rFonts w:hint="eastAsia" w:ascii="宋体" w:hAnsi="宋体" w:eastAsia="宋体" w:cs="宋体"/>
          <w:b/>
          <w:bCs/>
          <w:snapToGrid w:val="0"/>
          <w:color w:val="auto"/>
          <w:spacing w:val="25"/>
          <w:kern w:val="0"/>
          <w:sz w:val="30"/>
          <w:szCs w:val="30"/>
          <w:lang w:val="en-US" w:eastAsia="zh-CN"/>
        </w:rPr>
        <w:t>项目编号：</w:t>
      </w:r>
      <w:bookmarkStart w:id="2" w:name="_Toc29135"/>
      <w:r>
        <w:rPr>
          <w:rFonts w:hint="eastAsia" w:ascii="宋体" w:hAnsi="宋体" w:eastAsia="宋体" w:cs="宋体"/>
          <w:b/>
          <w:bCs/>
          <w:snapToGrid w:val="0"/>
          <w:color w:val="auto"/>
          <w:spacing w:val="25"/>
          <w:kern w:val="0"/>
          <w:sz w:val="30"/>
          <w:szCs w:val="30"/>
          <w:lang w:val="en-US" w:eastAsia="zh-CN"/>
        </w:rPr>
        <w:t>采购计划-[2026]-00220-2026008</w:t>
      </w:r>
    </w:p>
    <w:p w14:paraId="77AC0FB8">
      <w:pPr>
        <w:pStyle w:val="9"/>
        <w:widowControl/>
        <w:kinsoku w:val="0"/>
        <w:autoSpaceDE w:val="0"/>
        <w:autoSpaceDN w:val="0"/>
        <w:adjustRightInd w:val="0"/>
        <w:snapToGrid w:val="0"/>
        <w:spacing w:before="100" w:line="360" w:lineRule="auto"/>
        <w:jc w:val="both"/>
        <w:textAlignment w:val="baseline"/>
        <w:rPr>
          <w:rFonts w:hint="default" w:ascii="宋体" w:hAnsi="宋体" w:eastAsia="宋体" w:cs="宋体"/>
          <w:b/>
          <w:bCs/>
          <w:snapToGrid w:val="0"/>
          <w:color w:val="auto"/>
          <w:spacing w:val="25"/>
          <w:kern w:val="0"/>
          <w:sz w:val="30"/>
          <w:szCs w:val="30"/>
          <w:lang w:val="en-US" w:eastAsia="zh-CN"/>
        </w:rPr>
      </w:pPr>
      <w:r>
        <w:rPr>
          <w:rFonts w:hint="eastAsia" w:ascii="宋体" w:hAnsi="宋体" w:eastAsia="宋体" w:cs="宋体"/>
          <w:b/>
          <w:bCs/>
          <w:snapToGrid w:val="0"/>
          <w:color w:val="auto"/>
          <w:spacing w:val="25"/>
          <w:kern w:val="0"/>
          <w:sz w:val="30"/>
          <w:szCs w:val="30"/>
          <w:lang w:val="en-US" w:eastAsia="en-US"/>
        </w:rPr>
        <w:t>采购单位：</w:t>
      </w:r>
      <w:bookmarkEnd w:id="2"/>
      <w:r>
        <w:rPr>
          <w:rFonts w:hint="eastAsia" w:ascii="宋体" w:hAnsi="宋体" w:eastAsia="宋体" w:cs="宋体"/>
          <w:b/>
          <w:bCs/>
          <w:snapToGrid w:val="0"/>
          <w:color w:val="auto"/>
          <w:spacing w:val="25"/>
          <w:kern w:val="0"/>
          <w:sz w:val="30"/>
          <w:szCs w:val="30"/>
          <w:lang w:val="en-US" w:eastAsia="zh-CN"/>
        </w:rPr>
        <w:t>前郭尔罗斯蒙古族自治县教育技术装备办公室</w:t>
      </w:r>
    </w:p>
    <w:p w14:paraId="12FF2793">
      <w:pPr>
        <w:pStyle w:val="9"/>
        <w:widowControl/>
        <w:kinsoku w:val="0"/>
        <w:autoSpaceDE w:val="0"/>
        <w:autoSpaceDN w:val="0"/>
        <w:adjustRightInd w:val="0"/>
        <w:snapToGrid w:val="0"/>
        <w:spacing w:before="100" w:line="360" w:lineRule="auto"/>
        <w:jc w:val="both"/>
        <w:textAlignment w:val="baseline"/>
        <w:rPr>
          <w:rFonts w:hint="eastAsia" w:ascii="宋体" w:hAnsi="宋体" w:eastAsia="宋体" w:cs="宋体"/>
          <w:b/>
          <w:bCs/>
          <w:snapToGrid w:val="0"/>
          <w:color w:val="auto"/>
          <w:spacing w:val="25"/>
          <w:kern w:val="0"/>
          <w:sz w:val="30"/>
          <w:szCs w:val="30"/>
          <w:lang w:val="en-US" w:eastAsia="en-US"/>
        </w:rPr>
      </w:pPr>
      <w:r>
        <w:rPr>
          <w:rFonts w:hint="eastAsia" w:ascii="宋体" w:hAnsi="宋体" w:eastAsia="宋体" w:cs="宋体"/>
          <w:b/>
          <w:bCs/>
          <w:snapToGrid w:val="0"/>
          <w:color w:val="auto"/>
          <w:spacing w:val="25"/>
          <w:kern w:val="0"/>
          <w:sz w:val="30"/>
          <w:szCs w:val="30"/>
          <w:lang w:val="en-US" w:eastAsia="zh-CN"/>
        </w:rPr>
        <w:t>代理</w:t>
      </w:r>
      <w:r>
        <w:rPr>
          <w:rFonts w:hint="eastAsia" w:ascii="宋体" w:hAnsi="宋体" w:eastAsia="宋体" w:cs="宋体"/>
          <w:b/>
          <w:bCs/>
          <w:snapToGrid w:val="0"/>
          <w:color w:val="auto"/>
          <w:spacing w:val="25"/>
          <w:kern w:val="0"/>
          <w:sz w:val="30"/>
          <w:szCs w:val="30"/>
          <w:lang w:val="en-US" w:eastAsia="en-US"/>
        </w:rPr>
        <w:t>机构：前郭尔罗斯蒙古族自治县政府采购中心</w:t>
      </w:r>
    </w:p>
    <w:p w14:paraId="22CFF894">
      <w:pPr>
        <w:pStyle w:val="9"/>
        <w:widowControl/>
        <w:kinsoku w:val="0"/>
        <w:autoSpaceDE w:val="0"/>
        <w:autoSpaceDN w:val="0"/>
        <w:adjustRightInd w:val="0"/>
        <w:snapToGrid w:val="0"/>
        <w:spacing w:before="100" w:line="360" w:lineRule="auto"/>
        <w:ind w:left="1806" w:hanging="1806" w:hangingChars="500"/>
        <w:jc w:val="both"/>
        <w:textAlignment w:val="baseline"/>
        <w:rPr>
          <w:rFonts w:hint="eastAsia" w:ascii="宋体" w:hAnsi="宋体" w:eastAsia="宋体" w:cs="宋体"/>
          <w:b/>
          <w:bCs/>
          <w:snapToGrid w:val="0"/>
          <w:color w:val="auto"/>
          <w:spacing w:val="25"/>
          <w:kern w:val="0"/>
          <w:sz w:val="31"/>
          <w:szCs w:val="31"/>
          <w:lang w:eastAsia="en-US"/>
        </w:rPr>
      </w:pPr>
    </w:p>
    <w:p w14:paraId="7E5E9560">
      <w:pPr>
        <w:pStyle w:val="9"/>
        <w:widowControl/>
        <w:kinsoku w:val="0"/>
        <w:autoSpaceDE w:val="0"/>
        <w:autoSpaceDN w:val="0"/>
        <w:adjustRightInd w:val="0"/>
        <w:snapToGrid w:val="0"/>
        <w:spacing w:before="100" w:line="360" w:lineRule="auto"/>
        <w:ind w:left="1718" w:leftChars="818" w:firstLine="1806" w:firstLineChars="500"/>
        <w:jc w:val="both"/>
        <w:textAlignment w:val="baseline"/>
        <w:rPr>
          <w:rFonts w:hint="eastAsia" w:ascii="宋体" w:hAnsi="宋体" w:eastAsia="宋体" w:cs="宋体"/>
          <w:color w:val="000000"/>
          <w:sz w:val="52"/>
          <w:szCs w:val="52"/>
          <w:highlight w:val="none"/>
          <w:lang w:val="zh-CN"/>
        </w:rPr>
      </w:pPr>
      <w:r>
        <w:rPr>
          <w:rFonts w:hint="eastAsia" w:ascii="宋体" w:hAnsi="宋体" w:eastAsia="宋体" w:cs="宋体"/>
          <w:b/>
          <w:bCs/>
          <w:snapToGrid w:val="0"/>
          <w:color w:val="auto"/>
          <w:spacing w:val="25"/>
          <w:kern w:val="0"/>
          <w:sz w:val="31"/>
          <w:szCs w:val="31"/>
          <w:lang w:eastAsia="en-US"/>
        </w:rPr>
        <w:t>202</w:t>
      </w:r>
      <w:r>
        <w:rPr>
          <w:rFonts w:hint="eastAsia" w:ascii="宋体" w:hAnsi="宋体" w:eastAsia="宋体" w:cs="宋体"/>
          <w:b/>
          <w:bCs/>
          <w:snapToGrid w:val="0"/>
          <w:color w:val="auto"/>
          <w:spacing w:val="25"/>
          <w:kern w:val="0"/>
          <w:sz w:val="31"/>
          <w:szCs w:val="31"/>
          <w:lang w:val="en-US" w:eastAsia="zh-CN"/>
        </w:rPr>
        <w:t>6</w:t>
      </w:r>
      <w:r>
        <w:rPr>
          <w:rFonts w:hint="eastAsia" w:ascii="宋体" w:hAnsi="宋体" w:eastAsia="宋体" w:cs="宋体"/>
          <w:b/>
          <w:bCs/>
          <w:snapToGrid w:val="0"/>
          <w:color w:val="auto"/>
          <w:spacing w:val="25"/>
          <w:kern w:val="0"/>
          <w:sz w:val="31"/>
          <w:szCs w:val="31"/>
          <w:lang w:eastAsia="en-US"/>
        </w:rPr>
        <w:t>年</w:t>
      </w:r>
      <w:r>
        <w:rPr>
          <w:rFonts w:hint="eastAsia" w:ascii="宋体" w:hAnsi="宋体" w:eastAsia="宋体" w:cs="宋体"/>
          <w:b/>
          <w:bCs/>
          <w:snapToGrid w:val="0"/>
          <w:color w:val="auto"/>
          <w:spacing w:val="25"/>
          <w:kern w:val="0"/>
          <w:sz w:val="31"/>
          <w:szCs w:val="31"/>
          <w:lang w:val="en-US" w:eastAsia="zh-CN"/>
        </w:rPr>
        <w:t>7</w:t>
      </w:r>
      <w:r>
        <w:rPr>
          <w:rFonts w:hint="eastAsia" w:ascii="宋体" w:hAnsi="宋体" w:eastAsia="宋体" w:cs="宋体"/>
          <w:b/>
          <w:bCs/>
          <w:snapToGrid w:val="0"/>
          <w:color w:val="auto"/>
          <w:spacing w:val="25"/>
          <w:kern w:val="0"/>
          <w:sz w:val="31"/>
          <w:szCs w:val="31"/>
          <w:lang w:eastAsia="en-US"/>
        </w:rPr>
        <w:t>月</w:t>
      </w:r>
    </w:p>
    <w:p w14:paraId="6119CAA8">
      <w:pPr>
        <w:pStyle w:val="15"/>
        <w:tabs>
          <w:tab w:val="right" w:leader="dot" w:pos="9214"/>
        </w:tabs>
        <w:spacing w:line="276" w:lineRule="auto"/>
        <w:ind w:right="84" w:rightChars="40"/>
        <w:jc w:val="center"/>
        <w:rPr>
          <w:rFonts w:hint="eastAsia" w:ascii="宋体" w:hAnsi="宋体" w:eastAsia="宋体" w:cs="宋体"/>
          <w:color w:val="000000"/>
          <w:sz w:val="52"/>
          <w:szCs w:val="52"/>
          <w:highlight w:val="none"/>
          <w:lang w:val="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rtlGutter w:val="0"/>
          <w:docGrid w:type="lines" w:linePitch="460" w:charSpace="0"/>
        </w:sectPr>
      </w:pPr>
    </w:p>
    <w:p w14:paraId="74E66F23">
      <w:pPr>
        <w:pStyle w:val="15"/>
        <w:tabs>
          <w:tab w:val="right" w:leader="dot" w:pos="9214"/>
        </w:tabs>
        <w:spacing w:line="276" w:lineRule="auto"/>
        <w:ind w:right="84" w:rightChars="40"/>
        <w:jc w:val="center"/>
        <w:rPr>
          <w:rFonts w:hint="eastAsia" w:ascii="宋体" w:hAnsi="宋体" w:eastAsia="宋体" w:cs="宋体"/>
          <w:color w:val="000000"/>
          <w:sz w:val="52"/>
          <w:szCs w:val="52"/>
          <w:highlight w:val="none"/>
          <w:lang w:val="zh-CN"/>
        </w:rPr>
      </w:pPr>
      <w:r>
        <w:rPr>
          <w:rFonts w:hint="eastAsia" w:ascii="宋体" w:hAnsi="宋体" w:eastAsia="宋体" w:cs="宋体"/>
          <w:color w:val="000000"/>
          <w:sz w:val="52"/>
          <w:szCs w:val="52"/>
          <w:highlight w:val="none"/>
          <w:lang w:val="zh-CN"/>
        </w:rPr>
        <w:t>目    录</w:t>
      </w:r>
    </w:p>
    <w:p w14:paraId="63102C5C">
      <w:pPr>
        <w:pStyle w:val="15"/>
        <w:tabs>
          <w:tab w:val="right" w:leader="dot" w:pos="8789"/>
        </w:tabs>
        <w:rPr>
          <w:rFonts w:hint="eastAsia" w:ascii="宋体" w:hAnsi="宋体" w:eastAsia="宋体" w:cs="宋体"/>
          <w:color w:val="000000"/>
          <w:sz w:val="32"/>
          <w:szCs w:val="32"/>
          <w:highlight w:val="none"/>
          <w:lang w:val="zh-CN"/>
        </w:rPr>
      </w:pPr>
    </w:p>
    <w:p w14:paraId="22C6439A">
      <w:pPr>
        <w:pStyle w:val="15"/>
        <w:tabs>
          <w:tab w:val="right" w:leader="dot" w:pos="10206"/>
        </w:tabs>
        <w:rPr>
          <w:color w:val="000000"/>
          <w:sz w:val="28"/>
          <w:szCs w:val="28"/>
          <w:highlight w:val="none"/>
        </w:rPr>
      </w:pPr>
      <w:r>
        <w:rPr>
          <w:rFonts w:hint="eastAsia" w:ascii="宋体" w:hAnsi="宋体" w:eastAsia="宋体" w:cs="宋体"/>
          <w:b w:val="0"/>
          <w:bCs w:val="0"/>
          <w:color w:val="000000"/>
          <w:sz w:val="28"/>
          <w:szCs w:val="28"/>
          <w:highlight w:val="none"/>
        </w:rPr>
        <w:fldChar w:fldCharType="begin"/>
      </w:r>
      <w:r>
        <w:rPr>
          <w:rFonts w:hint="eastAsia" w:ascii="宋体" w:hAnsi="宋体" w:eastAsia="宋体" w:cs="宋体"/>
          <w:b w:val="0"/>
          <w:bCs w:val="0"/>
          <w:color w:val="000000"/>
          <w:sz w:val="28"/>
          <w:szCs w:val="28"/>
          <w:highlight w:val="none"/>
        </w:rPr>
        <w:instrText xml:space="preserve">TOC \t "样式3,1" \h</w:instrText>
      </w:r>
      <w:r>
        <w:rPr>
          <w:rFonts w:hint="eastAsia" w:ascii="宋体" w:hAnsi="宋体" w:eastAsia="宋体" w:cs="宋体"/>
          <w:b w:val="0"/>
          <w:bCs w:val="0"/>
          <w:color w:val="000000"/>
          <w:sz w:val="28"/>
          <w:szCs w:val="28"/>
          <w:highlight w:val="none"/>
        </w:rPr>
        <w:fldChar w:fldCharType="separate"/>
      </w:r>
      <w:r>
        <w:rPr>
          <w:rFonts w:hint="eastAsia" w:ascii="宋体" w:hAnsi="宋体" w:eastAsia="宋体" w:cs="宋体"/>
          <w:bCs w:val="0"/>
          <w:color w:val="000000"/>
          <w:sz w:val="28"/>
          <w:szCs w:val="28"/>
          <w:highlight w:val="none"/>
        </w:rPr>
        <w:fldChar w:fldCharType="begin"/>
      </w:r>
      <w:r>
        <w:rPr>
          <w:rFonts w:hint="eastAsia" w:ascii="宋体" w:hAnsi="宋体" w:eastAsia="宋体" w:cs="宋体"/>
          <w:bCs w:val="0"/>
          <w:color w:val="000000"/>
          <w:sz w:val="28"/>
          <w:szCs w:val="28"/>
          <w:highlight w:val="none"/>
        </w:rPr>
        <w:instrText xml:space="preserve"> HYPERLINK \l _Toc6322 </w:instrText>
      </w:r>
      <w:r>
        <w:rPr>
          <w:rFonts w:hint="eastAsia" w:ascii="宋体" w:hAnsi="宋体" w:eastAsia="宋体" w:cs="宋体"/>
          <w:bCs w:val="0"/>
          <w:color w:val="000000"/>
          <w:sz w:val="28"/>
          <w:szCs w:val="28"/>
          <w:highlight w:val="none"/>
        </w:rPr>
        <w:fldChar w:fldCharType="separate"/>
      </w:r>
      <w:r>
        <w:rPr>
          <w:rFonts w:hint="eastAsia"/>
          <w:color w:val="000000"/>
          <w:sz w:val="28"/>
          <w:szCs w:val="28"/>
          <w:highlight w:val="none"/>
          <w:lang w:val="en-US" w:eastAsia="zh-CN"/>
        </w:rPr>
        <w:t>第一章  招标</w:t>
      </w:r>
      <w:r>
        <w:rPr>
          <w:rFonts w:hint="eastAsia"/>
          <w:color w:val="000000"/>
          <w:sz w:val="28"/>
          <w:szCs w:val="28"/>
          <w:highlight w:val="none"/>
          <w:lang w:eastAsia="zh-CN"/>
        </w:rPr>
        <w:t>公告</w:t>
      </w:r>
      <w:r>
        <w:rPr>
          <w:color w:val="000000"/>
          <w:sz w:val="28"/>
          <w:szCs w:val="28"/>
          <w:highlight w:val="none"/>
        </w:rPr>
        <w:tab/>
      </w:r>
      <w:r>
        <w:rPr>
          <w:rFonts w:hint="eastAsia"/>
          <w:color w:val="000000"/>
          <w:sz w:val="28"/>
          <w:szCs w:val="28"/>
          <w:highlight w:val="none"/>
          <w:lang w:val="en-US" w:eastAsia="zh-CN"/>
        </w:rPr>
        <w:t>1</w:t>
      </w:r>
      <w:r>
        <w:rPr>
          <w:rFonts w:hint="eastAsia" w:ascii="宋体" w:hAnsi="宋体" w:eastAsia="宋体" w:cs="宋体"/>
          <w:bCs w:val="0"/>
          <w:color w:val="000000"/>
          <w:sz w:val="28"/>
          <w:szCs w:val="28"/>
          <w:highlight w:val="none"/>
        </w:rPr>
        <w:fldChar w:fldCharType="end"/>
      </w:r>
    </w:p>
    <w:p w14:paraId="7C1F0D8A">
      <w:pPr>
        <w:pStyle w:val="15"/>
        <w:tabs>
          <w:tab w:val="right" w:leader="dot" w:pos="10206"/>
        </w:tabs>
        <w:rPr>
          <w:rFonts w:hint="eastAsia" w:eastAsia="宋体"/>
          <w:color w:val="000000"/>
          <w:sz w:val="28"/>
          <w:szCs w:val="28"/>
          <w:highlight w:val="none"/>
          <w:lang w:val="en-US" w:eastAsia="zh-CN"/>
        </w:rPr>
      </w:pPr>
      <w:r>
        <w:rPr>
          <w:rFonts w:hint="eastAsia" w:ascii="宋体" w:hAnsi="宋体" w:eastAsia="宋体" w:cs="宋体"/>
          <w:bCs w:val="0"/>
          <w:color w:val="000000"/>
          <w:sz w:val="28"/>
          <w:szCs w:val="28"/>
          <w:highlight w:val="none"/>
        </w:rPr>
        <w:fldChar w:fldCharType="begin"/>
      </w:r>
      <w:r>
        <w:rPr>
          <w:rFonts w:hint="eastAsia" w:ascii="宋体" w:hAnsi="宋体" w:eastAsia="宋体" w:cs="宋体"/>
          <w:bCs w:val="0"/>
          <w:color w:val="000000"/>
          <w:sz w:val="28"/>
          <w:szCs w:val="28"/>
          <w:highlight w:val="none"/>
        </w:rPr>
        <w:instrText xml:space="preserve"> HYPERLINK \l _Toc2139 </w:instrText>
      </w:r>
      <w:r>
        <w:rPr>
          <w:rFonts w:hint="eastAsia" w:ascii="宋体" w:hAnsi="宋体" w:eastAsia="宋体" w:cs="宋体"/>
          <w:bCs w:val="0"/>
          <w:color w:val="000000"/>
          <w:sz w:val="28"/>
          <w:szCs w:val="28"/>
          <w:highlight w:val="none"/>
        </w:rPr>
        <w:fldChar w:fldCharType="separate"/>
      </w:r>
      <w:r>
        <w:rPr>
          <w:rFonts w:hint="eastAsia"/>
          <w:bCs/>
          <w:color w:val="000000"/>
          <w:sz w:val="28"/>
          <w:szCs w:val="28"/>
          <w:highlight w:val="none"/>
        </w:rPr>
        <w:t xml:space="preserve">第二章  </w:t>
      </w:r>
      <w:r>
        <w:rPr>
          <w:rFonts w:hint="eastAsia"/>
          <w:bCs/>
          <w:color w:val="000000"/>
          <w:sz w:val="28"/>
          <w:szCs w:val="28"/>
          <w:highlight w:val="none"/>
          <w:lang w:val="en-US" w:eastAsia="zh-CN"/>
        </w:rPr>
        <w:t>投标人</w:t>
      </w:r>
      <w:r>
        <w:rPr>
          <w:rFonts w:hint="eastAsia"/>
          <w:bCs/>
          <w:color w:val="000000"/>
          <w:sz w:val="28"/>
          <w:szCs w:val="28"/>
          <w:highlight w:val="none"/>
        </w:rPr>
        <w:t>须知</w:t>
      </w:r>
      <w:r>
        <w:rPr>
          <w:color w:val="000000"/>
          <w:sz w:val="28"/>
          <w:szCs w:val="28"/>
          <w:highlight w:val="none"/>
        </w:rPr>
        <w:tab/>
      </w:r>
      <w:r>
        <w:rPr>
          <w:rFonts w:hint="eastAsia"/>
          <w:color w:val="000000"/>
          <w:sz w:val="28"/>
          <w:szCs w:val="28"/>
          <w:highlight w:val="none"/>
          <w:lang w:val="en-US" w:eastAsia="zh-CN"/>
        </w:rPr>
        <w:t>4</w:t>
      </w:r>
      <w:r>
        <w:rPr>
          <w:rFonts w:hint="eastAsia" w:ascii="宋体" w:hAnsi="宋体" w:eastAsia="宋体" w:cs="宋体"/>
          <w:bCs w:val="0"/>
          <w:color w:val="000000"/>
          <w:sz w:val="28"/>
          <w:szCs w:val="28"/>
          <w:highlight w:val="none"/>
        </w:rPr>
        <w:fldChar w:fldCharType="end"/>
      </w:r>
    </w:p>
    <w:p w14:paraId="74D94AC0">
      <w:pPr>
        <w:pStyle w:val="15"/>
        <w:tabs>
          <w:tab w:val="right" w:leader="dot" w:pos="10206"/>
        </w:tabs>
        <w:rPr>
          <w:rFonts w:hint="eastAsia" w:eastAsia="宋体"/>
          <w:color w:val="000000"/>
          <w:sz w:val="28"/>
          <w:szCs w:val="28"/>
          <w:highlight w:val="none"/>
          <w:lang w:val="en-US" w:eastAsia="zh-CN"/>
        </w:rPr>
      </w:pPr>
      <w:r>
        <w:rPr>
          <w:rFonts w:hint="eastAsia" w:ascii="宋体" w:hAnsi="宋体" w:eastAsia="宋体" w:cs="宋体"/>
          <w:bCs w:val="0"/>
          <w:color w:val="000000"/>
          <w:sz w:val="28"/>
          <w:szCs w:val="28"/>
          <w:highlight w:val="none"/>
        </w:rPr>
        <w:fldChar w:fldCharType="begin"/>
      </w:r>
      <w:r>
        <w:rPr>
          <w:rFonts w:hint="eastAsia" w:ascii="宋体" w:hAnsi="宋体" w:eastAsia="宋体" w:cs="宋体"/>
          <w:bCs w:val="0"/>
          <w:color w:val="000000"/>
          <w:sz w:val="28"/>
          <w:szCs w:val="28"/>
          <w:highlight w:val="none"/>
        </w:rPr>
        <w:instrText xml:space="preserve"> HYPERLINK \l _Toc10005 </w:instrText>
      </w:r>
      <w:r>
        <w:rPr>
          <w:rFonts w:hint="eastAsia" w:ascii="宋体" w:hAnsi="宋体" w:eastAsia="宋体" w:cs="宋体"/>
          <w:bCs w:val="0"/>
          <w:color w:val="000000"/>
          <w:sz w:val="28"/>
          <w:szCs w:val="28"/>
          <w:highlight w:val="none"/>
        </w:rPr>
        <w:fldChar w:fldCharType="separate"/>
      </w:r>
      <w:r>
        <w:rPr>
          <w:rFonts w:hint="eastAsia"/>
          <w:bCs/>
          <w:color w:val="000000"/>
          <w:sz w:val="28"/>
          <w:szCs w:val="28"/>
          <w:highlight w:val="none"/>
          <w:lang w:val="zh-CN"/>
        </w:rPr>
        <w:t>第三章</w:t>
      </w:r>
      <w:r>
        <w:rPr>
          <w:rFonts w:hint="eastAsia"/>
          <w:bCs/>
          <w:color w:val="000000"/>
          <w:sz w:val="28"/>
          <w:szCs w:val="28"/>
          <w:highlight w:val="none"/>
        </w:rPr>
        <w:t xml:space="preserve">  </w:t>
      </w:r>
      <w:r>
        <w:rPr>
          <w:rFonts w:hint="eastAsia"/>
          <w:bCs/>
          <w:color w:val="000000"/>
          <w:sz w:val="28"/>
          <w:szCs w:val="28"/>
          <w:highlight w:val="none"/>
          <w:lang w:val="en-US" w:eastAsia="zh-CN"/>
        </w:rPr>
        <w:t>政府采购合同</w:t>
      </w:r>
      <w:r>
        <w:rPr>
          <w:color w:val="000000"/>
          <w:sz w:val="28"/>
          <w:szCs w:val="28"/>
          <w:highlight w:val="none"/>
        </w:rPr>
        <w:tab/>
      </w:r>
      <w:r>
        <w:rPr>
          <w:rFonts w:hint="eastAsia"/>
          <w:color w:val="000000"/>
          <w:sz w:val="28"/>
          <w:szCs w:val="28"/>
          <w:highlight w:val="none"/>
          <w:lang w:val="en-US" w:eastAsia="zh-CN"/>
        </w:rPr>
        <w:t>1</w:t>
      </w:r>
      <w:r>
        <w:rPr>
          <w:rFonts w:hint="eastAsia" w:ascii="宋体" w:hAnsi="宋体" w:eastAsia="宋体" w:cs="宋体"/>
          <w:bCs w:val="0"/>
          <w:color w:val="000000"/>
          <w:sz w:val="28"/>
          <w:szCs w:val="28"/>
          <w:highlight w:val="none"/>
        </w:rPr>
        <w:fldChar w:fldCharType="end"/>
      </w:r>
      <w:r>
        <w:rPr>
          <w:rFonts w:hint="eastAsia" w:ascii="宋体" w:hAnsi="宋体" w:eastAsia="宋体" w:cs="宋体"/>
          <w:bCs w:val="0"/>
          <w:color w:val="000000"/>
          <w:sz w:val="28"/>
          <w:szCs w:val="28"/>
          <w:highlight w:val="none"/>
          <w:lang w:val="en-US" w:eastAsia="zh-CN"/>
        </w:rPr>
        <w:t>0</w:t>
      </w:r>
    </w:p>
    <w:p w14:paraId="15DF1E4C">
      <w:pPr>
        <w:pStyle w:val="15"/>
        <w:tabs>
          <w:tab w:val="right" w:leader="dot" w:pos="10206"/>
        </w:tabs>
        <w:rPr>
          <w:rFonts w:hint="eastAsia" w:eastAsia="宋体"/>
          <w:color w:val="000000"/>
          <w:sz w:val="28"/>
          <w:szCs w:val="28"/>
          <w:highlight w:val="none"/>
          <w:lang w:val="en-US" w:eastAsia="zh-CN"/>
        </w:rPr>
      </w:pPr>
      <w:r>
        <w:rPr>
          <w:rFonts w:hint="eastAsia" w:ascii="宋体" w:hAnsi="宋体" w:eastAsia="宋体" w:cs="宋体"/>
          <w:bCs w:val="0"/>
          <w:color w:val="000000"/>
          <w:sz w:val="28"/>
          <w:szCs w:val="28"/>
          <w:highlight w:val="none"/>
        </w:rPr>
        <w:fldChar w:fldCharType="begin"/>
      </w:r>
      <w:r>
        <w:rPr>
          <w:rFonts w:hint="eastAsia" w:ascii="宋体" w:hAnsi="宋体" w:eastAsia="宋体" w:cs="宋体"/>
          <w:bCs w:val="0"/>
          <w:color w:val="000000"/>
          <w:sz w:val="28"/>
          <w:szCs w:val="28"/>
          <w:highlight w:val="none"/>
        </w:rPr>
        <w:instrText xml:space="preserve"> HYPERLINK \l _Toc18994 </w:instrText>
      </w:r>
      <w:r>
        <w:rPr>
          <w:rFonts w:hint="eastAsia" w:ascii="宋体" w:hAnsi="宋体" w:eastAsia="宋体" w:cs="宋体"/>
          <w:bCs w:val="0"/>
          <w:color w:val="000000"/>
          <w:sz w:val="28"/>
          <w:szCs w:val="28"/>
          <w:highlight w:val="none"/>
        </w:rPr>
        <w:fldChar w:fldCharType="separate"/>
      </w:r>
      <w:r>
        <w:rPr>
          <w:rFonts w:hint="eastAsia"/>
          <w:color w:val="000000"/>
          <w:sz w:val="28"/>
          <w:szCs w:val="28"/>
          <w:highlight w:val="none"/>
          <w:lang w:val="zh-CN"/>
        </w:rPr>
        <w:t>第四章</w:t>
      </w:r>
      <w:r>
        <w:rPr>
          <w:rFonts w:hint="eastAsia"/>
          <w:color w:val="000000"/>
          <w:sz w:val="28"/>
          <w:szCs w:val="28"/>
          <w:highlight w:val="none"/>
        </w:rPr>
        <w:t xml:space="preserve">  </w:t>
      </w:r>
      <w:r>
        <w:rPr>
          <w:rFonts w:hint="eastAsia"/>
          <w:color w:val="000000"/>
          <w:sz w:val="28"/>
          <w:szCs w:val="28"/>
          <w:highlight w:val="none"/>
          <w:lang w:val="zh-CN"/>
        </w:rPr>
        <w:t>采购需求</w:t>
      </w:r>
      <w:r>
        <w:rPr>
          <w:color w:val="000000"/>
          <w:sz w:val="28"/>
          <w:szCs w:val="28"/>
          <w:highlight w:val="none"/>
        </w:rPr>
        <w:tab/>
      </w:r>
      <w:r>
        <w:rPr>
          <w:rFonts w:hint="eastAsia"/>
          <w:color w:val="000000"/>
          <w:sz w:val="28"/>
          <w:szCs w:val="28"/>
          <w:highlight w:val="none"/>
          <w:lang w:val="en-US" w:eastAsia="zh-CN"/>
        </w:rPr>
        <w:t>1</w:t>
      </w:r>
      <w:r>
        <w:rPr>
          <w:rFonts w:hint="eastAsia" w:ascii="宋体" w:hAnsi="宋体" w:eastAsia="宋体" w:cs="宋体"/>
          <w:bCs w:val="0"/>
          <w:color w:val="000000"/>
          <w:sz w:val="28"/>
          <w:szCs w:val="28"/>
          <w:highlight w:val="none"/>
        </w:rPr>
        <w:fldChar w:fldCharType="end"/>
      </w:r>
      <w:r>
        <w:rPr>
          <w:rFonts w:hint="eastAsia" w:ascii="宋体" w:hAnsi="宋体" w:eastAsia="宋体" w:cs="宋体"/>
          <w:bCs w:val="0"/>
          <w:color w:val="000000"/>
          <w:sz w:val="28"/>
          <w:szCs w:val="28"/>
          <w:highlight w:val="none"/>
          <w:lang w:val="en-US" w:eastAsia="zh-CN"/>
        </w:rPr>
        <w:t>9</w:t>
      </w:r>
    </w:p>
    <w:p w14:paraId="71CA1611">
      <w:pPr>
        <w:pStyle w:val="15"/>
        <w:tabs>
          <w:tab w:val="right" w:leader="dot" w:pos="10206"/>
        </w:tabs>
        <w:rPr>
          <w:rFonts w:hint="eastAsia" w:eastAsia="宋体"/>
          <w:color w:val="000000"/>
          <w:sz w:val="28"/>
          <w:szCs w:val="28"/>
          <w:highlight w:val="none"/>
          <w:lang w:val="en-US" w:eastAsia="zh-CN"/>
        </w:rPr>
      </w:pPr>
      <w:r>
        <w:rPr>
          <w:rFonts w:hint="eastAsia" w:ascii="宋体" w:hAnsi="宋体" w:eastAsia="宋体" w:cs="宋体"/>
          <w:bCs w:val="0"/>
          <w:color w:val="000000"/>
          <w:sz w:val="28"/>
          <w:szCs w:val="28"/>
          <w:highlight w:val="none"/>
        </w:rPr>
        <w:fldChar w:fldCharType="begin"/>
      </w:r>
      <w:r>
        <w:rPr>
          <w:rFonts w:hint="eastAsia" w:ascii="宋体" w:hAnsi="宋体" w:eastAsia="宋体" w:cs="宋体"/>
          <w:bCs w:val="0"/>
          <w:color w:val="000000"/>
          <w:sz w:val="28"/>
          <w:szCs w:val="28"/>
          <w:highlight w:val="none"/>
        </w:rPr>
        <w:instrText xml:space="preserve"> HYPERLINK \l _Toc18861 </w:instrText>
      </w:r>
      <w:r>
        <w:rPr>
          <w:rFonts w:hint="eastAsia" w:ascii="宋体" w:hAnsi="宋体" w:eastAsia="宋体" w:cs="宋体"/>
          <w:bCs w:val="0"/>
          <w:color w:val="000000"/>
          <w:sz w:val="28"/>
          <w:szCs w:val="28"/>
          <w:highlight w:val="none"/>
        </w:rPr>
        <w:fldChar w:fldCharType="separate"/>
      </w:r>
      <w:r>
        <w:rPr>
          <w:rFonts w:hint="eastAsia"/>
          <w:color w:val="000000"/>
          <w:sz w:val="28"/>
          <w:szCs w:val="28"/>
          <w:highlight w:val="none"/>
          <w:lang w:val="zh-CN"/>
        </w:rPr>
        <w:t>第五章</w:t>
      </w:r>
      <w:r>
        <w:rPr>
          <w:rFonts w:hint="eastAsia"/>
          <w:color w:val="000000"/>
          <w:sz w:val="28"/>
          <w:szCs w:val="28"/>
          <w:highlight w:val="none"/>
          <w:lang w:val="en-US" w:eastAsia="zh-CN"/>
        </w:rPr>
        <w:t xml:space="preserve">  </w:t>
      </w:r>
      <w:r>
        <w:rPr>
          <w:rFonts w:hint="eastAsia"/>
          <w:color w:val="000000"/>
          <w:sz w:val="28"/>
          <w:szCs w:val="28"/>
          <w:highlight w:val="none"/>
          <w:lang w:val="zh-CN"/>
        </w:rPr>
        <w:t>评标办法</w:t>
      </w:r>
      <w:r>
        <w:rPr>
          <w:color w:val="000000"/>
          <w:sz w:val="28"/>
          <w:szCs w:val="28"/>
          <w:highlight w:val="none"/>
        </w:rPr>
        <w:tab/>
      </w:r>
      <w:r>
        <w:rPr>
          <w:rFonts w:hint="eastAsia"/>
          <w:color w:val="000000"/>
          <w:sz w:val="28"/>
          <w:szCs w:val="28"/>
          <w:highlight w:val="none"/>
          <w:lang w:val="en-US" w:eastAsia="zh-CN"/>
        </w:rPr>
        <w:t>3</w:t>
      </w:r>
      <w:r>
        <w:rPr>
          <w:rFonts w:hint="eastAsia" w:ascii="宋体" w:hAnsi="宋体" w:eastAsia="宋体" w:cs="宋体"/>
          <w:bCs w:val="0"/>
          <w:color w:val="000000"/>
          <w:sz w:val="28"/>
          <w:szCs w:val="28"/>
          <w:highlight w:val="none"/>
        </w:rPr>
        <w:fldChar w:fldCharType="end"/>
      </w:r>
      <w:r>
        <w:rPr>
          <w:rFonts w:hint="eastAsia" w:ascii="宋体" w:hAnsi="宋体" w:eastAsia="宋体" w:cs="宋体"/>
          <w:bCs w:val="0"/>
          <w:color w:val="000000"/>
          <w:sz w:val="28"/>
          <w:szCs w:val="28"/>
          <w:highlight w:val="none"/>
          <w:lang w:val="en-US" w:eastAsia="zh-CN"/>
        </w:rPr>
        <w:t>6</w:t>
      </w:r>
    </w:p>
    <w:p w14:paraId="71CFE3AE">
      <w:pPr>
        <w:pStyle w:val="15"/>
        <w:tabs>
          <w:tab w:val="right" w:leader="dot" w:pos="10206"/>
        </w:tabs>
        <w:rPr>
          <w:rFonts w:hint="eastAsia" w:ascii="宋体" w:hAnsi="宋体" w:eastAsia="宋体" w:cs="宋体"/>
          <w:bCs w:val="0"/>
          <w:color w:val="000000"/>
          <w:sz w:val="28"/>
          <w:szCs w:val="28"/>
          <w:highlight w:val="none"/>
          <w:lang w:val="en-US" w:eastAsia="zh-CN"/>
        </w:rPr>
      </w:pPr>
      <w:r>
        <w:rPr>
          <w:rFonts w:hint="eastAsia" w:ascii="宋体" w:hAnsi="宋体" w:eastAsia="宋体" w:cs="宋体"/>
          <w:bCs w:val="0"/>
          <w:color w:val="000000"/>
          <w:sz w:val="28"/>
          <w:szCs w:val="28"/>
          <w:highlight w:val="none"/>
        </w:rPr>
        <w:fldChar w:fldCharType="begin"/>
      </w:r>
      <w:r>
        <w:rPr>
          <w:rFonts w:hint="eastAsia" w:ascii="宋体" w:hAnsi="宋体" w:eastAsia="宋体" w:cs="宋体"/>
          <w:bCs w:val="0"/>
          <w:color w:val="000000"/>
          <w:sz w:val="28"/>
          <w:szCs w:val="28"/>
          <w:highlight w:val="none"/>
        </w:rPr>
        <w:instrText xml:space="preserve"> HYPERLINK \l _Toc7350 </w:instrText>
      </w:r>
      <w:r>
        <w:rPr>
          <w:rFonts w:hint="eastAsia" w:ascii="宋体" w:hAnsi="宋体" w:eastAsia="宋体" w:cs="宋体"/>
          <w:bCs w:val="0"/>
          <w:color w:val="000000"/>
          <w:sz w:val="28"/>
          <w:szCs w:val="28"/>
          <w:highlight w:val="none"/>
        </w:rPr>
        <w:fldChar w:fldCharType="separate"/>
      </w:r>
      <w:r>
        <w:rPr>
          <w:rFonts w:hint="eastAsia"/>
          <w:bCs/>
          <w:color w:val="000000"/>
          <w:sz w:val="28"/>
          <w:szCs w:val="28"/>
          <w:highlight w:val="none"/>
          <w:lang w:val="zh-CN" w:eastAsia="zh-CN"/>
        </w:rPr>
        <w:t>第六章</w:t>
      </w:r>
      <w:r>
        <w:rPr>
          <w:rFonts w:hint="eastAsia"/>
          <w:bCs/>
          <w:color w:val="000000"/>
          <w:sz w:val="28"/>
          <w:szCs w:val="28"/>
          <w:highlight w:val="none"/>
          <w:lang w:val="en-US" w:eastAsia="zh-CN"/>
        </w:rPr>
        <w:t xml:space="preserve">  投标文件主要条款及格式样本</w:t>
      </w:r>
      <w:r>
        <w:rPr>
          <w:color w:val="000000"/>
          <w:sz w:val="28"/>
          <w:szCs w:val="28"/>
          <w:highlight w:val="none"/>
        </w:rPr>
        <w:tab/>
      </w:r>
      <w:r>
        <w:rPr>
          <w:rFonts w:hint="eastAsia"/>
          <w:color w:val="000000"/>
          <w:sz w:val="28"/>
          <w:szCs w:val="28"/>
          <w:highlight w:val="none"/>
          <w:lang w:val="en-US" w:eastAsia="zh-CN"/>
        </w:rPr>
        <w:t>4</w:t>
      </w:r>
      <w:r>
        <w:rPr>
          <w:rFonts w:hint="eastAsia" w:ascii="宋体" w:hAnsi="宋体" w:eastAsia="宋体" w:cs="宋体"/>
          <w:bCs w:val="0"/>
          <w:color w:val="000000"/>
          <w:sz w:val="28"/>
          <w:szCs w:val="28"/>
          <w:highlight w:val="none"/>
        </w:rPr>
        <w:fldChar w:fldCharType="end"/>
      </w:r>
      <w:r>
        <w:rPr>
          <w:rFonts w:hint="eastAsia" w:ascii="宋体" w:hAnsi="宋体" w:eastAsia="宋体" w:cs="宋体"/>
          <w:bCs w:val="0"/>
          <w:color w:val="000000"/>
          <w:sz w:val="28"/>
          <w:szCs w:val="28"/>
          <w:highlight w:val="none"/>
          <w:lang w:val="en-US" w:eastAsia="zh-CN"/>
        </w:rPr>
        <w:t>2</w:t>
      </w:r>
    </w:p>
    <w:p w14:paraId="16D85E8F">
      <w:pPr>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rtlGutter w:val="0"/>
          <w:docGrid w:type="lines" w:linePitch="460" w:charSpace="0"/>
        </w:sectPr>
      </w:pPr>
    </w:p>
    <w:p w14:paraId="2EBDF466">
      <w:pPr>
        <w:pStyle w:val="29"/>
      </w:pPr>
    </w:p>
    <w:p w14:paraId="40E7B132">
      <w:pPr>
        <w:pStyle w:val="3"/>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bCs w:val="0"/>
          <w:color w:val="000000"/>
          <w:sz w:val="28"/>
          <w:szCs w:val="28"/>
          <w:highlight w:val="none"/>
        </w:rPr>
        <w:fldChar w:fldCharType="end"/>
      </w:r>
      <w:bookmarkEnd w:id="0"/>
      <w:bookmarkEnd w:id="1"/>
      <w:bookmarkStart w:id="3" w:name="_Toc486863664"/>
      <w:r>
        <w:rPr>
          <w:rFonts w:hint="eastAsia" w:ascii="宋体" w:hAnsi="宋体" w:eastAsia="宋体" w:cs="宋体"/>
          <w:color w:val="auto"/>
          <w:highlight w:val="none"/>
          <w:lang w:eastAsia="zh-CN"/>
        </w:rPr>
        <w:t>第一章</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公告</w:t>
      </w:r>
    </w:p>
    <w:p w14:paraId="1B19B18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5E1713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eastAsia="zh-CN"/>
        </w:rPr>
        <w:t>2026年前郭县义务教育薄弱环节改善与能力提升—教学计算机采购项目</w:t>
      </w:r>
      <w:r>
        <w:rPr>
          <w:rFonts w:hint="eastAsia" w:ascii="宋体" w:hAnsi="宋体" w:eastAsia="宋体" w:cs="宋体"/>
          <w:color w:val="auto"/>
          <w:sz w:val="24"/>
          <w:szCs w:val="24"/>
          <w:highlight w:val="none"/>
          <w:lang w:val="zh-CN" w:eastAsia="zh-CN"/>
        </w:rPr>
        <w:t>的潜在供应商应自行登录“政采云”平台（网址：http:// www.zcygov.cn）网上注册并下载获取</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zh-CN" w:eastAsia="zh-CN"/>
        </w:rPr>
        <w:t>，并于</w:t>
      </w:r>
      <w:r>
        <w:rPr>
          <w:rFonts w:hint="eastAsia" w:ascii="宋体" w:hAnsi="宋体" w:eastAsia="宋体" w:cs="宋体"/>
          <w:color w:val="auto"/>
          <w:sz w:val="24"/>
          <w:szCs w:val="24"/>
          <w:highlight w:val="none"/>
          <w:u w:val="single"/>
          <w:lang w:val="zh-CN" w:eastAsia="zh-CN"/>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zh-CN" w:eastAsia="zh-CN"/>
        </w:rPr>
        <w:t>年</w:t>
      </w:r>
      <w:r>
        <w:rPr>
          <w:rFonts w:hint="eastAsia" w:ascii="宋体" w:hAnsi="宋体" w:eastAsia="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zh-CN" w:eastAsia="zh-CN"/>
        </w:rPr>
        <w:t>月</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zh-CN" w:eastAsia="zh-CN"/>
        </w:rPr>
        <w:t>日</w:t>
      </w:r>
      <w:r>
        <w:rPr>
          <w:rFonts w:hint="eastAsia" w:ascii="宋体" w:hAnsi="宋体" w:eastAsia="宋体" w:cs="宋体"/>
          <w:color w:val="auto"/>
          <w:sz w:val="24"/>
          <w:szCs w:val="24"/>
          <w:highlight w:val="none"/>
          <w:u w:val="single"/>
          <w:lang w:val="en-US" w:eastAsia="zh-CN"/>
        </w:rPr>
        <w:t>9时00</w:t>
      </w:r>
      <w:r>
        <w:rPr>
          <w:rFonts w:hint="eastAsia" w:ascii="宋体" w:hAnsi="宋体" w:eastAsia="宋体" w:cs="宋体"/>
          <w:color w:val="auto"/>
          <w:sz w:val="24"/>
          <w:szCs w:val="24"/>
          <w:highlight w:val="none"/>
          <w:u w:val="single"/>
          <w:lang w:val="zh-CN" w:eastAsia="zh-CN"/>
        </w:rPr>
        <w:t>分（北京时间）</w:t>
      </w:r>
      <w:r>
        <w:rPr>
          <w:rFonts w:hint="eastAsia" w:ascii="宋体" w:hAnsi="宋体" w:eastAsia="宋体" w:cs="宋体"/>
          <w:color w:val="auto"/>
          <w:sz w:val="24"/>
          <w:szCs w:val="24"/>
          <w:highlight w:val="none"/>
          <w:lang w:val="zh-CN" w:eastAsia="zh-CN"/>
        </w:rPr>
        <w:t>前提交响应文件</w:t>
      </w:r>
      <w:r>
        <w:rPr>
          <w:rFonts w:hint="eastAsia" w:ascii="宋体" w:hAnsi="宋体" w:eastAsia="宋体" w:cs="宋体"/>
          <w:color w:val="auto"/>
          <w:sz w:val="24"/>
          <w:szCs w:val="24"/>
          <w:highlight w:val="none"/>
          <w:lang w:eastAsia="zh-CN"/>
        </w:rPr>
        <w:t>。</w:t>
      </w:r>
    </w:p>
    <w:p w14:paraId="7E2F7A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14:paraId="44BDA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项目编号：采购计划-[2026]-00220-2026008</w:t>
      </w:r>
    </w:p>
    <w:p w14:paraId="66B5E190">
      <w:pPr>
        <w:keepNext w:val="0"/>
        <w:keepLines w:val="0"/>
        <w:pageBreakBefore w:val="0"/>
        <w:widowControl w:val="0"/>
        <w:kinsoku/>
        <w:wordWrap/>
        <w:overflowPunct/>
        <w:topLinePunct w:val="0"/>
        <w:autoSpaceDE/>
        <w:autoSpaceDN/>
        <w:bidi w:val="0"/>
        <w:adjustRightInd/>
        <w:snapToGrid/>
        <w:spacing w:line="360" w:lineRule="auto"/>
        <w:ind w:left="1679" w:leftChars="228" w:hanging="1200" w:hangingChars="5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2026年前郭县义务教育薄弱环节改善与能力提升—教学计算机采购项目</w:t>
      </w:r>
    </w:p>
    <w:p w14:paraId="0CDBC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公开招标</w:t>
      </w:r>
    </w:p>
    <w:p w14:paraId="129C8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2805120.00元</w:t>
      </w:r>
    </w:p>
    <w:p w14:paraId="70FB4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最高限价：</w:t>
      </w:r>
      <w:bookmarkStart w:id="4" w:name="_Toc35393799"/>
      <w:bookmarkStart w:id="5" w:name="_Toc35393630"/>
      <w:bookmarkStart w:id="6" w:name="_Toc28359013"/>
      <w:bookmarkStart w:id="7" w:name="_Toc28359090"/>
      <w:r>
        <w:rPr>
          <w:rFonts w:hint="eastAsia" w:ascii="宋体" w:hAnsi="宋体" w:eastAsia="宋体" w:cs="宋体"/>
          <w:color w:val="auto"/>
          <w:sz w:val="24"/>
          <w:szCs w:val="24"/>
          <w:highlight w:val="none"/>
          <w:lang w:val="en-US" w:eastAsia="zh-CN"/>
        </w:rPr>
        <w:t>2805120.00元</w:t>
      </w:r>
    </w:p>
    <w:p w14:paraId="414FF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lang w:val="en-US" w:eastAsia="zh-CN"/>
        </w:rPr>
        <w:t>台式计算机。详见招标文件“第四章 采购需求”。</w:t>
      </w:r>
    </w:p>
    <w:p w14:paraId="6C9CD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lang w:val="en-US" w:eastAsia="zh-CN"/>
        </w:rPr>
        <w:t>自合同签订起35日</w:t>
      </w:r>
    </w:p>
    <w:p w14:paraId="30E0AD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服务标准：符合国家、行业现行质量验收合格标准。</w:t>
      </w:r>
    </w:p>
    <w:p w14:paraId="11FC4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w:t>
      </w:r>
      <w:r>
        <w:rPr>
          <w:rFonts w:hint="eastAsia" w:ascii="宋体" w:hAnsi="宋体" w:eastAsia="宋体" w:cs="宋体"/>
          <w:color w:val="auto"/>
          <w:sz w:val="24"/>
          <w:szCs w:val="24"/>
          <w:highlight w:val="none"/>
          <w:lang w:val="zh-CN" w:eastAsia="zh-CN"/>
        </w:rPr>
        <w:t>接受联合体投标：</w:t>
      </w:r>
      <w:r>
        <w:rPr>
          <w:rFonts w:hint="eastAsia" w:ascii="宋体" w:hAnsi="宋体" w:eastAsia="宋体" w:cs="宋体"/>
          <w:color w:val="auto"/>
          <w:sz w:val="24"/>
          <w:szCs w:val="24"/>
          <w:highlight w:val="none"/>
          <w:lang w:val="en-US" w:eastAsia="zh-CN"/>
        </w:rPr>
        <w:t>否</w:t>
      </w:r>
    </w:p>
    <w:bookmarkEnd w:id="4"/>
    <w:bookmarkEnd w:id="5"/>
    <w:bookmarkEnd w:id="6"/>
    <w:bookmarkEnd w:id="7"/>
    <w:p w14:paraId="55F5AB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二、申请人的资格要求</w:t>
      </w:r>
    </w:p>
    <w:p w14:paraId="33125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1.满足《中华人民共和国政府采购法》第二十二条和《中华人民共和国政府采购法实施条例》第十七条规定的条件。</w:t>
      </w:r>
    </w:p>
    <w:p w14:paraId="1EDD3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2.执行政府采购促进中小企业发展的相关政策</w:t>
      </w:r>
    </w:p>
    <w:p w14:paraId="769E706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本项目不专门面向中小企业采购。</w:t>
      </w:r>
    </w:p>
    <w:p w14:paraId="521F6B4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台式计算机：标的物所属行业制造业。</w:t>
      </w:r>
    </w:p>
    <w:p w14:paraId="27349C5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本项目完全执行强制采购节能产品，优先采购环保产品的政策。</w:t>
      </w:r>
    </w:p>
    <w:p w14:paraId="26D7FD69">
      <w:pPr>
        <w:pStyle w:val="49"/>
        <w:numPr>
          <w:ilvl w:val="0"/>
          <w:numId w:val="0"/>
        </w:numPr>
        <w:ind w:left="540" w:leftChars="0"/>
        <w:rPr>
          <w:rFonts w:hint="default"/>
          <w:lang w:val="en-US" w:eastAsia="zh-CN"/>
        </w:rPr>
      </w:pPr>
    </w:p>
    <w:p w14:paraId="5C95BF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bookmarkStart w:id="8" w:name="_Toc27679"/>
      <w:r>
        <w:rPr>
          <w:rFonts w:hint="eastAsia" w:ascii="宋体" w:hAnsi="宋体" w:eastAsia="宋体" w:cs="宋体"/>
          <w:b/>
          <w:bCs/>
          <w:color w:val="auto"/>
          <w:sz w:val="24"/>
          <w:szCs w:val="24"/>
          <w:highlight w:val="none"/>
          <w:lang w:val="en-US" w:eastAsia="zh-CN"/>
        </w:rPr>
        <w:t>三、获取采购文件</w:t>
      </w:r>
      <w:bookmarkEnd w:id="8"/>
    </w:p>
    <w:p w14:paraId="6BEE7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时间：2026年7月22日至2026年7月29日（上午0:00～12:00，下午12:00～23:59，北京时间，法定节假日除外）。</w:t>
      </w:r>
    </w:p>
    <w:p w14:paraId="43EC5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方式：本项目不发放纸质版采购文件。供应商可自行在“政采云”平台（http://www.zcygov.cn）下载采购文件（操作路径：登录“政采云”平台-项目采购-获取采购文件-找到本项目-点击“申请获取采购文件”），电子响应文件制作需要基于“政采云”平台获取的采购文件编制。</w:t>
      </w:r>
    </w:p>
    <w:p w14:paraId="75D802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bookmarkStart w:id="9" w:name="_Toc2360"/>
      <w:r>
        <w:rPr>
          <w:rFonts w:hint="eastAsia" w:ascii="宋体" w:hAnsi="宋体" w:eastAsia="宋体" w:cs="宋体"/>
          <w:b/>
          <w:bCs/>
          <w:color w:val="auto"/>
          <w:sz w:val="24"/>
          <w:szCs w:val="24"/>
          <w:highlight w:val="none"/>
          <w:lang w:val="en-US" w:eastAsia="zh-CN"/>
        </w:rPr>
        <w:t>四、响应文件提交</w:t>
      </w:r>
      <w:bookmarkEnd w:id="9"/>
    </w:p>
    <w:p w14:paraId="4CF4E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截止时间：2026年8月12日09时00分（北京时间）</w:t>
      </w:r>
    </w:p>
    <w:p w14:paraId="5F2E0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地点：政采云平台（网址：http:// www.zcygov.cn）。</w:t>
      </w:r>
    </w:p>
    <w:p w14:paraId="4B07A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投标文件提交方式：1.本项目为全流程电子化项目，通过“政采云”平台 (http://www.zcygov.cn) 实行在线电子投标，供应商应先安装“政采云投标客户端”（请自行前往“政采云”平台进行下载），并按照本项目招标文件和“政采云”平台的要求编制、加密投标文件后在投标文件提交截止时间前通过网络上传至“政采云”平台，供应商在“政采云”平台提交电子版投标文件时，请填写参加开启活动经办人联系方式。</w:t>
      </w:r>
    </w:p>
    <w:p w14:paraId="0D28C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2.电子投标文件制作需要基于“政采云”平台获取的招标文件进行制作，制作投标文件时需要完成CA与账号的绑定。未办理CA的供应商，请先免费申请CA，并完成CA与账号绑定，CA数字证书全省通办通用。</w:t>
      </w:r>
    </w:p>
    <w:p w14:paraId="5AF03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未进行网上注册并办理CA认证的供应商将无法参与本次招标活动。</w:t>
      </w:r>
    </w:p>
    <w:p w14:paraId="417ADF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五、公告期限</w:t>
      </w:r>
    </w:p>
    <w:p w14:paraId="13CC5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自本公告发布之日起不少于5个工作日。</w:t>
      </w:r>
    </w:p>
    <w:p w14:paraId="31594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六、其他补充事宜</w:t>
      </w:r>
    </w:p>
    <w:p w14:paraId="4480C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1.拟参与本项目的供应商，首先在“政采云”平台上免费进行供应商注册（“政采云”供应商注册流程：https://middle.zcygov.cn/v-settle-front/registry），注册后可在“政采云”平台免费</w:t>
      </w:r>
      <w:r>
        <w:rPr>
          <w:rFonts w:hint="eastAsia" w:ascii="宋体" w:hAnsi="宋体" w:eastAsia="宋体" w:cs="宋体"/>
          <w:color w:val="auto"/>
          <w:sz w:val="24"/>
          <w:szCs w:val="24"/>
          <w:highlight w:val="none"/>
          <w:lang w:val="zh-CN" w:eastAsia="zh-CN"/>
        </w:rPr>
        <w:t>自行下载</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文件（下载地址：http://</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"http://www.zcygov.cn）征集文件。"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www.zcygov.cn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下载</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zh-CN" w:eastAsia="zh-CN"/>
        </w:rPr>
        <w:t>操作路径：登录“政采云”平台-</w:t>
      </w:r>
      <w:r>
        <w:rPr>
          <w:rFonts w:hint="eastAsia" w:ascii="宋体" w:hAnsi="宋体" w:eastAsia="宋体" w:cs="宋体"/>
          <w:color w:val="auto"/>
          <w:sz w:val="24"/>
          <w:szCs w:val="24"/>
          <w:highlight w:val="none"/>
          <w:lang w:val="en-US" w:eastAsia="zh-CN"/>
        </w:rPr>
        <w:t>登录账号-我的工作台-项目采购-获取采购文件</w:t>
      </w:r>
      <w:r>
        <w:rPr>
          <w:rFonts w:hint="eastAsia" w:ascii="宋体" w:hAnsi="宋体" w:eastAsia="宋体" w:cs="宋体"/>
          <w:color w:val="auto"/>
          <w:sz w:val="24"/>
          <w:szCs w:val="24"/>
          <w:highlight w:val="none"/>
          <w:lang w:val="zh-CN" w:eastAsia="zh-CN"/>
        </w:rPr>
        <w:t>-找到本项目-点击“申请获取文件”）。</w:t>
      </w:r>
    </w:p>
    <w:p w14:paraId="62E3F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2.对谈判文件有质疑或需要澄清的应以书面材料提交，采购中心和采购人将根据各供应商提出的问题以书面形式予以答复，口头提交的问题不予答复。</w:t>
      </w:r>
    </w:p>
    <w:p w14:paraId="6FF1C35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3.本项目为全流程电子化项目，通过“政采云”平台(http://www.zcygov.cn)实行在线电子投标，供应商应先安装“政采云投标客户端”(请自行前往“政采云”平台进行下载，政采云投标客户端</w:t>
      </w:r>
      <w:r>
        <w:rPr>
          <w:rFonts w:hint="eastAsia" w:ascii="宋体" w:hAnsi="宋体" w:eastAsia="宋体" w:cs="宋体"/>
          <w:color w:val="auto"/>
          <w:sz w:val="24"/>
          <w:szCs w:val="24"/>
          <w:highlight w:val="none"/>
          <w:lang w:val="en-US" w:eastAsia="zh-Hans"/>
        </w:rPr>
        <w:t>及CA驱动下载地址：</w:t>
      </w:r>
      <w:r>
        <w:rPr>
          <w:rFonts w:hint="eastAsia" w:ascii="宋体" w:hAnsi="宋体" w:eastAsia="宋体" w:cs="宋体"/>
          <w:color w:val="auto"/>
          <w:sz w:val="24"/>
          <w:szCs w:val="24"/>
          <w:highlight w:val="none"/>
          <w:lang w:val="en-US" w:eastAsia="zh-CN"/>
        </w:rPr>
        <w:t>https://customer.zcygov.cn/CA-driver-download?utm=web-login-front.52cebfa2.0.0.04df4040034511edaac705fda12edb43)，并按照本项目谈判文件和“政采云”平台的要求编制、加密响应文件后在响应文件提交截止时间前通过网络上传至“政采云”平台，供应商在“政采云”平台提交电子版响应文件时，请填写参加开启活动经办人联系方式。</w:t>
      </w:r>
    </w:p>
    <w:p w14:paraId="36DDF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电子</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zh-CN" w:eastAsia="zh-CN"/>
        </w:rPr>
        <w:t>制作需要基于“政采云”平台获取的</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zh-CN" w:eastAsia="zh-CN"/>
        </w:rPr>
        <w:t>进行制作，</w:t>
      </w:r>
      <w:r>
        <w:rPr>
          <w:rFonts w:hint="eastAsia" w:ascii="宋体" w:hAnsi="宋体" w:eastAsia="宋体" w:cs="宋体"/>
          <w:color w:val="auto"/>
          <w:sz w:val="24"/>
          <w:szCs w:val="24"/>
          <w:highlight w:val="none"/>
          <w:lang w:val="en-US" w:eastAsia="zh-CN"/>
        </w:rPr>
        <w:t>制作响应文件时需要完成CA与账号的绑定。</w:t>
      </w:r>
    </w:p>
    <w:p w14:paraId="788B48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5.若对项目采购电子交易系统操作有疑问，可登录“政采云”平台（https://www.zcygov.cn/），点击右侧咨询小采，获取采小蜜智能服务管家帮助，或拨打政采云服务热线 400-881-7190或95763获取热线服务帮助。</w:t>
      </w:r>
    </w:p>
    <w:p w14:paraId="5B9B4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6.凡与本中心招投标活动有关的时间，均以前郭尔罗斯蒙古族自治县政府采购中心服务器显示的北京时间为准。</w:t>
      </w:r>
    </w:p>
    <w:bookmarkEnd w:id="3"/>
    <w:p w14:paraId="00DBA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七、凡对本次采购提出询问，请按以下方式联系。</w:t>
      </w:r>
    </w:p>
    <w:p w14:paraId="37D60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1.采购人信息</w:t>
      </w:r>
    </w:p>
    <w:p w14:paraId="2BE0D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eastAsia="zh-CN"/>
        </w:rPr>
        <w:t>名    称：前郭尔罗斯蒙古族自治县</w:t>
      </w:r>
      <w:r>
        <w:rPr>
          <w:rFonts w:hint="eastAsia" w:ascii="Times New Roman" w:hAnsi="Times New Roman"/>
          <w:sz w:val="24"/>
          <w:szCs w:val="24"/>
          <w:lang w:val="en-US" w:eastAsia="zh-CN"/>
        </w:rPr>
        <w:t>教育技术装备办公室</w:t>
      </w:r>
    </w:p>
    <w:p w14:paraId="0D92C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eastAsia="zh-CN"/>
        </w:rPr>
        <w:t>地    址：</w:t>
      </w:r>
      <w:r>
        <w:rPr>
          <w:rFonts w:hint="eastAsia" w:ascii="Times New Roman" w:hAnsi="Times New Roman"/>
          <w:sz w:val="24"/>
          <w:szCs w:val="24"/>
          <w:lang w:val="en-US" w:eastAsia="zh-CN"/>
        </w:rPr>
        <w:t>前郭县</w:t>
      </w:r>
    </w:p>
    <w:p w14:paraId="158DF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项目联系人：杨智慧</w:t>
      </w:r>
    </w:p>
    <w:p w14:paraId="17645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eastAsia="zh-CN"/>
        </w:rPr>
        <w:t>联系方式：</w:t>
      </w:r>
      <w:r>
        <w:rPr>
          <w:rFonts w:hint="eastAsia" w:ascii="Times New Roman" w:hAnsi="Times New Roman"/>
          <w:sz w:val="24"/>
          <w:szCs w:val="24"/>
          <w:lang w:val="en-US" w:eastAsia="zh-CN"/>
        </w:rPr>
        <w:t>13843810398</w:t>
      </w:r>
    </w:p>
    <w:p w14:paraId="522731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2.采购代理机构信息</w:t>
      </w:r>
    </w:p>
    <w:p w14:paraId="38A4E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名    称：前郭尔罗斯蒙古族自治县政府采购中心</w:t>
      </w:r>
    </w:p>
    <w:p w14:paraId="700A61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 xml:space="preserve">地 </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址：前郭尔罗斯蒙古族自治县政务服务运行保障中心3楼（松原市前郭县哈达大街与源江东路交汇金福名居综合楼）</w:t>
      </w:r>
    </w:p>
    <w:p w14:paraId="74A44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eastAsia="zh-CN"/>
        </w:rPr>
        <w:t>项目联系人：</w:t>
      </w:r>
      <w:r>
        <w:rPr>
          <w:rFonts w:hint="eastAsia" w:ascii="Times New Roman" w:hAnsi="Times New Roman"/>
          <w:sz w:val="24"/>
          <w:szCs w:val="24"/>
          <w:lang w:val="en-US" w:eastAsia="zh-CN"/>
        </w:rPr>
        <w:t>赵媛媛</w:t>
      </w:r>
    </w:p>
    <w:p w14:paraId="1BAD8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eastAsia="zh-CN"/>
        </w:rPr>
      </w:pPr>
      <w:r>
        <w:rPr>
          <w:rFonts w:hint="eastAsia" w:ascii="Times New Roman" w:hAnsi="Times New Roman"/>
          <w:sz w:val="24"/>
          <w:szCs w:val="24"/>
          <w:lang w:eastAsia="zh-CN"/>
        </w:rPr>
        <w:t>联系方式：0438-6833101</w:t>
      </w:r>
    </w:p>
    <w:p w14:paraId="4C2EE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eastAsia="zh-CN"/>
        </w:rPr>
        <w:sectPr>
          <w:footerReference r:id="rId6" w:type="firs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Times New Roman" w:hAnsi="Times New Roman"/>
          <w:sz w:val="24"/>
          <w:szCs w:val="24"/>
          <w:lang w:val="en-US" w:eastAsia="zh-CN"/>
        </w:rPr>
        <w:t>3监督</w:t>
      </w:r>
      <w:r>
        <w:rPr>
          <w:rFonts w:hint="eastAsia" w:ascii="Times New Roman" w:hAnsi="Times New Roman"/>
          <w:sz w:val="24"/>
          <w:szCs w:val="24"/>
          <w:lang w:eastAsia="zh-CN"/>
        </w:rPr>
        <w:t>部门：</w:t>
      </w:r>
      <w:r>
        <w:rPr>
          <w:rFonts w:hint="eastAsia" w:ascii="Times New Roman" w:hAnsi="Times New Roman"/>
          <w:sz w:val="24"/>
          <w:szCs w:val="24"/>
          <w:lang w:val="en-US" w:eastAsia="zh-CN"/>
        </w:rPr>
        <w:t>前郭尔罗斯蒙古族自治县</w:t>
      </w:r>
      <w:r>
        <w:rPr>
          <w:rFonts w:hint="eastAsia" w:ascii="Times New Roman" w:hAnsi="Times New Roman"/>
          <w:sz w:val="24"/>
          <w:szCs w:val="24"/>
          <w:lang w:eastAsia="zh-CN"/>
        </w:rPr>
        <w:t>财政局</w:t>
      </w:r>
    </w:p>
    <w:p w14:paraId="326C1DA1">
      <w:pPr>
        <w:pStyle w:val="3"/>
        <w:jc w:val="center"/>
        <w:rPr>
          <w:rFonts w:hint="eastAsia" w:asciiTheme="minorHAnsi" w:hAnsiTheme="minorHAnsi" w:eastAsiaTheme="minorEastAsia" w:cstheme="minorBidi"/>
          <w:b/>
          <w:bCs/>
          <w:color w:val="000000"/>
          <w:kern w:val="44"/>
          <w:sz w:val="44"/>
          <w:szCs w:val="44"/>
          <w:highlight w:val="none"/>
          <w:lang w:val="en-US" w:eastAsia="zh-CN" w:bidi="ar-SA"/>
        </w:rPr>
      </w:pPr>
      <w:r>
        <w:rPr>
          <w:rFonts w:hint="eastAsia" w:asciiTheme="minorHAnsi" w:hAnsiTheme="minorHAnsi" w:eastAsiaTheme="minorEastAsia" w:cstheme="minorBidi"/>
          <w:b/>
          <w:bCs/>
          <w:color w:val="000000"/>
          <w:kern w:val="44"/>
          <w:sz w:val="44"/>
          <w:szCs w:val="44"/>
          <w:highlight w:val="none"/>
          <w:lang w:val="en-US" w:eastAsia="zh-CN" w:bidi="ar-SA"/>
        </w:rPr>
        <w:t>第二章  投标人须知</w:t>
      </w:r>
    </w:p>
    <w:p w14:paraId="2A96EA9C">
      <w:p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1．适用法律：本次招标适用法律法规为《中华人民共和国政府采购法》《政府采购货物和服务招标投标管理办法》及政府采购其他相关法规。</w:t>
      </w:r>
    </w:p>
    <w:p w14:paraId="575B43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sz w:val="24"/>
          <w:szCs w:val="24"/>
        </w:rPr>
        <w:t>2．</w:t>
      </w:r>
      <w:r>
        <w:rPr>
          <w:rFonts w:hint="eastAsia" w:ascii="Times New Roman" w:hAnsi="Times New Roman"/>
          <w:b/>
          <w:bCs/>
          <w:sz w:val="24"/>
          <w:szCs w:val="24"/>
        </w:rPr>
        <w:t>定义</w:t>
      </w:r>
      <w:r>
        <w:rPr>
          <w:rFonts w:hint="eastAsia" w:ascii="Times New Roman" w:hAnsi="Times New Roman"/>
          <w:sz w:val="24"/>
          <w:szCs w:val="24"/>
        </w:rPr>
        <w:t>：</w:t>
      </w:r>
    </w:p>
    <w:p w14:paraId="200B9FA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sz w:val="24"/>
          <w:szCs w:val="24"/>
        </w:rPr>
        <w:t>2.1</w:t>
      </w:r>
      <w:r>
        <w:rPr>
          <w:rFonts w:hint="eastAsia" w:ascii="Times New Roman" w:hAnsi="Times New Roman"/>
          <w:sz w:val="24"/>
          <w:szCs w:val="24"/>
          <w:lang w:val="en-US" w:eastAsia="zh-CN"/>
        </w:rPr>
        <w:t xml:space="preserve"> </w:t>
      </w:r>
      <w:r>
        <w:rPr>
          <w:rFonts w:hint="eastAsia" w:ascii="Times New Roman" w:hAnsi="Times New Roman"/>
          <w:sz w:val="24"/>
          <w:szCs w:val="24"/>
        </w:rPr>
        <w:t>“招标人”指</w:t>
      </w:r>
      <w:r>
        <w:rPr>
          <w:rFonts w:hint="eastAsia" w:ascii="Times New Roman" w:hAnsi="Times New Roman"/>
          <w:sz w:val="24"/>
          <w:szCs w:val="24"/>
          <w:lang w:eastAsia="zh-CN"/>
        </w:rPr>
        <w:t>前郭尔罗斯蒙古族自治县政府采购中心</w:t>
      </w:r>
      <w:r>
        <w:rPr>
          <w:rFonts w:hint="eastAsia" w:ascii="Times New Roman" w:hAnsi="Times New Roman"/>
          <w:sz w:val="24"/>
          <w:szCs w:val="24"/>
        </w:rPr>
        <w:t>，负责采购活动的组织工作。</w:t>
      </w:r>
    </w:p>
    <w:p w14:paraId="7D5748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sz w:val="24"/>
          <w:szCs w:val="24"/>
        </w:rPr>
        <w:t>2.2</w:t>
      </w:r>
      <w:r>
        <w:rPr>
          <w:rFonts w:hint="eastAsia" w:ascii="Times New Roman" w:hAnsi="Times New Roman"/>
          <w:sz w:val="24"/>
          <w:szCs w:val="24"/>
          <w:lang w:val="en-US" w:eastAsia="zh-CN"/>
        </w:rPr>
        <w:t xml:space="preserve"> </w:t>
      </w:r>
      <w:r>
        <w:rPr>
          <w:rFonts w:hint="eastAsia" w:ascii="Times New Roman" w:hAnsi="Times New Roman"/>
          <w:sz w:val="24"/>
          <w:szCs w:val="24"/>
        </w:rPr>
        <w:t>“采购人”指</w:t>
      </w:r>
      <w:r>
        <w:rPr>
          <w:rFonts w:hint="eastAsia" w:ascii="Times New Roman" w:hAnsi="Times New Roman"/>
          <w:sz w:val="24"/>
          <w:szCs w:val="24"/>
          <w:lang w:eastAsia="zh-CN"/>
        </w:rPr>
        <w:t>前郭尔罗斯蒙古族自治县</w:t>
      </w:r>
      <w:r>
        <w:rPr>
          <w:rFonts w:hint="eastAsia" w:ascii="Times New Roman" w:hAnsi="Times New Roman"/>
          <w:sz w:val="24"/>
          <w:szCs w:val="24"/>
          <w:lang w:val="en-US" w:eastAsia="zh-CN"/>
        </w:rPr>
        <w:t>教育技术装备办公室</w:t>
      </w:r>
      <w:r>
        <w:rPr>
          <w:rFonts w:hint="eastAsia" w:ascii="Times New Roman" w:hAnsi="Times New Roman"/>
          <w:sz w:val="24"/>
          <w:szCs w:val="24"/>
        </w:rPr>
        <w:t>，负责采购项目的整体规划、采购需求设计和可行性论证，作为合同的</w:t>
      </w:r>
      <w:r>
        <w:rPr>
          <w:rFonts w:hint="eastAsia" w:ascii="Times New Roman" w:hAnsi="Times New Roman"/>
          <w:sz w:val="24"/>
          <w:szCs w:val="24"/>
          <w:lang w:eastAsia="zh-CN"/>
        </w:rPr>
        <w:t>需求</w:t>
      </w:r>
      <w:r>
        <w:rPr>
          <w:rFonts w:hint="eastAsia" w:ascii="Times New Roman" w:hAnsi="Times New Roman"/>
          <w:sz w:val="24"/>
          <w:szCs w:val="24"/>
        </w:rPr>
        <w:t>方，承担质疑答复，合同履行、验收、评价等义务。</w:t>
      </w:r>
    </w:p>
    <w:p w14:paraId="45A900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sz w:val="24"/>
          <w:szCs w:val="24"/>
        </w:rPr>
        <w:t>2.3</w:t>
      </w:r>
      <w:r>
        <w:rPr>
          <w:rFonts w:hint="eastAsia" w:ascii="Times New Roman" w:hAnsi="Times New Roman"/>
          <w:sz w:val="24"/>
          <w:szCs w:val="24"/>
          <w:lang w:val="en-US" w:eastAsia="zh-CN"/>
        </w:rPr>
        <w:t xml:space="preserve"> </w:t>
      </w:r>
      <w:r>
        <w:rPr>
          <w:rFonts w:hint="eastAsia" w:ascii="Times New Roman" w:hAnsi="Times New Roman"/>
          <w:sz w:val="24"/>
          <w:szCs w:val="24"/>
        </w:rPr>
        <w:t>“招标内容”详见招标文件</w:t>
      </w:r>
      <w:r>
        <w:rPr>
          <w:rFonts w:hint="eastAsia" w:ascii="Times New Roman" w:hAnsi="Times New Roman"/>
          <w:sz w:val="24"/>
          <w:szCs w:val="24"/>
          <w:lang w:eastAsia="zh-CN"/>
        </w:rPr>
        <w:t>“</w:t>
      </w:r>
      <w:r>
        <w:rPr>
          <w:rFonts w:hint="eastAsia" w:ascii="Times New Roman" w:hAnsi="Times New Roman"/>
          <w:sz w:val="24"/>
          <w:szCs w:val="24"/>
        </w:rPr>
        <w:t>第四章 采购需求</w:t>
      </w:r>
      <w:r>
        <w:rPr>
          <w:rFonts w:hint="eastAsia" w:ascii="Times New Roman" w:hAnsi="Times New Roman"/>
          <w:sz w:val="24"/>
          <w:szCs w:val="24"/>
          <w:lang w:eastAsia="zh-CN"/>
        </w:rPr>
        <w:t>”</w:t>
      </w:r>
      <w:r>
        <w:rPr>
          <w:rFonts w:hint="eastAsia" w:ascii="Times New Roman" w:hAnsi="Times New Roman"/>
          <w:sz w:val="24"/>
          <w:szCs w:val="24"/>
        </w:rPr>
        <w:t>。</w:t>
      </w:r>
    </w:p>
    <w:p w14:paraId="1C4D3B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ascii="Times New Roman" w:hAnsi="Times New Roman"/>
          <w:sz w:val="24"/>
          <w:szCs w:val="24"/>
          <w:highlight w:val="none"/>
        </w:rPr>
        <w:t>2.4</w:t>
      </w: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“投标人”指响应本招标文件参加投标的供应商</w:t>
      </w:r>
      <w:r>
        <w:rPr>
          <w:rFonts w:hint="eastAsia" w:ascii="Times New Roman" w:hAnsi="Times New Roman"/>
          <w:sz w:val="24"/>
          <w:szCs w:val="24"/>
        </w:rPr>
        <w:t>。</w:t>
      </w:r>
    </w:p>
    <w:p w14:paraId="303943F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eastAsiaTheme="minorEastAsia" w:cstheme="minorBidi"/>
          <w:kern w:val="2"/>
          <w:sz w:val="24"/>
          <w:szCs w:val="24"/>
          <w:lang w:val="en-US" w:eastAsia="zh-CN" w:bidi="ar-SA"/>
        </w:rPr>
        <w:t>3．</w:t>
      </w:r>
      <w:r>
        <w:rPr>
          <w:rFonts w:hint="eastAsia" w:ascii="Times New Roman" w:hAnsi="Times New Roman"/>
          <w:b/>
          <w:bCs/>
          <w:sz w:val="24"/>
          <w:szCs w:val="24"/>
        </w:rPr>
        <w:t>投标费用：</w:t>
      </w:r>
      <w:r>
        <w:rPr>
          <w:rFonts w:hint="eastAsia" w:ascii="Times New Roman" w:hAnsi="Times New Roman"/>
          <w:sz w:val="24"/>
          <w:szCs w:val="24"/>
        </w:rPr>
        <w:t>投标人应自行承担所有与编写和提交投标文件有关的费用，无论投标的结果如何，招标人和采购人在任何情况下均无义务和责任承担这些费用。</w:t>
      </w:r>
    </w:p>
    <w:p w14:paraId="004AD08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sz w:val="24"/>
          <w:szCs w:val="24"/>
        </w:rPr>
      </w:pPr>
      <w:r>
        <w:rPr>
          <w:rFonts w:hint="eastAsia" w:ascii="Times New Roman" w:hAnsi="Times New Roman"/>
          <w:b/>
          <w:bCs/>
          <w:sz w:val="24"/>
          <w:szCs w:val="24"/>
        </w:rPr>
        <w:t>4.招标文件：</w:t>
      </w:r>
    </w:p>
    <w:p w14:paraId="5700AC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4.1招标文件的构成</w:t>
      </w:r>
    </w:p>
    <w:p w14:paraId="7F9D94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val="en-US" w:eastAsia="zh-CN"/>
        </w:rPr>
        <w:t>第一章 招标</w:t>
      </w:r>
      <w:r>
        <w:rPr>
          <w:rFonts w:hint="eastAsia" w:ascii="Times New Roman" w:hAnsi="Times New Roman"/>
          <w:sz w:val="24"/>
          <w:szCs w:val="24"/>
          <w:highlight w:val="none"/>
          <w:lang w:eastAsia="zh-CN"/>
        </w:rPr>
        <w:t>公告</w:t>
      </w:r>
    </w:p>
    <w:p w14:paraId="7F633B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第二章 投标人须知</w:t>
      </w:r>
    </w:p>
    <w:p w14:paraId="1E4920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第三章 合同条款及格式</w:t>
      </w:r>
    </w:p>
    <w:p w14:paraId="7F4B1D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lang w:eastAsia="zh-CN"/>
        </w:rPr>
        <w:t>第四章 采购需求</w:t>
      </w:r>
    </w:p>
    <w:p w14:paraId="25DDD3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第</w:t>
      </w:r>
      <w:r>
        <w:rPr>
          <w:rFonts w:hint="eastAsia" w:ascii="Times New Roman" w:hAnsi="Times New Roman"/>
          <w:sz w:val="24"/>
          <w:szCs w:val="24"/>
          <w:highlight w:val="none"/>
          <w:lang w:val="en-US" w:eastAsia="zh-CN"/>
        </w:rPr>
        <w:t>五</w:t>
      </w:r>
      <w:r>
        <w:rPr>
          <w:rFonts w:hint="eastAsia" w:ascii="Times New Roman" w:hAnsi="Times New Roman"/>
          <w:sz w:val="24"/>
          <w:szCs w:val="24"/>
          <w:highlight w:val="none"/>
          <w:lang w:val="zh-CN" w:eastAsia="zh-CN"/>
        </w:rPr>
        <w:t>章 评标办法</w:t>
      </w:r>
    </w:p>
    <w:p w14:paraId="2D0D23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第六章 投标文件主要条款及格式样本</w:t>
      </w:r>
    </w:p>
    <w:p w14:paraId="52EB54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rPr>
        <w:t>4.2</w:t>
      </w:r>
      <w:r>
        <w:rPr>
          <w:rFonts w:hint="eastAsia" w:ascii="Times New Roman" w:hAnsi="Times New Roman"/>
          <w:sz w:val="24"/>
          <w:szCs w:val="24"/>
          <w:highlight w:val="none"/>
        </w:rPr>
        <w:t xml:space="preserve"> 投标人应认真阅读招标文件中所有事项、格式、条款和规范等要求。如果投标人没有按照招标文件要求提交全部文件资料或投标文件没有对招标文件在各方面都做出实质性响应，是投标人的风险。</w:t>
      </w:r>
    </w:p>
    <w:p w14:paraId="2B4198E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rPr>
        <w:t>5. 招标文件的澄清和修改</w:t>
      </w:r>
    </w:p>
    <w:p w14:paraId="61C168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5.1任何对招标文件提出质疑、要求澄清的投标人，均应以书面形式在收到采购文件之日起7个工作日以内通知前郭县政府采购中心或采购人。书面形式是指投标人出具正式公函（原件），公函上要有投标人的公章和联系人、联系方式，传真件、复印件均不是有效文件。前郭县政府采购中心将协同采购人对投标人要求澄清的内容以书面形式予以答复。必要时，组织相关专家召开答疑会，答疑会形成的共识意见将以变更公告形式通报每个报名参加投标的潜在投标人，答复中不包括问题的来源。未参加答疑会的投标人，视为接受答疑会形成的意见，所有资料归档保存。</w:t>
      </w:r>
    </w:p>
    <w:p w14:paraId="59C64F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5.2 </w:t>
      </w:r>
      <w:r>
        <w:rPr>
          <w:rFonts w:hint="eastAsia" w:ascii="Times New Roman" w:hAnsi="Times New Roman"/>
          <w:sz w:val="24"/>
          <w:szCs w:val="24"/>
          <w:highlight w:val="none"/>
        </w:rPr>
        <w:t>投标人在规定的时间内未对招标文件澄清或提出疑问的，前郭县政府采购中心将视其为同意。</w:t>
      </w:r>
    </w:p>
    <w:p w14:paraId="279B95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5.</w:t>
      </w:r>
      <w:r>
        <w:rPr>
          <w:rFonts w:hint="eastAsia" w:ascii="Times New Roman" w:hAnsi="Times New Roman"/>
          <w:sz w:val="24"/>
          <w:szCs w:val="24"/>
          <w:highlight w:val="none"/>
          <w:lang w:val="en-US" w:eastAsia="zh-CN"/>
        </w:rPr>
        <w:t>3</w:t>
      </w:r>
      <w:r>
        <w:rPr>
          <w:rFonts w:hint="eastAsia" w:ascii="Times New Roman" w:hAnsi="Times New Roman"/>
          <w:sz w:val="24"/>
          <w:szCs w:val="24"/>
          <w:highlight w:val="none"/>
        </w:rPr>
        <w:t xml:space="preserve"> 招标人可在投标截止时间15日前（含）对招标文件进行修改、补充。招标文件的修改、补充文件将在发布招标公告的媒体上公告。</w:t>
      </w:r>
    </w:p>
    <w:p w14:paraId="372FC2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5.</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 xml:space="preserve"> 招标文件的澄清、修改、补充文件均构成招标文件的组成部分，对所有投标人具有约束力。</w:t>
      </w:r>
    </w:p>
    <w:p w14:paraId="4FC4A7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5.</w:t>
      </w:r>
      <w:r>
        <w:rPr>
          <w:rFonts w:hint="eastAsia" w:ascii="Times New Roman" w:hAnsi="Times New Roman"/>
          <w:sz w:val="24"/>
          <w:szCs w:val="24"/>
          <w:highlight w:val="none"/>
          <w:lang w:val="en-US" w:eastAsia="zh-CN"/>
        </w:rPr>
        <w:t>5</w:t>
      </w:r>
      <w:r>
        <w:rPr>
          <w:rFonts w:hint="eastAsia" w:ascii="Times New Roman" w:hAnsi="Times New Roman"/>
          <w:sz w:val="24"/>
          <w:szCs w:val="24"/>
          <w:highlight w:val="none"/>
        </w:rPr>
        <w:t xml:space="preserve"> 在投标截止时间十五日以前，无论出于何种原因，前郭县政府采购中心或采购人可以主动地或在解答投标人提出的疑问时对招标文件进行修改</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修改内容将在发布招标公告的网站及报名系统中发布，投标单位需随时关注，未能及时看到相关信息而导致的投标失败由投标人自行承担</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w:t>
      </w:r>
    </w:p>
    <w:p w14:paraId="644588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5.6 </w:t>
      </w:r>
      <w:r>
        <w:rPr>
          <w:rFonts w:hint="eastAsia" w:ascii="Times New Roman" w:hAnsi="Times New Roman"/>
          <w:sz w:val="24"/>
          <w:szCs w:val="24"/>
          <w:highlight w:val="none"/>
        </w:rPr>
        <w:t>因对招标文件进行修改投标截止时间不足15日的，为使投标人准备投标时有充足时间对招标文件的修改部分进行研究，前郭县政府采购中心或采购人可适当推迟投标截止期，延长投标截止时间的公告将在发布招标公告的媒体上。</w:t>
      </w:r>
    </w:p>
    <w:p w14:paraId="65A6F4F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6</w:t>
      </w:r>
      <w:r>
        <w:rPr>
          <w:rFonts w:hint="eastAsia" w:ascii="Times New Roman" w:hAnsi="Times New Roman"/>
          <w:b/>
          <w:bCs/>
          <w:sz w:val="24"/>
          <w:szCs w:val="24"/>
          <w:highlight w:val="none"/>
        </w:rPr>
        <w:t>. 投标文件的编制</w:t>
      </w:r>
    </w:p>
    <w:p w14:paraId="068CDA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.1 投标语言：投标文件以及投标人与招标人就有关投标的来往函电均使用中文。</w:t>
      </w:r>
    </w:p>
    <w:p w14:paraId="5592E4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.2 计量单位：中华人民共和国法定计量单位。</w:t>
      </w:r>
    </w:p>
    <w:p w14:paraId="5E0F2B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6</w:t>
      </w: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.1投标人应使用“政采云电子投标客户端”软件按招标文件要求制作投标文件，并将加密版投标文件上传至政采云平台系统。开标时需使用编制文件的CA数字证书进行解密。</w:t>
      </w:r>
    </w:p>
    <w:p w14:paraId="660AB2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6.3.2电子投标文件中反应投标人资格审查的图片、扫描件、文字描述等，必须清晰可见，因上传材料不清晰，导致被否决投标，后果由投标人自行承担。</w:t>
      </w:r>
    </w:p>
    <w:p w14:paraId="7CAE51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6.3.3投标文件制作过程中如有疑问或故障，可登录“政采云”平台（https://www.zcygov.cn/），点击右侧咨询小采，获取采小蜜智能服务管家帮助，或拨打95763获取帮助。</w:t>
      </w:r>
    </w:p>
    <w:p w14:paraId="5A9A17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6.3.4电子版投标文件的文件制作机器码（文件制作机器码是以电脑的网卡MAC地址、硬盘序列号、CPU序列号、主板序列号、以及工具标识号五大特征组成），若出现不同投标人之间文件制作机器码相同的情形，视为投标人之间串通投标，予以否决其投标，并由行政主管部门依据法律法规及相关规定，予以严肃处罚，并纳入信用考核。</w:t>
      </w:r>
    </w:p>
    <w:p w14:paraId="243D88FD">
      <w:pPr>
        <w:keepNext w:val="0"/>
        <w:keepLines w:val="0"/>
        <w:pageBreakBefore w:val="0"/>
        <w:widowControl w:val="0"/>
        <w:kinsoku/>
        <w:wordWrap/>
        <w:overflowPunct/>
        <w:topLinePunct w:val="0"/>
        <w:autoSpaceDE/>
        <w:autoSpaceDN/>
        <w:bidi w:val="0"/>
        <w:adjustRightInd/>
        <w:snapToGrid/>
        <w:ind w:firstLine="520" w:firstLineChars="200"/>
        <w:textAlignment w:val="auto"/>
        <w:rPr>
          <w:rFonts w:hint="eastAsia" w:ascii="Times New Roman" w:hAnsi="Times New Roman" w:eastAsiaTheme="minorEastAsia" w:cstheme="minorBidi"/>
          <w:bCs/>
          <w:spacing w:val="10"/>
          <w:kern w:val="2"/>
          <w:sz w:val="24"/>
          <w:szCs w:val="24"/>
          <w:highlight w:val="none"/>
          <w:lang w:val="en-US" w:eastAsia="zh-CN" w:bidi="ar-SA"/>
        </w:rPr>
      </w:pPr>
      <w:r>
        <w:rPr>
          <w:rFonts w:hint="eastAsia" w:ascii="Times New Roman" w:hAnsi="Times New Roman" w:cstheme="minorBidi"/>
          <w:bCs/>
          <w:spacing w:val="10"/>
          <w:kern w:val="2"/>
          <w:sz w:val="24"/>
          <w:szCs w:val="24"/>
          <w:highlight w:val="none"/>
          <w:lang w:val="en-US" w:eastAsia="zh-CN" w:bidi="ar-SA"/>
        </w:rPr>
        <w:t>6</w:t>
      </w:r>
      <w:r>
        <w:rPr>
          <w:rFonts w:hint="eastAsia" w:ascii="Times New Roman" w:hAnsi="Times New Roman" w:eastAsiaTheme="minorEastAsia" w:cstheme="minorBidi"/>
          <w:bCs/>
          <w:spacing w:val="10"/>
          <w:kern w:val="2"/>
          <w:sz w:val="24"/>
          <w:szCs w:val="24"/>
          <w:highlight w:val="none"/>
          <w:lang w:val="en-US" w:eastAsia="zh-CN" w:bidi="ar-SA"/>
        </w:rPr>
        <w:t>.</w:t>
      </w:r>
      <w:r>
        <w:rPr>
          <w:rFonts w:hint="eastAsia" w:ascii="Times New Roman" w:hAnsi="Times New Roman" w:cstheme="minorBidi"/>
          <w:bCs/>
          <w:spacing w:val="10"/>
          <w:kern w:val="2"/>
          <w:sz w:val="24"/>
          <w:szCs w:val="24"/>
          <w:highlight w:val="none"/>
          <w:lang w:val="en-US" w:eastAsia="zh-CN" w:bidi="ar-SA"/>
        </w:rPr>
        <w:t>4</w:t>
      </w:r>
      <w:r>
        <w:rPr>
          <w:rFonts w:hint="eastAsia" w:ascii="Times New Roman" w:hAnsi="Times New Roman" w:eastAsiaTheme="minorEastAsia" w:cstheme="minorBidi"/>
          <w:bCs/>
          <w:spacing w:val="10"/>
          <w:kern w:val="2"/>
          <w:sz w:val="24"/>
          <w:szCs w:val="24"/>
          <w:highlight w:val="none"/>
          <w:lang w:val="en-US" w:eastAsia="zh-CN" w:bidi="ar-SA"/>
        </w:rPr>
        <w:t xml:space="preserve"> </w:t>
      </w:r>
      <w:r>
        <w:rPr>
          <w:rFonts w:hint="eastAsia" w:ascii="Times New Roman" w:hAnsi="Times New Roman"/>
          <w:sz w:val="24"/>
          <w:szCs w:val="24"/>
          <w:highlight w:val="none"/>
        </w:rPr>
        <w:t>投标人必须保证投标文件所提供的全部资料真实可靠，并接受采购人或前郭县政府采购中心对其中任何资料进一步核实的要求。如果因为投标文件填报的内容不详，或没有提供招标</w:t>
      </w:r>
      <w:r>
        <w:rPr>
          <w:rFonts w:hint="eastAsia" w:ascii="Times New Roman" w:hAnsi="Times New Roman" w:eastAsiaTheme="minorEastAsia" w:cstheme="minorBidi"/>
          <w:bCs/>
          <w:spacing w:val="10"/>
          <w:kern w:val="2"/>
          <w:sz w:val="24"/>
          <w:szCs w:val="24"/>
          <w:highlight w:val="none"/>
          <w:lang w:val="en-US" w:eastAsia="zh-CN" w:bidi="ar-SA"/>
        </w:rPr>
        <w:t>文件中所要求的全部资料及数据，或提供虚假文件，由此造成的后果由投标人自负。</w:t>
      </w:r>
    </w:p>
    <w:p w14:paraId="18CCEA8A">
      <w:pPr>
        <w:pStyle w:val="15"/>
        <w:rPr>
          <w:rFonts w:hint="eastAsia"/>
          <w:lang w:val="en-US" w:eastAsia="zh-CN"/>
        </w:rPr>
      </w:pPr>
    </w:p>
    <w:p w14:paraId="060D597D">
      <w:pPr>
        <w:keepNext w:val="0"/>
        <w:keepLines w:val="0"/>
        <w:pageBreakBefore w:val="0"/>
        <w:widowControl w:val="0"/>
        <w:kinsoku/>
        <w:wordWrap/>
        <w:overflowPunct/>
        <w:topLinePunct w:val="0"/>
        <w:autoSpaceDE/>
        <w:autoSpaceDN/>
        <w:bidi w:val="0"/>
        <w:adjustRightInd/>
        <w:snapToGrid/>
        <w:ind w:firstLine="522" w:firstLineChars="200"/>
        <w:textAlignment w:val="auto"/>
        <w:rPr>
          <w:rFonts w:hint="eastAsia" w:ascii="Times New Roman" w:hAnsi="Times New Roman" w:eastAsiaTheme="minorEastAsia" w:cstheme="minorBidi"/>
          <w:b/>
          <w:bCs w:val="0"/>
          <w:spacing w:val="10"/>
          <w:kern w:val="2"/>
          <w:sz w:val="24"/>
          <w:szCs w:val="24"/>
          <w:highlight w:val="none"/>
          <w:lang w:val="en-US" w:eastAsia="zh-CN" w:bidi="ar-SA"/>
        </w:rPr>
      </w:pPr>
      <w:r>
        <w:rPr>
          <w:rFonts w:hint="eastAsia" w:ascii="Times New Roman" w:hAnsi="Times New Roman" w:eastAsiaTheme="minorEastAsia" w:cstheme="minorBidi"/>
          <w:b/>
          <w:bCs w:val="0"/>
          <w:spacing w:val="10"/>
          <w:kern w:val="2"/>
          <w:sz w:val="24"/>
          <w:szCs w:val="24"/>
          <w:highlight w:val="none"/>
          <w:lang w:val="en-US" w:eastAsia="zh-CN" w:bidi="ar-SA"/>
        </w:rPr>
        <w:t>7. 投标文件构成</w:t>
      </w:r>
    </w:p>
    <w:p w14:paraId="081011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一、投标函</w:t>
      </w:r>
    </w:p>
    <w:p w14:paraId="3C1760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二、法定代表人身份证明</w:t>
      </w:r>
    </w:p>
    <w:p w14:paraId="2BD2B0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三、法定代表人授权书（法定代表人投标的可不提供）</w:t>
      </w:r>
    </w:p>
    <w:p w14:paraId="261A85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四、投标人资格资信证明</w:t>
      </w:r>
    </w:p>
    <w:p w14:paraId="0CB2BF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五、开标一览表</w:t>
      </w:r>
    </w:p>
    <w:p w14:paraId="2CA71C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六、投标报价明细表</w:t>
      </w:r>
    </w:p>
    <w:p w14:paraId="0DB858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七、类似项目业绩一览表</w:t>
      </w:r>
    </w:p>
    <w:p w14:paraId="0B2145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八、其他资料</w:t>
      </w:r>
    </w:p>
    <w:p w14:paraId="319FD89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rPr>
        <w:t>8. 投标报价</w:t>
      </w:r>
    </w:p>
    <w:p w14:paraId="6EE9CC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eastAsia="zh-CN"/>
        </w:rPr>
      </w:pPr>
      <w:r>
        <w:rPr>
          <w:rFonts w:hint="eastAsia" w:ascii="Times New Roman" w:hAnsi="Times New Roman"/>
          <w:sz w:val="24"/>
          <w:szCs w:val="24"/>
          <w:highlight w:val="none"/>
        </w:rPr>
        <w:t>8.1投标人的报价应当包括满足本次招标全部采购需求。除招标文件另有规定外，所有投标均应以人民币报价。投标人的投标报价应遵守</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中华人民共和国价格法</w:t>
      </w:r>
      <w:r>
        <w:rPr>
          <w:rFonts w:hint="eastAsia" w:ascii="Times New Roman" w:hAnsi="Times New Roman"/>
          <w:sz w:val="24"/>
          <w:szCs w:val="24"/>
          <w:highlight w:val="none"/>
          <w:lang w:eastAsia="zh-CN"/>
        </w:rPr>
        <w:t>》。</w:t>
      </w:r>
    </w:p>
    <w:p w14:paraId="366EDB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8.2投标人报价超过招标文件规定的预算金额或者分项、分包最高限价，其投标将被认定为投标无效。</w:t>
      </w:r>
    </w:p>
    <w:p w14:paraId="4BAB5B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8.3投标报价在合同履行过程中是固定不变的，不得以任何理由予以变更。</w:t>
      </w:r>
    </w:p>
    <w:p w14:paraId="4CC236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任何包含价格调整要求的投标，其投标将被认定为投标无效。</w:t>
      </w:r>
    </w:p>
    <w:p w14:paraId="3072AD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8.4评标委员会认为投标人的报价明显低于其他通过符合性审查投标人的</w:t>
      </w:r>
      <w:r>
        <w:rPr>
          <w:rFonts w:hint="eastAsia" w:ascii="Times New Roman" w:hAnsi="Times New Roman"/>
          <w:sz w:val="24"/>
          <w:szCs w:val="24"/>
          <w:highlight w:val="none"/>
          <w:lang w:val="en-US" w:eastAsia="zh-CN"/>
        </w:rPr>
        <w:t>报价</w:t>
      </w:r>
      <w:r>
        <w:rPr>
          <w:rFonts w:hint="eastAsia" w:ascii="Times New Roman" w:hAnsi="Times New Roman"/>
          <w:sz w:val="24"/>
          <w:szCs w:val="24"/>
          <w:highlight w:val="none"/>
        </w:rPr>
        <w:t>，有可能影响产品</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服务</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质量或者不能诚信履约的，应当要求其在合理的时间内提供书面说明，必要时提交相关证明材料;投标人不能证明其报价合理性的，其投标将被认定为投标无效。</w:t>
      </w:r>
    </w:p>
    <w:p w14:paraId="702BF5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8.5采购人不接受具有附加条件的报价。</w:t>
      </w:r>
    </w:p>
    <w:p w14:paraId="505C5D6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sz w:val="24"/>
          <w:szCs w:val="24"/>
        </w:rPr>
      </w:pPr>
      <w:r>
        <w:rPr>
          <w:rFonts w:hint="eastAsia" w:ascii="Times New Roman" w:hAnsi="Times New Roman"/>
          <w:b/>
          <w:bCs/>
          <w:sz w:val="24"/>
          <w:szCs w:val="24"/>
          <w:highlight w:val="none"/>
        </w:rPr>
        <w:t>9. 投标保证金</w:t>
      </w:r>
      <w:r>
        <w:rPr>
          <w:rFonts w:hint="eastAsia" w:ascii="Times New Roman" w:hAnsi="Times New Roman"/>
          <w:b/>
          <w:bCs/>
          <w:sz w:val="24"/>
          <w:szCs w:val="24"/>
          <w:highlight w:val="none"/>
          <w:lang w:eastAsia="zh-CN"/>
        </w:rPr>
        <w:t>：</w:t>
      </w:r>
      <w:r>
        <w:rPr>
          <w:rFonts w:hint="eastAsia" w:ascii="Times New Roman" w:hAnsi="Times New Roman"/>
          <w:sz w:val="24"/>
          <w:szCs w:val="24"/>
          <w:highlight w:val="none"/>
          <w:lang w:val="en-US" w:eastAsia="zh-CN"/>
        </w:rPr>
        <w:t>无</w:t>
      </w:r>
    </w:p>
    <w:p w14:paraId="5919C38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10. 投标有效期</w:t>
      </w:r>
    </w:p>
    <w:p w14:paraId="4AF9AC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sz w:val="24"/>
          <w:szCs w:val="24"/>
        </w:rPr>
        <w:t>10.1 投标有效期为自开标之时起90天。投标文件在这个规定期限内应保持有效。</w:t>
      </w:r>
    </w:p>
    <w:p w14:paraId="075FAC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r>
        <w:rPr>
          <w:rFonts w:hint="eastAsia" w:ascii="Times New Roman" w:hAnsi="Times New Roman"/>
          <w:sz w:val="24"/>
          <w:szCs w:val="24"/>
        </w:rPr>
        <w:t>10.2 在特殊情况下，招标人可与投标人协商延长投标有效期。这种要求和答复都应以书面形式进行。投标人可以拒绝接受延期要求而不会被没收投标保证金。同意延长投标有效期的投标人除按照招标人要求修改投标文件的有效期外，不能修改投标文件的其他内容。</w:t>
      </w:r>
    </w:p>
    <w:p w14:paraId="3040B6E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rPr>
        <w:t>11. 投标文件的式样和签署</w:t>
      </w:r>
    </w:p>
    <w:p w14:paraId="144EE9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yellow"/>
        </w:rPr>
      </w:pPr>
      <w:r>
        <w:rPr>
          <w:rFonts w:hint="eastAsia" w:ascii="Times New Roman" w:hAnsi="Times New Roman"/>
          <w:sz w:val="24"/>
          <w:szCs w:val="24"/>
          <w:highlight w:val="none"/>
        </w:rPr>
        <w:t>11.1 投标人应按招标文件中提供的投标文件格式编写投标文件</w:t>
      </w:r>
      <w:r>
        <w:rPr>
          <w:rFonts w:hint="eastAsia" w:ascii="Times New Roman" w:hAnsi="Times New Roman"/>
          <w:sz w:val="24"/>
          <w:szCs w:val="24"/>
          <w:highlight w:val="none"/>
          <w:lang w:eastAsia="zh-CN"/>
        </w:rPr>
        <w:t>，</w:t>
      </w:r>
      <w:r>
        <w:rPr>
          <w:rFonts w:hint="eastAsia" w:ascii="Times New Roman" w:hAnsi="Times New Roman"/>
          <w:sz w:val="24"/>
          <w:szCs w:val="24"/>
          <w:highlight w:val="none"/>
        </w:rPr>
        <w:t>招标文件中凡要求签署和/或加盖公章的，均须由投标人的法定代表人或其授权代理人手书签字和/或加盖投标人公章。投标文件由法定代表人签署的，须与其投标人营业执照相符；由授权代理人签署的，须提交以书面形式出具的《法定代表人授权书》（按规定的格式提交）。</w:t>
      </w:r>
    </w:p>
    <w:p w14:paraId="542EC0E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rPr>
        <w:t>12. 投标文件的修改和撤回</w:t>
      </w:r>
    </w:p>
    <w:p w14:paraId="34EC17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12.1 投标人在递交投标文件后，可以修改或撤回其投标文件，但招标人必须在规定的投标截止时间之前收到投标人的修改或撤回的书面申请。</w:t>
      </w:r>
    </w:p>
    <w:p w14:paraId="09C69D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12.2 投标人的修改或撤回通知书应按对投标文件的规定一样进行编制、密封、标记和递交，并标明“修改”或“撤回”字样。</w:t>
      </w:r>
    </w:p>
    <w:p w14:paraId="4C1704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12.3 在投标截止时间（开标时间）之后，投标人不得对其投标书</w:t>
      </w:r>
      <w:r>
        <w:rPr>
          <w:rFonts w:hint="eastAsia" w:ascii="Times New Roman" w:hAnsi="Times New Roman"/>
          <w:sz w:val="24"/>
          <w:szCs w:val="24"/>
          <w:highlight w:val="none"/>
          <w:lang w:eastAsia="zh-CN"/>
        </w:rPr>
        <w:t>作</w:t>
      </w:r>
      <w:r>
        <w:rPr>
          <w:rFonts w:hint="eastAsia" w:ascii="Times New Roman" w:hAnsi="Times New Roman"/>
          <w:sz w:val="24"/>
          <w:szCs w:val="24"/>
          <w:highlight w:val="none"/>
        </w:rPr>
        <w:t>任何修改（包括开标一览表的内容）。</w:t>
      </w:r>
    </w:p>
    <w:p w14:paraId="2BE9FC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12.4 从开标之时起，至投标有效期期满之间的这段时间内，投标人不得撤回其投标。与其他供应商恶意串通而撤回投标的，按照《中华人民共和国政府采购法》第七十七条的规定处理。</w:t>
      </w:r>
    </w:p>
    <w:p w14:paraId="484EAC5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13. 投标</w:t>
      </w:r>
    </w:p>
    <w:p w14:paraId="3CE4CF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13.1本项目采用全流程电子化采购，需通过政采云平台（https://www.zcygov.cn/）递交电子</w:t>
      </w:r>
      <w:r>
        <w:rPr>
          <w:rFonts w:hint="eastAsia" w:ascii="Times New Roman" w:hAnsi="Times New Roman"/>
          <w:sz w:val="24"/>
          <w:szCs w:val="24"/>
          <w:highlight w:val="none"/>
          <w:lang w:val="en-US" w:eastAsia="zh-CN"/>
        </w:rPr>
        <w:t>投标</w:t>
      </w:r>
      <w:r>
        <w:rPr>
          <w:rFonts w:hint="eastAsia" w:ascii="Times New Roman" w:hAnsi="Times New Roman"/>
          <w:sz w:val="24"/>
          <w:szCs w:val="24"/>
          <w:highlight w:val="none"/>
        </w:rPr>
        <w:t>文件，供应商无需到现场。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 400-881-7190或95763获取热线服务帮助。</w:t>
      </w:r>
    </w:p>
    <w:p w14:paraId="2C5AC3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 xml:space="preserve"> 投标供应商不足3家或者通过资格审查或者符合性审查的投标人不足三家的，招标人</w:t>
      </w:r>
      <w:r>
        <w:rPr>
          <w:rFonts w:hint="eastAsia" w:ascii="Times New Roman" w:hAnsi="Times New Roman"/>
          <w:sz w:val="24"/>
          <w:szCs w:val="24"/>
          <w:highlight w:val="none"/>
          <w:lang w:val="en-US" w:eastAsia="zh-CN"/>
        </w:rPr>
        <w:t>将</w:t>
      </w:r>
      <w:r>
        <w:rPr>
          <w:rFonts w:hint="eastAsia" w:ascii="Times New Roman" w:hAnsi="Times New Roman"/>
          <w:sz w:val="24"/>
          <w:szCs w:val="24"/>
          <w:highlight w:val="none"/>
        </w:rPr>
        <w:t>终止</w:t>
      </w:r>
      <w:r>
        <w:rPr>
          <w:rFonts w:hint="eastAsia" w:ascii="Times New Roman" w:hAnsi="Times New Roman"/>
          <w:sz w:val="24"/>
          <w:szCs w:val="24"/>
          <w:highlight w:val="none"/>
          <w:lang w:val="en-US" w:eastAsia="zh-CN"/>
        </w:rPr>
        <w:t>此次</w:t>
      </w:r>
      <w:r>
        <w:rPr>
          <w:rFonts w:hint="eastAsia" w:ascii="Times New Roman" w:hAnsi="Times New Roman"/>
          <w:sz w:val="24"/>
          <w:szCs w:val="24"/>
          <w:highlight w:val="none"/>
        </w:rPr>
        <w:t>采购活动</w:t>
      </w:r>
      <w:r>
        <w:rPr>
          <w:rFonts w:hint="eastAsia" w:ascii="Times New Roman" w:hAnsi="Times New Roman"/>
          <w:sz w:val="24"/>
          <w:szCs w:val="24"/>
          <w:highlight w:val="none"/>
          <w:lang w:eastAsia="zh-CN"/>
        </w:rPr>
        <w:t>，</w:t>
      </w:r>
      <w:r>
        <w:rPr>
          <w:rFonts w:hint="eastAsia" w:ascii="Times New Roman" w:hAnsi="Times New Roman"/>
          <w:sz w:val="24"/>
          <w:szCs w:val="24"/>
          <w:highlight w:val="none"/>
          <w:lang w:val="en-US" w:eastAsia="zh-CN"/>
        </w:rPr>
        <w:t>并</w:t>
      </w:r>
      <w:r>
        <w:rPr>
          <w:rFonts w:hint="eastAsia" w:ascii="Times New Roman" w:hAnsi="Times New Roman"/>
          <w:sz w:val="24"/>
          <w:szCs w:val="24"/>
          <w:highlight w:val="none"/>
        </w:rPr>
        <w:t>重新招标</w:t>
      </w:r>
      <w:r>
        <w:rPr>
          <w:rFonts w:hint="eastAsia" w:ascii="Times New Roman" w:hAnsi="Times New Roman"/>
          <w:sz w:val="24"/>
          <w:szCs w:val="24"/>
          <w:highlight w:val="none"/>
          <w:lang w:eastAsia="zh-CN"/>
        </w:rPr>
        <w:t>。</w:t>
      </w:r>
    </w:p>
    <w:p w14:paraId="1CF9506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rPr>
        <w:t>14. 开标</w:t>
      </w:r>
    </w:p>
    <w:p w14:paraId="2E12CB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.1开标由</w:t>
      </w:r>
      <w:r>
        <w:rPr>
          <w:rFonts w:hint="eastAsia" w:ascii="Times New Roman" w:hAnsi="Times New Roman"/>
          <w:sz w:val="24"/>
          <w:szCs w:val="24"/>
          <w:highlight w:val="none"/>
          <w:lang w:val="en-US" w:eastAsia="zh-CN"/>
        </w:rPr>
        <w:t>前郭县</w:t>
      </w:r>
      <w:r>
        <w:rPr>
          <w:rFonts w:hint="eastAsia" w:ascii="Times New Roman" w:hAnsi="Times New Roman"/>
          <w:sz w:val="24"/>
          <w:szCs w:val="24"/>
          <w:highlight w:val="none"/>
        </w:rPr>
        <w:t>政府采购中心主持，投标人务必于开标前提前登录系统。</w:t>
      </w:r>
    </w:p>
    <w:p w14:paraId="0AC27C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本项目采用“政采云”平台（http:// www.zcygov.cn）不见面开标大厅进行远程采购活动。</w:t>
      </w:r>
    </w:p>
    <w:p w14:paraId="3C22D1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响应文件远程解密方式：</w:t>
      </w:r>
    </w:p>
    <w:p w14:paraId="26768C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1）公布供应商名单后30分钟内，由供应商持制作该电子响应文件的相同数字证书（CA锁）及电脑进行远程解密（各供应商在响应文件提交截止时间前及“政采云”系统公布供应商名单前，不要提前进行远程解密）。</w:t>
      </w:r>
    </w:p>
    <w:p w14:paraId="4DA4F1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（2）因供应商自身原因未能按时完成解密的，视为逾期未提交响应文件，其响应无效。</w:t>
      </w:r>
    </w:p>
    <w:p w14:paraId="2F115E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.2开标时，由招标方工作人员按照投标人电子投标文件解密后的开标记录，</w:t>
      </w:r>
      <w:r>
        <w:rPr>
          <w:spacing w:val="2"/>
          <w:sz w:val="24"/>
          <w:szCs w:val="24"/>
        </w:rPr>
        <w:t>将按照投标人提交的“开标一览表</w:t>
      </w:r>
      <w:r>
        <w:rPr>
          <w:spacing w:val="-83"/>
          <w:sz w:val="24"/>
          <w:szCs w:val="24"/>
        </w:rPr>
        <w:t xml:space="preserve"> </w:t>
      </w:r>
      <w:r>
        <w:rPr>
          <w:spacing w:val="2"/>
          <w:sz w:val="24"/>
          <w:szCs w:val="24"/>
        </w:rPr>
        <w:t>”，当众宣读投</w:t>
      </w:r>
      <w:r>
        <w:rPr>
          <w:spacing w:val="1"/>
          <w:sz w:val="24"/>
          <w:szCs w:val="24"/>
        </w:rPr>
        <w:t>标人名</w:t>
      </w:r>
      <w:r>
        <w:rPr>
          <w:spacing w:val="-1"/>
          <w:sz w:val="24"/>
          <w:szCs w:val="24"/>
        </w:rPr>
        <w:t>称、投标价格、服务期限</w:t>
      </w:r>
      <w:r>
        <w:rPr>
          <w:rFonts w:hint="eastAsia"/>
          <w:spacing w:val="-1"/>
          <w:sz w:val="24"/>
          <w:szCs w:val="24"/>
          <w:lang w:val="en-US" w:eastAsia="zh-CN"/>
        </w:rPr>
        <w:t>等</w:t>
      </w:r>
      <w:r>
        <w:rPr>
          <w:rFonts w:hint="eastAsia" w:ascii="Times New Roman" w:hAnsi="Times New Roman"/>
          <w:sz w:val="24"/>
          <w:szCs w:val="24"/>
          <w:highlight w:val="none"/>
        </w:rPr>
        <w:t>内容。</w:t>
      </w:r>
    </w:p>
    <w:p w14:paraId="1F5F14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.3开标过程应当由招标方负责记录随采购文件一并存档。</w:t>
      </w:r>
    </w:p>
    <w:p w14:paraId="7C710A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w:t>
      </w:r>
      <w:r>
        <w:rPr>
          <w:rFonts w:hint="eastAsia" w:ascii="Times New Roman" w:hAnsi="Times New Roman"/>
          <w:sz w:val="24"/>
          <w:szCs w:val="24"/>
          <w:highlight w:val="none"/>
          <w:lang w:val="en-US" w:eastAsia="zh-CN"/>
        </w:rPr>
        <w:t>4</w:t>
      </w:r>
      <w:r>
        <w:rPr>
          <w:rFonts w:hint="eastAsia" w:ascii="Times New Roman" w:hAnsi="Times New Roman"/>
          <w:sz w:val="24"/>
          <w:szCs w:val="24"/>
          <w:highlight w:val="none"/>
        </w:rPr>
        <w:t>.4投标人代表对开标过程和开标记录有疑义，以及认为采购人、采购代理机构相关工作人员有需要回避的情形的，应</w:t>
      </w:r>
      <w:r>
        <w:rPr>
          <w:rFonts w:hint="eastAsia" w:ascii="Times New Roman" w:hAnsi="Times New Roman"/>
          <w:sz w:val="24"/>
          <w:szCs w:val="24"/>
          <w:highlight w:val="none"/>
          <w:lang w:val="en-US" w:eastAsia="zh-CN"/>
        </w:rPr>
        <w:t>当场</w:t>
      </w:r>
      <w:r>
        <w:rPr>
          <w:rFonts w:hint="eastAsia" w:ascii="Times New Roman" w:hAnsi="Times New Roman"/>
          <w:sz w:val="24"/>
          <w:szCs w:val="24"/>
          <w:highlight w:val="none"/>
        </w:rPr>
        <w:t>提出询问或者回避申请。</w:t>
      </w:r>
    </w:p>
    <w:p w14:paraId="4743735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rPr>
      </w:pPr>
      <w:r>
        <w:rPr>
          <w:rFonts w:hint="eastAsia" w:ascii="Times New Roman" w:hAnsi="Times New Roman"/>
          <w:b/>
          <w:bCs/>
          <w:sz w:val="24"/>
          <w:szCs w:val="24"/>
          <w:highlight w:val="none"/>
          <w:lang w:val="en-US" w:eastAsia="zh-CN"/>
        </w:rPr>
        <w:t>15</w:t>
      </w:r>
      <w:r>
        <w:rPr>
          <w:rFonts w:hint="eastAsia" w:asciiTheme="minorHAnsi" w:hAnsiTheme="minorHAnsi" w:eastAsiaTheme="minorEastAsia" w:cstheme="minorBidi"/>
          <w:b/>
          <w:bCs/>
          <w:kern w:val="2"/>
          <w:sz w:val="21"/>
          <w:szCs w:val="24"/>
          <w:lang w:val="en-US" w:eastAsia="zh-CN" w:bidi="ar-SA"/>
        </w:rPr>
        <w:t>.</w:t>
      </w:r>
      <w:r>
        <w:rPr>
          <w:rFonts w:hint="eastAsia" w:cstheme="minorBidi"/>
          <w:b/>
          <w:bCs/>
          <w:kern w:val="2"/>
          <w:sz w:val="21"/>
          <w:szCs w:val="24"/>
          <w:lang w:val="en-US" w:eastAsia="zh-CN" w:bidi="ar-SA"/>
        </w:rPr>
        <w:t xml:space="preserve"> </w:t>
      </w:r>
      <w:r>
        <w:rPr>
          <w:rFonts w:hint="eastAsia" w:ascii="Times New Roman" w:hAnsi="Times New Roman"/>
          <w:b/>
          <w:bCs/>
          <w:sz w:val="24"/>
          <w:szCs w:val="24"/>
        </w:rPr>
        <w:t>评标过程的保密性</w:t>
      </w:r>
    </w:p>
    <w:p w14:paraId="3E8E7CC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rPr>
      </w:pPr>
      <w:r>
        <w:rPr>
          <w:rFonts w:hint="eastAsia" w:ascii="Times New Roman" w:hAnsi="Times New Roman"/>
          <w:sz w:val="24"/>
          <w:szCs w:val="24"/>
        </w:rPr>
        <w:t>公开开标后，直至向中标的投标人授予合同时止，除按招标文件规定予以公开的评标结果外，凡与审查、澄清、评价和比较投标有关的资料以</w:t>
      </w:r>
      <w:r>
        <w:rPr>
          <w:rFonts w:hint="eastAsia" w:ascii="Times New Roman" w:hAnsi="Times New Roman"/>
          <w:sz w:val="24"/>
          <w:szCs w:val="24"/>
          <w:highlight w:val="none"/>
        </w:rPr>
        <w:t>及</w:t>
      </w:r>
      <w:r>
        <w:rPr>
          <w:rFonts w:hint="eastAsia" w:ascii="Times New Roman" w:hAnsi="Times New Roman"/>
          <w:sz w:val="24"/>
          <w:szCs w:val="24"/>
          <w:highlight w:val="none"/>
          <w:lang w:eastAsia="zh-CN"/>
        </w:rPr>
        <w:t>投标</w:t>
      </w:r>
      <w:r>
        <w:rPr>
          <w:rFonts w:hint="eastAsia" w:ascii="Times New Roman" w:hAnsi="Times New Roman"/>
          <w:sz w:val="24"/>
          <w:szCs w:val="24"/>
          <w:highlight w:val="none"/>
        </w:rPr>
        <w:t>意</w:t>
      </w:r>
      <w:r>
        <w:rPr>
          <w:rFonts w:hint="eastAsia" w:ascii="Times New Roman" w:hAnsi="Times New Roman"/>
          <w:sz w:val="24"/>
          <w:szCs w:val="24"/>
        </w:rPr>
        <w:t>见等，均不得向投标人及与评标无关的其他人透露。</w:t>
      </w:r>
    </w:p>
    <w:p w14:paraId="1957983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rPr>
      </w:pPr>
      <w:r>
        <w:rPr>
          <w:rFonts w:hint="eastAsia" w:ascii="Times New Roman" w:hAnsi="Times New Roman"/>
          <w:b/>
          <w:bCs/>
          <w:sz w:val="24"/>
          <w:szCs w:val="24"/>
        </w:rPr>
        <w:t>16. 评标</w:t>
      </w:r>
    </w:p>
    <w:p w14:paraId="593188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16.1评标委员会由采购人代表、有关技术和经济等方面的专家组成，共5人。</w:t>
      </w:r>
    </w:p>
    <w:p w14:paraId="37F2D6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16.2专家由招标人从专家库中随机抽取。评标委员会根据本招标文件规定的程序、方法和标准进行评标，负责完成评标的全过程直至评定中标人。</w:t>
      </w:r>
    </w:p>
    <w:p w14:paraId="012AB2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16.3评标委员会可以要求投标人对投标文件有关事项作出澄清或者说明。</w:t>
      </w:r>
    </w:p>
    <w:p w14:paraId="297A18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16.4开标后直至发出中标通知书止，评标委员会对于投标文件的审查、澄清、评价及评标建议、定标决议等内容不得向投标方或其他有关人员</w:t>
      </w:r>
      <w:r>
        <w:rPr>
          <w:rFonts w:hint="eastAsia" w:ascii="Times New Roman" w:hAnsi="Times New Roman"/>
          <w:sz w:val="24"/>
          <w:szCs w:val="24"/>
          <w:highlight w:val="none"/>
          <w:lang w:eastAsia="zh-CN"/>
        </w:rPr>
        <w:t>透露</w:t>
      </w:r>
      <w:r>
        <w:rPr>
          <w:rFonts w:hint="eastAsia" w:ascii="Times New Roman" w:hAnsi="Times New Roman"/>
          <w:sz w:val="24"/>
          <w:szCs w:val="24"/>
          <w:highlight w:val="none"/>
        </w:rPr>
        <w:t>。</w:t>
      </w:r>
    </w:p>
    <w:p w14:paraId="602DD6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16.5在评标过程中，评标委员会发现投标人以他人的名义投标、串通投标、以行贿手段谋取中标或者以其他弄虚作假方式投标的，该投标人的投标将被拒绝。</w:t>
      </w:r>
    </w:p>
    <w:p w14:paraId="3D9C92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16.6评标原则</w:t>
      </w:r>
    </w:p>
    <w:p w14:paraId="4944E9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评标委员会将严格按照招标文件的要求和条件进行评标。</w:t>
      </w:r>
    </w:p>
    <w:p w14:paraId="753BAB5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 xml:space="preserve">17 </w:t>
      </w:r>
      <w:r>
        <w:rPr>
          <w:rFonts w:hint="eastAsia" w:ascii="Times New Roman" w:hAnsi="Times New Roman"/>
          <w:b/>
          <w:bCs/>
          <w:sz w:val="24"/>
          <w:szCs w:val="24"/>
          <w:highlight w:val="none"/>
        </w:rPr>
        <w:t>“双盲”评审</w:t>
      </w:r>
    </w:p>
    <w:p w14:paraId="1DE353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本项目采用“双盲”评审，即评标专家“盲抽”和“盲评”，投标文件的技术标部分采用“暗标”形式，投标人应严格按照“第六章 投标文件主要条款及格式样本”中的要求编制技术标。如果技术标出现能识别投标人的内容，经评标委员会确定后，将否决其投标。</w:t>
      </w:r>
    </w:p>
    <w:p w14:paraId="7E144AE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lang w:val="en-US" w:eastAsia="zh-CN"/>
        </w:rPr>
      </w:pPr>
      <w:r>
        <w:rPr>
          <w:rFonts w:hint="eastAsia" w:ascii="Times New Roman" w:hAnsi="Times New Roman"/>
          <w:b/>
          <w:bCs/>
          <w:sz w:val="24"/>
          <w:szCs w:val="24"/>
          <w:highlight w:val="none"/>
          <w:lang w:val="en-US" w:eastAsia="zh-CN"/>
        </w:rPr>
        <w:t>18.技术方案要求</w:t>
      </w:r>
    </w:p>
    <w:p w14:paraId="26DE35B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val="0"/>
          <w:bCs w:val="0"/>
          <w:sz w:val="24"/>
          <w:szCs w:val="24"/>
          <w:highlight w:val="none"/>
          <w:lang w:val="en-US" w:eastAsia="zh-CN"/>
        </w:rPr>
      </w:pPr>
      <w:r>
        <w:rPr>
          <w:rFonts w:hint="eastAsia" w:ascii="Times New Roman" w:hAnsi="Times New Roman"/>
          <w:b/>
          <w:bCs/>
          <w:sz w:val="24"/>
          <w:szCs w:val="24"/>
          <w:highlight w:val="none"/>
          <w:lang w:val="en-US" w:eastAsia="zh-CN"/>
        </w:rPr>
        <w:t>18.1</w:t>
      </w:r>
      <w:r>
        <w:rPr>
          <w:rFonts w:hint="eastAsia" w:ascii="Times New Roman" w:hAnsi="Times New Roman"/>
          <w:b w:val="0"/>
          <w:bCs w:val="0"/>
          <w:sz w:val="24"/>
          <w:szCs w:val="24"/>
          <w:highlight w:val="none"/>
          <w:lang w:val="en-US" w:eastAsia="zh-CN"/>
        </w:rPr>
        <w:t>技术方案采用暗标“盲评”评审方式</w:t>
      </w:r>
    </w:p>
    <w:p w14:paraId="002342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sz w:val="24"/>
          <w:szCs w:val="24"/>
          <w:highlight w:val="none"/>
          <w:lang w:val="en-US" w:eastAsia="zh-CN"/>
        </w:rPr>
      </w:pPr>
      <w:r>
        <w:rPr>
          <w:rFonts w:hint="eastAsia" w:ascii="Times New Roman" w:hAnsi="Times New Roman"/>
          <w:b w:val="0"/>
          <w:bCs w:val="0"/>
          <w:sz w:val="24"/>
          <w:szCs w:val="24"/>
          <w:highlight w:val="none"/>
          <w:lang w:val="en-US" w:eastAsia="zh-CN"/>
        </w:rPr>
        <w:t>18.2技术方案（技术标）编制要求详见招标文件</w:t>
      </w:r>
    </w:p>
    <w:p w14:paraId="35A934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b w:val="0"/>
          <w:bCs w:val="0"/>
          <w:sz w:val="24"/>
          <w:szCs w:val="24"/>
          <w:highlight w:val="none"/>
          <w:lang w:val="en-US" w:eastAsia="zh-CN"/>
        </w:rPr>
      </w:pPr>
      <w:r>
        <w:rPr>
          <w:rFonts w:hint="eastAsia" w:ascii="Times New Roman" w:hAnsi="Times New Roman"/>
          <w:b w:val="0"/>
          <w:bCs w:val="0"/>
          <w:sz w:val="24"/>
          <w:szCs w:val="24"/>
          <w:highlight w:val="none"/>
          <w:lang w:val="en-US" w:eastAsia="zh-CN"/>
        </w:rPr>
        <w:t>18.3不符合上述要求的，经评标委员会讨论，为无效投标。</w:t>
      </w:r>
    </w:p>
    <w:p w14:paraId="691713F3">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19</w:t>
      </w:r>
      <w:r>
        <w:rPr>
          <w:rFonts w:hint="eastAsia" w:ascii="Times New Roman" w:hAnsi="Times New Roman"/>
          <w:b/>
          <w:bCs/>
          <w:sz w:val="24"/>
          <w:szCs w:val="24"/>
          <w:highlight w:val="none"/>
        </w:rPr>
        <w:t>.签订合同</w:t>
      </w:r>
    </w:p>
    <w:p w14:paraId="75C6A1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1 招标人将在公告中标结果的同时向中标人发出《中标通知书》。中标通知书是合同的组成部分，对采购人和中标人均具有法律约束力。</w:t>
      </w:r>
    </w:p>
    <w:p w14:paraId="6BCA8E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.2 中标通知书发出后，采购人改变中标结果的，或者中标人放弃中标</w:t>
      </w:r>
      <w:r>
        <w:rPr>
          <w:rFonts w:hint="eastAsia" w:ascii="Times New Roman" w:hAnsi="Times New Roman"/>
          <w:sz w:val="24"/>
          <w:szCs w:val="24"/>
          <w:highlight w:val="none"/>
          <w:lang w:eastAsia="zh-CN"/>
        </w:rPr>
        <w:t>项目</w:t>
      </w:r>
      <w:r>
        <w:rPr>
          <w:rFonts w:hint="eastAsia" w:ascii="Times New Roman" w:hAnsi="Times New Roman"/>
          <w:sz w:val="24"/>
          <w:szCs w:val="24"/>
          <w:highlight w:val="none"/>
        </w:rPr>
        <w:t>的，应当依法承担法律责任。</w:t>
      </w:r>
    </w:p>
    <w:p w14:paraId="58D0AC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19</w:t>
      </w:r>
      <w:r>
        <w:rPr>
          <w:rFonts w:hint="eastAsia" w:ascii="Times New Roman" w:hAnsi="Times New Roman"/>
          <w:sz w:val="24"/>
          <w:szCs w:val="24"/>
          <w:highlight w:val="none"/>
        </w:rPr>
        <w:t>.3 中标人应按中标通知书规定的时间与采购人和招标人签订合同。如果中标人未在规定的时间内签署合同，视为自动放弃中标资格，列入不良行为记录名单，在一至三年内禁止参加政府采购活动并予以公告。投标人在被评标委员会评定为中标人之后、中标通知书发出之前放弃中标的，按本条规定处理。</w:t>
      </w:r>
    </w:p>
    <w:p w14:paraId="3C4C0EB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20.</w:t>
      </w:r>
      <w:r>
        <w:rPr>
          <w:rFonts w:hint="eastAsia" w:ascii="Times New Roman" w:hAnsi="Times New Roman"/>
          <w:b/>
          <w:bCs/>
          <w:sz w:val="24"/>
          <w:szCs w:val="24"/>
          <w:highlight w:val="none"/>
        </w:rPr>
        <w:t>保密和披露</w:t>
      </w:r>
    </w:p>
    <w:p w14:paraId="5A7917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20</w:t>
      </w:r>
      <w:r>
        <w:rPr>
          <w:rFonts w:hint="eastAsia" w:ascii="Times New Roman" w:hAnsi="Times New Roman"/>
          <w:sz w:val="24"/>
          <w:szCs w:val="24"/>
          <w:highlight w:val="none"/>
        </w:rPr>
        <w:t>.1 投标人自下载招标文件之日起，须承诺承担本招标</w:t>
      </w:r>
      <w:r>
        <w:rPr>
          <w:rFonts w:hint="eastAsia" w:ascii="Times New Roman" w:hAnsi="Times New Roman"/>
          <w:sz w:val="24"/>
          <w:szCs w:val="24"/>
          <w:highlight w:val="none"/>
          <w:lang w:eastAsia="zh-CN"/>
        </w:rPr>
        <w:t>项目</w:t>
      </w:r>
      <w:r>
        <w:rPr>
          <w:rFonts w:hint="eastAsia" w:ascii="Times New Roman" w:hAnsi="Times New Roman"/>
          <w:sz w:val="24"/>
          <w:szCs w:val="24"/>
          <w:highlight w:val="none"/>
        </w:rPr>
        <w:t>的保密义务，不得将因本次招标获得的信息向第三人</w:t>
      </w:r>
      <w:r>
        <w:rPr>
          <w:rFonts w:hint="eastAsia" w:ascii="Times New Roman" w:hAnsi="Times New Roman"/>
          <w:sz w:val="24"/>
          <w:szCs w:val="24"/>
          <w:highlight w:val="none"/>
          <w:lang w:eastAsia="zh-CN"/>
        </w:rPr>
        <w:t>外泄</w:t>
      </w:r>
      <w:r>
        <w:rPr>
          <w:rFonts w:hint="eastAsia" w:ascii="Times New Roman" w:hAnsi="Times New Roman"/>
          <w:sz w:val="24"/>
          <w:szCs w:val="24"/>
          <w:highlight w:val="none"/>
        </w:rPr>
        <w:t>。</w:t>
      </w:r>
    </w:p>
    <w:p w14:paraId="5DC466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20</w:t>
      </w:r>
      <w:r>
        <w:rPr>
          <w:rFonts w:hint="eastAsia" w:ascii="Times New Roman" w:hAnsi="Times New Roman"/>
          <w:sz w:val="24"/>
          <w:szCs w:val="24"/>
          <w:highlight w:val="none"/>
        </w:rPr>
        <w:t>.2 招标人有权将投标人提供的所有资料向其他政府部门或有关的非政府机构负责评审标书的人员或与评标有关的人员披露。</w:t>
      </w:r>
    </w:p>
    <w:p w14:paraId="08A63C9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Times New Roman" w:hAnsi="Times New Roman"/>
          <w:b/>
          <w:bCs/>
          <w:sz w:val="24"/>
          <w:szCs w:val="24"/>
          <w:highlight w:val="none"/>
        </w:rPr>
      </w:pPr>
      <w:r>
        <w:rPr>
          <w:rFonts w:hint="eastAsia" w:ascii="Times New Roman" w:hAnsi="Times New Roman"/>
          <w:b/>
          <w:bCs/>
          <w:sz w:val="24"/>
          <w:szCs w:val="24"/>
          <w:highlight w:val="none"/>
        </w:rPr>
        <w:t>2</w:t>
      </w:r>
      <w:r>
        <w:rPr>
          <w:rFonts w:hint="eastAsia" w:ascii="Times New Roman" w:hAnsi="Times New Roman"/>
          <w:b/>
          <w:bCs/>
          <w:sz w:val="24"/>
          <w:szCs w:val="24"/>
          <w:highlight w:val="none"/>
          <w:lang w:val="en-US" w:eastAsia="zh-CN"/>
        </w:rPr>
        <w:t>1</w:t>
      </w:r>
      <w:r>
        <w:rPr>
          <w:rFonts w:hint="eastAsia" w:ascii="Times New Roman" w:hAnsi="Times New Roman"/>
          <w:b/>
          <w:bCs/>
          <w:sz w:val="24"/>
          <w:szCs w:val="24"/>
          <w:highlight w:val="none"/>
        </w:rPr>
        <w:t>.投诉</w:t>
      </w:r>
    </w:p>
    <w:p w14:paraId="1D3A0D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highlight w:val="none"/>
        </w:rPr>
      </w:pPr>
      <w:r>
        <w:rPr>
          <w:rFonts w:hint="eastAsia" w:ascii="Times New Roman" w:hAnsi="Times New Roman"/>
          <w:sz w:val="24"/>
          <w:szCs w:val="24"/>
          <w:highlight w:val="none"/>
        </w:rPr>
        <w:t>投标人和其他利害关系人认为本次招标活动违反</w:t>
      </w:r>
      <w:r>
        <w:rPr>
          <w:rFonts w:hint="eastAsia" w:ascii="Times New Roman" w:hAnsi="Times New Roman"/>
          <w:sz w:val="24"/>
          <w:szCs w:val="24"/>
          <w:highlight w:val="none"/>
          <w:lang w:eastAsia="zh-CN"/>
        </w:rPr>
        <w:t>法律法规</w:t>
      </w:r>
      <w:r>
        <w:rPr>
          <w:rFonts w:hint="eastAsia" w:ascii="Times New Roman" w:hAnsi="Times New Roman"/>
          <w:sz w:val="24"/>
          <w:szCs w:val="24"/>
          <w:highlight w:val="none"/>
        </w:rPr>
        <w:t>和规章规定的，有权向有关行政监督部门投诉。</w:t>
      </w:r>
    </w:p>
    <w:p w14:paraId="5A9A28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sz w:val="24"/>
          <w:szCs w:val="24"/>
        </w:rPr>
      </w:pPr>
    </w:p>
    <w:p w14:paraId="74C58DDC">
      <w:pPr>
        <w:pStyle w:val="16"/>
        <w:shd w:val="clear" w:color="auto" w:fill="FFFFFF"/>
        <w:wordWrap w:val="0"/>
        <w:topLinePunct/>
        <w:spacing w:before="0" w:beforeAutospacing="0" w:after="0" w:afterAutospacing="0" w:line="360" w:lineRule="auto"/>
        <w:jc w:val="both"/>
        <w:rPr>
          <w:rFonts w:hint="eastAsia" w:hAnsi="宋体"/>
          <w:color w:val="000000"/>
          <w:highlight w:val="none"/>
          <w:shd w:val="clear" w:color="auto" w:fill="FFFFFF"/>
        </w:rPr>
        <w:sectPr>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11FEE353">
      <w:pPr>
        <w:pStyle w:val="2"/>
        <w:numPr>
          <w:ilvl w:val="0"/>
          <w:numId w:val="4"/>
        </w:numPr>
        <w:bidi w:val="0"/>
        <w:jc w:val="center"/>
        <w:rPr>
          <w:rStyle w:val="31"/>
          <w:rFonts w:hint="eastAsia"/>
          <w:b/>
          <w:bCs/>
          <w:color w:val="000000"/>
          <w:highlight w:val="none"/>
          <w:lang w:val="zh-CN"/>
        </w:rPr>
      </w:pPr>
      <w:bookmarkStart w:id="10" w:name="_Toc10005"/>
      <w:r>
        <w:rPr>
          <w:rStyle w:val="31"/>
          <w:rFonts w:hint="eastAsia"/>
          <w:b/>
          <w:bCs/>
          <w:color w:val="000000"/>
          <w:highlight w:val="none"/>
        </w:rPr>
        <w:t xml:space="preserve"> </w:t>
      </w:r>
      <w:bookmarkEnd w:id="10"/>
      <w:r>
        <w:rPr>
          <w:rStyle w:val="31"/>
          <w:rFonts w:hint="eastAsia"/>
          <w:b/>
          <w:bCs/>
          <w:color w:val="000000"/>
          <w:highlight w:val="none"/>
          <w:lang w:val="zh-CN"/>
        </w:rPr>
        <w:t>政府采购合同</w:t>
      </w:r>
    </w:p>
    <w:p w14:paraId="3C7BEE42">
      <w:pPr>
        <w:spacing w:line="242" w:lineRule="auto"/>
        <w:rPr>
          <w:rFonts w:ascii="Arial"/>
          <w:sz w:val="21"/>
        </w:rPr>
      </w:pPr>
    </w:p>
    <w:p w14:paraId="435879B5">
      <w:pPr>
        <w:spacing w:line="242" w:lineRule="auto"/>
        <w:rPr>
          <w:rFonts w:ascii="Arial"/>
          <w:sz w:val="21"/>
        </w:rPr>
      </w:pPr>
    </w:p>
    <w:p w14:paraId="371DF594">
      <w:pPr>
        <w:pStyle w:val="9"/>
        <w:spacing w:before="91" w:line="220" w:lineRule="auto"/>
        <w:jc w:val="center"/>
        <w:rPr>
          <w:sz w:val="28"/>
          <w:szCs w:val="28"/>
        </w:rPr>
      </w:pPr>
      <w:r>
        <w:rPr>
          <w:b/>
          <w:bCs/>
          <w:spacing w:val="-7"/>
          <w:sz w:val="28"/>
          <w:szCs w:val="28"/>
        </w:rPr>
        <w:t>（</w:t>
      </w:r>
      <w:r>
        <w:rPr>
          <w:rFonts w:hint="eastAsia"/>
          <w:b/>
          <w:bCs/>
          <w:spacing w:val="-7"/>
          <w:sz w:val="28"/>
          <w:szCs w:val="28"/>
          <w:lang w:val="en-US" w:eastAsia="zh-CN"/>
        </w:rPr>
        <w:t>货物</w:t>
      </w:r>
      <w:r>
        <w:rPr>
          <w:b/>
          <w:bCs/>
          <w:spacing w:val="-7"/>
          <w:sz w:val="28"/>
          <w:szCs w:val="28"/>
        </w:rPr>
        <w:t>类）</w:t>
      </w:r>
    </w:p>
    <w:p w14:paraId="42D5C822">
      <w:pPr>
        <w:spacing w:line="251" w:lineRule="auto"/>
        <w:rPr>
          <w:rFonts w:ascii="Arial"/>
          <w:sz w:val="21"/>
        </w:rPr>
      </w:pPr>
    </w:p>
    <w:p w14:paraId="7F5C469A">
      <w:pPr>
        <w:spacing w:line="251" w:lineRule="auto"/>
        <w:rPr>
          <w:rFonts w:ascii="Arial"/>
          <w:sz w:val="21"/>
        </w:rPr>
      </w:pPr>
    </w:p>
    <w:p w14:paraId="6D76B9D5">
      <w:pPr>
        <w:spacing w:line="251" w:lineRule="auto"/>
        <w:rPr>
          <w:rFonts w:ascii="Arial"/>
          <w:sz w:val="21"/>
        </w:rPr>
      </w:pPr>
    </w:p>
    <w:p w14:paraId="271882B9">
      <w:pPr>
        <w:pStyle w:val="9"/>
        <w:numPr>
          <w:ilvl w:val="0"/>
          <w:numId w:val="5"/>
        </w:numPr>
        <w:spacing w:before="78" w:line="219" w:lineRule="auto"/>
        <w:jc w:val="center"/>
        <w:outlineLvl w:val="1"/>
        <w:rPr>
          <w:b/>
          <w:bCs/>
          <w:spacing w:val="-3"/>
          <w:sz w:val="24"/>
          <w:szCs w:val="24"/>
        </w:rPr>
      </w:pPr>
      <w:bookmarkStart w:id="11" w:name="bookmark102"/>
      <w:bookmarkEnd w:id="11"/>
      <w:bookmarkStart w:id="12" w:name="_Toc22507"/>
      <w:r>
        <w:rPr>
          <w:b/>
          <w:bCs/>
          <w:spacing w:val="-3"/>
          <w:sz w:val="24"/>
          <w:szCs w:val="24"/>
        </w:rPr>
        <w:t>合同书</w:t>
      </w:r>
      <w:bookmarkEnd w:id="12"/>
    </w:p>
    <w:p w14:paraId="51CE9170">
      <w:pPr>
        <w:jc w:val="center"/>
        <w:rPr>
          <w:rFonts w:hint="eastAsia"/>
          <w:u w:val="none" w:color="auto"/>
          <w:lang w:val="zh-CN"/>
        </w:rPr>
      </w:pPr>
      <w:r>
        <w:rPr>
          <w:rFonts w:hint="eastAsia"/>
          <w:sz w:val="21"/>
          <w:szCs w:val="21"/>
          <w:highlight w:val="none"/>
          <w:u w:val="none" w:color="auto"/>
          <w:lang w:val="en-US" w:eastAsia="zh-CN"/>
        </w:rPr>
        <w:t>（此合同为模板，具体可根据实际情况签订）</w:t>
      </w:r>
    </w:p>
    <w:p w14:paraId="03B99EBE">
      <w:pPr>
        <w:pStyle w:val="9"/>
        <w:numPr>
          <w:ilvl w:val="0"/>
          <w:numId w:val="0"/>
        </w:numPr>
        <w:spacing w:before="78" w:line="219" w:lineRule="auto"/>
        <w:jc w:val="both"/>
        <w:outlineLvl w:val="1"/>
        <w:rPr>
          <w:b/>
          <w:bCs/>
          <w:spacing w:val="-3"/>
          <w:sz w:val="24"/>
          <w:szCs w:val="24"/>
        </w:rPr>
      </w:pPr>
    </w:p>
    <w:p w14:paraId="1CC75B4F">
      <w:pPr>
        <w:spacing w:line="247" w:lineRule="auto"/>
        <w:rPr>
          <w:rFonts w:ascii="Arial"/>
          <w:sz w:val="21"/>
        </w:rPr>
      </w:pPr>
    </w:p>
    <w:p w14:paraId="58ECFC31">
      <w:pPr>
        <w:spacing w:line="247" w:lineRule="auto"/>
        <w:rPr>
          <w:rFonts w:ascii="Arial"/>
          <w:sz w:val="21"/>
        </w:rPr>
      </w:pPr>
    </w:p>
    <w:p w14:paraId="489112EA">
      <w:pPr>
        <w:spacing w:line="247" w:lineRule="auto"/>
        <w:rPr>
          <w:rFonts w:ascii="Arial"/>
          <w:sz w:val="21"/>
        </w:rPr>
      </w:pPr>
    </w:p>
    <w:p w14:paraId="63563FCC">
      <w:pPr>
        <w:spacing w:line="247" w:lineRule="auto"/>
        <w:rPr>
          <w:rFonts w:ascii="Arial"/>
          <w:sz w:val="21"/>
        </w:rPr>
      </w:pPr>
    </w:p>
    <w:p w14:paraId="074F010F">
      <w:pPr>
        <w:spacing w:line="247" w:lineRule="auto"/>
        <w:rPr>
          <w:rFonts w:ascii="Arial"/>
          <w:sz w:val="21"/>
        </w:rPr>
      </w:pPr>
    </w:p>
    <w:p w14:paraId="7F530708">
      <w:pPr>
        <w:spacing w:line="247" w:lineRule="auto"/>
        <w:rPr>
          <w:rFonts w:ascii="Arial"/>
          <w:sz w:val="21"/>
        </w:rPr>
      </w:pPr>
    </w:p>
    <w:p w14:paraId="627395BC">
      <w:pPr>
        <w:spacing w:line="247" w:lineRule="auto"/>
        <w:rPr>
          <w:rFonts w:ascii="Arial"/>
          <w:sz w:val="21"/>
        </w:rPr>
      </w:pPr>
    </w:p>
    <w:p w14:paraId="4CF2D7FA">
      <w:pPr>
        <w:spacing w:line="247" w:lineRule="auto"/>
        <w:rPr>
          <w:rFonts w:ascii="Arial"/>
          <w:sz w:val="21"/>
        </w:rPr>
      </w:pPr>
    </w:p>
    <w:p w14:paraId="33065042">
      <w:pPr>
        <w:spacing w:line="247" w:lineRule="auto"/>
        <w:rPr>
          <w:rFonts w:ascii="Arial"/>
          <w:sz w:val="21"/>
        </w:rPr>
      </w:pPr>
    </w:p>
    <w:p w14:paraId="51184248">
      <w:pPr>
        <w:spacing w:line="247" w:lineRule="auto"/>
        <w:rPr>
          <w:rFonts w:ascii="Arial"/>
          <w:sz w:val="21"/>
        </w:rPr>
      </w:pPr>
    </w:p>
    <w:p w14:paraId="2D37B862">
      <w:pPr>
        <w:pStyle w:val="9"/>
        <w:spacing w:before="81" w:line="212" w:lineRule="auto"/>
        <w:ind w:left="987"/>
        <w:rPr>
          <w:sz w:val="25"/>
          <w:szCs w:val="25"/>
        </w:rPr>
      </w:pPr>
      <w:r>
        <w:rPr>
          <w:spacing w:val="-7"/>
          <w:sz w:val="24"/>
          <w:szCs w:val="24"/>
        </w:rPr>
        <w:t>项目名称</w:t>
      </w:r>
      <w:r>
        <w:rPr>
          <w:spacing w:val="-6"/>
          <w:sz w:val="24"/>
          <w:szCs w:val="24"/>
        </w:rPr>
        <w:t>：</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3D824D11">
      <w:pPr>
        <w:spacing w:line="377" w:lineRule="auto"/>
        <w:rPr>
          <w:rFonts w:ascii="Arial"/>
          <w:sz w:val="21"/>
        </w:rPr>
      </w:pPr>
    </w:p>
    <w:p w14:paraId="684C43DD">
      <w:pPr>
        <w:pStyle w:val="9"/>
        <w:spacing w:before="78" w:line="219" w:lineRule="auto"/>
        <w:ind w:left="987"/>
        <w:rPr>
          <w:sz w:val="24"/>
          <w:szCs w:val="24"/>
        </w:rPr>
      </w:pPr>
      <w:r>
        <w:rPr>
          <w:spacing w:val="-3"/>
          <w:sz w:val="24"/>
          <w:szCs w:val="24"/>
        </w:rPr>
        <w:t>项目编号：</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2147F127">
      <w:pPr>
        <w:spacing w:line="378" w:lineRule="auto"/>
        <w:rPr>
          <w:rFonts w:ascii="Arial"/>
          <w:sz w:val="21"/>
        </w:rPr>
      </w:pPr>
    </w:p>
    <w:p w14:paraId="5F8BC1F1">
      <w:pPr>
        <w:pStyle w:val="9"/>
        <w:spacing w:before="78" w:line="219" w:lineRule="auto"/>
        <w:ind w:left="1014"/>
        <w:rPr>
          <w:sz w:val="24"/>
          <w:szCs w:val="24"/>
        </w:rPr>
      </w:pPr>
      <w:r>
        <w:rPr>
          <w:spacing w:val="-7"/>
          <w:sz w:val="24"/>
          <w:szCs w:val="24"/>
        </w:rPr>
        <w:t>甲方（采购人</w:t>
      </w:r>
      <w:r>
        <w:rPr>
          <w:spacing w:val="-60"/>
          <w:sz w:val="24"/>
          <w:szCs w:val="24"/>
        </w:rPr>
        <w:t>）：</w:t>
      </w:r>
      <w:r>
        <w:rPr>
          <w:sz w:val="24"/>
          <w:szCs w:val="24"/>
          <w:u w:val="single" w:color="auto"/>
        </w:rPr>
        <w:t xml:space="preserve">                              </w:t>
      </w:r>
    </w:p>
    <w:p w14:paraId="50E3DE54">
      <w:pPr>
        <w:spacing w:line="378" w:lineRule="auto"/>
        <w:rPr>
          <w:rFonts w:ascii="Arial"/>
          <w:sz w:val="21"/>
        </w:rPr>
      </w:pPr>
    </w:p>
    <w:p w14:paraId="607E4FD3">
      <w:pPr>
        <w:pStyle w:val="9"/>
        <w:spacing w:before="78" w:line="219" w:lineRule="auto"/>
        <w:ind w:left="1006"/>
        <w:rPr>
          <w:sz w:val="24"/>
          <w:szCs w:val="24"/>
        </w:rPr>
      </w:pPr>
      <w:r>
        <w:rPr>
          <w:spacing w:val="-5"/>
          <w:sz w:val="24"/>
          <w:szCs w:val="24"/>
        </w:rPr>
        <w:t>乙方（成交供应商</w:t>
      </w:r>
      <w:r>
        <w:rPr>
          <w:spacing w:val="-57"/>
          <w:sz w:val="24"/>
          <w:szCs w:val="24"/>
        </w:rPr>
        <w:t>）：</w:t>
      </w:r>
      <w:r>
        <w:rPr>
          <w:sz w:val="24"/>
          <w:szCs w:val="24"/>
          <w:u w:val="single" w:color="auto"/>
        </w:rPr>
        <w:t xml:space="preserve">                          </w:t>
      </w:r>
    </w:p>
    <w:p w14:paraId="6CC6D17B">
      <w:pPr>
        <w:spacing w:line="379" w:lineRule="auto"/>
        <w:rPr>
          <w:rFonts w:ascii="Arial"/>
          <w:sz w:val="21"/>
        </w:rPr>
      </w:pPr>
    </w:p>
    <w:p w14:paraId="4F2D7FA8">
      <w:pPr>
        <w:pStyle w:val="9"/>
        <w:spacing w:before="78" w:line="222" w:lineRule="auto"/>
        <w:ind w:left="983"/>
        <w:rPr>
          <w:sz w:val="24"/>
          <w:szCs w:val="24"/>
        </w:rPr>
      </w:pPr>
      <w:r>
        <w:rPr>
          <w:spacing w:val="-3"/>
          <w:sz w:val="24"/>
          <w:szCs w:val="24"/>
        </w:rPr>
        <w:t>签订地：</w:t>
      </w:r>
      <w:r>
        <w:rPr>
          <w:sz w:val="24"/>
          <w:szCs w:val="24"/>
          <w:u w:val="single" w:color="auto"/>
        </w:rPr>
        <w:t xml:space="preserve">                                     </w:t>
      </w:r>
    </w:p>
    <w:p w14:paraId="0AEF260C">
      <w:pPr>
        <w:spacing w:line="375" w:lineRule="auto"/>
        <w:rPr>
          <w:rFonts w:ascii="Arial"/>
          <w:sz w:val="21"/>
        </w:rPr>
      </w:pPr>
    </w:p>
    <w:p w14:paraId="67A5DC38">
      <w:pPr>
        <w:pStyle w:val="9"/>
        <w:spacing w:before="79" w:line="219" w:lineRule="auto"/>
        <w:ind w:left="983"/>
        <w:rPr>
          <w:sz w:val="24"/>
          <w:szCs w:val="24"/>
        </w:rPr>
      </w:pPr>
      <w:r>
        <w:rPr>
          <w:spacing w:val="-2"/>
          <w:sz w:val="24"/>
          <w:szCs w:val="24"/>
        </w:rPr>
        <w:t>签订日期：</w:t>
      </w:r>
      <w:r>
        <w:rPr>
          <w:spacing w:val="-2"/>
          <w:sz w:val="24"/>
          <w:szCs w:val="24"/>
          <w:u w:val="single" w:color="auto"/>
        </w:rPr>
        <w:t xml:space="preserve">               </w:t>
      </w:r>
      <w:r>
        <w:rPr>
          <w:spacing w:val="-100"/>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4C6AA0F8">
      <w:pPr>
        <w:spacing w:line="219" w:lineRule="auto"/>
        <w:rPr>
          <w:sz w:val="24"/>
          <w:szCs w:val="24"/>
        </w:rPr>
        <w:sectPr>
          <w:headerReference r:id="rId8" w:type="default"/>
          <w:footerReference r:id="rId9" w:type="default"/>
          <w:pgSz w:w="11906" w:h="16839"/>
          <w:pgMar w:top="1440" w:right="1080" w:bottom="1440" w:left="1080" w:header="829" w:footer="1200" w:gutter="0"/>
          <w:pgNumType w:fmt="decimal"/>
          <w:cols w:space="720" w:num="1"/>
        </w:sectPr>
      </w:pPr>
    </w:p>
    <w:p w14:paraId="47C60938">
      <w:pPr>
        <w:spacing w:line="308" w:lineRule="auto"/>
        <w:rPr>
          <w:rFonts w:ascii="Arial"/>
          <w:sz w:val="21"/>
        </w:rPr>
      </w:pPr>
    </w:p>
    <w:p w14:paraId="7DE5018F">
      <w:pPr>
        <w:spacing w:line="309" w:lineRule="auto"/>
        <w:jc w:val="both"/>
        <w:rPr>
          <w:rFonts w:ascii="Arial"/>
          <w:sz w:val="21"/>
        </w:rPr>
      </w:pPr>
    </w:p>
    <w:p w14:paraId="3A3C1C1A">
      <w:pPr>
        <w:pStyle w:val="9"/>
        <w:tabs>
          <w:tab w:val="left" w:pos="1265"/>
        </w:tabs>
        <w:spacing w:before="78" w:line="360" w:lineRule="auto"/>
        <w:ind w:left="121" w:right="112" w:firstLine="425"/>
        <w:jc w:val="both"/>
        <w:rPr>
          <w:sz w:val="24"/>
          <w:szCs w:val="24"/>
        </w:rPr>
      </w:pPr>
      <w:r>
        <w:rPr>
          <w:sz w:val="24"/>
          <w:szCs w:val="24"/>
          <w:u w:val="single" w:color="auto"/>
        </w:rPr>
        <w:tab/>
      </w:r>
      <w:r>
        <w:rPr>
          <w:spacing w:val="-2"/>
          <w:sz w:val="24"/>
          <w:szCs w:val="24"/>
        </w:rPr>
        <w:t>（以下简称：甲方）通过</w:t>
      </w:r>
      <w:r>
        <w:rPr>
          <w:spacing w:val="-2"/>
          <w:sz w:val="24"/>
          <w:szCs w:val="24"/>
          <w:u w:val="single" w:color="auto"/>
        </w:rPr>
        <w:t xml:space="preserve">      </w:t>
      </w:r>
      <w:r>
        <w:rPr>
          <w:spacing w:val="-102"/>
          <w:sz w:val="24"/>
          <w:szCs w:val="24"/>
        </w:rPr>
        <w:t xml:space="preserve"> </w:t>
      </w:r>
      <w:r>
        <w:rPr>
          <w:spacing w:val="-2"/>
          <w:sz w:val="24"/>
          <w:szCs w:val="24"/>
        </w:rPr>
        <w:t>组织的</w:t>
      </w:r>
      <w:r>
        <w:rPr>
          <w:rFonts w:hint="eastAsia"/>
          <w:spacing w:val="-2"/>
          <w:sz w:val="24"/>
          <w:szCs w:val="24"/>
          <w:lang w:val="en-US" w:eastAsia="zh-CN"/>
        </w:rPr>
        <w:t>公开招标</w:t>
      </w:r>
      <w:r>
        <w:rPr>
          <w:spacing w:val="-2"/>
          <w:sz w:val="24"/>
          <w:szCs w:val="24"/>
        </w:rPr>
        <w:t>采购活动，经</w:t>
      </w:r>
      <w:r>
        <w:rPr>
          <w:rFonts w:hint="eastAsia"/>
          <w:spacing w:val="-1"/>
          <w:sz w:val="24"/>
          <w:szCs w:val="24"/>
          <w:lang w:val="en-US" w:eastAsia="zh-CN"/>
        </w:rPr>
        <w:t>评审</w:t>
      </w:r>
      <w:r>
        <w:rPr>
          <w:spacing w:val="-1"/>
          <w:sz w:val="24"/>
          <w:szCs w:val="24"/>
        </w:rPr>
        <w:t>小组评定</w:t>
      </w:r>
      <w:r>
        <w:rPr>
          <w:spacing w:val="-36"/>
          <w:sz w:val="24"/>
          <w:szCs w:val="24"/>
        </w:rPr>
        <w:t>，</w:t>
      </w:r>
      <w:r>
        <w:rPr>
          <w:sz w:val="24"/>
          <w:szCs w:val="24"/>
          <w:u w:val="single" w:color="auto"/>
        </w:rPr>
        <w:t xml:space="preserve">      </w:t>
      </w:r>
      <w:r>
        <w:rPr>
          <w:spacing w:val="-36"/>
          <w:sz w:val="24"/>
          <w:szCs w:val="24"/>
        </w:rPr>
        <w:t>（</w:t>
      </w:r>
      <w:r>
        <w:rPr>
          <w:spacing w:val="-1"/>
          <w:sz w:val="24"/>
          <w:szCs w:val="24"/>
        </w:rPr>
        <w:t>以下简称：乙方）为本项目成交供应商，现按照</w:t>
      </w:r>
      <w:r>
        <w:rPr>
          <w:spacing w:val="-2"/>
          <w:sz w:val="24"/>
          <w:szCs w:val="24"/>
        </w:rPr>
        <w:t>采购文</w:t>
      </w:r>
      <w:r>
        <w:rPr>
          <w:spacing w:val="-1"/>
          <w:sz w:val="24"/>
          <w:szCs w:val="24"/>
        </w:rPr>
        <w:t>件确定的事项签订本合同。</w:t>
      </w:r>
    </w:p>
    <w:p w14:paraId="7F465ED5">
      <w:pPr>
        <w:pStyle w:val="9"/>
        <w:spacing w:line="360" w:lineRule="auto"/>
        <w:ind w:left="123" w:right="50" w:firstLine="433"/>
        <w:jc w:val="both"/>
        <w:rPr>
          <w:sz w:val="24"/>
          <w:szCs w:val="24"/>
        </w:rPr>
      </w:pPr>
      <w:r>
        <w:rPr>
          <w:spacing w:val="-9"/>
          <w:sz w:val="24"/>
          <w:szCs w:val="24"/>
        </w:rPr>
        <w:t>根据《中华人民共和国民法典》、《中华人民共和国政府采购法》等相关法律</w:t>
      </w:r>
      <w:r>
        <w:rPr>
          <w:spacing w:val="-8"/>
          <w:sz w:val="24"/>
          <w:szCs w:val="24"/>
        </w:rPr>
        <w:t>法规之规定，按照平等、自愿、公平和诚实信用的原则，经甲方和乙方协商一致，</w:t>
      </w:r>
      <w:r>
        <w:rPr>
          <w:spacing w:val="-1"/>
          <w:sz w:val="24"/>
          <w:szCs w:val="24"/>
        </w:rPr>
        <w:t>约定以下合同条款，以兹共同遵守、全面履行。</w:t>
      </w:r>
    </w:p>
    <w:p w14:paraId="0531366A">
      <w:pPr>
        <w:pStyle w:val="9"/>
        <w:spacing w:line="219" w:lineRule="auto"/>
        <w:ind w:left="576"/>
        <w:jc w:val="both"/>
        <w:outlineLvl w:val="2"/>
        <w:rPr>
          <w:sz w:val="24"/>
          <w:szCs w:val="24"/>
        </w:rPr>
      </w:pPr>
      <w:r>
        <w:rPr>
          <w:b/>
          <w:bCs/>
          <w:spacing w:val="-5"/>
          <w:sz w:val="24"/>
          <w:szCs w:val="24"/>
        </w:rPr>
        <w:t>1.1</w:t>
      </w:r>
      <w:r>
        <w:rPr>
          <w:spacing w:val="-5"/>
          <w:sz w:val="24"/>
          <w:szCs w:val="24"/>
        </w:rPr>
        <w:t xml:space="preserve"> </w:t>
      </w:r>
      <w:r>
        <w:rPr>
          <w:b/>
          <w:bCs/>
          <w:spacing w:val="-5"/>
          <w:sz w:val="24"/>
          <w:szCs w:val="24"/>
        </w:rPr>
        <w:t>合同组成部分</w:t>
      </w:r>
    </w:p>
    <w:p w14:paraId="7FDABCB0">
      <w:pPr>
        <w:pStyle w:val="9"/>
        <w:spacing w:before="182" w:line="360" w:lineRule="auto"/>
        <w:ind w:left="126" w:right="104" w:firstLine="437"/>
        <w:jc w:val="both"/>
        <w:rPr>
          <w:sz w:val="24"/>
          <w:szCs w:val="24"/>
        </w:rPr>
      </w:pPr>
      <w:r>
        <w:rPr>
          <w:spacing w:val="-2"/>
          <w:sz w:val="24"/>
          <w:szCs w:val="24"/>
        </w:rPr>
        <w:t>下列文件为本合同的组成部分，并构成一个整体，需综合解释、相互补充。</w:t>
      </w:r>
      <w:r>
        <w:rPr>
          <w:spacing w:val="-3"/>
          <w:sz w:val="24"/>
          <w:szCs w:val="24"/>
        </w:rPr>
        <w:t>如果下列文件内容出现不一致的情形，那么在保证按照采购文件确定的事</w:t>
      </w:r>
      <w:r>
        <w:rPr>
          <w:spacing w:val="-4"/>
          <w:sz w:val="24"/>
          <w:szCs w:val="24"/>
        </w:rPr>
        <w:t>项前提</w:t>
      </w:r>
      <w:r>
        <w:rPr>
          <w:spacing w:val="-1"/>
          <w:sz w:val="24"/>
          <w:szCs w:val="24"/>
        </w:rPr>
        <w:t>下，组成本合同的多个文件的优先适用顺序如下：</w:t>
      </w:r>
    </w:p>
    <w:p w14:paraId="04154B20">
      <w:pPr>
        <w:pStyle w:val="9"/>
        <w:spacing w:line="218" w:lineRule="auto"/>
        <w:ind w:left="574"/>
        <w:jc w:val="both"/>
        <w:rPr>
          <w:sz w:val="24"/>
          <w:szCs w:val="24"/>
        </w:rPr>
      </w:pPr>
      <w:r>
        <w:rPr>
          <w:spacing w:val="-2"/>
          <w:sz w:val="24"/>
          <w:szCs w:val="24"/>
        </w:rPr>
        <w:t>1.1.1</w:t>
      </w:r>
      <w:r>
        <w:rPr>
          <w:spacing w:val="-49"/>
          <w:sz w:val="24"/>
          <w:szCs w:val="24"/>
        </w:rPr>
        <w:t xml:space="preserve"> </w:t>
      </w:r>
      <w:r>
        <w:rPr>
          <w:spacing w:val="-2"/>
          <w:sz w:val="24"/>
          <w:szCs w:val="24"/>
        </w:rPr>
        <w:t>本合同及其补充合同、变更协议；</w:t>
      </w:r>
    </w:p>
    <w:p w14:paraId="2C4EDD0D">
      <w:pPr>
        <w:pStyle w:val="9"/>
        <w:spacing w:before="183" w:line="219" w:lineRule="auto"/>
        <w:ind w:left="574"/>
        <w:jc w:val="both"/>
        <w:rPr>
          <w:sz w:val="24"/>
          <w:szCs w:val="24"/>
        </w:rPr>
      </w:pPr>
      <w:r>
        <w:rPr>
          <w:spacing w:val="-4"/>
          <w:sz w:val="24"/>
          <w:szCs w:val="24"/>
        </w:rPr>
        <w:t>1.1.2</w:t>
      </w:r>
      <w:r>
        <w:rPr>
          <w:spacing w:val="-45"/>
          <w:sz w:val="24"/>
          <w:szCs w:val="24"/>
        </w:rPr>
        <w:t xml:space="preserve"> </w:t>
      </w:r>
      <w:r>
        <w:rPr>
          <w:spacing w:val="-4"/>
          <w:sz w:val="24"/>
          <w:szCs w:val="24"/>
        </w:rPr>
        <w:t>成交通知书；</w:t>
      </w:r>
    </w:p>
    <w:p w14:paraId="29947926">
      <w:pPr>
        <w:pStyle w:val="9"/>
        <w:spacing w:before="184" w:line="219" w:lineRule="auto"/>
        <w:ind w:left="574"/>
        <w:jc w:val="both"/>
        <w:rPr>
          <w:sz w:val="24"/>
          <w:szCs w:val="24"/>
        </w:rPr>
      </w:pPr>
      <w:r>
        <w:rPr>
          <w:spacing w:val="-3"/>
          <w:sz w:val="24"/>
          <w:szCs w:val="24"/>
        </w:rPr>
        <w:t>1.1.3</w:t>
      </w:r>
      <w:r>
        <w:rPr>
          <w:spacing w:val="-37"/>
          <w:sz w:val="24"/>
          <w:szCs w:val="24"/>
        </w:rPr>
        <w:t xml:space="preserve"> </w:t>
      </w:r>
      <w:r>
        <w:rPr>
          <w:spacing w:val="-3"/>
          <w:sz w:val="24"/>
          <w:szCs w:val="24"/>
        </w:rPr>
        <w:t>响应文件（含澄清或者说明文件</w:t>
      </w:r>
      <w:r>
        <w:rPr>
          <w:spacing w:val="-65"/>
          <w:sz w:val="24"/>
          <w:szCs w:val="24"/>
        </w:rPr>
        <w:t>）；</w:t>
      </w:r>
    </w:p>
    <w:p w14:paraId="7E3ADC2D">
      <w:pPr>
        <w:pStyle w:val="9"/>
        <w:spacing w:before="184" w:line="219" w:lineRule="auto"/>
        <w:ind w:left="574"/>
        <w:jc w:val="both"/>
        <w:rPr>
          <w:sz w:val="24"/>
          <w:szCs w:val="24"/>
        </w:rPr>
      </w:pPr>
      <w:r>
        <w:rPr>
          <w:spacing w:val="-2"/>
          <w:sz w:val="24"/>
          <w:szCs w:val="24"/>
        </w:rPr>
        <w:t>1.1.4</w:t>
      </w:r>
      <w:r>
        <w:rPr>
          <w:spacing w:val="-48"/>
          <w:sz w:val="24"/>
          <w:szCs w:val="24"/>
        </w:rPr>
        <w:t xml:space="preserve"> </w:t>
      </w:r>
      <w:r>
        <w:rPr>
          <w:spacing w:val="-2"/>
          <w:sz w:val="24"/>
          <w:szCs w:val="24"/>
        </w:rPr>
        <w:t>谈判文件（含澄清或者修改文件</w:t>
      </w:r>
      <w:r>
        <w:rPr>
          <w:spacing w:val="-62"/>
          <w:w w:val="97"/>
          <w:sz w:val="24"/>
          <w:szCs w:val="24"/>
        </w:rPr>
        <w:t>）；</w:t>
      </w:r>
    </w:p>
    <w:p w14:paraId="279635D6">
      <w:pPr>
        <w:pStyle w:val="9"/>
        <w:spacing w:before="182" w:line="219" w:lineRule="auto"/>
        <w:ind w:left="574"/>
        <w:jc w:val="both"/>
        <w:rPr>
          <w:sz w:val="24"/>
          <w:szCs w:val="24"/>
        </w:rPr>
      </w:pPr>
      <w:r>
        <w:rPr>
          <w:spacing w:val="-3"/>
          <w:sz w:val="24"/>
          <w:szCs w:val="24"/>
        </w:rPr>
        <w:t>1.1.5</w:t>
      </w:r>
      <w:r>
        <w:rPr>
          <w:spacing w:val="-47"/>
          <w:sz w:val="24"/>
          <w:szCs w:val="24"/>
        </w:rPr>
        <w:t xml:space="preserve"> </w:t>
      </w:r>
      <w:r>
        <w:rPr>
          <w:spacing w:val="-3"/>
          <w:sz w:val="24"/>
          <w:szCs w:val="24"/>
        </w:rPr>
        <w:t>其他相关采购文件。</w:t>
      </w:r>
    </w:p>
    <w:p w14:paraId="3F0D0BAC">
      <w:pPr>
        <w:ind w:firstLine="480" w:firstLineChars="200"/>
        <w:rPr>
          <w:rFonts w:hint="eastAsia"/>
          <w:sz w:val="24"/>
          <w:szCs w:val="24"/>
          <w:highlight w:val="none"/>
        </w:rPr>
      </w:pPr>
      <w:r>
        <w:rPr>
          <w:rFonts w:hint="eastAsia"/>
          <w:sz w:val="24"/>
          <w:szCs w:val="24"/>
          <w:highlight w:val="none"/>
        </w:rPr>
        <w:t xml:space="preserve"> 1.</w:t>
      </w:r>
      <w:r>
        <w:rPr>
          <w:rFonts w:hint="eastAsia"/>
          <w:sz w:val="24"/>
          <w:szCs w:val="24"/>
          <w:highlight w:val="none"/>
          <w:lang w:val="en-US" w:eastAsia="zh-CN"/>
        </w:rPr>
        <w:t>2</w:t>
      </w:r>
      <w:r>
        <w:rPr>
          <w:rFonts w:hint="eastAsia"/>
          <w:sz w:val="24"/>
          <w:szCs w:val="24"/>
          <w:highlight w:val="none"/>
        </w:rPr>
        <w:t>合同标的：</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2"/>
        <w:gridCol w:w="1438"/>
        <w:gridCol w:w="1494"/>
        <w:gridCol w:w="1495"/>
      </w:tblGrid>
      <w:tr w14:paraId="086E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vAlign w:val="center"/>
          </w:tcPr>
          <w:p w14:paraId="55385B78">
            <w:pPr>
              <w:jc w:val="center"/>
              <w:rPr>
                <w:rFonts w:hint="eastAsia"/>
                <w:sz w:val="24"/>
                <w:szCs w:val="24"/>
                <w:highlight w:val="none"/>
                <w:vertAlign w:val="baseline"/>
              </w:rPr>
            </w:pPr>
            <w:r>
              <w:rPr>
                <w:rFonts w:hint="eastAsia"/>
                <w:sz w:val="24"/>
                <w:szCs w:val="24"/>
                <w:highlight w:val="none"/>
              </w:rPr>
              <w:t>货物名称</w:t>
            </w:r>
          </w:p>
        </w:tc>
        <w:tc>
          <w:tcPr>
            <w:tcW w:w="1660" w:type="dxa"/>
            <w:vAlign w:val="center"/>
          </w:tcPr>
          <w:p w14:paraId="63612EA8">
            <w:pPr>
              <w:jc w:val="center"/>
              <w:rPr>
                <w:rFonts w:hint="eastAsia"/>
                <w:sz w:val="24"/>
                <w:szCs w:val="24"/>
                <w:highlight w:val="none"/>
                <w:vertAlign w:val="baseline"/>
              </w:rPr>
            </w:pPr>
            <w:r>
              <w:rPr>
                <w:rFonts w:hint="eastAsia"/>
                <w:sz w:val="24"/>
                <w:szCs w:val="24"/>
                <w:highlight w:val="none"/>
              </w:rPr>
              <w:t>品牌型号</w:t>
            </w:r>
          </w:p>
        </w:tc>
        <w:tc>
          <w:tcPr>
            <w:tcW w:w="1660" w:type="dxa"/>
            <w:vAlign w:val="center"/>
          </w:tcPr>
          <w:p w14:paraId="45F86FD6">
            <w:pPr>
              <w:jc w:val="center"/>
              <w:rPr>
                <w:rFonts w:hint="eastAsia"/>
                <w:sz w:val="24"/>
                <w:szCs w:val="24"/>
                <w:highlight w:val="none"/>
                <w:vertAlign w:val="baseline"/>
              </w:rPr>
            </w:pPr>
            <w:r>
              <w:rPr>
                <w:rFonts w:hint="eastAsia"/>
                <w:sz w:val="24"/>
                <w:szCs w:val="24"/>
                <w:highlight w:val="none"/>
              </w:rPr>
              <w:t>详细配置及主要技术参数</w:t>
            </w:r>
          </w:p>
        </w:tc>
        <w:tc>
          <w:tcPr>
            <w:tcW w:w="1660" w:type="dxa"/>
            <w:vAlign w:val="center"/>
          </w:tcPr>
          <w:p w14:paraId="6D6E0E02">
            <w:pPr>
              <w:jc w:val="center"/>
              <w:rPr>
                <w:rFonts w:hint="eastAsia"/>
                <w:sz w:val="24"/>
                <w:szCs w:val="24"/>
                <w:highlight w:val="none"/>
              </w:rPr>
            </w:pPr>
            <w:r>
              <w:rPr>
                <w:rFonts w:hint="eastAsia"/>
                <w:sz w:val="24"/>
                <w:szCs w:val="24"/>
                <w:highlight w:val="none"/>
              </w:rPr>
              <w:t>数量</w:t>
            </w:r>
          </w:p>
          <w:p w14:paraId="530DD60E">
            <w:pPr>
              <w:jc w:val="center"/>
              <w:rPr>
                <w:rFonts w:hint="eastAsia" w:eastAsiaTheme="minorEastAsia"/>
                <w:sz w:val="24"/>
                <w:szCs w:val="24"/>
                <w:highlight w:val="none"/>
                <w:lang w:eastAsia="zh-CN"/>
              </w:rPr>
            </w:pPr>
            <w:r>
              <w:rPr>
                <w:rFonts w:hint="eastAsia" w:eastAsiaTheme="minorEastAsia"/>
                <w:sz w:val="24"/>
                <w:szCs w:val="24"/>
                <w:highlight w:val="none"/>
                <w:lang w:eastAsia="zh-CN"/>
              </w:rPr>
              <w:t>（</w:t>
            </w:r>
            <w:r>
              <w:rPr>
                <w:rFonts w:hint="eastAsia" w:asciiTheme="minorHAnsi" w:eastAsiaTheme="minorEastAsia"/>
                <w:sz w:val="24"/>
                <w:szCs w:val="24"/>
                <w:highlight w:val="none"/>
                <w:lang w:val="en-US" w:eastAsia="zh-CN"/>
              </w:rPr>
              <w:t>单位</w:t>
            </w:r>
            <w:r>
              <w:rPr>
                <w:rFonts w:hint="eastAsia" w:eastAsiaTheme="minorEastAsia"/>
                <w:sz w:val="24"/>
                <w:szCs w:val="24"/>
                <w:highlight w:val="none"/>
                <w:lang w:eastAsia="zh-CN"/>
              </w:rPr>
              <w:t>）</w:t>
            </w:r>
          </w:p>
        </w:tc>
        <w:tc>
          <w:tcPr>
            <w:tcW w:w="1661" w:type="dxa"/>
            <w:vAlign w:val="center"/>
          </w:tcPr>
          <w:p w14:paraId="7D391512">
            <w:pPr>
              <w:jc w:val="center"/>
              <w:rPr>
                <w:rFonts w:hint="eastAsia"/>
                <w:sz w:val="24"/>
                <w:szCs w:val="24"/>
                <w:highlight w:val="none"/>
              </w:rPr>
            </w:pPr>
            <w:r>
              <w:rPr>
                <w:rFonts w:hint="eastAsia"/>
                <w:sz w:val="24"/>
                <w:szCs w:val="24"/>
                <w:highlight w:val="none"/>
              </w:rPr>
              <w:t>单价</w:t>
            </w:r>
          </w:p>
          <w:p w14:paraId="3AC4187A">
            <w:pPr>
              <w:jc w:val="center"/>
              <w:rPr>
                <w:rFonts w:hint="eastAsia"/>
                <w:sz w:val="24"/>
                <w:szCs w:val="24"/>
                <w:highlight w:val="none"/>
                <w:vertAlign w:val="baseline"/>
              </w:rPr>
            </w:pPr>
            <w:r>
              <w:rPr>
                <w:rFonts w:hint="eastAsia" w:eastAsiaTheme="minorEastAsia"/>
                <w:sz w:val="24"/>
                <w:szCs w:val="24"/>
                <w:highlight w:val="none"/>
                <w:lang w:eastAsia="zh-CN"/>
              </w:rPr>
              <w:t>（</w:t>
            </w:r>
            <w:r>
              <w:rPr>
                <w:rFonts w:hint="eastAsia"/>
                <w:sz w:val="24"/>
                <w:szCs w:val="24"/>
                <w:highlight w:val="none"/>
              </w:rPr>
              <w:t>元</w:t>
            </w:r>
            <w:r>
              <w:rPr>
                <w:rFonts w:hint="eastAsia" w:eastAsiaTheme="minorEastAsia"/>
                <w:sz w:val="24"/>
                <w:szCs w:val="24"/>
                <w:highlight w:val="none"/>
                <w:lang w:eastAsia="zh-CN"/>
              </w:rPr>
              <w:t>）</w:t>
            </w:r>
          </w:p>
        </w:tc>
        <w:tc>
          <w:tcPr>
            <w:tcW w:w="1661" w:type="dxa"/>
            <w:vAlign w:val="center"/>
          </w:tcPr>
          <w:p w14:paraId="0A6F468C">
            <w:pPr>
              <w:jc w:val="center"/>
              <w:rPr>
                <w:rFonts w:hint="eastAsia"/>
                <w:sz w:val="24"/>
                <w:szCs w:val="24"/>
                <w:highlight w:val="none"/>
              </w:rPr>
            </w:pPr>
            <w:r>
              <w:rPr>
                <w:rFonts w:hint="eastAsia"/>
                <w:sz w:val="24"/>
                <w:szCs w:val="24"/>
                <w:highlight w:val="none"/>
              </w:rPr>
              <w:t>合计</w:t>
            </w:r>
          </w:p>
          <w:p w14:paraId="086A9F30">
            <w:pPr>
              <w:jc w:val="center"/>
              <w:rPr>
                <w:rFonts w:hint="eastAsia"/>
                <w:sz w:val="24"/>
                <w:szCs w:val="24"/>
                <w:highlight w:val="none"/>
                <w:vertAlign w:val="baseline"/>
              </w:rPr>
            </w:pPr>
            <w:r>
              <w:rPr>
                <w:rFonts w:hint="eastAsia" w:eastAsiaTheme="minorEastAsia"/>
                <w:sz w:val="24"/>
                <w:szCs w:val="24"/>
                <w:highlight w:val="none"/>
                <w:lang w:eastAsia="zh-CN"/>
              </w:rPr>
              <w:t>（</w:t>
            </w:r>
            <w:r>
              <w:rPr>
                <w:rFonts w:hint="eastAsia"/>
                <w:sz w:val="24"/>
                <w:szCs w:val="24"/>
                <w:highlight w:val="none"/>
              </w:rPr>
              <w:t>元</w:t>
            </w:r>
            <w:r>
              <w:rPr>
                <w:rFonts w:hint="eastAsia" w:eastAsiaTheme="minorEastAsia"/>
                <w:sz w:val="24"/>
                <w:szCs w:val="24"/>
                <w:highlight w:val="none"/>
                <w:lang w:eastAsia="zh-CN"/>
              </w:rPr>
              <w:t>）</w:t>
            </w:r>
          </w:p>
        </w:tc>
      </w:tr>
      <w:tr w14:paraId="6908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73CEAEBC">
            <w:pPr>
              <w:rPr>
                <w:rFonts w:hint="eastAsia"/>
                <w:sz w:val="24"/>
                <w:szCs w:val="24"/>
                <w:highlight w:val="none"/>
                <w:vertAlign w:val="baseline"/>
              </w:rPr>
            </w:pPr>
          </w:p>
        </w:tc>
        <w:tc>
          <w:tcPr>
            <w:tcW w:w="1660" w:type="dxa"/>
          </w:tcPr>
          <w:p w14:paraId="1837E81D">
            <w:pPr>
              <w:rPr>
                <w:rFonts w:hint="eastAsia"/>
                <w:sz w:val="24"/>
                <w:szCs w:val="24"/>
                <w:highlight w:val="none"/>
                <w:vertAlign w:val="baseline"/>
              </w:rPr>
            </w:pPr>
          </w:p>
        </w:tc>
        <w:tc>
          <w:tcPr>
            <w:tcW w:w="1660" w:type="dxa"/>
          </w:tcPr>
          <w:p w14:paraId="46F56B49">
            <w:pPr>
              <w:rPr>
                <w:rFonts w:hint="eastAsia"/>
                <w:sz w:val="24"/>
                <w:szCs w:val="24"/>
                <w:highlight w:val="none"/>
                <w:vertAlign w:val="baseline"/>
              </w:rPr>
            </w:pPr>
          </w:p>
        </w:tc>
        <w:tc>
          <w:tcPr>
            <w:tcW w:w="1660" w:type="dxa"/>
          </w:tcPr>
          <w:p w14:paraId="5245A80B">
            <w:pPr>
              <w:rPr>
                <w:rFonts w:hint="eastAsia"/>
                <w:sz w:val="24"/>
                <w:szCs w:val="24"/>
                <w:highlight w:val="none"/>
                <w:vertAlign w:val="baseline"/>
              </w:rPr>
            </w:pPr>
          </w:p>
        </w:tc>
        <w:tc>
          <w:tcPr>
            <w:tcW w:w="1661" w:type="dxa"/>
          </w:tcPr>
          <w:p w14:paraId="1172D115">
            <w:pPr>
              <w:rPr>
                <w:rFonts w:hint="eastAsia"/>
                <w:sz w:val="24"/>
                <w:szCs w:val="24"/>
                <w:highlight w:val="none"/>
                <w:vertAlign w:val="baseline"/>
              </w:rPr>
            </w:pPr>
          </w:p>
        </w:tc>
        <w:tc>
          <w:tcPr>
            <w:tcW w:w="1661" w:type="dxa"/>
          </w:tcPr>
          <w:p w14:paraId="2AA534EB">
            <w:pPr>
              <w:rPr>
                <w:rFonts w:hint="eastAsia"/>
                <w:sz w:val="24"/>
                <w:szCs w:val="24"/>
                <w:highlight w:val="none"/>
                <w:vertAlign w:val="baseline"/>
              </w:rPr>
            </w:pPr>
          </w:p>
        </w:tc>
      </w:tr>
      <w:tr w14:paraId="204E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FAEC7D7">
            <w:pPr>
              <w:rPr>
                <w:rFonts w:hint="eastAsia"/>
                <w:sz w:val="24"/>
                <w:szCs w:val="24"/>
                <w:highlight w:val="none"/>
                <w:vertAlign w:val="baseline"/>
              </w:rPr>
            </w:pPr>
          </w:p>
        </w:tc>
        <w:tc>
          <w:tcPr>
            <w:tcW w:w="1660" w:type="dxa"/>
          </w:tcPr>
          <w:p w14:paraId="467787E7">
            <w:pPr>
              <w:rPr>
                <w:rFonts w:hint="eastAsia"/>
                <w:sz w:val="24"/>
                <w:szCs w:val="24"/>
                <w:highlight w:val="none"/>
                <w:vertAlign w:val="baseline"/>
              </w:rPr>
            </w:pPr>
          </w:p>
        </w:tc>
        <w:tc>
          <w:tcPr>
            <w:tcW w:w="1660" w:type="dxa"/>
          </w:tcPr>
          <w:p w14:paraId="061FAAB8">
            <w:pPr>
              <w:rPr>
                <w:rFonts w:hint="eastAsia"/>
                <w:sz w:val="24"/>
                <w:szCs w:val="24"/>
                <w:highlight w:val="none"/>
                <w:vertAlign w:val="baseline"/>
              </w:rPr>
            </w:pPr>
          </w:p>
        </w:tc>
        <w:tc>
          <w:tcPr>
            <w:tcW w:w="1660" w:type="dxa"/>
          </w:tcPr>
          <w:p w14:paraId="470C3402">
            <w:pPr>
              <w:rPr>
                <w:rFonts w:hint="eastAsia"/>
                <w:sz w:val="24"/>
                <w:szCs w:val="24"/>
                <w:highlight w:val="none"/>
                <w:vertAlign w:val="baseline"/>
              </w:rPr>
            </w:pPr>
          </w:p>
        </w:tc>
        <w:tc>
          <w:tcPr>
            <w:tcW w:w="1661" w:type="dxa"/>
          </w:tcPr>
          <w:p w14:paraId="37F2ACD6">
            <w:pPr>
              <w:rPr>
                <w:rFonts w:hint="eastAsia"/>
                <w:sz w:val="24"/>
                <w:szCs w:val="24"/>
                <w:highlight w:val="none"/>
                <w:vertAlign w:val="baseline"/>
              </w:rPr>
            </w:pPr>
          </w:p>
        </w:tc>
        <w:tc>
          <w:tcPr>
            <w:tcW w:w="1661" w:type="dxa"/>
          </w:tcPr>
          <w:p w14:paraId="4C2A138F">
            <w:pPr>
              <w:rPr>
                <w:rFonts w:hint="eastAsia"/>
                <w:sz w:val="24"/>
                <w:szCs w:val="24"/>
                <w:highlight w:val="none"/>
                <w:vertAlign w:val="baseline"/>
              </w:rPr>
            </w:pPr>
          </w:p>
        </w:tc>
      </w:tr>
      <w:tr w14:paraId="56D9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AA49AAC">
            <w:pPr>
              <w:rPr>
                <w:rFonts w:hint="eastAsia"/>
                <w:sz w:val="24"/>
                <w:szCs w:val="24"/>
                <w:highlight w:val="none"/>
                <w:vertAlign w:val="baseline"/>
              </w:rPr>
            </w:pPr>
          </w:p>
        </w:tc>
        <w:tc>
          <w:tcPr>
            <w:tcW w:w="1660" w:type="dxa"/>
          </w:tcPr>
          <w:p w14:paraId="32ADD97E">
            <w:pPr>
              <w:rPr>
                <w:rFonts w:hint="eastAsia"/>
                <w:sz w:val="24"/>
                <w:szCs w:val="24"/>
                <w:highlight w:val="none"/>
                <w:vertAlign w:val="baseline"/>
              </w:rPr>
            </w:pPr>
          </w:p>
        </w:tc>
        <w:tc>
          <w:tcPr>
            <w:tcW w:w="1660" w:type="dxa"/>
          </w:tcPr>
          <w:p w14:paraId="6A4BBBE9">
            <w:pPr>
              <w:rPr>
                <w:rFonts w:hint="eastAsia"/>
                <w:sz w:val="24"/>
                <w:szCs w:val="24"/>
                <w:highlight w:val="none"/>
                <w:vertAlign w:val="baseline"/>
              </w:rPr>
            </w:pPr>
          </w:p>
        </w:tc>
        <w:tc>
          <w:tcPr>
            <w:tcW w:w="1660" w:type="dxa"/>
          </w:tcPr>
          <w:p w14:paraId="4A207040">
            <w:pPr>
              <w:rPr>
                <w:rFonts w:hint="eastAsia"/>
                <w:sz w:val="24"/>
                <w:szCs w:val="24"/>
                <w:highlight w:val="none"/>
                <w:vertAlign w:val="baseline"/>
              </w:rPr>
            </w:pPr>
          </w:p>
        </w:tc>
        <w:tc>
          <w:tcPr>
            <w:tcW w:w="1661" w:type="dxa"/>
          </w:tcPr>
          <w:p w14:paraId="285509D9">
            <w:pPr>
              <w:rPr>
                <w:rFonts w:hint="eastAsia"/>
                <w:sz w:val="24"/>
                <w:szCs w:val="24"/>
                <w:highlight w:val="none"/>
                <w:vertAlign w:val="baseline"/>
              </w:rPr>
            </w:pPr>
          </w:p>
        </w:tc>
        <w:tc>
          <w:tcPr>
            <w:tcW w:w="1661" w:type="dxa"/>
          </w:tcPr>
          <w:p w14:paraId="1ECAD631">
            <w:pPr>
              <w:rPr>
                <w:rFonts w:hint="eastAsia"/>
                <w:sz w:val="24"/>
                <w:szCs w:val="24"/>
                <w:highlight w:val="none"/>
                <w:vertAlign w:val="baseline"/>
              </w:rPr>
            </w:pPr>
          </w:p>
        </w:tc>
      </w:tr>
      <w:tr w14:paraId="0C87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0E5CC3B3">
            <w:pPr>
              <w:rPr>
                <w:rFonts w:hint="eastAsia"/>
                <w:sz w:val="24"/>
                <w:szCs w:val="24"/>
                <w:highlight w:val="none"/>
                <w:vertAlign w:val="baseline"/>
              </w:rPr>
            </w:pPr>
          </w:p>
        </w:tc>
        <w:tc>
          <w:tcPr>
            <w:tcW w:w="1660" w:type="dxa"/>
          </w:tcPr>
          <w:p w14:paraId="64451E8A">
            <w:pPr>
              <w:rPr>
                <w:rFonts w:hint="eastAsia"/>
                <w:sz w:val="24"/>
                <w:szCs w:val="24"/>
                <w:highlight w:val="none"/>
                <w:vertAlign w:val="baseline"/>
              </w:rPr>
            </w:pPr>
          </w:p>
        </w:tc>
        <w:tc>
          <w:tcPr>
            <w:tcW w:w="1660" w:type="dxa"/>
          </w:tcPr>
          <w:p w14:paraId="4BA2B131">
            <w:pPr>
              <w:rPr>
                <w:rFonts w:hint="eastAsia"/>
                <w:sz w:val="24"/>
                <w:szCs w:val="24"/>
                <w:highlight w:val="none"/>
                <w:vertAlign w:val="baseline"/>
              </w:rPr>
            </w:pPr>
          </w:p>
        </w:tc>
        <w:tc>
          <w:tcPr>
            <w:tcW w:w="1660" w:type="dxa"/>
          </w:tcPr>
          <w:p w14:paraId="38E08A53">
            <w:pPr>
              <w:rPr>
                <w:rFonts w:hint="eastAsia"/>
                <w:sz w:val="24"/>
                <w:szCs w:val="24"/>
                <w:highlight w:val="none"/>
                <w:vertAlign w:val="baseline"/>
              </w:rPr>
            </w:pPr>
          </w:p>
        </w:tc>
        <w:tc>
          <w:tcPr>
            <w:tcW w:w="1661" w:type="dxa"/>
          </w:tcPr>
          <w:p w14:paraId="4F14E486">
            <w:pPr>
              <w:rPr>
                <w:rFonts w:hint="eastAsia"/>
                <w:sz w:val="24"/>
                <w:szCs w:val="24"/>
                <w:highlight w:val="none"/>
                <w:vertAlign w:val="baseline"/>
              </w:rPr>
            </w:pPr>
          </w:p>
        </w:tc>
        <w:tc>
          <w:tcPr>
            <w:tcW w:w="1661" w:type="dxa"/>
          </w:tcPr>
          <w:p w14:paraId="28A7BD83">
            <w:pPr>
              <w:rPr>
                <w:rFonts w:hint="eastAsia"/>
                <w:sz w:val="24"/>
                <w:szCs w:val="24"/>
                <w:highlight w:val="none"/>
                <w:vertAlign w:val="baseline"/>
              </w:rPr>
            </w:pPr>
          </w:p>
        </w:tc>
      </w:tr>
    </w:tbl>
    <w:p w14:paraId="72628F06">
      <w:pPr>
        <w:pStyle w:val="9"/>
        <w:spacing w:before="183" w:line="218" w:lineRule="auto"/>
        <w:ind w:left="576"/>
        <w:jc w:val="both"/>
        <w:outlineLvl w:val="2"/>
        <w:rPr>
          <w:sz w:val="24"/>
          <w:szCs w:val="24"/>
        </w:rPr>
      </w:pPr>
      <w:r>
        <w:rPr>
          <w:b/>
          <w:bCs/>
          <w:spacing w:val="-10"/>
          <w:sz w:val="24"/>
          <w:szCs w:val="24"/>
        </w:rPr>
        <w:t>1.3</w:t>
      </w:r>
      <w:r>
        <w:rPr>
          <w:spacing w:val="11"/>
          <w:sz w:val="24"/>
          <w:szCs w:val="24"/>
        </w:rPr>
        <w:t xml:space="preserve"> </w:t>
      </w:r>
      <w:r>
        <w:rPr>
          <w:b/>
          <w:bCs/>
          <w:spacing w:val="-10"/>
          <w:sz w:val="24"/>
          <w:szCs w:val="24"/>
        </w:rPr>
        <w:t>价款</w:t>
      </w:r>
    </w:p>
    <w:p w14:paraId="3395AD29">
      <w:pPr>
        <w:pStyle w:val="9"/>
        <w:spacing w:before="185" w:line="316" w:lineRule="auto"/>
        <w:ind w:left="558" w:right="224" w:hanging="1"/>
        <w:jc w:val="both"/>
        <w:rPr>
          <w:sz w:val="24"/>
          <w:szCs w:val="24"/>
        </w:rPr>
      </w:pPr>
      <w:r>
        <w:rPr>
          <w:spacing w:val="-12"/>
          <w:sz w:val="24"/>
          <w:szCs w:val="24"/>
        </w:rPr>
        <w:t>本合同总价为：￥</w:t>
      </w:r>
      <w:r>
        <w:rPr>
          <w:spacing w:val="-87"/>
          <w:sz w:val="24"/>
          <w:szCs w:val="24"/>
        </w:rPr>
        <w:t xml:space="preserve"> </w:t>
      </w:r>
      <w:r>
        <w:rPr>
          <w:sz w:val="24"/>
          <w:szCs w:val="24"/>
          <w:u w:val="single" w:color="auto"/>
        </w:rPr>
        <w:t xml:space="preserve">           </w:t>
      </w:r>
      <w:r>
        <w:rPr>
          <w:spacing w:val="-108"/>
          <w:sz w:val="24"/>
          <w:szCs w:val="24"/>
        </w:rPr>
        <w:t xml:space="preserve"> </w:t>
      </w:r>
      <w:r>
        <w:rPr>
          <w:spacing w:val="-12"/>
          <w:sz w:val="24"/>
          <w:szCs w:val="24"/>
        </w:rPr>
        <w:t>元（大写：人民币</w:t>
      </w:r>
      <w:r>
        <w:rPr>
          <w:spacing w:val="7"/>
          <w:sz w:val="24"/>
          <w:szCs w:val="24"/>
          <w:u w:val="single" w:color="auto"/>
        </w:rPr>
        <w:t xml:space="preserve">                </w:t>
      </w:r>
      <w:r>
        <w:rPr>
          <w:spacing w:val="-101"/>
          <w:sz w:val="24"/>
          <w:szCs w:val="24"/>
        </w:rPr>
        <w:t xml:space="preserve"> </w:t>
      </w:r>
      <w:r>
        <w:rPr>
          <w:spacing w:val="-12"/>
          <w:sz w:val="24"/>
          <w:szCs w:val="24"/>
        </w:rPr>
        <w:t>元）。</w:t>
      </w:r>
      <w:r>
        <w:rPr>
          <w:spacing w:val="-3"/>
          <w:sz w:val="24"/>
          <w:szCs w:val="24"/>
        </w:rPr>
        <w:t>分项价格：</w:t>
      </w:r>
    </w:p>
    <w:tbl>
      <w:tblPr>
        <w:tblStyle w:val="40"/>
        <w:tblW w:w="8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4258"/>
        <w:gridCol w:w="3076"/>
      </w:tblGrid>
      <w:tr w14:paraId="0E77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50" w:type="dxa"/>
            <w:vAlign w:val="top"/>
          </w:tcPr>
          <w:p w14:paraId="74E2CFCB">
            <w:pPr>
              <w:pStyle w:val="39"/>
              <w:spacing w:before="70" w:line="221" w:lineRule="auto"/>
              <w:ind w:left="245"/>
              <w:jc w:val="both"/>
            </w:pPr>
            <w:r>
              <w:rPr>
                <w:spacing w:val="-5"/>
              </w:rPr>
              <w:t>序号</w:t>
            </w:r>
          </w:p>
        </w:tc>
        <w:tc>
          <w:tcPr>
            <w:tcW w:w="4258" w:type="dxa"/>
            <w:vAlign w:val="top"/>
          </w:tcPr>
          <w:p w14:paraId="1F9A3E6C">
            <w:pPr>
              <w:pStyle w:val="39"/>
              <w:spacing w:before="70" w:line="220" w:lineRule="auto"/>
              <w:ind w:left="1798"/>
              <w:jc w:val="both"/>
            </w:pPr>
            <w:r>
              <w:rPr>
                <w:spacing w:val="-4"/>
              </w:rPr>
              <w:t>分项名称</w:t>
            </w:r>
          </w:p>
        </w:tc>
        <w:tc>
          <w:tcPr>
            <w:tcW w:w="3076" w:type="dxa"/>
            <w:vAlign w:val="top"/>
          </w:tcPr>
          <w:p w14:paraId="18032E3B">
            <w:pPr>
              <w:pStyle w:val="39"/>
              <w:spacing w:before="70" w:line="218" w:lineRule="auto"/>
              <w:ind w:left="1214"/>
              <w:jc w:val="both"/>
            </w:pPr>
            <w:r>
              <w:rPr>
                <w:spacing w:val="-4"/>
              </w:rPr>
              <w:t>分项价格</w:t>
            </w:r>
          </w:p>
        </w:tc>
      </w:tr>
      <w:tr w14:paraId="42CE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50" w:type="dxa"/>
            <w:vAlign w:val="top"/>
          </w:tcPr>
          <w:p w14:paraId="54F66E87">
            <w:pPr>
              <w:pStyle w:val="39"/>
              <w:spacing w:before="39" w:line="241" w:lineRule="auto"/>
              <w:ind w:left="444"/>
              <w:jc w:val="both"/>
            </w:pPr>
            <w:r>
              <w:t>1</w:t>
            </w:r>
          </w:p>
        </w:tc>
        <w:tc>
          <w:tcPr>
            <w:tcW w:w="4258" w:type="dxa"/>
            <w:vAlign w:val="top"/>
          </w:tcPr>
          <w:p w14:paraId="3293F7A2">
            <w:pPr>
              <w:jc w:val="both"/>
              <w:rPr>
                <w:rFonts w:ascii="Arial"/>
                <w:sz w:val="21"/>
              </w:rPr>
            </w:pPr>
          </w:p>
        </w:tc>
        <w:tc>
          <w:tcPr>
            <w:tcW w:w="3076" w:type="dxa"/>
            <w:vAlign w:val="top"/>
          </w:tcPr>
          <w:p w14:paraId="0A5F9974">
            <w:pPr>
              <w:jc w:val="both"/>
              <w:rPr>
                <w:rFonts w:ascii="Arial"/>
                <w:sz w:val="21"/>
              </w:rPr>
            </w:pPr>
          </w:p>
        </w:tc>
      </w:tr>
      <w:tr w14:paraId="3457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50" w:type="dxa"/>
            <w:vAlign w:val="top"/>
          </w:tcPr>
          <w:p w14:paraId="76ED4275">
            <w:pPr>
              <w:pStyle w:val="39"/>
              <w:spacing w:before="42" w:line="241" w:lineRule="auto"/>
              <w:ind w:left="429"/>
              <w:jc w:val="both"/>
            </w:pPr>
            <w:r>
              <w:t>2</w:t>
            </w:r>
          </w:p>
        </w:tc>
        <w:tc>
          <w:tcPr>
            <w:tcW w:w="4258" w:type="dxa"/>
            <w:vAlign w:val="top"/>
          </w:tcPr>
          <w:p w14:paraId="0D466E88">
            <w:pPr>
              <w:jc w:val="both"/>
              <w:rPr>
                <w:rFonts w:ascii="Arial"/>
                <w:sz w:val="21"/>
              </w:rPr>
            </w:pPr>
          </w:p>
        </w:tc>
        <w:tc>
          <w:tcPr>
            <w:tcW w:w="3076" w:type="dxa"/>
            <w:vAlign w:val="top"/>
          </w:tcPr>
          <w:p w14:paraId="713314E8">
            <w:pPr>
              <w:jc w:val="both"/>
              <w:rPr>
                <w:rFonts w:ascii="Arial"/>
                <w:sz w:val="21"/>
              </w:rPr>
            </w:pPr>
          </w:p>
        </w:tc>
      </w:tr>
      <w:tr w14:paraId="4A77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50" w:type="dxa"/>
            <w:vAlign w:val="top"/>
          </w:tcPr>
          <w:p w14:paraId="3FD74ED2">
            <w:pPr>
              <w:pStyle w:val="39"/>
              <w:spacing w:before="42"/>
              <w:ind w:left="431"/>
              <w:jc w:val="both"/>
            </w:pPr>
            <w:r>
              <w:t>3</w:t>
            </w:r>
          </w:p>
        </w:tc>
        <w:tc>
          <w:tcPr>
            <w:tcW w:w="4258" w:type="dxa"/>
            <w:vAlign w:val="top"/>
          </w:tcPr>
          <w:p w14:paraId="6D308220">
            <w:pPr>
              <w:jc w:val="both"/>
              <w:rPr>
                <w:rFonts w:ascii="Arial"/>
                <w:sz w:val="21"/>
              </w:rPr>
            </w:pPr>
          </w:p>
        </w:tc>
        <w:tc>
          <w:tcPr>
            <w:tcW w:w="3076" w:type="dxa"/>
            <w:vAlign w:val="top"/>
          </w:tcPr>
          <w:p w14:paraId="01F79A24">
            <w:pPr>
              <w:jc w:val="both"/>
              <w:rPr>
                <w:rFonts w:ascii="Arial"/>
                <w:sz w:val="21"/>
              </w:rPr>
            </w:pPr>
          </w:p>
        </w:tc>
      </w:tr>
      <w:tr w14:paraId="65AEA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50" w:type="dxa"/>
            <w:vAlign w:val="top"/>
          </w:tcPr>
          <w:p w14:paraId="706ED43A">
            <w:pPr>
              <w:pStyle w:val="39"/>
              <w:spacing w:before="44" w:line="318" w:lineRule="exact"/>
              <w:ind w:left="261"/>
              <w:jc w:val="both"/>
            </w:pPr>
            <w:r>
              <w:rPr>
                <w:spacing w:val="-13"/>
                <w:position w:val="1"/>
              </w:rPr>
              <w:t>……</w:t>
            </w:r>
          </w:p>
        </w:tc>
        <w:tc>
          <w:tcPr>
            <w:tcW w:w="4258" w:type="dxa"/>
            <w:vAlign w:val="top"/>
          </w:tcPr>
          <w:p w14:paraId="2938633C">
            <w:pPr>
              <w:jc w:val="both"/>
              <w:rPr>
                <w:rFonts w:ascii="Arial"/>
                <w:sz w:val="21"/>
              </w:rPr>
            </w:pPr>
          </w:p>
        </w:tc>
        <w:tc>
          <w:tcPr>
            <w:tcW w:w="3076" w:type="dxa"/>
            <w:vAlign w:val="top"/>
          </w:tcPr>
          <w:p w14:paraId="3294BFD7">
            <w:pPr>
              <w:jc w:val="both"/>
              <w:rPr>
                <w:rFonts w:ascii="Arial"/>
                <w:sz w:val="21"/>
              </w:rPr>
            </w:pPr>
          </w:p>
        </w:tc>
      </w:tr>
      <w:tr w14:paraId="7F24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5208" w:type="dxa"/>
            <w:gridSpan w:val="2"/>
            <w:vAlign w:val="top"/>
          </w:tcPr>
          <w:p w14:paraId="133147FD">
            <w:pPr>
              <w:jc w:val="center"/>
              <w:rPr>
                <w:rFonts w:hint="default" w:ascii="Arial" w:eastAsia="宋体"/>
                <w:sz w:val="21"/>
                <w:lang w:val="en-US" w:eastAsia="zh-CN"/>
              </w:rPr>
            </w:pPr>
            <w:r>
              <w:rPr>
                <w:rFonts w:hint="eastAsia" w:eastAsia="宋体"/>
                <w:sz w:val="24"/>
                <w:szCs w:val="24"/>
                <w:lang w:val="en-US" w:eastAsia="zh-CN"/>
              </w:rPr>
              <w:t>总价</w:t>
            </w:r>
          </w:p>
        </w:tc>
        <w:tc>
          <w:tcPr>
            <w:tcW w:w="3076" w:type="dxa"/>
            <w:vAlign w:val="top"/>
          </w:tcPr>
          <w:p w14:paraId="56D7D035">
            <w:pPr>
              <w:jc w:val="both"/>
              <w:rPr>
                <w:rFonts w:ascii="Arial"/>
                <w:sz w:val="21"/>
              </w:rPr>
            </w:pPr>
          </w:p>
        </w:tc>
      </w:tr>
    </w:tbl>
    <w:p w14:paraId="2E7A63BA">
      <w:pPr>
        <w:pStyle w:val="9"/>
        <w:spacing w:before="116" w:line="219" w:lineRule="auto"/>
        <w:ind w:left="576"/>
        <w:jc w:val="both"/>
        <w:outlineLvl w:val="2"/>
        <w:rPr>
          <w:sz w:val="24"/>
          <w:szCs w:val="24"/>
        </w:rPr>
      </w:pPr>
      <w:r>
        <w:rPr>
          <w:b/>
          <w:bCs/>
          <w:spacing w:val="-4"/>
          <w:sz w:val="24"/>
          <w:szCs w:val="24"/>
        </w:rPr>
        <w:t>1.4</w:t>
      </w:r>
      <w:r>
        <w:rPr>
          <w:spacing w:val="-4"/>
          <w:sz w:val="24"/>
          <w:szCs w:val="24"/>
        </w:rPr>
        <w:t xml:space="preserve"> </w:t>
      </w:r>
      <w:r>
        <w:rPr>
          <w:b/>
          <w:bCs/>
          <w:spacing w:val="-4"/>
          <w:sz w:val="24"/>
          <w:szCs w:val="24"/>
        </w:rPr>
        <w:t>付款方式和发票开具方式</w:t>
      </w:r>
    </w:p>
    <w:p w14:paraId="2D2B4251">
      <w:pPr>
        <w:pStyle w:val="9"/>
        <w:spacing w:before="183" w:line="219" w:lineRule="auto"/>
        <w:ind w:firstLine="460" w:firstLineChars="200"/>
        <w:jc w:val="both"/>
        <w:rPr>
          <w:sz w:val="24"/>
          <w:szCs w:val="24"/>
          <w:u w:val="single" w:color="auto"/>
        </w:rPr>
      </w:pPr>
      <w:r>
        <w:rPr>
          <w:spacing w:val="-5"/>
          <w:sz w:val="24"/>
          <w:szCs w:val="24"/>
        </w:rPr>
        <w:t>1.4.1</w:t>
      </w:r>
      <w:r>
        <w:rPr>
          <w:spacing w:val="-50"/>
          <w:sz w:val="24"/>
          <w:szCs w:val="24"/>
        </w:rPr>
        <w:t xml:space="preserve"> </w:t>
      </w:r>
      <w:r>
        <w:rPr>
          <w:spacing w:val="-5"/>
          <w:sz w:val="24"/>
          <w:szCs w:val="24"/>
        </w:rPr>
        <w:t>付款方式</w:t>
      </w:r>
      <w:r>
        <w:rPr>
          <w:spacing w:val="3"/>
          <w:sz w:val="24"/>
          <w:szCs w:val="24"/>
        </w:rPr>
        <w:t>：</w:t>
      </w:r>
      <w:r>
        <w:rPr>
          <w:sz w:val="24"/>
          <w:szCs w:val="24"/>
          <w:u w:val="single" w:color="auto"/>
        </w:rPr>
        <w:t xml:space="preserve">                                                </w:t>
      </w:r>
    </w:p>
    <w:p w14:paraId="0EA6638A">
      <w:pPr>
        <w:pStyle w:val="9"/>
        <w:spacing w:before="78" w:line="219" w:lineRule="auto"/>
        <w:ind w:firstLine="464" w:firstLineChars="200"/>
        <w:jc w:val="both"/>
        <w:rPr>
          <w:sz w:val="24"/>
          <w:szCs w:val="24"/>
        </w:rPr>
      </w:pPr>
      <w:r>
        <w:rPr>
          <w:spacing w:val="-4"/>
          <w:sz w:val="24"/>
          <w:szCs w:val="24"/>
        </w:rPr>
        <w:t>1.4.2</w:t>
      </w:r>
      <w:r>
        <w:rPr>
          <w:spacing w:val="-37"/>
          <w:sz w:val="24"/>
          <w:szCs w:val="24"/>
        </w:rPr>
        <w:t xml:space="preserve"> </w:t>
      </w:r>
      <w:r>
        <w:rPr>
          <w:spacing w:val="-4"/>
          <w:sz w:val="24"/>
          <w:szCs w:val="24"/>
        </w:rPr>
        <w:t>发票开具方式：</w:t>
      </w:r>
      <w:r>
        <w:rPr>
          <w:sz w:val="24"/>
          <w:szCs w:val="24"/>
          <w:u w:val="single" w:color="auto"/>
        </w:rPr>
        <w:t xml:space="preserve">                                            </w:t>
      </w:r>
      <w:r>
        <w:rPr>
          <w:spacing w:val="-4"/>
          <w:sz w:val="24"/>
          <w:szCs w:val="24"/>
        </w:rPr>
        <w:t>。</w:t>
      </w:r>
    </w:p>
    <w:p w14:paraId="22D4FB6D">
      <w:pPr>
        <w:pStyle w:val="9"/>
        <w:spacing w:before="183" w:line="219" w:lineRule="auto"/>
        <w:ind w:left="478"/>
        <w:jc w:val="both"/>
        <w:outlineLvl w:val="2"/>
        <w:rPr>
          <w:sz w:val="24"/>
          <w:szCs w:val="24"/>
        </w:rPr>
      </w:pPr>
      <w:r>
        <w:rPr>
          <w:b/>
          <w:bCs/>
          <w:spacing w:val="-4"/>
          <w:sz w:val="24"/>
          <w:szCs w:val="24"/>
        </w:rPr>
        <w:t>1.5</w:t>
      </w:r>
      <w:r>
        <w:rPr>
          <w:spacing w:val="-4"/>
          <w:sz w:val="24"/>
          <w:szCs w:val="24"/>
        </w:rPr>
        <w:t xml:space="preserve"> </w:t>
      </w:r>
      <w:r>
        <w:rPr>
          <w:rFonts w:hint="eastAsia"/>
          <w:b/>
          <w:bCs/>
          <w:spacing w:val="-4"/>
          <w:sz w:val="24"/>
          <w:szCs w:val="24"/>
          <w:lang w:val="en-US" w:eastAsia="zh-CN"/>
        </w:rPr>
        <w:t>交货时间</w:t>
      </w:r>
      <w:r>
        <w:rPr>
          <w:b/>
          <w:bCs/>
          <w:spacing w:val="-4"/>
          <w:sz w:val="24"/>
          <w:szCs w:val="24"/>
        </w:rPr>
        <w:t>、地点和方式</w:t>
      </w:r>
    </w:p>
    <w:p w14:paraId="6A7F6C59">
      <w:pPr>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sz w:val="24"/>
          <w:szCs w:val="24"/>
          <w:highlight w:val="none"/>
        </w:rPr>
      </w:pPr>
      <w:r>
        <w:rPr>
          <w:spacing w:val="-5"/>
          <w:sz w:val="24"/>
          <w:szCs w:val="24"/>
        </w:rPr>
        <w:t>1.5.1</w:t>
      </w:r>
      <w:r>
        <w:rPr>
          <w:spacing w:val="-50"/>
          <w:sz w:val="24"/>
          <w:szCs w:val="24"/>
        </w:rPr>
        <w:t xml:space="preserve"> </w:t>
      </w:r>
      <w:r>
        <w:rPr>
          <w:rFonts w:hint="eastAsia"/>
          <w:sz w:val="24"/>
          <w:szCs w:val="24"/>
          <w:highlight w:val="none"/>
        </w:rPr>
        <w:t>交货时间：合同订立后</w:t>
      </w:r>
      <w:r>
        <w:rPr>
          <w:rFonts w:hint="eastAsia"/>
          <w:sz w:val="24"/>
          <w:szCs w:val="24"/>
          <w:highlight w:val="none"/>
          <w:u w:val="single"/>
        </w:rPr>
        <w:t xml:space="preserve">     </w:t>
      </w:r>
      <w:r>
        <w:rPr>
          <w:rFonts w:hint="eastAsia"/>
          <w:sz w:val="24"/>
          <w:szCs w:val="24"/>
          <w:highlight w:val="none"/>
        </w:rPr>
        <w:t>天。所有货物安装调试完毕、验收合格并交付给需方的日期为交货时间。</w:t>
      </w:r>
    </w:p>
    <w:p w14:paraId="719F96BB">
      <w:pPr>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eastAsiaTheme="minorEastAsia"/>
          <w:sz w:val="24"/>
          <w:szCs w:val="24"/>
          <w:highlight w:val="none"/>
          <w:lang w:eastAsia="zh-CN"/>
        </w:rPr>
      </w:pPr>
      <w:r>
        <w:rPr>
          <w:spacing w:val="-5"/>
          <w:sz w:val="24"/>
          <w:szCs w:val="24"/>
        </w:rPr>
        <w:t>1.5.2</w:t>
      </w:r>
      <w:r>
        <w:rPr>
          <w:spacing w:val="-50"/>
          <w:sz w:val="24"/>
          <w:szCs w:val="24"/>
        </w:rPr>
        <w:t xml:space="preserve"> </w:t>
      </w:r>
      <w:r>
        <w:rPr>
          <w:rFonts w:hint="eastAsia"/>
          <w:sz w:val="24"/>
          <w:szCs w:val="24"/>
          <w:highlight w:val="none"/>
        </w:rPr>
        <w:t>交货地点：</w:t>
      </w:r>
      <w:r>
        <w:rPr>
          <w:rFonts w:hint="eastAsia"/>
          <w:sz w:val="24"/>
          <w:szCs w:val="24"/>
          <w:highlight w:val="none"/>
          <w:u w:val="single"/>
          <w:lang w:val="en-US" w:eastAsia="zh-CN"/>
        </w:rPr>
        <w:t xml:space="preserve">                 </w:t>
      </w:r>
      <w:r>
        <w:rPr>
          <w:rFonts w:hint="eastAsia"/>
          <w:sz w:val="24"/>
          <w:szCs w:val="24"/>
          <w:highlight w:val="none"/>
          <w:u w:val="single"/>
        </w:rPr>
        <w:t xml:space="preserve">  </w:t>
      </w:r>
      <w:r>
        <w:rPr>
          <w:rFonts w:hint="eastAsia"/>
          <w:sz w:val="24"/>
          <w:szCs w:val="24"/>
          <w:highlight w:val="none"/>
          <w:u w:val="single"/>
          <w:lang w:eastAsia="zh-CN"/>
        </w:rPr>
        <w:t>。</w:t>
      </w:r>
    </w:p>
    <w:p w14:paraId="6BC2B41E">
      <w:pPr>
        <w:keepNext w:val="0"/>
        <w:keepLines w:val="0"/>
        <w:pageBreakBefore w:val="0"/>
        <w:widowControl w:val="0"/>
        <w:kinsoku/>
        <w:wordWrap/>
        <w:overflowPunct/>
        <w:topLinePunct w:val="0"/>
        <w:autoSpaceDE/>
        <w:autoSpaceDN/>
        <w:bidi w:val="0"/>
        <w:adjustRightInd/>
        <w:snapToGrid/>
        <w:ind w:left="943" w:leftChars="228" w:hanging="464" w:hangingChars="200"/>
        <w:textAlignment w:val="auto"/>
        <w:rPr>
          <w:sz w:val="24"/>
          <w:szCs w:val="24"/>
        </w:rPr>
      </w:pPr>
      <w:r>
        <w:rPr>
          <w:spacing w:val="-4"/>
          <w:sz w:val="24"/>
          <w:szCs w:val="24"/>
        </w:rPr>
        <w:t>1.5.3</w:t>
      </w:r>
      <w:r>
        <w:rPr>
          <w:spacing w:val="-45"/>
          <w:sz w:val="24"/>
          <w:szCs w:val="24"/>
        </w:rPr>
        <w:t xml:space="preserve"> </w:t>
      </w:r>
      <w:r>
        <w:rPr>
          <w:rFonts w:hint="eastAsia"/>
          <w:sz w:val="24"/>
          <w:szCs w:val="24"/>
          <w:highlight w:val="none"/>
        </w:rPr>
        <w:t>交货方式：供方负责将货物安全完好运抵交货地点、安装调试并保证验收合格。</w:t>
      </w:r>
    </w:p>
    <w:p w14:paraId="0A18C96F">
      <w:pPr>
        <w:pStyle w:val="9"/>
        <w:spacing w:before="183" w:line="219" w:lineRule="auto"/>
        <w:ind w:left="478"/>
        <w:jc w:val="both"/>
        <w:outlineLvl w:val="2"/>
        <w:rPr>
          <w:sz w:val="24"/>
          <w:szCs w:val="24"/>
        </w:rPr>
      </w:pPr>
      <w:r>
        <w:rPr>
          <w:b/>
          <w:bCs/>
          <w:spacing w:val="-5"/>
          <w:sz w:val="24"/>
          <w:szCs w:val="24"/>
        </w:rPr>
        <w:t>1.6</w:t>
      </w:r>
      <w:r>
        <w:rPr>
          <w:spacing w:val="-5"/>
          <w:sz w:val="24"/>
          <w:szCs w:val="24"/>
        </w:rPr>
        <w:t xml:space="preserve"> </w:t>
      </w:r>
      <w:r>
        <w:rPr>
          <w:b/>
          <w:bCs/>
          <w:spacing w:val="-5"/>
          <w:sz w:val="24"/>
          <w:szCs w:val="24"/>
        </w:rPr>
        <w:t>违约责任</w:t>
      </w:r>
    </w:p>
    <w:p w14:paraId="168BB056">
      <w:pPr>
        <w:pStyle w:val="9"/>
        <w:spacing w:before="181" w:line="332" w:lineRule="auto"/>
        <w:ind w:left="23" w:right="61" w:firstLine="452"/>
        <w:jc w:val="both"/>
        <w:rPr>
          <w:sz w:val="24"/>
          <w:szCs w:val="24"/>
        </w:rPr>
      </w:pPr>
      <w:r>
        <w:rPr>
          <w:spacing w:val="-1"/>
          <w:sz w:val="24"/>
          <w:szCs w:val="24"/>
        </w:rPr>
        <w:t>1.6.1</w:t>
      </w:r>
      <w:r>
        <w:rPr>
          <w:spacing w:val="-36"/>
          <w:sz w:val="24"/>
          <w:szCs w:val="24"/>
        </w:rPr>
        <w:t xml:space="preserve"> </w:t>
      </w:r>
      <w:r>
        <w:rPr>
          <w:spacing w:val="-1"/>
          <w:sz w:val="24"/>
          <w:szCs w:val="24"/>
        </w:rPr>
        <w:t>除不可抗力外，如果乙方没有按照本合同约定的期</w:t>
      </w:r>
      <w:r>
        <w:rPr>
          <w:spacing w:val="-2"/>
          <w:sz w:val="24"/>
          <w:szCs w:val="24"/>
        </w:rPr>
        <w:t>限、地点和方式履</w:t>
      </w:r>
      <w:r>
        <w:rPr>
          <w:spacing w:val="-3"/>
          <w:sz w:val="24"/>
          <w:szCs w:val="24"/>
        </w:rPr>
        <w:t>行，那么甲方可要求乙方支付违约金，违约金按每迟延履行一日的应提供而未提</w:t>
      </w:r>
      <w:r>
        <w:rPr>
          <w:sz w:val="24"/>
          <w:szCs w:val="24"/>
        </w:rPr>
        <w:t>供服务价格的</w:t>
      </w:r>
      <w:r>
        <w:rPr>
          <w:sz w:val="24"/>
          <w:szCs w:val="24"/>
          <w:u w:val="single" w:color="auto"/>
        </w:rPr>
        <w:t xml:space="preserve">    </w:t>
      </w:r>
      <w:r>
        <w:rPr>
          <w:spacing w:val="-116"/>
          <w:sz w:val="24"/>
          <w:szCs w:val="24"/>
        </w:rPr>
        <w:t xml:space="preserve"> </w:t>
      </w:r>
      <w:r>
        <w:rPr>
          <w:sz w:val="24"/>
          <w:szCs w:val="24"/>
        </w:rPr>
        <w:t>%计算，最高限额为本合同总价的</w:t>
      </w:r>
      <w:r>
        <w:rPr>
          <w:sz w:val="24"/>
          <w:szCs w:val="24"/>
          <w:u w:val="single" w:color="auto"/>
        </w:rPr>
        <w:t xml:space="preserve">     </w:t>
      </w:r>
      <w:r>
        <w:rPr>
          <w:spacing w:val="-117"/>
          <w:sz w:val="24"/>
          <w:szCs w:val="24"/>
        </w:rPr>
        <w:t xml:space="preserve"> </w:t>
      </w:r>
      <w:r>
        <w:rPr>
          <w:sz w:val="24"/>
          <w:szCs w:val="24"/>
        </w:rPr>
        <w:t>%；迟延履行的违约金</w:t>
      </w:r>
      <w:r>
        <w:rPr>
          <w:spacing w:val="-3"/>
          <w:sz w:val="24"/>
          <w:szCs w:val="24"/>
        </w:rPr>
        <w:t>计算数额达到前述最高限额之日起，甲方有权在要求乙方支付违约金的同时，书</w:t>
      </w:r>
      <w:r>
        <w:rPr>
          <w:spacing w:val="-1"/>
          <w:sz w:val="24"/>
          <w:szCs w:val="24"/>
        </w:rPr>
        <w:t>面通知乙方解除本合同；</w:t>
      </w:r>
    </w:p>
    <w:p w14:paraId="163FC25D">
      <w:pPr>
        <w:pStyle w:val="9"/>
        <w:spacing w:before="185" w:line="332" w:lineRule="auto"/>
        <w:ind w:left="23" w:right="61" w:firstLine="452"/>
        <w:jc w:val="both"/>
        <w:rPr>
          <w:sz w:val="24"/>
          <w:szCs w:val="24"/>
        </w:rPr>
      </w:pPr>
      <w:r>
        <w:rPr>
          <w:spacing w:val="-1"/>
          <w:sz w:val="24"/>
          <w:szCs w:val="24"/>
        </w:rPr>
        <w:t>1.6.2</w:t>
      </w:r>
      <w:r>
        <w:rPr>
          <w:spacing w:val="-36"/>
          <w:sz w:val="24"/>
          <w:szCs w:val="24"/>
        </w:rPr>
        <w:t xml:space="preserve"> </w:t>
      </w:r>
      <w:r>
        <w:rPr>
          <w:spacing w:val="-1"/>
          <w:sz w:val="24"/>
          <w:szCs w:val="24"/>
        </w:rPr>
        <w:t>除不可抗力外，如果甲方没有按照本合同约定的付</w:t>
      </w:r>
      <w:r>
        <w:rPr>
          <w:spacing w:val="-2"/>
          <w:sz w:val="24"/>
          <w:szCs w:val="24"/>
        </w:rPr>
        <w:t>款方式付款，那么</w:t>
      </w:r>
      <w:r>
        <w:rPr>
          <w:sz w:val="24"/>
          <w:szCs w:val="24"/>
        </w:rPr>
        <w:t>乙方可要求甲方支付违约金，违约金按每迟延付款一日的应付而未付款的</w:t>
      </w:r>
      <w:r>
        <w:rPr>
          <w:spacing w:val="-110"/>
          <w:sz w:val="24"/>
          <w:szCs w:val="24"/>
        </w:rPr>
        <w:t xml:space="preserve"> </w:t>
      </w:r>
      <w:r>
        <w:rPr>
          <w:sz w:val="24"/>
          <w:szCs w:val="24"/>
          <w:u w:val="single" w:color="auto"/>
        </w:rPr>
        <w:t xml:space="preserve">    </w:t>
      </w:r>
      <w:r>
        <w:rPr>
          <w:spacing w:val="-114"/>
          <w:sz w:val="24"/>
          <w:szCs w:val="24"/>
        </w:rPr>
        <w:t xml:space="preserve"> </w:t>
      </w:r>
      <w:r>
        <w:rPr>
          <w:sz w:val="24"/>
          <w:szCs w:val="24"/>
        </w:rPr>
        <w:t>%</w:t>
      </w:r>
      <w:r>
        <w:rPr>
          <w:spacing w:val="-3"/>
          <w:sz w:val="24"/>
          <w:szCs w:val="24"/>
        </w:rPr>
        <w:t>计算，最高限额为本合同总价的</w:t>
      </w:r>
      <w:r>
        <w:rPr>
          <w:spacing w:val="-3"/>
          <w:sz w:val="24"/>
          <w:szCs w:val="24"/>
          <w:u w:val="single" w:color="auto"/>
        </w:rPr>
        <w:t xml:space="preserve">     </w:t>
      </w:r>
      <w:r>
        <w:rPr>
          <w:spacing w:val="-3"/>
          <w:sz w:val="24"/>
          <w:szCs w:val="24"/>
        </w:rPr>
        <w:t>%；迟延付款的违约金计算数额达到前述最高限额之日起，乙方有权在要求甲方支付违约金的同时，书面通知甲方解除本合</w:t>
      </w:r>
      <w:r>
        <w:rPr>
          <w:spacing w:val="-5"/>
          <w:sz w:val="24"/>
          <w:szCs w:val="24"/>
        </w:rPr>
        <w:t>同；</w:t>
      </w:r>
    </w:p>
    <w:p w14:paraId="6EC9B814">
      <w:pPr>
        <w:pStyle w:val="9"/>
        <w:spacing w:before="184" w:line="336" w:lineRule="auto"/>
        <w:ind w:left="23" w:right="29" w:firstLine="452"/>
        <w:jc w:val="both"/>
        <w:rPr>
          <w:sz w:val="24"/>
          <w:szCs w:val="24"/>
        </w:rPr>
      </w:pPr>
      <w:r>
        <w:rPr>
          <w:spacing w:val="-1"/>
          <w:sz w:val="24"/>
          <w:szCs w:val="24"/>
        </w:rPr>
        <w:t>1.6.3</w:t>
      </w:r>
      <w:r>
        <w:rPr>
          <w:spacing w:val="-36"/>
          <w:sz w:val="24"/>
          <w:szCs w:val="24"/>
        </w:rPr>
        <w:t xml:space="preserve"> </w:t>
      </w:r>
      <w:r>
        <w:rPr>
          <w:spacing w:val="-1"/>
          <w:sz w:val="24"/>
          <w:szCs w:val="24"/>
        </w:rPr>
        <w:t>除不可抗力外，任何一方未能履行本合同约定的其</w:t>
      </w:r>
      <w:r>
        <w:rPr>
          <w:spacing w:val="-2"/>
          <w:sz w:val="24"/>
          <w:szCs w:val="24"/>
        </w:rPr>
        <w:t>他主要义务，</w:t>
      </w:r>
      <w:r>
        <w:rPr>
          <w:spacing w:val="-2"/>
          <w:sz w:val="24"/>
          <w:szCs w:val="24"/>
          <w:highlight w:val="none"/>
        </w:rPr>
        <w:t>经催</w:t>
      </w:r>
      <w:r>
        <w:rPr>
          <w:spacing w:val="-3"/>
          <w:sz w:val="24"/>
          <w:szCs w:val="24"/>
          <w:highlight w:val="none"/>
        </w:rPr>
        <w:t>告后</w:t>
      </w:r>
      <w:r>
        <w:rPr>
          <w:spacing w:val="-3"/>
          <w:sz w:val="24"/>
          <w:szCs w:val="24"/>
        </w:rPr>
        <w:t>在合理期限内仍未履行的，或者任何一方有其他违约行为致使不能实现合同目的的，或者任何一方有腐败行为（即：提供或给予或接受或索取任何财物或其</w:t>
      </w:r>
      <w:r>
        <w:rPr>
          <w:spacing w:val="4"/>
          <w:sz w:val="24"/>
          <w:szCs w:val="24"/>
        </w:rPr>
        <w:t>他好处或者采取其他不正当手段影响对方当事人在合同签订、履行过程中的行</w:t>
      </w:r>
      <w:r>
        <w:rPr>
          <w:spacing w:val="-3"/>
          <w:sz w:val="24"/>
          <w:szCs w:val="24"/>
        </w:rPr>
        <w:t>为）或者欺诈行为（即：以谎报事实或者隐瞒真相的方法来影响对方当事人在合</w:t>
      </w:r>
      <w:r>
        <w:rPr>
          <w:spacing w:val="-2"/>
          <w:sz w:val="24"/>
          <w:szCs w:val="24"/>
        </w:rPr>
        <w:t>同签订、履行过程中的行为）的，对方当事人可以书面通知违约方解除本合</w:t>
      </w:r>
      <w:r>
        <w:rPr>
          <w:spacing w:val="-3"/>
          <w:sz w:val="24"/>
          <w:szCs w:val="24"/>
        </w:rPr>
        <w:t>同；</w:t>
      </w:r>
    </w:p>
    <w:p w14:paraId="36702F3D">
      <w:pPr>
        <w:pStyle w:val="9"/>
        <w:spacing w:before="183" w:line="332" w:lineRule="auto"/>
        <w:ind w:left="22" w:right="61" w:firstLine="453"/>
        <w:jc w:val="both"/>
        <w:rPr>
          <w:sz w:val="24"/>
          <w:szCs w:val="24"/>
        </w:rPr>
      </w:pPr>
      <w:r>
        <w:rPr>
          <w:spacing w:val="-1"/>
          <w:sz w:val="24"/>
          <w:szCs w:val="24"/>
        </w:rPr>
        <w:t>1.6.4</w:t>
      </w:r>
      <w:r>
        <w:rPr>
          <w:spacing w:val="-44"/>
          <w:sz w:val="24"/>
          <w:szCs w:val="24"/>
        </w:rPr>
        <w:t xml:space="preserve"> </w:t>
      </w:r>
      <w:r>
        <w:rPr>
          <w:spacing w:val="-1"/>
          <w:sz w:val="24"/>
          <w:szCs w:val="24"/>
        </w:rPr>
        <w:t>任何一方按照前述约定要求违约方支付违约金的同时，仍有权要求违</w:t>
      </w:r>
      <w:r>
        <w:rPr>
          <w:spacing w:val="-3"/>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spacing w:val="-1"/>
          <w:sz w:val="24"/>
          <w:szCs w:val="24"/>
        </w:rPr>
        <w:t>救济方式均不视为其放弃了其他法定或者约定的权利救济方式；</w:t>
      </w:r>
    </w:p>
    <w:p w14:paraId="38BED2F6">
      <w:pPr>
        <w:pStyle w:val="9"/>
        <w:spacing w:before="183" w:line="289" w:lineRule="auto"/>
        <w:ind w:left="22" w:firstLine="453"/>
        <w:jc w:val="both"/>
        <w:rPr>
          <w:sz w:val="24"/>
          <w:szCs w:val="24"/>
        </w:rPr>
      </w:pPr>
      <w:r>
        <w:rPr>
          <w:spacing w:val="-6"/>
          <w:sz w:val="24"/>
          <w:szCs w:val="24"/>
        </w:rPr>
        <w:t>1.6.5</w:t>
      </w:r>
      <w:r>
        <w:rPr>
          <w:spacing w:val="-36"/>
          <w:sz w:val="24"/>
          <w:szCs w:val="24"/>
        </w:rPr>
        <w:t xml:space="preserve"> </w:t>
      </w:r>
      <w:r>
        <w:rPr>
          <w:spacing w:val="-6"/>
          <w:sz w:val="24"/>
          <w:szCs w:val="24"/>
        </w:rPr>
        <w:t>除前述约定外，除不可抗力外，任何一方未能履行本合同约定的</w:t>
      </w:r>
      <w:r>
        <w:rPr>
          <w:spacing w:val="-7"/>
          <w:sz w:val="24"/>
          <w:szCs w:val="24"/>
        </w:rPr>
        <w:t>义务，</w:t>
      </w:r>
      <w:r>
        <w:rPr>
          <w:spacing w:val="-3"/>
          <w:sz w:val="24"/>
          <w:szCs w:val="24"/>
        </w:rPr>
        <w:t>对方当事人均有权要求继续履行、采取补救措施或者赔偿损失等，且对方当事人</w:t>
      </w:r>
      <w:r>
        <w:rPr>
          <w:rFonts w:hint="eastAsia"/>
          <w:spacing w:val="-3"/>
          <w:sz w:val="24"/>
          <w:szCs w:val="24"/>
          <w:lang w:eastAsia="zh-CN"/>
        </w:rPr>
        <w:t>、</w:t>
      </w:r>
      <w:r>
        <w:rPr>
          <w:spacing w:val="-2"/>
          <w:sz w:val="24"/>
          <w:szCs w:val="24"/>
        </w:rPr>
        <w:t>行使的任何权利救济方式均不视为其放弃了其他法定或者约定的权</w:t>
      </w:r>
      <w:r>
        <w:rPr>
          <w:spacing w:val="-3"/>
          <w:sz w:val="24"/>
          <w:szCs w:val="24"/>
        </w:rPr>
        <w:t>利救济方式；</w:t>
      </w:r>
    </w:p>
    <w:p w14:paraId="78F8D26F">
      <w:pPr>
        <w:pStyle w:val="9"/>
        <w:spacing w:before="184" w:line="313" w:lineRule="auto"/>
        <w:ind w:left="27" w:right="35" w:firstLine="448"/>
        <w:jc w:val="both"/>
        <w:rPr>
          <w:sz w:val="24"/>
          <w:szCs w:val="24"/>
        </w:rPr>
      </w:pPr>
      <w:r>
        <w:rPr>
          <w:spacing w:val="-1"/>
          <w:sz w:val="24"/>
          <w:szCs w:val="24"/>
        </w:rPr>
        <w:t>1.6.6</w:t>
      </w:r>
      <w:r>
        <w:rPr>
          <w:spacing w:val="-44"/>
          <w:sz w:val="24"/>
          <w:szCs w:val="24"/>
        </w:rPr>
        <w:t xml:space="preserve"> </w:t>
      </w:r>
      <w:r>
        <w:rPr>
          <w:spacing w:val="-1"/>
          <w:sz w:val="24"/>
          <w:szCs w:val="24"/>
        </w:rPr>
        <w:t>如果出现政府采购监督管理部门在处理投诉事项期间，书面通知甲方</w:t>
      </w:r>
      <w:r>
        <w:rPr>
          <w:spacing w:val="-3"/>
          <w:sz w:val="24"/>
          <w:szCs w:val="24"/>
        </w:rPr>
        <w:t>暂停采购活动的情形，或者询问或质疑事项可能影响成交结果的，导致甲</w:t>
      </w:r>
      <w:r>
        <w:rPr>
          <w:spacing w:val="-4"/>
          <w:sz w:val="24"/>
          <w:szCs w:val="24"/>
        </w:rPr>
        <w:t>方中止</w:t>
      </w:r>
      <w:r>
        <w:rPr>
          <w:spacing w:val="-1"/>
          <w:sz w:val="24"/>
          <w:szCs w:val="24"/>
        </w:rPr>
        <w:t>履行合同的情形，均不视为甲方违约。</w:t>
      </w:r>
    </w:p>
    <w:p w14:paraId="63D327D9">
      <w:pPr>
        <w:pStyle w:val="9"/>
        <w:spacing w:before="182" w:line="332" w:lineRule="auto"/>
        <w:ind w:left="22" w:firstLine="453"/>
        <w:jc w:val="both"/>
        <w:rPr>
          <w:sz w:val="24"/>
          <w:szCs w:val="24"/>
        </w:rPr>
      </w:pPr>
      <w:r>
        <w:rPr>
          <w:spacing w:val="-1"/>
          <w:sz w:val="24"/>
          <w:szCs w:val="24"/>
        </w:rPr>
        <w:t>1.6.7</w:t>
      </w:r>
      <w:r>
        <w:rPr>
          <w:spacing w:val="-32"/>
          <w:sz w:val="24"/>
          <w:szCs w:val="24"/>
        </w:rPr>
        <w:t xml:space="preserve"> </w:t>
      </w:r>
      <w:r>
        <w:rPr>
          <w:spacing w:val="-1"/>
          <w:sz w:val="24"/>
          <w:szCs w:val="24"/>
        </w:rPr>
        <w:t>因甲方未按合同约定支付价款、未按合同</w:t>
      </w:r>
      <w:r>
        <w:rPr>
          <w:spacing w:val="-2"/>
          <w:sz w:val="24"/>
          <w:szCs w:val="24"/>
        </w:rPr>
        <w:t>约定受领标的物、擅自解除合同、逾期退还履约保证金导致乙方遭受的直接损失，乙方可向甲方申请赔偿，赔偿金额由双方协商一致；针对因政策变化等原因不能签订合同或解除合同时，</w:t>
      </w:r>
      <w:r>
        <w:rPr>
          <w:spacing w:val="-3"/>
          <w:sz w:val="24"/>
          <w:szCs w:val="24"/>
        </w:rPr>
        <w:t>造成乙方合法利益受损的情形，可以给予乙方合理补偿，补偿金额不得超过乙方</w:t>
      </w:r>
      <w:r>
        <w:rPr>
          <w:spacing w:val="-2"/>
          <w:sz w:val="24"/>
          <w:szCs w:val="24"/>
        </w:rPr>
        <w:t>的直接损失。</w:t>
      </w:r>
    </w:p>
    <w:p w14:paraId="16A577BE">
      <w:pPr>
        <w:pStyle w:val="9"/>
        <w:spacing w:before="181" w:line="219" w:lineRule="auto"/>
        <w:ind w:left="478"/>
        <w:jc w:val="both"/>
        <w:outlineLvl w:val="2"/>
        <w:rPr>
          <w:sz w:val="24"/>
          <w:szCs w:val="24"/>
        </w:rPr>
      </w:pPr>
      <w:r>
        <w:rPr>
          <w:b/>
          <w:bCs/>
          <w:spacing w:val="-5"/>
          <w:sz w:val="24"/>
          <w:szCs w:val="24"/>
        </w:rPr>
        <w:t>1.7</w:t>
      </w:r>
      <w:r>
        <w:rPr>
          <w:spacing w:val="-5"/>
          <w:sz w:val="24"/>
          <w:szCs w:val="24"/>
        </w:rPr>
        <w:t xml:space="preserve"> </w:t>
      </w:r>
      <w:r>
        <w:rPr>
          <w:b/>
          <w:bCs/>
          <w:spacing w:val="-5"/>
          <w:sz w:val="24"/>
          <w:szCs w:val="24"/>
        </w:rPr>
        <w:t>合同争议的解决</w:t>
      </w:r>
    </w:p>
    <w:p w14:paraId="5AA77B03">
      <w:pPr>
        <w:pStyle w:val="9"/>
        <w:spacing w:before="183" w:line="360" w:lineRule="auto"/>
        <w:ind w:left="30" w:right="1" w:firstLine="427"/>
        <w:jc w:val="both"/>
        <w:rPr>
          <w:sz w:val="24"/>
          <w:szCs w:val="24"/>
        </w:rPr>
      </w:pPr>
      <w:r>
        <w:rPr>
          <w:spacing w:val="6"/>
          <w:sz w:val="24"/>
          <w:szCs w:val="24"/>
        </w:rPr>
        <w:t>本合同履行过程中发生的任何争议，双方当事</w:t>
      </w:r>
      <w:r>
        <w:rPr>
          <w:spacing w:val="5"/>
          <w:sz w:val="24"/>
          <w:szCs w:val="24"/>
        </w:rPr>
        <w:t>人均可通过和解或者调解解</w:t>
      </w:r>
      <w:r>
        <w:rPr>
          <w:spacing w:val="-3"/>
          <w:sz w:val="24"/>
          <w:szCs w:val="24"/>
        </w:rPr>
        <w:t>决；不愿和解、调解或者和解、调解不成的，可以选择下列第</w:t>
      </w:r>
      <w:r>
        <w:rPr>
          <w:spacing w:val="-109"/>
          <w:sz w:val="24"/>
          <w:szCs w:val="24"/>
        </w:rPr>
        <w:t xml:space="preserve"> </w:t>
      </w:r>
      <w:r>
        <w:rPr>
          <w:sz w:val="24"/>
          <w:szCs w:val="24"/>
          <w:u w:val="single" w:color="auto"/>
        </w:rPr>
        <w:t xml:space="preserve">    </w:t>
      </w:r>
      <w:r>
        <w:rPr>
          <w:spacing w:val="-110"/>
          <w:sz w:val="24"/>
          <w:szCs w:val="24"/>
        </w:rPr>
        <w:t xml:space="preserve"> </w:t>
      </w:r>
      <w:r>
        <w:rPr>
          <w:spacing w:val="-3"/>
          <w:sz w:val="24"/>
          <w:szCs w:val="24"/>
        </w:rPr>
        <w:t>种方式解决：</w:t>
      </w:r>
    </w:p>
    <w:p w14:paraId="43097121">
      <w:pPr>
        <w:pStyle w:val="9"/>
        <w:spacing w:before="1" w:line="289" w:lineRule="auto"/>
        <w:ind w:left="24" w:right="37" w:firstLine="451"/>
        <w:jc w:val="both"/>
        <w:rPr>
          <w:sz w:val="24"/>
          <w:szCs w:val="24"/>
        </w:rPr>
      </w:pPr>
      <w:r>
        <w:rPr>
          <w:spacing w:val="-2"/>
          <w:sz w:val="24"/>
          <w:szCs w:val="24"/>
        </w:rPr>
        <w:t>1.7.1</w:t>
      </w:r>
      <w:r>
        <w:rPr>
          <w:spacing w:val="-36"/>
          <w:sz w:val="24"/>
          <w:szCs w:val="24"/>
        </w:rPr>
        <w:t xml:space="preserve"> </w:t>
      </w:r>
      <w:r>
        <w:rPr>
          <w:spacing w:val="-2"/>
          <w:sz w:val="24"/>
          <w:szCs w:val="24"/>
        </w:rPr>
        <w:t>将争议提交</w:t>
      </w:r>
      <w:r>
        <w:rPr>
          <w:spacing w:val="-119"/>
          <w:sz w:val="24"/>
          <w:szCs w:val="24"/>
        </w:rPr>
        <w:t xml:space="preserve"> </w:t>
      </w:r>
      <w:r>
        <w:rPr>
          <w:sz w:val="24"/>
          <w:szCs w:val="24"/>
          <w:u w:val="single" w:color="auto"/>
        </w:rPr>
        <w:t xml:space="preserve">              </w:t>
      </w:r>
      <w:r>
        <w:rPr>
          <w:spacing w:val="-108"/>
          <w:sz w:val="24"/>
          <w:szCs w:val="24"/>
        </w:rPr>
        <w:t xml:space="preserve"> </w:t>
      </w:r>
      <w:r>
        <w:rPr>
          <w:spacing w:val="-2"/>
          <w:sz w:val="24"/>
          <w:szCs w:val="24"/>
        </w:rPr>
        <w:t>仲裁委员会依申请仲裁时其现行有效的仲裁规则裁决；</w:t>
      </w:r>
    </w:p>
    <w:p w14:paraId="014ED18C">
      <w:pPr>
        <w:pStyle w:val="9"/>
        <w:spacing w:before="183" w:line="220" w:lineRule="auto"/>
        <w:ind w:left="475"/>
        <w:jc w:val="both"/>
        <w:rPr>
          <w:sz w:val="24"/>
          <w:szCs w:val="24"/>
        </w:rPr>
      </w:pPr>
      <w:r>
        <w:rPr>
          <w:spacing w:val="-6"/>
          <w:sz w:val="24"/>
          <w:szCs w:val="24"/>
        </w:rPr>
        <w:t>1.7.2</w:t>
      </w:r>
      <w:r>
        <w:rPr>
          <w:spacing w:val="-22"/>
          <w:sz w:val="24"/>
          <w:szCs w:val="24"/>
        </w:rPr>
        <w:t xml:space="preserve"> </w:t>
      </w:r>
      <w:r>
        <w:rPr>
          <w:spacing w:val="-6"/>
          <w:sz w:val="24"/>
          <w:szCs w:val="24"/>
        </w:rPr>
        <w:t>向</w:t>
      </w:r>
      <w:r>
        <w:rPr>
          <w:spacing w:val="5"/>
          <w:sz w:val="24"/>
          <w:szCs w:val="24"/>
          <w:u w:val="single" w:color="auto"/>
        </w:rPr>
        <w:t xml:space="preserve">                       </w:t>
      </w:r>
      <w:r>
        <w:rPr>
          <w:spacing w:val="-104"/>
          <w:sz w:val="24"/>
          <w:szCs w:val="24"/>
        </w:rPr>
        <w:t xml:space="preserve"> </w:t>
      </w:r>
      <w:r>
        <w:rPr>
          <w:spacing w:val="-6"/>
          <w:sz w:val="24"/>
          <w:szCs w:val="24"/>
        </w:rPr>
        <w:t>人民法院起诉。</w:t>
      </w:r>
    </w:p>
    <w:p w14:paraId="42E9B763">
      <w:pPr>
        <w:pStyle w:val="9"/>
        <w:spacing w:before="182" w:line="220" w:lineRule="auto"/>
        <w:ind w:left="478"/>
        <w:jc w:val="both"/>
        <w:outlineLvl w:val="2"/>
        <w:rPr>
          <w:sz w:val="24"/>
          <w:szCs w:val="24"/>
        </w:rPr>
      </w:pPr>
      <w:r>
        <w:rPr>
          <w:b/>
          <w:bCs/>
          <w:spacing w:val="-8"/>
          <w:sz w:val="24"/>
          <w:szCs w:val="24"/>
        </w:rPr>
        <w:t>1.8</w:t>
      </w:r>
      <w:r>
        <w:rPr>
          <w:spacing w:val="15"/>
          <w:sz w:val="24"/>
          <w:szCs w:val="24"/>
        </w:rPr>
        <w:t xml:space="preserve"> </w:t>
      </w:r>
      <w:r>
        <w:rPr>
          <w:b/>
          <w:bCs/>
          <w:spacing w:val="-8"/>
          <w:sz w:val="24"/>
          <w:szCs w:val="24"/>
        </w:rPr>
        <w:t>合同生效</w:t>
      </w:r>
    </w:p>
    <w:p w14:paraId="3E4440A2">
      <w:pPr>
        <w:pStyle w:val="9"/>
        <w:spacing w:before="182" w:line="219" w:lineRule="auto"/>
        <w:ind w:left="458"/>
        <w:jc w:val="both"/>
        <w:rPr>
          <w:sz w:val="24"/>
          <w:szCs w:val="24"/>
        </w:rPr>
      </w:pPr>
      <w:r>
        <w:rPr>
          <w:spacing w:val="-1"/>
          <w:sz w:val="24"/>
          <w:szCs w:val="24"/>
        </w:rPr>
        <w:t>本合同自双方当事人盖章时生效。</w:t>
      </w:r>
    </w:p>
    <w:p w14:paraId="60B2FF7E">
      <w:pPr>
        <w:spacing w:line="284" w:lineRule="auto"/>
        <w:rPr>
          <w:rFonts w:ascii="Arial"/>
          <w:sz w:val="21"/>
        </w:rPr>
      </w:pPr>
    </w:p>
    <w:p w14:paraId="3C5C851F">
      <w:pPr>
        <w:spacing w:line="284" w:lineRule="auto"/>
        <w:rPr>
          <w:rFonts w:ascii="Arial"/>
          <w:sz w:val="21"/>
        </w:rPr>
      </w:pPr>
    </w:p>
    <w:p w14:paraId="7C7F9718">
      <w:pPr>
        <w:spacing w:line="285" w:lineRule="auto"/>
        <w:rPr>
          <w:rFonts w:ascii="Arial"/>
          <w:sz w:val="21"/>
        </w:rPr>
      </w:pPr>
    </w:p>
    <w:p w14:paraId="75EEB6F5">
      <w:pPr>
        <w:pStyle w:val="9"/>
        <w:spacing w:before="78" w:line="219" w:lineRule="auto"/>
        <w:ind w:left="54"/>
        <w:rPr>
          <w:sz w:val="24"/>
          <w:szCs w:val="24"/>
        </w:rPr>
      </w:pPr>
      <w:r>
        <w:rPr>
          <w:spacing w:val="2"/>
          <w:sz w:val="24"/>
          <w:szCs w:val="24"/>
        </w:rPr>
        <w:t>甲    方</w:t>
      </w:r>
      <w:r>
        <w:rPr>
          <w:spacing w:val="-25"/>
          <w:sz w:val="24"/>
          <w:szCs w:val="24"/>
        </w:rPr>
        <w:t>：</w:t>
      </w:r>
      <w:r>
        <w:rPr>
          <w:spacing w:val="40"/>
          <w:sz w:val="24"/>
          <w:szCs w:val="24"/>
          <w:u w:val="single" w:color="auto"/>
        </w:rPr>
        <w:t xml:space="preserve">   </w:t>
      </w:r>
      <w:r>
        <w:rPr>
          <w:spacing w:val="-25"/>
          <w:sz w:val="24"/>
          <w:szCs w:val="24"/>
          <w:u w:val="single" w:color="auto"/>
        </w:rPr>
        <w:t>（</w:t>
      </w:r>
      <w:r>
        <w:rPr>
          <w:spacing w:val="2"/>
          <w:sz w:val="24"/>
          <w:szCs w:val="24"/>
          <w:u w:val="single" w:color="auto"/>
        </w:rPr>
        <w:t xml:space="preserve">单位盖章）     </w:t>
      </w:r>
      <w:r>
        <w:rPr>
          <w:spacing w:val="2"/>
          <w:sz w:val="24"/>
          <w:szCs w:val="24"/>
        </w:rPr>
        <w:t xml:space="preserve">        </w:t>
      </w:r>
      <w:r>
        <w:rPr>
          <w:spacing w:val="1"/>
          <w:sz w:val="24"/>
          <w:szCs w:val="24"/>
        </w:rPr>
        <w:t xml:space="preserve"> 乙方</w:t>
      </w:r>
      <w:r>
        <w:rPr>
          <w:spacing w:val="-25"/>
          <w:sz w:val="24"/>
          <w:szCs w:val="24"/>
        </w:rPr>
        <w:t>：</w:t>
      </w:r>
      <w:r>
        <w:rPr>
          <w:spacing w:val="40"/>
          <w:sz w:val="24"/>
          <w:szCs w:val="24"/>
          <w:u w:val="single" w:color="auto"/>
        </w:rPr>
        <w:t xml:space="preserve">   </w:t>
      </w:r>
      <w:r>
        <w:rPr>
          <w:spacing w:val="-25"/>
          <w:sz w:val="24"/>
          <w:szCs w:val="24"/>
          <w:u w:val="single" w:color="auto"/>
        </w:rPr>
        <w:t>（</w:t>
      </w:r>
      <w:r>
        <w:rPr>
          <w:spacing w:val="1"/>
          <w:sz w:val="24"/>
          <w:szCs w:val="24"/>
          <w:u w:val="single" w:color="auto"/>
        </w:rPr>
        <w:t>单位盖章）</w:t>
      </w:r>
      <w:r>
        <w:rPr>
          <w:sz w:val="24"/>
          <w:szCs w:val="24"/>
          <w:u w:val="single" w:color="auto"/>
        </w:rPr>
        <w:t xml:space="preserve">      </w:t>
      </w:r>
    </w:p>
    <w:p w14:paraId="44AD8B05">
      <w:pPr>
        <w:pStyle w:val="9"/>
        <w:spacing w:before="276" w:line="219" w:lineRule="auto"/>
        <w:ind w:left="24"/>
        <w:rPr>
          <w:sz w:val="24"/>
          <w:szCs w:val="24"/>
        </w:rPr>
      </w:pPr>
      <w:r>
        <w:rPr>
          <w:sz w:val="24"/>
          <w:szCs w:val="24"/>
        </w:rPr>
        <w:t xml:space="preserve">法定代表人                        </w:t>
      </w:r>
      <w:r>
        <w:rPr>
          <w:spacing w:val="-1"/>
          <w:sz w:val="24"/>
          <w:szCs w:val="24"/>
        </w:rPr>
        <w:t xml:space="preserve">      </w:t>
      </w:r>
      <w:r>
        <w:rPr>
          <w:rFonts w:hint="eastAsia"/>
          <w:spacing w:val="-1"/>
          <w:sz w:val="24"/>
          <w:szCs w:val="24"/>
          <w:lang w:val="en-US" w:eastAsia="zh-CN"/>
        </w:rPr>
        <w:t xml:space="preserve"> </w:t>
      </w:r>
      <w:r>
        <w:rPr>
          <w:spacing w:val="-1"/>
          <w:sz w:val="24"/>
          <w:szCs w:val="24"/>
        </w:rPr>
        <w:t>法定代表人</w:t>
      </w:r>
    </w:p>
    <w:p w14:paraId="40CEF012">
      <w:pPr>
        <w:pStyle w:val="9"/>
        <w:spacing w:before="274" w:line="219" w:lineRule="auto"/>
        <w:ind w:left="26"/>
        <w:rPr>
          <w:sz w:val="24"/>
          <w:szCs w:val="24"/>
        </w:rPr>
      </w:pPr>
      <w:r>
        <w:rPr>
          <w:spacing w:val="-2"/>
          <w:sz w:val="24"/>
          <w:szCs w:val="24"/>
        </w:rPr>
        <w:t>或授权代表（签字</w:t>
      </w:r>
      <w:r>
        <w:rPr>
          <w:spacing w:val="-63"/>
          <w:w w:val="98"/>
          <w:sz w:val="24"/>
          <w:szCs w:val="24"/>
        </w:rPr>
        <w:t>）：</w:t>
      </w:r>
      <w:r>
        <w:rPr>
          <w:spacing w:val="1"/>
          <w:sz w:val="24"/>
          <w:szCs w:val="24"/>
        </w:rPr>
        <w:t xml:space="preserve">                     </w:t>
      </w:r>
      <w:r>
        <w:rPr>
          <w:rFonts w:hint="eastAsia"/>
          <w:spacing w:val="1"/>
          <w:sz w:val="24"/>
          <w:szCs w:val="24"/>
          <w:lang w:val="en-US" w:eastAsia="zh-CN"/>
        </w:rPr>
        <w:t xml:space="preserve"> </w:t>
      </w:r>
      <w:r>
        <w:rPr>
          <w:spacing w:val="-2"/>
          <w:sz w:val="24"/>
          <w:szCs w:val="24"/>
        </w:rPr>
        <w:t>或授权代表（签字</w:t>
      </w:r>
      <w:r>
        <w:rPr>
          <w:spacing w:val="-63"/>
          <w:w w:val="98"/>
          <w:sz w:val="24"/>
          <w:szCs w:val="24"/>
        </w:rPr>
        <w:t>）：</w:t>
      </w:r>
    </w:p>
    <w:p w14:paraId="1EC59B18">
      <w:pPr>
        <w:pStyle w:val="9"/>
        <w:spacing w:before="277" w:line="219" w:lineRule="auto"/>
        <w:ind w:left="34"/>
        <w:rPr>
          <w:sz w:val="24"/>
          <w:szCs w:val="24"/>
        </w:rPr>
      </w:pPr>
      <w:r>
        <w:rPr>
          <w:spacing w:val="-7"/>
          <w:sz w:val="24"/>
          <w:szCs w:val="24"/>
        </w:rPr>
        <w:t>时间：</w:t>
      </w:r>
      <w:r>
        <w:rPr>
          <w:spacing w:val="1"/>
          <w:sz w:val="24"/>
          <w:szCs w:val="24"/>
          <w:u w:val="single" w:color="auto"/>
        </w:rPr>
        <w:t xml:space="preserve">      </w:t>
      </w:r>
      <w:r>
        <w:rPr>
          <w:spacing w:val="-107"/>
          <w:sz w:val="24"/>
          <w:szCs w:val="24"/>
        </w:rPr>
        <w:t xml:space="preserve"> </w:t>
      </w:r>
      <w:r>
        <w:rPr>
          <w:spacing w:val="-7"/>
          <w:sz w:val="24"/>
          <w:szCs w:val="24"/>
        </w:rPr>
        <w:t>年</w:t>
      </w:r>
      <w:r>
        <w:rPr>
          <w:spacing w:val="-7"/>
          <w:sz w:val="24"/>
          <w:szCs w:val="24"/>
          <w:u w:val="single" w:color="auto"/>
        </w:rPr>
        <w:t xml:space="preserve">    </w:t>
      </w:r>
      <w:r>
        <w:rPr>
          <w:spacing w:val="-105"/>
          <w:sz w:val="24"/>
          <w:szCs w:val="24"/>
        </w:rPr>
        <w:t xml:space="preserve"> </w:t>
      </w:r>
      <w:r>
        <w:rPr>
          <w:spacing w:val="-7"/>
          <w:sz w:val="24"/>
          <w:szCs w:val="24"/>
        </w:rPr>
        <w:t>月</w:t>
      </w:r>
      <w:r>
        <w:rPr>
          <w:sz w:val="24"/>
          <w:szCs w:val="24"/>
          <w:u w:val="single" w:color="auto"/>
        </w:rPr>
        <w:t xml:space="preserve">    </w:t>
      </w:r>
      <w:r>
        <w:rPr>
          <w:spacing w:val="-70"/>
          <w:sz w:val="24"/>
          <w:szCs w:val="24"/>
        </w:rPr>
        <w:t xml:space="preserve"> </w:t>
      </w:r>
      <w:r>
        <w:rPr>
          <w:spacing w:val="-7"/>
          <w:sz w:val="24"/>
          <w:szCs w:val="24"/>
        </w:rPr>
        <w:t xml:space="preserve">日             </w:t>
      </w:r>
      <w:r>
        <w:rPr>
          <w:rFonts w:hint="eastAsia"/>
          <w:spacing w:val="-7"/>
          <w:sz w:val="24"/>
          <w:szCs w:val="24"/>
          <w:lang w:val="en-US" w:eastAsia="zh-CN"/>
        </w:rPr>
        <w:t xml:space="preserve"> </w:t>
      </w:r>
      <w:r>
        <w:rPr>
          <w:spacing w:val="-7"/>
          <w:sz w:val="24"/>
          <w:szCs w:val="24"/>
        </w:rPr>
        <w:t xml:space="preserve"> </w:t>
      </w:r>
      <w:r>
        <w:rPr>
          <w:rFonts w:hint="eastAsia"/>
          <w:spacing w:val="-7"/>
          <w:sz w:val="24"/>
          <w:szCs w:val="24"/>
          <w:lang w:val="en-US" w:eastAsia="zh-CN"/>
        </w:rPr>
        <w:t xml:space="preserve"> </w:t>
      </w:r>
      <w:r>
        <w:rPr>
          <w:spacing w:val="-7"/>
          <w:sz w:val="24"/>
          <w:szCs w:val="24"/>
        </w:rPr>
        <w:t xml:space="preserve"> 时间：</w:t>
      </w:r>
      <w:r>
        <w:rPr>
          <w:sz w:val="24"/>
          <w:szCs w:val="24"/>
          <w:u w:val="single" w:color="auto"/>
        </w:rPr>
        <w:t xml:space="preserve">      </w:t>
      </w:r>
      <w:r>
        <w:rPr>
          <w:spacing w:val="-109"/>
          <w:sz w:val="24"/>
          <w:szCs w:val="24"/>
        </w:rPr>
        <w:t xml:space="preserve"> </w:t>
      </w:r>
      <w:r>
        <w:rPr>
          <w:spacing w:val="-7"/>
          <w:sz w:val="24"/>
          <w:szCs w:val="24"/>
        </w:rPr>
        <w:t>年</w:t>
      </w:r>
      <w:r>
        <w:rPr>
          <w:spacing w:val="-7"/>
          <w:sz w:val="24"/>
          <w:szCs w:val="24"/>
          <w:u w:val="single" w:color="auto"/>
        </w:rPr>
        <w:t xml:space="preserve">    </w:t>
      </w:r>
      <w:r>
        <w:rPr>
          <w:spacing w:val="-105"/>
          <w:sz w:val="24"/>
          <w:szCs w:val="24"/>
        </w:rPr>
        <w:t xml:space="preserve"> </w:t>
      </w:r>
      <w:r>
        <w:rPr>
          <w:spacing w:val="-7"/>
          <w:sz w:val="24"/>
          <w:szCs w:val="24"/>
        </w:rPr>
        <w:t>月</w:t>
      </w:r>
      <w:r>
        <w:rPr>
          <w:sz w:val="24"/>
          <w:szCs w:val="24"/>
          <w:u w:val="single" w:color="auto"/>
        </w:rPr>
        <w:t xml:space="preserve">    </w:t>
      </w:r>
      <w:r>
        <w:rPr>
          <w:spacing w:val="-70"/>
          <w:sz w:val="24"/>
          <w:szCs w:val="24"/>
        </w:rPr>
        <w:t xml:space="preserve"> </w:t>
      </w:r>
      <w:r>
        <w:rPr>
          <w:spacing w:val="-7"/>
          <w:sz w:val="24"/>
          <w:szCs w:val="24"/>
        </w:rPr>
        <w:t>日</w:t>
      </w:r>
    </w:p>
    <w:p w14:paraId="21058B30">
      <w:pPr>
        <w:pStyle w:val="9"/>
        <w:spacing w:before="275" w:line="219" w:lineRule="auto"/>
        <w:ind w:left="4846"/>
        <w:outlineLvl w:val="9"/>
        <w:rPr>
          <w:sz w:val="24"/>
          <w:szCs w:val="24"/>
        </w:rPr>
      </w:pPr>
      <w:bookmarkStart w:id="13" w:name="_Toc23829"/>
      <w:r>
        <w:rPr>
          <w:spacing w:val="-6"/>
          <w:sz w:val="24"/>
          <w:szCs w:val="24"/>
        </w:rPr>
        <w:t>乙方账户信息</w:t>
      </w:r>
      <w:bookmarkEnd w:id="13"/>
    </w:p>
    <w:p w14:paraId="79FD036C">
      <w:pPr>
        <w:pStyle w:val="9"/>
        <w:spacing w:before="274" w:line="220" w:lineRule="auto"/>
        <w:ind w:left="4824"/>
        <w:rPr>
          <w:sz w:val="24"/>
          <w:szCs w:val="24"/>
        </w:rPr>
      </w:pPr>
      <w:r>
        <w:rPr>
          <w:spacing w:val="-4"/>
          <w:sz w:val="24"/>
          <w:szCs w:val="24"/>
        </w:rPr>
        <w:t>户名：</w:t>
      </w:r>
      <w:r>
        <w:rPr>
          <w:sz w:val="24"/>
          <w:szCs w:val="24"/>
          <w:u w:val="single" w:color="auto"/>
        </w:rPr>
        <w:t xml:space="preserve">                    </w:t>
      </w:r>
    </w:p>
    <w:p w14:paraId="6A1A53BA">
      <w:pPr>
        <w:pStyle w:val="9"/>
        <w:spacing w:before="275" w:line="221" w:lineRule="auto"/>
        <w:ind w:left="4827"/>
        <w:rPr>
          <w:sz w:val="24"/>
          <w:szCs w:val="24"/>
        </w:rPr>
      </w:pPr>
      <w:r>
        <w:rPr>
          <w:spacing w:val="-5"/>
          <w:sz w:val="24"/>
          <w:szCs w:val="24"/>
        </w:rPr>
        <w:t>账号：</w:t>
      </w:r>
      <w:r>
        <w:rPr>
          <w:sz w:val="24"/>
          <w:szCs w:val="24"/>
          <w:u w:val="single" w:color="auto"/>
        </w:rPr>
        <w:t xml:space="preserve">                    </w:t>
      </w:r>
    </w:p>
    <w:p w14:paraId="08F17B78">
      <w:pPr>
        <w:pStyle w:val="9"/>
        <w:spacing w:before="272" w:line="220" w:lineRule="auto"/>
        <w:ind w:left="4824"/>
        <w:rPr>
          <w:sz w:val="24"/>
          <w:szCs w:val="24"/>
        </w:rPr>
      </w:pPr>
      <w:r>
        <w:rPr>
          <w:spacing w:val="-3"/>
          <w:sz w:val="24"/>
          <w:szCs w:val="24"/>
        </w:rPr>
        <w:t>开户银行：</w:t>
      </w:r>
      <w:r>
        <w:rPr>
          <w:sz w:val="24"/>
          <w:szCs w:val="24"/>
          <w:u w:val="single" w:color="auto"/>
        </w:rPr>
        <w:t xml:space="preserve">                </w:t>
      </w:r>
    </w:p>
    <w:p w14:paraId="0CF629E0">
      <w:pPr>
        <w:spacing w:line="220" w:lineRule="auto"/>
        <w:rPr>
          <w:sz w:val="24"/>
          <w:szCs w:val="24"/>
        </w:rPr>
      </w:pPr>
    </w:p>
    <w:p w14:paraId="031C9B6D">
      <w:pPr>
        <w:pStyle w:val="27"/>
        <w:rPr>
          <w:sz w:val="21"/>
          <w:szCs w:val="21"/>
          <w:highlight w:val="none"/>
        </w:rPr>
        <w:sectPr>
          <w:headerReference r:id="rId10" w:type="default"/>
          <w:footerReference r:id="rId11" w:type="default"/>
          <w:pgSz w:w="11906" w:h="16839"/>
          <w:pgMar w:top="1166" w:right="1764" w:bottom="1362" w:left="1785" w:header="829" w:footer="1200" w:gutter="0"/>
          <w:pgNumType w:fmt="decimal"/>
          <w:cols w:space="720" w:num="1"/>
        </w:sectPr>
      </w:pPr>
    </w:p>
    <w:p w14:paraId="3B8323C6">
      <w:pPr>
        <w:pStyle w:val="9"/>
        <w:spacing w:before="78" w:line="219" w:lineRule="auto"/>
        <w:outlineLvl w:val="1"/>
        <w:rPr>
          <w:sz w:val="24"/>
          <w:szCs w:val="24"/>
        </w:rPr>
      </w:pPr>
      <w:bookmarkStart w:id="14" w:name="_Toc22926"/>
      <w:r>
        <w:rPr>
          <w:b/>
          <w:bCs/>
          <w:spacing w:val="-3"/>
          <w:sz w:val="24"/>
          <w:szCs w:val="24"/>
        </w:rPr>
        <w:t>第二部分</w:t>
      </w:r>
      <w:r>
        <w:rPr>
          <w:spacing w:val="-3"/>
          <w:sz w:val="24"/>
          <w:szCs w:val="24"/>
        </w:rPr>
        <w:t xml:space="preserve"> </w:t>
      </w:r>
      <w:r>
        <w:rPr>
          <w:b/>
          <w:bCs/>
          <w:spacing w:val="-3"/>
          <w:sz w:val="24"/>
          <w:szCs w:val="24"/>
        </w:rPr>
        <w:t>合同一般条款</w:t>
      </w:r>
      <w:bookmarkEnd w:id="14"/>
    </w:p>
    <w:p w14:paraId="5336C678">
      <w:pPr>
        <w:pStyle w:val="9"/>
        <w:spacing w:before="182" w:line="220" w:lineRule="auto"/>
        <w:ind w:left="463"/>
        <w:jc w:val="both"/>
        <w:outlineLvl w:val="2"/>
        <w:rPr>
          <w:sz w:val="24"/>
          <w:szCs w:val="24"/>
        </w:rPr>
      </w:pPr>
      <w:r>
        <w:rPr>
          <w:b/>
          <w:bCs/>
          <w:spacing w:val="-8"/>
          <w:sz w:val="24"/>
          <w:szCs w:val="24"/>
        </w:rPr>
        <w:t>2.1</w:t>
      </w:r>
      <w:r>
        <w:rPr>
          <w:spacing w:val="16"/>
          <w:sz w:val="24"/>
          <w:szCs w:val="24"/>
        </w:rPr>
        <w:t xml:space="preserve"> </w:t>
      </w:r>
      <w:r>
        <w:rPr>
          <w:b/>
          <w:bCs/>
          <w:spacing w:val="-8"/>
          <w:sz w:val="24"/>
          <w:szCs w:val="24"/>
        </w:rPr>
        <w:t>定义</w:t>
      </w:r>
    </w:p>
    <w:p w14:paraId="62CB5138">
      <w:pPr>
        <w:pStyle w:val="9"/>
        <w:spacing w:before="181" w:line="219" w:lineRule="auto"/>
        <w:ind w:left="458"/>
        <w:jc w:val="both"/>
        <w:rPr>
          <w:sz w:val="24"/>
          <w:szCs w:val="24"/>
        </w:rPr>
      </w:pPr>
      <w:r>
        <w:rPr>
          <w:spacing w:val="-1"/>
          <w:sz w:val="24"/>
          <w:szCs w:val="24"/>
        </w:rPr>
        <w:t>本合同中的下列词语应按以下内容进行解释：</w:t>
      </w:r>
    </w:p>
    <w:p w14:paraId="2864EC56">
      <w:pPr>
        <w:pStyle w:val="9"/>
        <w:spacing w:before="184" w:line="289" w:lineRule="auto"/>
        <w:ind w:left="25" w:right="27" w:firstLine="435"/>
        <w:jc w:val="both"/>
        <w:rPr>
          <w:sz w:val="24"/>
          <w:szCs w:val="24"/>
        </w:rPr>
      </w:pPr>
      <w:r>
        <w:rPr>
          <w:spacing w:val="1"/>
          <w:sz w:val="24"/>
          <w:szCs w:val="24"/>
        </w:rPr>
        <w:t>2.1.1“合同”系指采购人和成交供应商签订的载</w:t>
      </w:r>
      <w:r>
        <w:rPr>
          <w:sz w:val="24"/>
          <w:szCs w:val="24"/>
        </w:rPr>
        <w:t>明双方当事人所达成的协</w:t>
      </w:r>
      <w:r>
        <w:rPr>
          <w:spacing w:val="-1"/>
          <w:sz w:val="24"/>
          <w:szCs w:val="24"/>
        </w:rPr>
        <w:t>议，并包括所有的附件、附录和构成合同的其他文件。</w:t>
      </w:r>
    </w:p>
    <w:p w14:paraId="3F7CB701">
      <w:pPr>
        <w:pStyle w:val="9"/>
        <w:spacing w:before="184" w:line="289" w:lineRule="auto"/>
        <w:ind w:left="22" w:right="86" w:firstLine="438"/>
        <w:jc w:val="both"/>
        <w:rPr>
          <w:sz w:val="24"/>
          <w:szCs w:val="24"/>
        </w:rPr>
      </w:pPr>
      <w:r>
        <w:rPr>
          <w:spacing w:val="-1"/>
          <w:sz w:val="24"/>
          <w:szCs w:val="24"/>
        </w:rPr>
        <w:t>2.1.2“合同价”系指根据合同约定，成交供应商在完全履行合同义务后，采购人应支付给成交供应商的价格。</w:t>
      </w:r>
    </w:p>
    <w:p w14:paraId="0E677596">
      <w:pPr>
        <w:pStyle w:val="9"/>
        <w:spacing w:before="185" w:line="313" w:lineRule="auto"/>
        <w:ind w:left="22" w:right="27" w:firstLine="438"/>
        <w:jc w:val="both"/>
        <w:rPr>
          <w:sz w:val="24"/>
          <w:szCs w:val="24"/>
          <w:highlight w:val="none"/>
        </w:rPr>
      </w:pPr>
      <w:r>
        <w:rPr>
          <w:spacing w:val="1"/>
          <w:sz w:val="24"/>
          <w:szCs w:val="24"/>
          <w:highlight w:val="none"/>
        </w:rPr>
        <w:t>2.1.3“服务”系指成交供应商根据合同约定应向</w:t>
      </w:r>
      <w:r>
        <w:rPr>
          <w:sz w:val="24"/>
          <w:szCs w:val="24"/>
          <w:highlight w:val="none"/>
        </w:rPr>
        <w:t>采购人履行的除货物和工</w:t>
      </w:r>
      <w:r>
        <w:rPr>
          <w:spacing w:val="-3"/>
          <w:sz w:val="24"/>
          <w:szCs w:val="24"/>
          <w:highlight w:val="none"/>
        </w:rPr>
        <w:t>程以外的其他政府采购对象，包括采购人自身需要的服务和向社会公众提供的公共服务。</w:t>
      </w:r>
    </w:p>
    <w:p w14:paraId="5C88555E">
      <w:pPr>
        <w:pStyle w:val="9"/>
        <w:spacing w:before="184" w:line="289" w:lineRule="auto"/>
        <w:ind w:left="22" w:right="27" w:firstLine="438"/>
        <w:jc w:val="both"/>
        <w:rPr>
          <w:sz w:val="24"/>
          <w:szCs w:val="24"/>
        </w:rPr>
      </w:pPr>
      <w:r>
        <w:rPr>
          <w:spacing w:val="-1"/>
          <w:sz w:val="24"/>
          <w:szCs w:val="24"/>
        </w:rPr>
        <w:t>2.1.4“甲方”系指与成交供应商签署合同的采购人</w:t>
      </w:r>
      <w:r>
        <w:rPr>
          <w:spacing w:val="-1"/>
          <w:sz w:val="24"/>
          <w:szCs w:val="24"/>
          <w:highlight w:val="none"/>
        </w:rPr>
        <w:t>；采购人委托集中采购</w:t>
      </w:r>
      <w:r>
        <w:rPr>
          <w:sz w:val="24"/>
          <w:szCs w:val="24"/>
          <w:highlight w:val="none"/>
        </w:rPr>
        <w:t>机构代表其与乙方签订合同的，采购人的授权</w:t>
      </w:r>
      <w:r>
        <w:rPr>
          <w:spacing w:val="-1"/>
          <w:sz w:val="24"/>
          <w:szCs w:val="24"/>
          <w:highlight w:val="none"/>
        </w:rPr>
        <w:t>委托书作为合同附件</w:t>
      </w:r>
      <w:r>
        <w:rPr>
          <w:spacing w:val="-1"/>
          <w:sz w:val="24"/>
          <w:szCs w:val="24"/>
        </w:rPr>
        <w:t>。</w:t>
      </w:r>
    </w:p>
    <w:p w14:paraId="11BFB2ED">
      <w:pPr>
        <w:pStyle w:val="9"/>
        <w:spacing w:before="183" w:line="325" w:lineRule="auto"/>
        <w:ind w:left="23" w:right="27" w:firstLine="437"/>
        <w:jc w:val="both"/>
        <w:rPr>
          <w:sz w:val="24"/>
          <w:szCs w:val="24"/>
        </w:rPr>
      </w:pPr>
      <w:r>
        <w:rPr>
          <w:sz w:val="24"/>
          <w:szCs w:val="24"/>
        </w:rPr>
        <w:t>2.1.5“乙方”系指根据合同约定提供</w:t>
      </w:r>
      <w:r>
        <w:rPr>
          <w:rFonts w:hint="eastAsia"/>
          <w:sz w:val="24"/>
          <w:szCs w:val="24"/>
          <w:lang w:val="en-US" w:eastAsia="zh-CN"/>
        </w:rPr>
        <w:t>货物</w:t>
      </w:r>
      <w:r>
        <w:rPr>
          <w:sz w:val="24"/>
          <w:szCs w:val="24"/>
        </w:rPr>
        <w:t>的成</w:t>
      </w:r>
      <w:r>
        <w:rPr>
          <w:spacing w:val="-1"/>
          <w:sz w:val="24"/>
          <w:szCs w:val="24"/>
        </w:rPr>
        <w:t>交供应商；</w:t>
      </w:r>
    </w:p>
    <w:p w14:paraId="286DB423">
      <w:pPr>
        <w:pStyle w:val="9"/>
        <w:spacing w:before="182" w:line="219" w:lineRule="auto"/>
        <w:ind w:left="460"/>
        <w:jc w:val="both"/>
        <w:rPr>
          <w:sz w:val="24"/>
          <w:szCs w:val="24"/>
        </w:rPr>
      </w:pPr>
      <w:r>
        <w:rPr>
          <w:spacing w:val="-2"/>
          <w:sz w:val="24"/>
          <w:szCs w:val="24"/>
        </w:rPr>
        <w:t>2.1.6“现场”系指合同约定提供</w:t>
      </w:r>
      <w:r>
        <w:rPr>
          <w:rFonts w:hint="eastAsia"/>
          <w:spacing w:val="-2"/>
          <w:sz w:val="24"/>
          <w:szCs w:val="24"/>
          <w:lang w:val="en-US" w:eastAsia="zh-CN"/>
        </w:rPr>
        <w:t>货物</w:t>
      </w:r>
      <w:r>
        <w:rPr>
          <w:spacing w:val="-2"/>
          <w:sz w:val="24"/>
          <w:szCs w:val="24"/>
        </w:rPr>
        <w:t>的地点。</w:t>
      </w:r>
    </w:p>
    <w:p w14:paraId="6F1CC4A6">
      <w:pPr>
        <w:pStyle w:val="9"/>
        <w:spacing w:before="184" w:line="219" w:lineRule="auto"/>
        <w:ind w:left="463"/>
        <w:jc w:val="both"/>
        <w:outlineLvl w:val="2"/>
        <w:rPr>
          <w:sz w:val="24"/>
          <w:szCs w:val="24"/>
        </w:rPr>
      </w:pPr>
      <w:r>
        <w:rPr>
          <w:b/>
          <w:bCs/>
          <w:spacing w:val="-4"/>
          <w:sz w:val="24"/>
          <w:szCs w:val="24"/>
        </w:rPr>
        <w:t>2.2</w:t>
      </w:r>
      <w:r>
        <w:rPr>
          <w:spacing w:val="-4"/>
          <w:sz w:val="24"/>
          <w:szCs w:val="24"/>
        </w:rPr>
        <w:t xml:space="preserve"> </w:t>
      </w:r>
      <w:r>
        <w:rPr>
          <w:b/>
          <w:bCs/>
          <w:spacing w:val="-4"/>
          <w:sz w:val="24"/>
          <w:szCs w:val="24"/>
        </w:rPr>
        <w:t>技术规范</w:t>
      </w:r>
    </w:p>
    <w:p w14:paraId="4EB601A0">
      <w:pPr>
        <w:pStyle w:val="9"/>
        <w:spacing w:before="183" w:line="360" w:lineRule="auto"/>
        <w:ind w:left="25" w:right="27" w:firstLine="438"/>
        <w:jc w:val="both"/>
        <w:rPr>
          <w:sz w:val="24"/>
          <w:szCs w:val="24"/>
          <w:highlight w:val="none"/>
        </w:rPr>
      </w:pPr>
      <w:r>
        <w:rPr>
          <w:spacing w:val="2"/>
          <w:sz w:val="24"/>
          <w:szCs w:val="24"/>
          <w:highlight w:val="none"/>
        </w:rPr>
        <w:t>货物所应遵守的技术规范应与采购文件规定的技术</w:t>
      </w:r>
      <w:r>
        <w:rPr>
          <w:spacing w:val="1"/>
          <w:sz w:val="24"/>
          <w:szCs w:val="24"/>
          <w:highlight w:val="none"/>
        </w:rPr>
        <w:t>规范和技术规范附件(如</w:t>
      </w:r>
      <w:r>
        <w:rPr>
          <w:sz w:val="24"/>
          <w:szCs w:val="24"/>
          <w:highlight w:val="none"/>
        </w:rPr>
        <w:t>果有的话)及其技术规范偏差表(如果被甲方接受的话)相一致；如果采购文件中</w:t>
      </w:r>
      <w:r>
        <w:rPr>
          <w:spacing w:val="-3"/>
          <w:sz w:val="24"/>
          <w:szCs w:val="24"/>
          <w:highlight w:val="none"/>
        </w:rPr>
        <w:t>没有技术规范的相应说明，那么应以国家有关部门最新颁布的相应标准和规范为</w:t>
      </w:r>
      <w:r>
        <w:rPr>
          <w:spacing w:val="-6"/>
          <w:sz w:val="24"/>
          <w:szCs w:val="24"/>
          <w:highlight w:val="none"/>
        </w:rPr>
        <w:t>准。</w:t>
      </w:r>
    </w:p>
    <w:p w14:paraId="30463856">
      <w:pPr>
        <w:pStyle w:val="9"/>
        <w:spacing w:line="219" w:lineRule="auto"/>
        <w:ind w:left="463"/>
        <w:jc w:val="both"/>
        <w:outlineLvl w:val="2"/>
        <w:rPr>
          <w:sz w:val="24"/>
          <w:szCs w:val="24"/>
        </w:rPr>
      </w:pPr>
      <w:r>
        <w:rPr>
          <w:b/>
          <w:bCs/>
          <w:spacing w:val="-6"/>
          <w:sz w:val="24"/>
          <w:szCs w:val="24"/>
        </w:rPr>
        <w:t>2.3</w:t>
      </w:r>
      <w:r>
        <w:rPr>
          <w:spacing w:val="15"/>
          <w:sz w:val="24"/>
          <w:szCs w:val="24"/>
        </w:rPr>
        <w:t xml:space="preserve"> </w:t>
      </w:r>
      <w:r>
        <w:rPr>
          <w:b/>
          <w:bCs/>
          <w:spacing w:val="-6"/>
          <w:sz w:val="24"/>
          <w:szCs w:val="24"/>
        </w:rPr>
        <w:t>知识产权</w:t>
      </w:r>
    </w:p>
    <w:p w14:paraId="2B54A1BB">
      <w:pPr>
        <w:pStyle w:val="9"/>
        <w:spacing w:before="184" w:line="313" w:lineRule="auto"/>
        <w:ind w:left="22" w:right="27" w:firstLine="438"/>
        <w:jc w:val="both"/>
        <w:rPr>
          <w:sz w:val="24"/>
          <w:szCs w:val="24"/>
        </w:rPr>
      </w:pPr>
      <w:r>
        <w:rPr>
          <w:spacing w:val="-1"/>
          <w:sz w:val="24"/>
          <w:szCs w:val="24"/>
        </w:rPr>
        <w:t>2.3.1</w:t>
      </w:r>
      <w:r>
        <w:rPr>
          <w:spacing w:val="-27"/>
          <w:sz w:val="24"/>
          <w:szCs w:val="24"/>
        </w:rPr>
        <w:t xml:space="preserve"> </w:t>
      </w:r>
      <w:r>
        <w:rPr>
          <w:spacing w:val="-1"/>
          <w:sz w:val="24"/>
          <w:szCs w:val="24"/>
        </w:rPr>
        <w:t>乙方应保证其提供的服务不受任何第三方提出的侵犯其著作权、</w:t>
      </w:r>
      <w:r>
        <w:rPr>
          <w:spacing w:val="-2"/>
          <w:sz w:val="24"/>
          <w:szCs w:val="24"/>
        </w:rPr>
        <w:t>商标</w:t>
      </w:r>
      <w:r>
        <w:rPr>
          <w:spacing w:val="-3"/>
          <w:sz w:val="24"/>
          <w:szCs w:val="24"/>
        </w:rPr>
        <w:t>权、专利权等知识产权方面的起诉；如果任何第三方提出侵权指控，那么乙方须</w:t>
      </w:r>
      <w:r>
        <w:rPr>
          <w:spacing w:val="-1"/>
          <w:sz w:val="24"/>
          <w:szCs w:val="24"/>
        </w:rPr>
        <w:t>与该第三方交涉并承担由此发生的一切责任、费用和赔偿；</w:t>
      </w:r>
    </w:p>
    <w:p w14:paraId="65954038">
      <w:pPr>
        <w:pStyle w:val="9"/>
        <w:spacing w:before="184" w:line="279" w:lineRule="auto"/>
        <w:ind w:left="49" w:firstLine="410"/>
        <w:jc w:val="both"/>
        <w:rPr>
          <w:sz w:val="24"/>
          <w:szCs w:val="24"/>
        </w:rPr>
      </w:pPr>
      <w:r>
        <w:rPr>
          <w:spacing w:val="-2"/>
          <w:sz w:val="24"/>
          <w:szCs w:val="24"/>
        </w:rPr>
        <w:t>2.3.2</w:t>
      </w:r>
      <w:r>
        <w:rPr>
          <w:spacing w:val="-28"/>
          <w:sz w:val="24"/>
          <w:szCs w:val="24"/>
        </w:rPr>
        <w:t xml:space="preserve"> </w:t>
      </w:r>
      <w:r>
        <w:rPr>
          <w:spacing w:val="-2"/>
          <w:sz w:val="24"/>
          <w:szCs w:val="24"/>
        </w:rPr>
        <w:t>具有知识产权的计算机软件等货物的知识产权归属，详见</w:t>
      </w:r>
      <w:r>
        <w:rPr>
          <w:b/>
          <w:bCs/>
          <w:i/>
          <w:iCs/>
          <w:spacing w:val="-2"/>
          <w:sz w:val="25"/>
          <w:szCs w:val="25"/>
          <w:u w:val="single" w:color="auto"/>
        </w:rPr>
        <w:t>合同专用条</w:t>
      </w:r>
      <w:r>
        <w:rPr>
          <w:b/>
          <w:bCs/>
          <w:i/>
          <w:iCs/>
          <w:spacing w:val="-10"/>
          <w:sz w:val="25"/>
          <w:szCs w:val="25"/>
          <w:u w:val="single" w:color="auto"/>
        </w:rPr>
        <w:t>款</w:t>
      </w:r>
      <w:r>
        <w:rPr>
          <w:spacing w:val="-10"/>
          <w:sz w:val="24"/>
          <w:szCs w:val="24"/>
        </w:rPr>
        <w:t>。</w:t>
      </w:r>
    </w:p>
    <w:p w14:paraId="27334C0E">
      <w:pPr>
        <w:pStyle w:val="9"/>
        <w:spacing w:before="179" w:line="219" w:lineRule="auto"/>
        <w:ind w:left="463"/>
        <w:jc w:val="both"/>
        <w:outlineLvl w:val="2"/>
        <w:rPr>
          <w:b/>
          <w:bCs/>
          <w:spacing w:val="-3"/>
          <w:sz w:val="24"/>
          <w:szCs w:val="24"/>
        </w:rPr>
      </w:pPr>
      <w:r>
        <w:rPr>
          <w:b/>
          <w:bCs/>
          <w:spacing w:val="-3"/>
          <w:sz w:val="24"/>
          <w:szCs w:val="24"/>
        </w:rPr>
        <w:t>2.4</w:t>
      </w:r>
      <w:r>
        <w:rPr>
          <w:spacing w:val="-3"/>
          <w:sz w:val="24"/>
          <w:szCs w:val="24"/>
        </w:rPr>
        <w:t xml:space="preserve"> </w:t>
      </w:r>
      <w:r>
        <w:rPr>
          <w:b/>
          <w:bCs/>
          <w:spacing w:val="-3"/>
          <w:sz w:val="24"/>
          <w:szCs w:val="24"/>
        </w:rPr>
        <w:t>履约检查和问题反馈</w:t>
      </w:r>
    </w:p>
    <w:p w14:paraId="690BB4C9">
      <w:pPr>
        <w:pStyle w:val="9"/>
        <w:spacing w:before="78" w:line="313" w:lineRule="auto"/>
        <w:ind w:left="27" w:right="61" w:firstLine="433"/>
        <w:jc w:val="both"/>
        <w:rPr>
          <w:spacing w:val="-1"/>
          <w:sz w:val="24"/>
          <w:szCs w:val="24"/>
        </w:rPr>
      </w:pPr>
      <w:r>
        <w:rPr>
          <w:spacing w:val="-2"/>
          <w:sz w:val="24"/>
          <w:szCs w:val="24"/>
        </w:rPr>
        <w:t>2.4.1 甲方有权在其认为必要时，对乙方是否能够按照合同约定提供</w:t>
      </w:r>
      <w:r>
        <w:rPr>
          <w:rFonts w:hint="eastAsia"/>
          <w:spacing w:val="-2"/>
          <w:sz w:val="24"/>
          <w:szCs w:val="24"/>
          <w:lang w:val="en-US" w:eastAsia="zh-CN"/>
        </w:rPr>
        <w:t>货物</w:t>
      </w:r>
      <w:r>
        <w:rPr>
          <w:spacing w:val="-2"/>
          <w:sz w:val="24"/>
          <w:szCs w:val="24"/>
        </w:rPr>
        <w:t>进</w:t>
      </w:r>
      <w:r>
        <w:rPr>
          <w:spacing w:val="-3"/>
          <w:sz w:val="24"/>
          <w:szCs w:val="24"/>
        </w:rPr>
        <w:t>行履约检查，以确保乙方所提供的</w:t>
      </w:r>
      <w:r>
        <w:rPr>
          <w:rFonts w:hint="eastAsia"/>
          <w:spacing w:val="-3"/>
          <w:sz w:val="24"/>
          <w:szCs w:val="24"/>
          <w:lang w:val="en-US" w:eastAsia="zh-CN"/>
        </w:rPr>
        <w:t>货物</w:t>
      </w:r>
      <w:r>
        <w:rPr>
          <w:spacing w:val="-3"/>
          <w:sz w:val="24"/>
          <w:szCs w:val="24"/>
        </w:rPr>
        <w:t>能够依约满足甲方项目需求，但不</w:t>
      </w:r>
      <w:r>
        <w:rPr>
          <w:spacing w:val="-4"/>
          <w:sz w:val="24"/>
          <w:szCs w:val="24"/>
        </w:rPr>
        <w:t>得因履</w:t>
      </w:r>
      <w:r>
        <w:rPr>
          <w:spacing w:val="-1"/>
          <w:sz w:val="24"/>
          <w:szCs w:val="24"/>
        </w:rPr>
        <w:t>约检查妨碍乙方的正常工作，乙方应予积极配合；</w:t>
      </w:r>
    </w:p>
    <w:p w14:paraId="2EF6F721">
      <w:pPr>
        <w:pStyle w:val="9"/>
        <w:spacing w:before="78" w:line="313" w:lineRule="auto"/>
        <w:ind w:left="27" w:right="61" w:firstLine="433"/>
        <w:jc w:val="both"/>
      </w:pPr>
      <w:r>
        <w:rPr>
          <w:sz w:val="24"/>
          <w:szCs w:val="24"/>
        </w:rPr>
        <w:t>2.4.2</w:t>
      </w:r>
      <w:r>
        <w:rPr>
          <w:spacing w:val="-50"/>
          <w:sz w:val="24"/>
          <w:szCs w:val="24"/>
        </w:rPr>
        <w:t xml:space="preserve"> </w:t>
      </w:r>
      <w:r>
        <w:rPr>
          <w:sz w:val="24"/>
          <w:szCs w:val="24"/>
        </w:rPr>
        <w:t>合同履行期间，甲方有权将履行过程</w:t>
      </w:r>
      <w:r>
        <w:rPr>
          <w:spacing w:val="-1"/>
          <w:sz w:val="24"/>
          <w:szCs w:val="24"/>
        </w:rPr>
        <w:t>中出现的问题反馈给乙方，双方</w:t>
      </w:r>
      <w:r>
        <w:rPr>
          <w:spacing w:val="-2"/>
          <w:sz w:val="24"/>
          <w:szCs w:val="24"/>
        </w:rPr>
        <w:t>当事人应以书面形式约定需要完善和改进的内容。</w:t>
      </w:r>
    </w:p>
    <w:p w14:paraId="44CAD174">
      <w:pPr>
        <w:pStyle w:val="9"/>
        <w:spacing w:before="184" w:line="219" w:lineRule="auto"/>
        <w:ind w:left="463"/>
        <w:jc w:val="both"/>
        <w:outlineLvl w:val="2"/>
        <w:rPr>
          <w:sz w:val="24"/>
          <w:szCs w:val="24"/>
        </w:rPr>
      </w:pPr>
      <w:r>
        <w:rPr>
          <w:b/>
          <w:bCs/>
          <w:spacing w:val="-3"/>
          <w:sz w:val="24"/>
          <w:szCs w:val="24"/>
        </w:rPr>
        <w:t>2.5</w:t>
      </w:r>
      <w:r>
        <w:rPr>
          <w:spacing w:val="-3"/>
          <w:sz w:val="24"/>
          <w:szCs w:val="24"/>
        </w:rPr>
        <w:t xml:space="preserve"> </w:t>
      </w:r>
      <w:r>
        <w:rPr>
          <w:b/>
          <w:bCs/>
          <w:spacing w:val="-3"/>
          <w:sz w:val="24"/>
          <w:szCs w:val="24"/>
        </w:rPr>
        <w:t>结算方式和付款条件</w:t>
      </w:r>
    </w:p>
    <w:p w14:paraId="5B3F0FA7">
      <w:pPr>
        <w:pStyle w:val="9"/>
        <w:spacing w:before="182" w:line="212" w:lineRule="auto"/>
        <w:ind w:left="460"/>
        <w:jc w:val="both"/>
        <w:rPr>
          <w:sz w:val="24"/>
          <w:szCs w:val="24"/>
        </w:rPr>
      </w:pPr>
      <w:r>
        <w:rPr>
          <w:spacing w:val="-6"/>
          <w:sz w:val="24"/>
          <w:szCs w:val="24"/>
        </w:rPr>
        <w:t>详见</w:t>
      </w:r>
      <w:r>
        <w:rPr>
          <w:b/>
          <w:bCs/>
          <w:i/>
          <w:iCs/>
          <w:spacing w:val="-6"/>
          <w:sz w:val="25"/>
          <w:szCs w:val="25"/>
          <w:u w:val="single" w:color="auto"/>
        </w:rPr>
        <w:t>合同专用条款</w:t>
      </w:r>
      <w:r>
        <w:rPr>
          <w:spacing w:val="-6"/>
          <w:sz w:val="24"/>
          <w:szCs w:val="24"/>
        </w:rPr>
        <w:t>。</w:t>
      </w:r>
    </w:p>
    <w:p w14:paraId="5964181F">
      <w:pPr>
        <w:pStyle w:val="9"/>
        <w:spacing w:before="181" w:line="219" w:lineRule="auto"/>
        <w:ind w:left="463"/>
        <w:jc w:val="both"/>
        <w:outlineLvl w:val="2"/>
        <w:rPr>
          <w:sz w:val="24"/>
          <w:szCs w:val="24"/>
        </w:rPr>
      </w:pPr>
      <w:r>
        <w:rPr>
          <w:b/>
          <w:bCs/>
          <w:spacing w:val="-3"/>
          <w:sz w:val="24"/>
          <w:szCs w:val="24"/>
        </w:rPr>
        <w:t>2.6</w:t>
      </w:r>
      <w:r>
        <w:rPr>
          <w:spacing w:val="-3"/>
          <w:sz w:val="24"/>
          <w:szCs w:val="24"/>
        </w:rPr>
        <w:t xml:space="preserve"> </w:t>
      </w:r>
      <w:r>
        <w:rPr>
          <w:b/>
          <w:bCs/>
          <w:spacing w:val="-3"/>
          <w:sz w:val="24"/>
          <w:szCs w:val="24"/>
        </w:rPr>
        <w:t>技术资料和保密义务</w:t>
      </w:r>
    </w:p>
    <w:p w14:paraId="76E161D1">
      <w:pPr>
        <w:pStyle w:val="9"/>
        <w:spacing w:before="182" w:line="290" w:lineRule="auto"/>
        <w:ind w:left="33" w:right="63" w:firstLine="426"/>
        <w:jc w:val="both"/>
        <w:rPr>
          <w:sz w:val="24"/>
          <w:szCs w:val="24"/>
        </w:rPr>
      </w:pPr>
      <w:r>
        <w:rPr>
          <w:spacing w:val="-1"/>
          <w:sz w:val="24"/>
          <w:szCs w:val="24"/>
        </w:rPr>
        <w:t>2.6.1</w:t>
      </w:r>
      <w:r>
        <w:rPr>
          <w:spacing w:val="-27"/>
          <w:sz w:val="24"/>
          <w:szCs w:val="24"/>
        </w:rPr>
        <w:t xml:space="preserve"> </w:t>
      </w:r>
      <w:r>
        <w:rPr>
          <w:spacing w:val="-1"/>
          <w:sz w:val="24"/>
          <w:szCs w:val="24"/>
        </w:rPr>
        <w:t>乙方有权依据合同约定和项目需要，向甲方了解有关情况，调阅</w:t>
      </w:r>
      <w:r>
        <w:rPr>
          <w:spacing w:val="-2"/>
          <w:sz w:val="24"/>
          <w:szCs w:val="24"/>
        </w:rPr>
        <w:t>有关资料等，甲方应予积极配合；</w:t>
      </w:r>
    </w:p>
    <w:p w14:paraId="651DC2C3">
      <w:pPr>
        <w:pStyle w:val="9"/>
        <w:spacing w:before="183" w:line="219" w:lineRule="auto"/>
        <w:ind w:left="460"/>
        <w:jc w:val="both"/>
        <w:rPr>
          <w:sz w:val="24"/>
          <w:szCs w:val="24"/>
        </w:rPr>
      </w:pPr>
      <w:r>
        <w:rPr>
          <w:spacing w:val="-2"/>
          <w:sz w:val="24"/>
          <w:szCs w:val="24"/>
        </w:rPr>
        <w:t>2.6.2</w:t>
      </w:r>
      <w:r>
        <w:rPr>
          <w:spacing w:val="-10"/>
          <w:sz w:val="24"/>
          <w:szCs w:val="24"/>
        </w:rPr>
        <w:t xml:space="preserve"> </w:t>
      </w:r>
      <w:r>
        <w:rPr>
          <w:spacing w:val="-2"/>
          <w:sz w:val="24"/>
          <w:szCs w:val="24"/>
        </w:rPr>
        <w:t>乙方有义务妥善保管和保护由甲方提供的前款信息和资料等；</w:t>
      </w:r>
    </w:p>
    <w:p w14:paraId="70DB2433">
      <w:pPr>
        <w:pStyle w:val="9"/>
        <w:spacing w:before="183" w:line="332" w:lineRule="auto"/>
        <w:ind w:left="23" w:right="61" w:firstLine="437"/>
        <w:jc w:val="both"/>
        <w:rPr>
          <w:sz w:val="24"/>
          <w:szCs w:val="24"/>
        </w:rPr>
      </w:pPr>
      <w:r>
        <w:rPr>
          <w:spacing w:val="-1"/>
          <w:sz w:val="24"/>
          <w:szCs w:val="24"/>
        </w:rPr>
        <w:t>2.6.3</w:t>
      </w:r>
      <w:r>
        <w:rPr>
          <w:spacing w:val="-29"/>
          <w:sz w:val="24"/>
          <w:szCs w:val="24"/>
        </w:rPr>
        <w:t xml:space="preserve"> </w:t>
      </w:r>
      <w:r>
        <w:rPr>
          <w:spacing w:val="-1"/>
          <w:sz w:val="24"/>
          <w:szCs w:val="24"/>
        </w:rPr>
        <w:t>除非依照法律规定或者对方当事人的书面同意，任何一方均应保证不</w:t>
      </w:r>
      <w:r>
        <w:rPr>
          <w:spacing w:val="4"/>
          <w:sz w:val="24"/>
          <w:szCs w:val="24"/>
        </w:rPr>
        <w:t>向任何第三方提供或披露有关合同的或者履行合同过程中知悉的对方当事人任</w:t>
      </w:r>
      <w:r>
        <w:rPr>
          <w:spacing w:val="-3"/>
          <w:sz w:val="24"/>
          <w:szCs w:val="24"/>
        </w:rPr>
        <w:t>何未公开的信息和资料，包括但不限于技术情报、技术资料、商业秘密和商</w:t>
      </w:r>
      <w:r>
        <w:rPr>
          <w:spacing w:val="-4"/>
          <w:sz w:val="24"/>
          <w:szCs w:val="24"/>
        </w:rPr>
        <w:t>业信</w:t>
      </w:r>
      <w:r>
        <w:rPr>
          <w:spacing w:val="-3"/>
          <w:sz w:val="24"/>
          <w:szCs w:val="24"/>
        </w:rPr>
        <w:t>息等，并采取一切合理和必要措施和方式防止任何第三方接触到对方当事人的上</w:t>
      </w:r>
      <w:r>
        <w:rPr>
          <w:spacing w:val="-2"/>
          <w:sz w:val="24"/>
          <w:szCs w:val="24"/>
        </w:rPr>
        <w:t>述保密信息和资料。</w:t>
      </w:r>
    </w:p>
    <w:p w14:paraId="7FA9E009">
      <w:pPr>
        <w:pStyle w:val="9"/>
        <w:spacing w:before="182" w:line="220" w:lineRule="auto"/>
        <w:ind w:left="463"/>
        <w:jc w:val="both"/>
        <w:outlineLvl w:val="2"/>
        <w:rPr>
          <w:sz w:val="24"/>
          <w:szCs w:val="24"/>
        </w:rPr>
      </w:pPr>
      <w:r>
        <w:rPr>
          <w:b/>
          <w:bCs/>
          <w:spacing w:val="-4"/>
          <w:sz w:val="24"/>
          <w:szCs w:val="24"/>
        </w:rPr>
        <w:t>2.7</w:t>
      </w:r>
      <w:r>
        <w:rPr>
          <w:spacing w:val="-4"/>
          <w:sz w:val="24"/>
          <w:szCs w:val="24"/>
        </w:rPr>
        <w:t xml:space="preserve"> </w:t>
      </w:r>
      <w:r>
        <w:rPr>
          <w:b/>
          <w:bCs/>
          <w:spacing w:val="-4"/>
          <w:sz w:val="24"/>
          <w:szCs w:val="24"/>
        </w:rPr>
        <w:t>质量保证</w:t>
      </w:r>
    </w:p>
    <w:p w14:paraId="019EB586">
      <w:pPr>
        <w:pStyle w:val="9"/>
        <w:spacing w:before="183" w:line="289" w:lineRule="auto"/>
        <w:ind w:left="31" w:right="63" w:firstLine="428"/>
        <w:jc w:val="both"/>
        <w:rPr>
          <w:sz w:val="24"/>
          <w:szCs w:val="24"/>
        </w:rPr>
      </w:pPr>
      <w:r>
        <w:rPr>
          <w:spacing w:val="-1"/>
          <w:sz w:val="24"/>
          <w:szCs w:val="24"/>
        </w:rPr>
        <w:t>2.7.1</w:t>
      </w:r>
      <w:r>
        <w:rPr>
          <w:spacing w:val="-27"/>
          <w:sz w:val="24"/>
          <w:szCs w:val="24"/>
        </w:rPr>
        <w:t xml:space="preserve"> </w:t>
      </w:r>
      <w:r>
        <w:rPr>
          <w:spacing w:val="-1"/>
          <w:sz w:val="24"/>
          <w:szCs w:val="24"/>
        </w:rPr>
        <w:t>乙方应建立和完善履行合同的内部质量保证体系，并提供相关内</w:t>
      </w:r>
      <w:r>
        <w:rPr>
          <w:spacing w:val="-2"/>
          <w:sz w:val="24"/>
          <w:szCs w:val="24"/>
        </w:rPr>
        <w:t>部规</w:t>
      </w:r>
      <w:r>
        <w:rPr>
          <w:spacing w:val="-1"/>
          <w:sz w:val="24"/>
          <w:szCs w:val="24"/>
        </w:rPr>
        <w:t>章制度给甲方，以便甲方进行监督检查；</w:t>
      </w:r>
    </w:p>
    <w:p w14:paraId="4481A1C2">
      <w:pPr>
        <w:pStyle w:val="9"/>
        <w:spacing w:before="183" w:line="290" w:lineRule="auto"/>
        <w:ind w:left="23" w:right="63" w:firstLine="437"/>
        <w:jc w:val="both"/>
        <w:rPr>
          <w:sz w:val="24"/>
          <w:szCs w:val="24"/>
        </w:rPr>
      </w:pPr>
      <w:r>
        <w:rPr>
          <w:spacing w:val="-1"/>
          <w:sz w:val="24"/>
          <w:szCs w:val="24"/>
        </w:rPr>
        <w:t>2.7.2</w:t>
      </w:r>
      <w:r>
        <w:rPr>
          <w:spacing w:val="-27"/>
          <w:sz w:val="24"/>
          <w:szCs w:val="24"/>
        </w:rPr>
        <w:t xml:space="preserve"> </w:t>
      </w:r>
      <w:r>
        <w:rPr>
          <w:spacing w:val="-1"/>
          <w:sz w:val="24"/>
          <w:szCs w:val="24"/>
        </w:rPr>
        <w:t>乙方应保证履行合同的人员数量和素质、软件和硬件设备的配置</w:t>
      </w:r>
      <w:r>
        <w:rPr>
          <w:spacing w:val="-2"/>
          <w:sz w:val="24"/>
          <w:szCs w:val="24"/>
        </w:rPr>
        <w:t>、场</w:t>
      </w:r>
      <w:r>
        <w:rPr>
          <w:sz w:val="24"/>
          <w:szCs w:val="24"/>
        </w:rPr>
        <w:t>地、环境和设施等满足全面履行合同的要求，并</w:t>
      </w:r>
      <w:r>
        <w:rPr>
          <w:spacing w:val="-1"/>
          <w:sz w:val="24"/>
          <w:szCs w:val="24"/>
        </w:rPr>
        <w:t>应接受甲方的监督检查。</w:t>
      </w:r>
    </w:p>
    <w:p w14:paraId="16395098">
      <w:pPr>
        <w:pStyle w:val="9"/>
        <w:spacing w:before="183" w:line="220" w:lineRule="auto"/>
        <w:ind w:left="463"/>
        <w:jc w:val="both"/>
        <w:outlineLvl w:val="2"/>
        <w:rPr>
          <w:sz w:val="24"/>
          <w:szCs w:val="24"/>
        </w:rPr>
      </w:pPr>
      <w:r>
        <w:rPr>
          <w:b/>
          <w:bCs/>
          <w:spacing w:val="-4"/>
          <w:sz w:val="24"/>
          <w:szCs w:val="24"/>
        </w:rPr>
        <w:t>2.8</w:t>
      </w:r>
      <w:r>
        <w:rPr>
          <w:spacing w:val="-4"/>
          <w:sz w:val="24"/>
          <w:szCs w:val="24"/>
        </w:rPr>
        <w:t xml:space="preserve"> </w:t>
      </w:r>
      <w:r>
        <w:rPr>
          <w:b/>
          <w:bCs/>
          <w:spacing w:val="-4"/>
          <w:sz w:val="24"/>
          <w:szCs w:val="24"/>
        </w:rPr>
        <w:t>延迟履行</w:t>
      </w:r>
    </w:p>
    <w:p w14:paraId="2783204E">
      <w:pPr>
        <w:pStyle w:val="9"/>
        <w:spacing w:before="182" w:line="360" w:lineRule="auto"/>
        <w:ind w:left="23" w:firstLine="433"/>
        <w:jc w:val="both"/>
        <w:rPr>
          <w:sz w:val="24"/>
          <w:szCs w:val="24"/>
        </w:rPr>
      </w:pPr>
      <w:r>
        <w:rPr>
          <w:spacing w:val="-2"/>
          <w:sz w:val="24"/>
          <w:szCs w:val="24"/>
        </w:rPr>
        <w:t>在合同履行过程中，如果乙方遇到不能按时提供</w:t>
      </w:r>
      <w:r>
        <w:rPr>
          <w:rFonts w:hint="eastAsia"/>
          <w:spacing w:val="-2"/>
          <w:sz w:val="24"/>
          <w:szCs w:val="24"/>
          <w:lang w:val="en-US" w:eastAsia="zh-CN"/>
        </w:rPr>
        <w:t>货物</w:t>
      </w:r>
      <w:r>
        <w:rPr>
          <w:spacing w:val="-2"/>
          <w:sz w:val="24"/>
          <w:szCs w:val="24"/>
        </w:rPr>
        <w:t>的情况，应及时以书面</w:t>
      </w:r>
      <w:r>
        <w:rPr>
          <w:spacing w:val="-8"/>
          <w:sz w:val="24"/>
          <w:szCs w:val="24"/>
        </w:rPr>
        <w:t>形式将不能按时提供服务的理由、预期延误时间通知甲方；甲方收到乙方通知后，</w:t>
      </w:r>
      <w:r>
        <w:rPr>
          <w:sz w:val="24"/>
          <w:szCs w:val="24"/>
        </w:rPr>
        <w:t>认为其理由正当的，可以书面形式酌情同意乙方可</w:t>
      </w:r>
      <w:r>
        <w:rPr>
          <w:spacing w:val="-1"/>
          <w:sz w:val="24"/>
          <w:szCs w:val="24"/>
        </w:rPr>
        <w:t>以延长履行的具体时间。</w:t>
      </w:r>
    </w:p>
    <w:p w14:paraId="02BCA11A">
      <w:pPr>
        <w:pStyle w:val="9"/>
        <w:spacing w:before="1" w:line="220" w:lineRule="auto"/>
        <w:ind w:left="463"/>
        <w:jc w:val="both"/>
        <w:outlineLvl w:val="2"/>
        <w:rPr>
          <w:sz w:val="24"/>
          <w:szCs w:val="24"/>
        </w:rPr>
      </w:pPr>
      <w:r>
        <w:rPr>
          <w:b/>
          <w:bCs/>
          <w:spacing w:val="-4"/>
          <w:sz w:val="24"/>
          <w:szCs w:val="24"/>
        </w:rPr>
        <w:t>2.9</w:t>
      </w:r>
      <w:r>
        <w:rPr>
          <w:spacing w:val="-4"/>
          <w:sz w:val="24"/>
          <w:szCs w:val="24"/>
        </w:rPr>
        <w:t xml:space="preserve"> </w:t>
      </w:r>
      <w:r>
        <w:rPr>
          <w:b/>
          <w:bCs/>
          <w:spacing w:val="-4"/>
          <w:sz w:val="24"/>
          <w:szCs w:val="24"/>
        </w:rPr>
        <w:t>合同变更</w:t>
      </w:r>
    </w:p>
    <w:p w14:paraId="1BB1C662">
      <w:pPr>
        <w:pStyle w:val="9"/>
        <w:spacing w:before="181" w:line="360" w:lineRule="auto"/>
        <w:ind w:right="63" w:firstLine="480" w:firstLineChars="200"/>
        <w:jc w:val="both"/>
        <w:rPr>
          <w:sz w:val="24"/>
          <w:szCs w:val="24"/>
        </w:rPr>
      </w:pPr>
      <w:r>
        <w:rPr>
          <w:sz w:val="24"/>
          <w:szCs w:val="24"/>
        </w:rPr>
        <w:t>2.9.1</w:t>
      </w:r>
      <w:r>
        <w:rPr>
          <w:spacing w:val="-50"/>
          <w:sz w:val="24"/>
          <w:szCs w:val="24"/>
        </w:rPr>
        <w:t xml:space="preserve"> </w:t>
      </w:r>
      <w:r>
        <w:rPr>
          <w:sz w:val="24"/>
          <w:szCs w:val="24"/>
        </w:rPr>
        <w:t>双方当事人协商一致，可以签订书面</w:t>
      </w:r>
      <w:r>
        <w:rPr>
          <w:spacing w:val="-1"/>
          <w:sz w:val="24"/>
          <w:szCs w:val="24"/>
        </w:rPr>
        <w:t>补充合同的形式变更合同，但不得违背采购文件确定的事项；</w:t>
      </w:r>
    </w:p>
    <w:p w14:paraId="1A00BA3B">
      <w:pPr>
        <w:pStyle w:val="9"/>
        <w:spacing w:before="78" w:line="360" w:lineRule="auto"/>
        <w:ind w:firstLine="480" w:firstLineChars="200"/>
        <w:jc w:val="both"/>
        <w:rPr>
          <w:sz w:val="24"/>
          <w:szCs w:val="24"/>
        </w:rPr>
      </w:pPr>
      <w:r>
        <w:rPr>
          <w:sz w:val="24"/>
          <w:szCs w:val="24"/>
        </w:rPr>
        <w:t>2.9.2</w:t>
      </w:r>
      <w:r>
        <w:rPr>
          <w:spacing w:val="-50"/>
          <w:sz w:val="24"/>
          <w:szCs w:val="24"/>
        </w:rPr>
        <w:t xml:space="preserve"> </w:t>
      </w:r>
      <w:r>
        <w:rPr>
          <w:sz w:val="24"/>
          <w:szCs w:val="24"/>
        </w:rPr>
        <w:t>合同继续履行将损害国家利益和社会</w:t>
      </w:r>
      <w:r>
        <w:rPr>
          <w:spacing w:val="-1"/>
          <w:sz w:val="24"/>
          <w:szCs w:val="24"/>
        </w:rPr>
        <w:t>公共利益的，双方当事人应当以</w:t>
      </w:r>
      <w:r>
        <w:rPr>
          <w:spacing w:val="-2"/>
          <w:sz w:val="24"/>
          <w:szCs w:val="24"/>
        </w:rPr>
        <w:t>书面形式变更合同。有过错的一方应当承担赔偿责任，双方当事人都有</w:t>
      </w:r>
      <w:r>
        <w:rPr>
          <w:spacing w:val="-3"/>
          <w:sz w:val="24"/>
          <w:szCs w:val="24"/>
        </w:rPr>
        <w:t>过错的，</w:t>
      </w:r>
      <w:r>
        <w:rPr>
          <w:spacing w:val="-2"/>
          <w:sz w:val="24"/>
          <w:szCs w:val="24"/>
        </w:rPr>
        <w:t>各自承担相应的责任。</w:t>
      </w:r>
    </w:p>
    <w:p w14:paraId="03DBD86C">
      <w:pPr>
        <w:pStyle w:val="9"/>
        <w:spacing w:line="220" w:lineRule="auto"/>
        <w:ind w:left="463"/>
        <w:jc w:val="both"/>
        <w:outlineLvl w:val="2"/>
        <w:rPr>
          <w:sz w:val="24"/>
          <w:szCs w:val="24"/>
          <w:highlight w:val="none"/>
        </w:rPr>
      </w:pPr>
      <w:r>
        <w:rPr>
          <w:b/>
          <w:bCs/>
          <w:spacing w:val="-3"/>
          <w:sz w:val="24"/>
          <w:szCs w:val="24"/>
          <w:highlight w:val="none"/>
        </w:rPr>
        <w:t>2.10</w:t>
      </w:r>
      <w:r>
        <w:rPr>
          <w:spacing w:val="-3"/>
          <w:sz w:val="24"/>
          <w:szCs w:val="24"/>
          <w:highlight w:val="none"/>
        </w:rPr>
        <w:t xml:space="preserve"> </w:t>
      </w:r>
      <w:r>
        <w:rPr>
          <w:b/>
          <w:bCs/>
          <w:spacing w:val="-3"/>
          <w:sz w:val="24"/>
          <w:szCs w:val="24"/>
          <w:highlight w:val="none"/>
        </w:rPr>
        <w:t>合同转让和分包</w:t>
      </w:r>
    </w:p>
    <w:p w14:paraId="5696B8EA">
      <w:pPr>
        <w:pStyle w:val="9"/>
        <w:spacing w:before="181" w:line="360" w:lineRule="auto"/>
        <w:ind w:left="25" w:right="35" w:firstLine="433"/>
        <w:jc w:val="both"/>
        <w:rPr>
          <w:sz w:val="24"/>
          <w:szCs w:val="24"/>
          <w:highlight w:val="none"/>
        </w:rPr>
      </w:pPr>
      <w:r>
        <w:rPr>
          <w:spacing w:val="-2"/>
          <w:sz w:val="24"/>
          <w:szCs w:val="24"/>
          <w:highlight w:val="none"/>
        </w:rPr>
        <w:t>合同的权利义务依法不得转让，</w:t>
      </w:r>
      <w:r>
        <w:rPr>
          <w:rFonts w:hint="eastAsia"/>
          <w:spacing w:val="-2"/>
          <w:sz w:val="24"/>
          <w:szCs w:val="24"/>
          <w:highlight w:val="none"/>
        </w:rPr>
        <w:t>本项目不允许分包。</w:t>
      </w:r>
    </w:p>
    <w:p w14:paraId="7850369F">
      <w:pPr>
        <w:pStyle w:val="9"/>
        <w:spacing w:line="219" w:lineRule="auto"/>
        <w:ind w:left="463"/>
        <w:jc w:val="both"/>
        <w:outlineLvl w:val="2"/>
        <w:rPr>
          <w:sz w:val="24"/>
          <w:szCs w:val="24"/>
        </w:rPr>
      </w:pPr>
      <w:r>
        <w:rPr>
          <w:b/>
          <w:bCs/>
          <w:spacing w:val="-5"/>
          <w:sz w:val="24"/>
          <w:szCs w:val="24"/>
        </w:rPr>
        <w:t>2.11</w:t>
      </w:r>
      <w:r>
        <w:rPr>
          <w:spacing w:val="13"/>
          <w:sz w:val="24"/>
          <w:szCs w:val="24"/>
        </w:rPr>
        <w:t xml:space="preserve"> </w:t>
      </w:r>
      <w:r>
        <w:rPr>
          <w:b/>
          <w:bCs/>
          <w:spacing w:val="-5"/>
          <w:sz w:val="24"/>
          <w:szCs w:val="24"/>
        </w:rPr>
        <w:t>不可抗力</w:t>
      </w:r>
    </w:p>
    <w:p w14:paraId="5ED126B9">
      <w:pPr>
        <w:pStyle w:val="9"/>
        <w:spacing w:before="181" w:line="290" w:lineRule="auto"/>
        <w:ind w:left="24" w:right="35" w:firstLine="436"/>
        <w:jc w:val="both"/>
        <w:rPr>
          <w:sz w:val="24"/>
          <w:szCs w:val="24"/>
        </w:rPr>
      </w:pPr>
      <w:r>
        <w:rPr>
          <w:spacing w:val="-4"/>
          <w:sz w:val="24"/>
          <w:szCs w:val="24"/>
        </w:rPr>
        <w:t>2.11.1</w:t>
      </w:r>
      <w:r>
        <w:rPr>
          <w:spacing w:val="-38"/>
          <w:sz w:val="24"/>
          <w:szCs w:val="24"/>
        </w:rPr>
        <w:t xml:space="preserve"> </w:t>
      </w:r>
      <w:r>
        <w:rPr>
          <w:spacing w:val="-4"/>
          <w:sz w:val="24"/>
          <w:szCs w:val="24"/>
        </w:rPr>
        <w:t>如果任何一方遭遇法律规定的不可抗力，致使合同履行受阻时，履行</w:t>
      </w:r>
      <w:r>
        <w:rPr>
          <w:spacing w:val="-1"/>
          <w:sz w:val="24"/>
          <w:szCs w:val="24"/>
        </w:rPr>
        <w:t>合同的期限应予延长，延长的期限应相当于不可抗力所影响的时间；</w:t>
      </w:r>
    </w:p>
    <w:p w14:paraId="7A7EE8C1">
      <w:pPr>
        <w:pStyle w:val="9"/>
        <w:spacing w:before="183" w:line="219" w:lineRule="auto"/>
        <w:ind w:left="460"/>
        <w:jc w:val="both"/>
        <w:rPr>
          <w:sz w:val="24"/>
          <w:szCs w:val="24"/>
        </w:rPr>
      </w:pPr>
      <w:r>
        <w:rPr>
          <w:spacing w:val="-1"/>
          <w:sz w:val="24"/>
          <w:szCs w:val="24"/>
        </w:rPr>
        <w:t>2.11.2</w:t>
      </w:r>
      <w:r>
        <w:rPr>
          <w:spacing w:val="-32"/>
          <w:sz w:val="24"/>
          <w:szCs w:val="24"/>
        </w:rPr>
        <w:t xml:space="preserve"> </w:t>
      </w:r>
      <w:r>
        <w:rPr>
          <w:spacing w:val="-1"/>
          <w:sz w:val="24"/>
          <w:szCs w:val="24"/>
        </w:rPr>
        <w:t>因不可抗力致使不能实现合同目的的，当</w:t>
      </w:r>
      <w:r>
        <w:rPr>
          <w:spacing w:val="-2"/>
          <w:sz w:val="24"/>
          <w:szCs w:val="24"/>
        </w:rPr>
        <w:t>事人可以解除合同；</w:t>
      </w:r>
    </w:p>
    <w:p w14:paraId="5512FF4D">
      <w:pPr>
        <w:pStyle w:val="9"/>
        <w:spacing w:before="184" w:line="283" w:lineRule="auto"/>
        <w:ind w:left="29" w:right="35" w:firstLine="431"/>
        <w:jc w:val="both"/>
        <w:rPr>
          <w:sz w:val="24"/>
          <w:szCs w:val="24"/>
        </w:rPr>
      </w:pPr>
      <w:r>
        <w:rPr>
          <w:spacing w:val="-6"/>
          <w:sz w:val="24"/>
          <w:szCs w:val="24"/>
        </w:rPr>
        <w:t>2.11.3</w:t>
      </w:r>
      <w:r>
        <w:rPr>
          <w:spacing w:val="-32"/>
          <w:sz w:val="24"/>
          <w:szCs w:val="24"/>
        </w:rPr>
        <w:t xml:space="preserve"> </w:t>
      </w:r>
      <w:r>
        <w:rPr>
          <w:spacing w:val="-6"/>
          <w:sz w:val="24"/>
          <w:szCs w:val="24"/>
        </w:rPr>
        <w:t>因不可抗力致使合同有变更必要的，双方当事</w:t>
      </w:r>
      <w:r>
        <w:rPr>
          <w:spacing w:val="-7"/>
          <w:sz w:val="24"/>
          <w:szCs w:val="24"/>
        </w:rPr>
        <w:t>人应在</w:t>
      </w:r>
      <w:r>
        <w:rPr>
          <w:b/>
          <w:bCs/>
          <w:i/>
          <w:iCs/>
          <w:spacing w:val="-7"/>
          <w:sz w:val="25"/>
          <w:szCs w:val="25"/>
          <w:u w:val="single" w:color="auto"/>
        </w:rPr>
        <w:t>合同专用条款</w:t>
      </w:r>
      <w:r>
        <w:rPr>
          <w:spacing w:val="-7"/>
          <w:sz w:val="24"/>
          <w:szCs w:val="24"/>
        </w:rPr>
        <w:t>约</w:t>
      </w:r>
      <w:r>
        <w:rPr>
          <w:spacing w:val="-2"/>
          <w:sz w:val="24"/>
          <w:szCs w:val="24"/>
        </w:rPr>
        <w:t>定时间内以书面形式变更合同；</w:t>
      </w:r>
    </w:p>
    <w:p w14:paraId="66249399">
      <w:pPr>
        <w:pStyle w:val="9"/>
        <w:spacing w:before="183" w:line="305" w:lineRule="auto"/>
        <w:ind w:left="28" w:right="35" w:firstLine="432"/>
        <w:jc w:val="both"/>
        <w:rPr>
          <w:sz w:val="24"/>
          <w:szCs w:val="24"/>
        </w:rPr>
      </w:pPr>
      <w:r>
        <w:rPr>
          <w:spacing w:val="-6"/>
          <w:sz w:val="24"/>
          <w:szCs w:val="24"/>
        </w:rPr>
        <w:t>2.11.4</w:t>
      </w:r>
      <w:r>
        <w:rPr>
          <w:spacing w:val="-42"/>
          <w:sz w:val="24"/>
          <w:szCs w:val="24"/>
        </w:rPr>
        <w:t xml:space="preserve"> </w:t>
      </w:r>
      <w:r>
        <w:rPr>
          <w:spacing w:val="-6"/>
          <w:sz w:val="24"/>
          <w:szCs w:val="24"/>
        </w:rPr>
        <w:t>受不可抗力影响的一方在不可抗力发生后，应在</w:t>
      </w:r>
      <w:r>
        <w:rPr>
          <w:b/>
          <w:bCs/>
          <w:i/>
          <w:iCs/>
          <w:spacing w:val="-6"/>
          <w:sz w:val="25"/>
          <w:szCs w:val="25"/>
          <w:u w:val="single" w:color="auto"/>
        </w:rPr>
        <w:t>合同专用条款</w:t>
      </w:r>
      <w:r>
        <w:rPr>
          <w:spacing w:val="-6"/>
          <w:sz w:val="24"/>
          <w:szCs w:val="24"/>
        </w:rPr>
        <w:t>约定时</w:t>
      </w:r>
      <w:r>
        <w:rPr>
          <w:spacing w:val="-5"/>
          <w:sz w:val="24"/>
          <w:szCs w:val="24"/>
        </w:rPr>
        <w:t>间内以书面形式通知对方当事人，并在</w:t>
      </w:r>
      <w:r>
        <w:rPr>
          <w:b/>
          <w:bCs/>
          <w:i/>
          <w:iCs/>
          <w:spacing w:val="-5"/>
          <w:sz w:val="25"/>
          <w:szCs w:val="25"/>
          <w:u w:val="single" w:color="auto"/>
        </w:rPr>
        <w:t>合同专用条款</w:t>
      </w:r>
      <w:r>
        <w:rPr>
          <w:spacing w:val="-5"/>
          <w:sz w:val="24"/>
          <w:szCs w:val="24"/>
        </w:rPr>
        <w:t>约定</w:t>
      </w:r>
      <w:r>
        <w:rPr>
          <w:spacing w:val="-6"/>
          <w:sz w:val="24"/>
          <w:szCs w:val="24"/>
        </w:rPr>
        <w:t>时间内，将有关部门出</w:t>
      </w:r>
      <w:r>
        <w:rPr>
          <w:spacing w:val="-2"/>
          <w:sz w:val="24"/>
          <w:szCs w:val="24"/>
        </w:rPr>
        <w:t>具的证明文件送达对方当事人。</w:t>
      </w:r>
    </w:p>
    <w:p w14:paraId="00AA034D">
      <w:pPr>
        <w:pStyle w:val="9"/>
        <w:spacing w:before="183" w:line="220" w:lineRule="auto"/>
        <w:ind w:left="463"/>
        <w:jc w:val="both"/>
        <w:outlineLvl w:val="2"/>
        <w:rPr>
          <w:sz w:val="24"/>
          <w:szCs w:val="24"/>
        </w:rPr>
      </w:pPr>
      <w:r>
        <w:rPr>
          <w:b/>
          <w:bCs/>
          <w:spacing w:val="-6"/>
          <w:sz w:val="24"/>
          <w:szCs w:val="24"/>
        </w:rPr>
        <w:t>2.12</w:t>
      </w:r>
      <w:r>
        <w:rPr>
          <w:spacing w:val="12"/>
          <w:sz w:val="24"/>
          <w:szCs w:val="24"/>
        </w:rPr>
        <w:t xml:space="preserve"> </w:t>
      </w:r>
      <w:r>
        <w:rPr>
          <w:b/>
          <w:bCs/>
          <w:spacing w:val="-6"/>
          <w:sz w:val="24"/>
          <w:szCs w:val="24"/>
        </w:rPr>
        <w:t>税费</w:t>
      </w:r>
    </w:p>
    <w:p w14:paraId="0BFFD07E">
      <w:pPr>
        <w:pStyle w:val="9"/>
        <w:spacing w:before="182" w:line="219" w:lineRule="auto"/>
        <w:ind w:left="462"/>
        <w:jc w:val="both"/>
        <w:rPr>
          <w:sz w:val="24"/>
          <w:szCs w:val="24"/>
        </w:rPr>
      </w:pPr>
      <w:r>
        <w:rPr>
          <w:spacing w:val="-1"/>
          <w:sz w:val="24"/>
          <w:szCs w:val="24"/>
        </w:rPr>
        <w:t>与合同有关的一切税费，均按照中华人民共和国法律的相关规定缴纳。</w:t>
      </w:r>
    </w:p>
    <w:p w14:paraId="7420B7F8">
      <w:pPr>
        <w:pStyle w:val="9"/>
        <w:spacing w:before="183" w:line="219" w:lineRule="auto"/>
        <w:ind w:left="463"/>
        <w:jc w:val="both"/>
        <w:outlineLvl w:val="2"/>
        <w:rPr>
          <w:sz w:val="24"/>
          <w:szCs w:val="24"/>
        </w:rPr>
      </w:pPr>
      <w:r>
        <w:rPr>
          <w:b/>
          <w:bCs/>
          <w:spacing w:val="-8"/>
          <w:sz w:val="24"/>
          <w:szCs w:val="24"/>
        </w:rPr>
        <w:t>2.13</w:t>
      </w:r>
      <w:r>
        <w:rPr>
          <w:spacing w:val="37"/>
          <w:sz w:val="24"/>
          <w:szCs w:val="24"/>
        </w:rPr>
        <w:t xml:space="preserve"> </w:t>
      </w:r>
      <w:r>
        <w:rPr>
          <w:b/>
          <w:bCs/>
          <w:spacing w:val="-8"/>
          <w:sz w:val="24"/>
          <w:szCs w:val="24"/>
        </w:rPr>
        <w:t>乙方破产</w:t>
      </w:r>
    </w:p>
    <w:p w14:paraId="410FC492">
      <w:pPr>
        <w:pStyle w:val="9"/>
        <w:spacing w:before="183" w:line="360" w:lineRule="auto"/>
        <w:ind w:left="22" w:right="35" w:firstLine="439"/>
        <w:jc w:val="both"/>
        <w:rPr>
          <w:sz w:val="24"/>
          <w:szCs w:val="24"/>
        </w:rPr>
      </w:pPr>
      <w:r>
        <w:rPr>
          <w:spacing w:val="-2"/>
          <w:sz w:val="24"/>
          <w:szCs w:val="24"/>
        </w:rPr>
        <w:t>如果乙方破产导致合同无法履行时，甲方可以书面形式通知乙方终止合同且</w:t>
      </w:r>
      <w:r>
        <w:rPr>
          <w:spacing w:val="-3"/>
          <w:sz w:val="24"/>
          <w:szCs w:val="24"/>
        </w:rPr>
        <w:t>不给予乙方任何补偿和赔偿，但合同的终止不损害或不影响甲方已经采取或将要</w:t>
      </w:r>
      <w:r>
        <w:rPr>
          <w:sz w:val="24"/>
          <w:szCs w:val="24"/>
        </w:rPr>
        <w:t>采取的任何要求乙方支付违约金、赔偿损失等的行</w:t>
      </w:r>
      <w:r>
        <w:rPr>
          <w:spacing w:val="-1"/>
          <w:sz w:val="24"/>
          <w:szCs w:val="24"/>
        </w:rPr>
        <w:t>动或补救措施的权利。</w:t>
      </w:r>
    </w:p>
    <w:p w14:paraId="05B070E1">
      <w:pPr>
        <w:pStyle w:val="9"/>
        <w:spacing w:line="220" w:lineRule="auto"/>
        <w:ind w:left="463"/>
        <w:jc w:val="both"/>
        <w:outlineLvl w:val="2"/>
        <w:rPr>
          <w:sz w:val="24"/>
          <w:szCs w:val="24"/>
        </w:rPr>
      </w:pPr>
      <w:r>
        <w:rPr>
          <w:b/>
          <w:bCs/>
          <w:spacing w:val="-3"/>
          <w:sz w:val="24"/>
          <w:szCs w:val="24"/>
        </w:rPr>
        <w:t>2.14</w:t>
      </w:r>
      <w:r>
        <w:rPr>
          <w:spacing w:val="-3"/>
          <w:sz w:val="24"/>
          <w:szCs w:val="24"/>
        </w:rPr>
        <w:t xml:space="preserve"> </w:t>
      </w:r>
      <w:r>
        <w:rPr>
          <w:b/>
          <w:bCs/>
          <w:spacing w:val="-3"/>
          <w:sz w:val="24"/>
          <w:szCs w:val="24"/>
        </w:rPr>
        <w:t>合同中止、终止</w:t>
      </w:r>
    </w:p>
    <w:p w14:paraId="40D53A6A">
      <w:pPr>
        <w:pStyle w:val="9"/>
        <w:spacing w:before="183" w:line="219" w:lineRule="auto"/>
        <w:ind w:left="460"/>
        <w:jc w:val="both"/>
        <w:rPr>
          <w:sz w:val="24"/>
          <w:szCs w:val="24"/>
        </w:rPr>
      </w:pPr>
      <w:r>
        <w:rPr>
          <w:spacing w:val="-1"/>
          <w:sz w:val="24"/>
          <w:szCs w:val="24"/>
        </w:rPr>
        <w:t>2.14.1</w:t>
      </w:r>
      <w:r>
        <w:rPr>
          <w:spacing w:val="-50"/>
          <w:sz w:val="24"/>
          <w:szCs w:val="24"/>
        </w:rPr>
        <w:t xml:space="preserve"> </w:t>
      </w:r>
      <w:r>
        <w:rPr>
          <w:spacing w:val="-1"/>
          <w:sz w:val="24"/>
          <w:szCs w:val="24"/>
        </w:rPr>
        <w:t>双方当事人不得擅自中止或者终止合同；</w:t>
      </w:r>
    </w:p>
    <w:p w14:paraId="3D4F93E8">
      <w:pPr>
        <w:pStyle w:val="9"/>
        <w:spacing w:before="183" w:line="360" w:lineRule="auto"/>
        <w:ind w:left="24" w:right="35" w:firstLine="436"/>
        <w:jc w:val="both"/>
        <w:rPr>
          <w:sz w:val="24"/>
          <w:szCs w:val="24"/>
        </w:rPr>
      </w:pPr>
      <w:r>
        <w:rPr>
          <w:spacing w:val="-4"/>
          <w:sz w:val="24"/>
          <w:szCs w:val="24"/>
        </w:rPr>
        <w:t>2.14.2</w:t>
      </w:r>
      <w:r>
        <w:rPr>
          <w:spacing w:val="-38"/>
          <w:sz w:val="24"/>
          <w:szCs w:val="24"/>
        </w:rPr>
        <w:t xml:space="preserve"> </w:t>
      </w:r>
      <w:r>
        <w:rPr>
          <w:spacing w:val="-4"/>
          <w:sz w:val="24"/>
          <w:szCs w:val="24"/>
        </w:rPr>
        <w:t>合同继续履行将损害国家利益和社会公共利益的，双方当事人应当中</w:t>
      </w:r>
      <w:r>
        <w:rPr>
          <w:spacing w:val="-3"/>
          <w:sz w:val="24"/>
          <w:szCs w:val="24"/>
        </w:rPr>
        <w:t>止或者终止合同。有过错的一方应当承担赔偿责任，双方当事人都有过错的，各</w:t>
      </w:r>
      <w:r>
        <w:rPr>
          <w:spacing w:val="-2"/>
          <w:sz w:val="24"/>
          <w:szCs w:val="24"/>
        </w:rPr>
        <w:t>自承担相应的责任。</w:t>
      </w:r>
    </w:p>
    <w:p w14:paraId="2F5C79EC">
      <w:pPr>
        <w:pStyle w:val="9"/>
        <w:keepNext w:val="0"/>
        <w:keepLines w:val="0"/>
        <w:pageBreakBefore w:val="0"/>
        <w:widowControl/>
        <w:kinsoku w:val="0"/>
        <w:wordWrap/>
        <w:overflowPunct/>
        <w:topLinePunct w:val="0"/>
        <w:autoSpaceDE w:val="0"/>
        <w:autoSpaceDN w:val="0"/>
        <w:bidi w:val="0"/>
        <w:adjustRightInd w:val="0"/>
        <w:snapToGrid w:val="0"/>
        <w:spacing w:after="0" w:afterLines="50" w:line="219" w:lineRule="auto"/>
        <w:ind w:left="465"/>
        <w:jc w:val="both"/>
        <w:textAlignment w:val="baseline"/>
        <w:outlineLvl w:val="2"/>
        <w:rPr>
          <w:sz w:val="24"/>
          <w:szCs w:val="24"/>
        </w:rPr>
      </w:pPr>
      <w:r>
        <w:rPr>
          <w:b/>
          <w:bCs/>
          <w:spacing w:val="-3"/>
          <w:sz w:val="24"/>
          <w:szCs w:val="24"/>
        </w:rPr>
        <w:t>2.15</w:t>
      </w:r>
      <w:r>
        <w:rPr>
          <w:spacing w:val="-3"/>
          <w:sz w:val="24"/>
          <w:szCs w:val="24"/>
        </w:rPr>
        <w:t xml:space="preserve"> </w:t>
      </w:r>
      <w:r>
        <w:rPr>
          <w:b/>
          <w:bCs/>
          <w:spacing w:val="-3"/>
          <w:sz w:val="24"/>
          <w:szCs w:val="24"/>
        </w:rPr>
        <w:t>检验和验收</w:t>
      </w:r>
    </w:p>
    <w:p w14:paraId="4A70DEFA">
      <w:pPr>
        <w:pStyle w:val="9"/>
        <w:spacing w:before="82" w:line="212" w:lineRule="auto"/>
        <w:ind w:firstLine="452" w:firstLineChars="200"/>
        <w:jc w:val="both"/>
        <w:rPr>
          <w:sz w:val="24"/>
          <w:szCs w:val="24"/>
        </w:rPr>
      </w:pPr>
      <w:r>
        <w:rPr>
          <w:spacing w:val="-7"/>
          <w:sz w:val="24"/>
          <w:szCs w:val="24"/>
        </w:rPr>
        <w:t>2.15.1</w:t>
      </w:r>
      <w:r>
        <w:rPr>
          <w:spacing w:val="-14"/>
          <w:sz w:val="24"/>
          <w:szCs w:val="24"/>
        </w:rPr>
        <w:t xml:space="preserve"> </w:t>
      </w:r>
      <w:r>
        <w:rPr>
          <w:spacing w:val="-7"/>
          <w:sz w:val="24"/>
          <w:szCs w:val="24"/>
        </w:rPr>
        <w:t>乙方按照</w:t>
      </w:r>
      <w:r>
        <w:rPr>
          <w:b/>
          <w:bCs/>
          <w:i/>
          <w:iCs/>
          <w:spacing w:val="-7"/>
          <w:sz w:val="25"/>
          <w:szCs w:val="25"/>
          <w:u w:val="single" w:color="auto"/>
        </w:rPr>
        <w:t>合同专用条款</w:t>
      </w:r>
      <w:r>
        <w:rPr>
          <w:spacing w:val="-7"/>
          <w:sz w:val="24"/>
          <w:szCs w:val="24"/>
        </w:rPr>
        <w:t>的约定，定期提交</w:t>
      </w:r>
      <w:r>
        <w:rPr>
          <w:rFonts w:hint="eastAsia"/>
          <w:spacing w:val="-7"/>
          <w:sz w:val="24"/>
          <w:szCs w:val="24"/>
          <w:lang w:val="en-US" w:eastAsia="zh-CN"/>
        </w:rPr>
        <w:t>货物</w:t>
      </w:r>
      <w:r>
        <w:rPr>
          <w:spacing w:val="-7"/>
          <w:sz w:val="24"/>
          <w:szCs w:val="24"/>
        </w:rPr>
        <w:t>报告，甲方按照</w:t>
      </w:r>
      <w:r>
        <w:rPr>
          <w:b/>
          <w:bCs/>
          <w:i/>
          <w:iCs/>
          <w:spacing w:val="-7"/>
          <w:sz w:val="25"/>
          <w:szCs w:val="25"/>
          <w:u w:val="single" w:color="auto"/>
        </w:rPr>
        <w:t>合同专</w:t>
      </w:r>
      <w:r>
        <w:rPr>
          <w:b/>
          <w:bCs/>
          <w:i/>
          <w:iCs/>
          <w:spacing w:val="-6"/>
          <w:sz w:val="25"/>
          <w:szCs w:val="25"/>
          <w:u w:val="single" w:color="auto"/>
        </w:rPr>
        <w:t>用条款</w:t>
      </w:r>
      <w:r>
        <w:rPr>
          <w:spacing w:val="-6"/>
          <w:sz w:val="24"/>
          <w:szCs w:val="24"/>
        </w:rPr>
        <w:t>的约定进行定期验收；</w:t>
      </w:r>
    </w:p>
    <w:p w14:paraId="0C392387">
      <w:pPr>
        <w:pStyle w:val="9"/>
        <w:keepNext w:val="0"/>
        <w:keepLines w:val="0"/>
        <w:pageBreakBefore w:val="0"/>
        <w:widowControl/>
        <w:kinsoku w:val="0"/>
        <w:wordWrap/>
        <w:overflowPunct/>
        <w:topLinePunct w:val="0"/>
        <w:autoSpaceDE w:val="0"/>
        <w:autoSpaceDN w:val="0"/>
        <w:bidi w:val="0"/>
        <w:adjustRightInd w:val="0"/>
        <w:snapToGrid w:val="0"/>
        <w:spacing w:before="183" w:line="324" w:lineRule="auto"/>
        <w:ind w:left="23" w:right="28" w:firstLine="437"/>
        <w:jc w:val="both"/>
        <w:textAlignment w:val="baseline"/>
        <w:rPr>
          <w:sz w:val="24"/>
          <w:szCs w:val="24"/>
        </w:rPr>
      </w:pPr>
      <w:r>
        <w:rPr>
          <w:spacing w:val="-4"/>
          <w:sz w:val="24"/>
          <w:szCs w:val="24"/>
        </w:rPr>
        <w:t>2.15.2</w:t>
      </w:r>
      <w:r>
        <w:rPr>
          <w:spacing w:val="-38"/>
          <w:sz w:val="24"/>
          <w:szCs w:val="24"/>
        </w:rPr>
        <w:t xml:space="preserve"> </w:t>
      </w:r>
      <w:r>
        <w:rPr>
          <w:spacing w:val="-4"/>
          <w:sz w:val="24"/>
          <w:szCs w:val="24"/>
        </w:rPr>
        <w:t>合同期满或者履行完毕后，甲方有权组织（包括依法邀请国家认可的</w:t>
      </w:r>
      <w:r>
        <w:rPr>
          <w:spacing w:val="-3"/>
          <w:sz w:val="24"/>
          <w:szCs w:val="24"/>
        </w:rPr>
        <w:t>质量检测机构参加）对乙方履约的验收，即：按照合同约定的标准，组织对乙方履约情况的验收，并出具验收书；向社会公众提供的公共</w:t>
      </w:r>
      <w:r>
        <w:rPr>
          <w:rFonts w:hint="eastAsia"/>
          <w:spacing w:val="-3"/>
          <w:sz w:val="24"/>
          <w:szCs w:val="24"/>
          <w:lang w:val="en-US" w:eastAsia="zh-CN"/>
        </w:rPr>
        <w:t>货物</w:t>
      </w:r>
      <w:r>
        <w:rPr>
          <w:spacing w:val="-3"/>
          <w:sz w:val="24"/>
          <w:szCs w:val="24"/>
        </w:rPr>
        <w:t>项目，验收时应当</w:t>
      </w:r>
      <w:r>
        <w:rPr>
          <w:spacing w:val="-1"/>
          <w:sz w:val="24"/>
          <w:szCs w:val="24"/>
        </w:rPr>
        <w:t>邀请服务对象参与并出具意见，验收结果应当向社会公告；</w:t>
      </w:r>
    </w:p>
    <w:p w14:paraId="6C13721F">
      <w:pPr>
        <w:pStyle w:val="9"/>
        <w:keepNext w:val="0"/>
        <w:keepLines w:val="0"/>
        <w:pageBreakBefore w:val="0"/>
        <w:widowControl/>
        <w:kinsoku w:val="0"/>
        <w:wordWrap/>
        <w:overflowPunct/>
        <w:topLinePunct w:val="0"/>
        <w:autoSpaceDE w:val="0"/>
        <w:autoSpaceDN w:val="0"/>
        <w:bidi w:val="0"/>
        <w:adjustRightInd w:val="0"/>
        <w:snapToGrid w:val="0"/>
        <w:spacing w:line="279" w:lineRule="auto"/>
        <w:ind w:left="51" w:firstLine="408"/>
        <w:jc w:val="both"/>
        <w:textAlignment w:val="baseline"/>
        <w:rPr>
          <w:sz w:val="25"/>
          <w:szCs w:val="25"/>
        </w:rPr>
      </w:pPr>
      <w:r>
        <w:rPr>
          <w:spacing w:val="-4"/>
          <w:sz w:val="24"/>
          <w:szCs w:val="24"/>
        </w:rPr>
        <w:t>2.15.3</w:t>
      </w:r>
      <w:r>
        <w:rPr>
          <w:spacing w:val="-46"/>
          <w:sz w:val="24"/>
          <w:szCs w:val="24"/>
        </w:rPr>
        <w:t xml:space="preserve"> </w:t>
      </w:r>
      <w:r>
        <w:rPr>
          <w:spacing w:val="-4"/>
          <w:sz w:val="24"/>
          <w:szCs w:val="24"/>
        </w:rPr>
        <w:t>检验和验收标准、程序等具体内容以及前述验收书的效力详见</w:t>
      </w:r>
      <w:r>
        <w:rPr>
          <w:b/>
          <w:bCs/>
          <w:i/>
          <w:iCs/>
          <w:spacing w:val="-4"/>
          <w:sz w:val="25"/>
          <w:szCs w:val="25"/>
          <w:u w:val="single" w:color="auto"/>
        </w:rPr>
        <w:t>合同专</w:t>
      </w:r>
      <w:r>
        <w:rPr>
          <w:b/>
          <w:bCs/>
          <w:i/>
          <w:iCs/>
          <w:spacing w:val="-11"/>
          <w:sz w:val="25"/>
          <w:szCs w:val="25"/>
          <w:u w:val="single" w:color="auto"/>
        </w:rPr>
        <w:t>用条款</w:t>
      </w:r>
      <w:r>
        <w:rPr>
          <w:i/>
          <w:iCs/>
          <w:spacing w:val="-11"/>
          <w:sz w:val="25"/>
          <w:szCs w:val="25"/>
        </w:rPr>
        <w:t>。</w:t>
      </w:r>
    </w:p>
    <w:p w14:paraId="538D4621">
      <w:pPr>
        <w:pStyle w:val="9"/>
        <w:spacing w:before="181" w:line="219" w:lineRule="auto"/>
        <w:ind w:left="463"/>
        <w:jc w:val="both"/>
        <w:outlineLvl w:val="2"/>
        <w:rPr>
          <w:sz w:val="24"/>
          <w:szCs w:val="24"/>
        </w:rPr>
      </w:pPr>
      <w:r>
        <w:rPr>
          <w:b/>
          <w:bCs/>
          <w:spacing w:val="-3"/>
          <w:sz w:val="24"/>
          <w:szCs w:val="24"/>
        </w:rPr>
        <w:t>2.16</w:t>
      </w:r>
      <w:r>
        <w:rPr>
          <w:spacing w:val="-3"/>
          <w:sz w:val="24"/>
          <w:szCs w:val="24"/>
        </w:rPr>
        <w:t xml:space="preserve"> </w:t>
      </w:r>
      <w:r>
        <w:rPr>
          <w:b/>
          <w:bCs/>
          <w:spacing w:val="-3"/>
          <w:sz w:val="24"/>
          <w:szCs w:val="24"/>
        </w:rPr>
        <w:t>合同使用的文字和适用的法律</w:t>
      </w:r>
    </w:p>
    <w:p w14:paraId="17F80877">
      <w:pPr>
        <w:pStyle w:val="9"/>
        <w:spacing w:before="182" w:line="219" w:lineRule="auto"/>
        <w:ind w:left="460"/>
        <w:jc w:val="both"/>
        <w:rPr>
          <w:sz w:val="24"/>
          <w:szCs w:val="24"/>
        </w:rPr>
      </w:pPr>
      <w:r>
        <w:rPr>
          <w:spacing w:val="-2"/>
          <w:sz w:val="24"/>
          <w:szCs w:val="24"/>
        </w:rPr>
        <w:t>2.16.1</w:t>
      </w:r>
      <w:r>
        <w:rPr>
          <w:spacing w:val="-32"/>
          <w:sz w:val="24"/>
          <w:szCs w:val="24"/>
        </w:rPr>
        <w:t xml:space="preserve"> </w:t>
      </w:r>
      <w:r>
        <w:rPr>
          <w:spacing w:val="-2"/>
          <w:sz w:val="24"/>
          <w:szCs w:val="24"/>
        </w:rPr>
        <w:t>合同使用汉语</w:t>
      </w:r>
      <w:r>
        <w:rPr>
          <w:rFonts w:hint="eastAsia"/>
          <w:spacing w:val="-2"/>
          <w:sz w:val="24"/>
          <w:szCs w:val="24"/>
          <w:lang w:eastAsia="zh-CN"/>
        </w:rPr>
        <w:t>书写</w:t>
      </w:r>
      <w:r>
        <w:rPr>
          <w:spacing w:val="-2"/>
          <w:sz w:val="24"/>
          <w:szCs w:val="24"/>
        </w:rPr>
        <w:t>、变更和解释；</w:t>
      </w:r>
    </w:p>
    <w:p w14:paraId="72900F78">
      <w:pPr>
        <w:pStyle w:val="9"/>
        <w:spacing w:before="184" w:line="219" w:lineRule="auto"/>
        <w:ind w:left="460"/>
        <w:jc w:val="both"/>
        <w:rPr>
          <w:sz w:val="24"/>
          <w:szCs w:val="24"/>
        </w:rPr>
      </w:pPr>
      <w:r>
        <w:rPr>
          <w:spacing w:val="-2"/>
          <w:sz w:val="24"/>
          <w:szCs w:val="24"/>
        </w:rPr>
        <w:t>2.16.2</w:t>
      </w:r>
      <w:r>
        <w:rPr>
          <w:spacing w:val="-34"/>
          <w:sz w:val="24"/>
          <w:szCs w:val="24"/>
        </w:rPr>
        <w:t xml:space="preserve"> </w:t>
      </w:r>
      <w:r>
        <w:rPr>
          <w:spacing w:val="-2"/>
          <w:sz w:val="24"/>
          <w:szCs w:val="24"/>
        </w:rPr>
        <w:t>合同适用中华人民共和国法律。</w:t>
      </w:r>
    </w:p>
    <w:p w14:paraId="03BBC899">
      <w:pPr>
        <w:pStyle w:val="9"/>
        <w:keepNext w:val="0"/>
        <w:keepLines w:val="0"/>
        <w:pageBreakBefore w:val="0"/>
        <w:widowControl/>
        <w:kinsoku w:val="0"/>
        <w:wordWrap/>
        <w:overflowPunct/>
        <w:topLinePunct w:val="0"/>
        <w:autoSpaceDE w:val="0"/>
        <w:autoSpaceDN w:val="0"/>
        <w:bidi w:val="0"/>
        <w:adjustRightInd w:val="0"/>
        <w:snapToGrid w:val="0"/>
        <w:spacing w:before="0" w:beforeLines="50" w:beforeAutospacing="0" w:after="0" w:afterLines="50" w:afterAutospacing="0" w:line="221" w:lineRule="auto"/>
        <w:ind w:firstLine="470" w:firstLineChars="200"/>
        <w:jc w:val="both"/>
        <w:textAlignment w:val="baseline"/>
        <w:outlineLvl w:val="2"/>
        <w:rPr>
          <w:sz w:val="24"/>
          <w:szCs w:val="24"/>
        </w:rPr>
      </w:pPr>
      <w:r>
        <w:rPr>
          <w:b/>
          <w:bCs/>
          <w:spacing w:val="-3"/>
          <w:sz w:val="24"/>
          <w:szCs w:val="24"/>
        </w:rPr>
        <w:t>2.17</w:t>
      </w:r>
      <w:r>
        <w:rPr>
          <w:spacing w:val="-3"/>
          <w:sz w:val="24"/>
          <w:szCs w:val="24"/>
        </w:rPr>
        <w:t xml:space="preserve"> </w:t>
      </w:r>
      <w:r>
        <w:rPr>
          <w:b/>
          <w:bCs/>
          <w:spacing w:val="-3"/>
          <w:sz w:val="24"/>
          <w:szCs w:val="24"/>
        </w:rPr>
        <w:t>履约保证金</w:t>
      </w:r>
    </w:p>
    <w:p w14:paraId="53051CAF">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09" w:lineRule="auto"/>
        <w:ind w:left="24" w:right="28" w:firstLine="436"/>
        <w:jc w:val="both"/>
        <w:textAlignment w:val="baseline"/>
        <w:rPr>
          <w:sz w:val="24"/>
          <w:szCs w:val="24"/>
        </w:rPr>
      </w:pPr>
      <w:r>
        <w:rPr>
          <w:spacing w:val="-6"/>
          <w:sz w:val="24"/>
          <w:szCs w:val="24"/>
        </w:rPr>
        <w:t>2.17.1</w:t>
      </w:r>
      <w:r>
        <w:rPr>
          <w:spacing w:val="-42"/>
          <w:sz w:val="24"/>
          <w:szCs w:val="24"/>
        </w:rPr>
        <w:t xml:space="preserve"> </w:t>
      </w:r>
      <w:r>
        <w:rPr>
          <w:spacing w:val="-6"/>
          <w:sz w:val="24"/>
          <w:szCs w:val="24"/>
        </w:rPr>
        <w:t>采购文件要求乙方提交履约保证金的，乙方应按</w:t>
      </w:r>
      <w:r>
        <w:rPr>
          <w:b/>
          <w:bCs/>
          <w:i/>
          <w:iCs/>
          <w:spacing w:val="-6"/>
          <w:sz w:val="25"/>
          <w:szCs w:val="25"/>
          <w:u w:val="single" w:color="auto"/>
        </w:rPr>
        <w:t>合同专用条款</w:t>
      </w:r>
      <w:r>
        <w:rPr>
          <w:spacing w:val="-6"/>
          <w:sz w:val="24"/>
          <w:szCs w:val="24"/>
        </w:rPr>
        <w:t>约定的</w:t>
      </w:r>
      <w:r>
        <w:rPr>
          <w:spacing w:val="-3"/>
          <w:sz w:val="24"/>
          <w:szCs w:val="24"/>
        </w:rPr>
        <w:t>方式，以支票、汇票、本票或者金融机构、担保机构出具的保函等非现金形式提</w:t>
      </w:r>
      <w:r>
        <w:rPr>
          <w:spacing w:val="-6"/>
          <w:sz w:val="24"/>
          <w:szCs w:val="24"/>
        </w:rPr>
        <w:t>交；</w:t>
      </w:r>
    </w:p>
    <w:p w14:paraId="5DFBFB62">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21" w:lineRule="auto"/>
        <w:ind w:left="22" w:right="28" w:firstLine="438"/>
        <w:jc w:val="both"/>
        <w:textAlignment w:val="baseline"/>
        <w:rPr>
          <w:sz w:val="24"/>
          <w:szCs w:val="24"/>
          <w:highlight w:val="none"/>
        </w:rPr>
      </w:pPr>
      <w:r>
        <w:rPr>
          <w:spacing w:val="1"/>
          <w:sz w:val="24"/>
          <w:szCs w:val="24"/>
          <w:highlight w:val="none"/>
        </w:rPr>
        <w:t>2.17.2</w:t>
      </w:r>
      <w:r>
        <w:rPr>
          <w:spacing w:val="-42"/>
          <w:sz w:val="24"/>
          <w:szCs w:val="24"/>
          <w:highlight w:val="none"/>
        </w:rPr>
        <w:t xml:space="preserve"> </w:t>
      </w:r>
      <w:r>
        <w:rPr>
          <w:spacing w:val="1"/>
          <w:sz w:val="24"/>
          <w:szCs w:val="24"/>
          <w:highlight w:val="none"/>
        </w:rPr>
        <w:t>履约保证金在</w:t>
      </w:r>
      <w:r>
        <w:rPr>
          <w:b/>
          <w:bCs/>
          <w:i/>
          <w:iCs/>
          <w:spacing w:val="1"/>
          <w:sz w:val="25"/>
          <w:szCs w:val="25"/>
          <w:highlight w:val="none"/>
          <w:u w:val="single" w:color="auto"/>
        </w:rPr>
        <w:t>合同专用条款</w:t>
      </w:r>
      <w:r>
        <w:rPr>
          <w:spacing w:val="1"/>
          <w:sz w:val="24"/>
          <w:szCs w:val="24"/>
          <w:highlight w:val="none"/>
        </w:rPr>
        <w:t>约定期间内或</w:t>
      </w:r>
      <w:r>
        <w:rPr>
          <w:sz w:val="24"/>
          <w:szCs w:val="24"/>
          <w:highlight w:val="none"/>
        </w:rPr>
        <w:t>者货物质量保证期内不予</w:t>
      </w:r>
      <w:r>
        <w:rPr>
          <w:spacing w:val="-3"/>
          <w:sz w:val="24"/>
          <w:szCs w:val="24"/>
          <w:highlight w:val="none"/>
        </w:rPr>
        <w:t>退还或者应完全有效，前述约定期间届满或者货物质量保证期届满之日</w:t>
      </w:r>
      <w:r>
        <w:rPr>
          <w:spacing w:val="-4"/>
          <w:sz w:val="24"/>
          <w:szCs w:val="24"/>
          <w:highlight w:val="none"/>
        </w:rPr>
        <w:t>起</w:t>
      </w:r>
      <w:r>
        <w:rPr>
          <w:spacing w:val="-4"/>
          <w:sz w:val="24"/>
          <w:szCs w:val="24"/>
          <w:highlight w:val="none"/>
          <w:u w:val="single" w:color="auto"/>
        </w:rPr>
        <w:t xml:space="preserve">  </w:t>
      </w:r>
      <w:r>
        <w:rPr>
          <w:spacing w:val="-111"/>
          <w:sz w:val="24"/>
          <w:szCs w:val="24"/>
          <w:highlight w:val="none"/>
        </w:rPr>
        <w:t xml:space="preserve"> </w:t>
      </w:r>
      <w:r>
        <w:rPr>
          <w:spacing w:val="-4"/>
          <w:sz w:val="24"/>
          <w:szCs w:val="24"/>
          <w:highlight w:val="none"/>
        </w:rPr>
        <w:t>个工</w:t>
      </w:r>
      <w:r>
        <w:rPr>
          <w:spacing w:val="-3"/>
          <w:sz w:val="24"/>
          <w:szCs w:val="24"/>
          <w:highlight w:val="none"/>
        </w:rPr>
        <w:t>作日内，甲方应将履约保证金退还乙方，甲方逾期退还履约保证金应承担违约责</w:t>
      </w:r>
      <w:r>
        <w:rPr>
          <w:spacing w:val="-5"/>
          <w:sz w:val="24"/>
          <w:szCs w:val="24"/>
          <w:highlight w:val="none"/>
        </w:rPr>
        <w:t>任。</w:t>
      </w:r>
    </w:p>
    <w:p w14:paraId="68711D5B">
      <w:pPr>
        <w:pStyle w:val="9"/>
        <w:keepNext w:val="0"/>
        <w:keepLines w:val="0"/>
        <w:pageBreakBefore w:val="0"/>
        <w:widowControl/>
        <w:kinsoku w:val="0"/>
        <w:wordWrap/>
        <w:overflowPunct/>
        <w:topLinePunct w:val="0"/>
        <w:autoSpaceDE w:val="0"/>
        <w:autoSpaceDN w:val="0"/>
        <w:bidi w:val="0"/>
        <w:adjustRightInd w:val="0"/>
        <w:snapToGrid w:val="0"/>
        <w:spacing w:beforeAutospacing="0" w:afterAutospacing="0" w:line="313" w:lineRule="auto"/>
        <w:ind w:left="24" w:right="28" w:firstLine="436"/>
        <w:jc w:val="both"/>
        <w:textAlignment w:val="baseline"/>
        <w:rPr>
          <w:sz w:val="24"/>
          <w:szCs w:val="24"/>
        </w:rPr>
      </w:pPr>
      <w:r>
        <w:rPr>
          <w:spacing w:val="-4"/>
          <w:sz w:val="24"/>
          <w:szCs w:val="24"/>
        </w:rPr>
        <w:t>2.17.3</w:t>
      </w:r>
      <w:r>
        <w:rPr>
          <w:spacing w:val="-38"/>
          <w:sz w:val="24"/>
          <w:szCs w:val="24"/>
        </w:rPr>
        <w:t xml:space="preserve"> </w:t>
      </w:r>
      <w:r>
        <w:rPr>
          <w:spacing w:val="-4"/>
          <w:sz w:val="24"/>
          <w:szCs w:val="24"/>
        </w:rPr>
        <w:t>如果乙方不履行合同，履约保证金不予退还；如果乙方未能按合同约</w:t>
      </w:r>
      <w:r>
        <w:rPr>
          <w:spacing w:val="-3"/>
          <w:sz w:val="24"/>
          <w:szCs w:val="24"/>
        </w:rPr>
        <w:t>定全面履行义务，那么甲方有权从履约保证金中取得补偿或赔偿，同时不影响甲</w:t>
      </w:r>
      <w:r>
        <w:rPr>
          <w:spacing w:val="-1"/>
          <w:sz w:val="24"/>
          <w:szCs w:val="24"/>
        </w:rPr>
        <w:t>方要求乙方承担合同约定的超过履约保证金的违约责任的权利。</w:t>
      </w:r>
    </w:p>
    <w:p w14:paraId="4020025B">
      <w:pPr>
        <w:pStyle w:val="9"/>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19" w:lineRule="auto"/>
        <w:ind w:left="463"/>
        <w:jc w:val="both"/>
        <w:textAlignment w:val="baseline"/>
        <w:outlineLvl w:val="2"/>
        <w:rPr>
          <w:sz w:val="24"/>
          <w:szCs w:val="24"/>
        </w:rPr>
      </w:pPr>
      <w:r>
        <w:rPr>
          <w:b/>
          <w:bCs/>
          <w:spacing w:val="-3"/>
          <w:sz w:val="24"/>
          <w:szCs w:val="24"/>
        </w:rPr>
        <w:t>2.18</w:t>
      </w:r>
      <w:r>
        <w:rPr>
          <w:spacing w:val="-3"/>
          <w:sz w:val="24"/>
          <w:szCs w:val="24"/>
        </w:rPr>
        <w:t xml:space="preserve"> </w:t>
      </w:r>
      <w:r>
        <w:rPr>
          <w:b/>
          <w:bCs/>
          <w:spacing w:val="-3"/>
          <w:sz w:val="24"/>
          <w:szCs w:val="24"/>
        </w:rPr>
        <w:t>合同份数</w:t>
      </w:r>
    </w:p>
    <w:p w14:paraId="41DC7B9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07" w:lineRule="auto"/>
        <w:ind w:firstLine="468" w:firstLineChars="200"/>
        <w:textAlignment w:val="baseline"/>
        <w:rPr>
          <w:spacing w:val="-4"/>
          <w:sz w:val="24"/>
          <w:szCs w:val="24"/>
        </w:rPr>
      </w:pPr>
      <w:r>
        <w:rPr>
          <w:spacing w:val="-3"/>
          <w:sz w:val="24"/>
          <w:szCs w:val="24"/>
        </w:rPr>
        <w:t>合同份数按</w:t>
      </w:r>
      <w:r>
        <w:rPr>
          <w:b/>
          <w:bCs/>
          <w:i/>
          <w:iCs/>
          <w:spacing w:val="-3"/>
          <w:sz w:val="25"/>
          <w:szCs w:val="25"/>
          <w:u w:val="single" w:color="auto"/>
        </w:rPr>
        <w:t>合同专用条款</w:t>
      </w:r>
      <w:r>
        <w:rPr>
          <w:spacing w:val="-3"/>
          <w:sz w:val="24"/>
          <w:szCs w:val="24"/>
        </w:rPr>
        <w:t>规定，每份均具有同等</w:t>
      </w:r>
      <w:r>
        <w:rPr>
          <w:spacing w:val="-4"/>
          <w:sz w:val="24"/>
          <w:szCs w:val="24"/>
        </w:rPr>
        <w:t>法律效力。</w:t>
      </w:r>
    </w:p>
    <w:p w14:paraId="3143E712">
      <w:pPr>
        <w:rPr>
          <w:spacing w:val="-4"/>
          <w:sz w:val="24"/>
          <w:szCs w:val="24"/>
        </w:rPr>
      </w:pPr>
      <w:r>
        <w:rPr>
          <w:spacing w:val="-4"/>
          <w:sz w:val="24"/>
          <w:szCs w:val="24"/>
        </w:rPr>
        <w:br w:type="page"/>
      </w:r>
    </w:p>
    <w:p w14:paraId="5F67BA20">
      <w:pPr>
        <w:spacing w:line="307" w:lineRule="auto"/>
        <w:rPr>
          <w:spacing w:val="-4"/>
          <w:sz w:val="24"/>
          <w:szCs w:val="24"/>
        </w:rPr>
      </w:pPr>
    </w:p>
    <w:p w14:paraId="35A9C258">
      <w:pPr>
        <w:pStyle w:val="9"/>
        <w:spacing w:before="78" w:line="219" w:lineRule="auto"/>
        <w:ind w:left="2929"/>
        <w:outlineLvl w:val="1"/>
        <w:rPr>
          <w:sz w:val="24"/>
          <w:szCs w:val="24"/>
        </w:rPr>
      </w:pPr>
      <w:bookmarkStart w:id="15" w:name="_Toc23822"/>
      <w:r>
        <w:rPr>
          <w:b/>
          <w:bCs/>
          <w:spacing w:val="-3"/>
          <w:sz w:val="24"/>
          <w:szCs w:val="24"/>
        </w:rPr>
        <w:t>第三部分</w:t>
      </w:r>
      <w:r>
        <w:rPr>
          <w:spacing w:val="-3"/>
          <w:sz w:val="24"/>
          <w:szCs w:val="24"/>
        </w:rPr>
        <w:t xml:space="preserve"> </w:t>
      </w:r>
      <w:r>
        <w:rPr>
          <w:b/>
          <w:bCs/>
          <w:spacing w:val="-3"/>
          <w:sz w:val="24"/>
          <w:szCs w:val="24"/>
        </w:rPr>
        <w:t>合同专用条款</w:t>
      </w:r>
      <w:bookmarkEnd w:id="15"/>
    </w:p>
    <w:p w14:paraId="631A292B">
      <w:pPr>
        <w:pStyle w:val="9"/>
        <w:spacing w:before="181" w:line="331" w:lineRule="auto"/>
        <w:ind w:left="42" w:right="34" w:firstLine="435"/>
        <w:jc w:val="both"/>
        <w:rPr>
          <w:sz w:val="24"/>
          <w:szCs w:val="24"/>
        </w:rPr>
      </w:pPr>
      <w:r>
        <w:rPr>
          <w:spacing w:val="-2"/>
          <w:sz w:val="24"/>
          <w:szCs w:val="24"/>
        </w:rPr>
        <w:t>本部分是对前两部分的补充和修改，如果前两部分和本部分的约定不一致，</w:t>
      </w:r>
      <w:r>
        <w:rPr>
          <w:spacing w:val="-3"/>
          <w:sz w:val="24"/>
          <w:szCs w:val="24"/>
        </w:rPr>
        <w:t>应以本部分的约定为准。本部分的条款号应与前两部分的条款号保持对应；与前</w:t>
      </w:r>
      <w:r>
        <w:rPr>
          <w:spacing w:val="-1"/>
          <w:sz w:val="24"/>
          <w:szCs w:val="24"/>
        </w:rPr>
        <w:t>两部分无对应关系的内容可另行编制条款号。</w:t>
      </w:r>
    </w:p>
    <w:tbl>
      <w:tblPr>
        <w:tblStyle w:val="40"/>
        <w:tblW w:w="836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7568"/>
      </w:tblGrid>
      <w:tr w14:paraId="6E0E5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98" w:type="dxa"/>
            <w:tcBorders>
              <w:left w:val="single" w:color="000000" w:sz="2" w:space="0"/>
            </w:tcBorders>
            <w:vAlign w:val="center"/>
          </w:tcPr>
          <w:p w14:paraId="7858D820">
            <w:pPr>
              <w:bidi w:val="0"/>
              <w:jc w:val="center"/>
              <w:rPr>
                <w:rFonts w:hint="eastAsia" w:ascii="宋体" w:hAnsi="宋体" w:eastAsia="宋体" w:cs="宋体"/>
                <w:b/>
                <w:bCs/>
              </w:rPr>
            </w:pPr>
            <w:r>
              <w:rPr>
                <w:rFonts w:hint="eastAsia" w:ascii="宋体" w:hAnsi="宋体" w:eastAsia="宋体" w:cs="宋体"/>
                <w:b/>
                <w:bCs/>
              </w:rPr>
              <w:t>条款号</w:t>
            </w:r>
          </w:p>
        </w:tc>
        <w:tc>
          <w:tcPr>
            <w:tcW w:w="7568" w:type="dxa"/>
            <w:vAlign w:val="center"/>
          </w:tcPr>
          <w:p w14:paraId="56010233">
            <w:pPr>
              <w:bidi w:val="0"/>
              <w:jc w:val="center"/>
              <w:rPr>
                <w:rFonts w:hint="eastAsia" w:ascii="宋体" w:hAnsi="宋体" w:eastAsia="宋体" w:cs="宋体"/>
                <w:b/>
                <w:bCs/>
              </w:rPr>
            </w:pPr>
            <w:bookmarkStart w:id="16" w:name="_Toc31478"/>
            <w:r>
              <w:rPr>
                <w:rFonts w:hint="eastAsia" w:ascii="宋体" w:hAnsi="宋体" w:eastAsia="宋体" w:cs="宋体"/>
                <w:b/>
                <w:bCs/>
              </w:rPr>
              <w:t>约定内容</w:t>
            </w:r>
            <w:bookmarkEnd w:id="16"/>
          </w:p>
        </w:tc>
      </w:tr>
      <w:tr w14:paraId="6228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4DC7CCFD">
            <w:pPr>
              <w:rPr>
                <w:rFonts w:ascii="Arial"/>
                <w:sz w:val="21"/>
              </w:rPr>
            </w:pPr>
          </w:p>
        </w:tc>
        <w:tc>
          <w:tcPr>
            <w:tcW w:w="7568" w:type="dxa"/>
            <w:vAlign w:val="top"/>
          </w:tcPr>
          <w:p w14:paraId="044C8C19">
            <w:pPr>
              <w:rPr>
                <w:rFonts w:ascii="Arial"/>
                <w:sz w:val="21"/>
              </w:rPr>
            </w:pPr>
          </w:p>
        </w:tc>
      </w:tr>
      <w:tr w14:paraId="6263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26A3EE39">
            <w:pPr>
              <w:rPr>
                <w:rFonts w:ascii="Arial"/>
                <w:sz w:val="21"/>
              </w:rPr>
            </w:pPr>
          </w:p>
        </w:tc>
        <w:tc>
          <w:tcPr>
            <w:tcW w:w="7568" w:type="dxa"/>
            <w:vAlign w:val="top"/>
          </w:tcPr>
          <w:p w14:paraId="535D5415">
            <w:pPr>
              <w:rPr>
                <w:rFonts w:ascii="Arial"/>
                <w:sz w:val="21"/>
              </w:rPr>
            </w:pPr>
          </w:p>
        </w:tc>
      </w:tr>
      <w:tr w14:paraId="05507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51C1EBDD">
            <w:pPr>
              <w:rPr>
                <w:rFonts w:ascii="Arial"/>
                <w:sz w:val="21"/>
              </w:rPr>
            </w:pPr>
          </w:p>
        </w:tc>
        <w:tc>
          <w:tcPr>
            <w:tcW w:w="7568" w:type="dxa"/>
            <w:vAlign w:val="top"/>
          </w:tcPr>
          <w:p w14:paraId="02B69014">
            <w:pPr>
              <w:rPr>
                <w:rFonts w:ascii="Arial"/>
                <w:sz w:val="21"/>
              </w:rPr>
            </w:pPr>
          </w:p>
        </w:tc>
      </w:tr>
      <w:tr w14:paraId="6079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0A501526">
            <w:pPr>
              <w:rPr>
                <w:rFonts w:ascii="Arial"/>
                <w:sz w:val="21"/>
              </w:rPr>
            </w:pPr>
          </w:p>
        </w:tc>
        <w:tc>
          <w:tcPr>
            <w:tcW w:w="7568" w:type="dxa"/>
            <w:vAlign w:val="top"/>
          </w:tcPr>
          <w:p w14:paraId="44F43B7C">
            <w:pPr>
              <w:rPr>
                <w:rFonts w:ascii="Arial"/>
                <w:sz w:val="21"/>
              </w:rPr>
            </w:pPr>
          </w:p>
        </w:tc>
      </w:tr>
      <w:tr w14:paraId="782E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2025A235">
            <w:pPr>
              <w:rPr>
                <w:rFonts w:ascii="Arial"/>
                <w:sz w:val="21"/>
              </w:rPr>
            </w:pPr>
          </w:p>
        </w:tc>
        <w:tc>
          <w:tcPr>
            <w:tcW w:w="7568" w:type="dxa"/>
            <w:vAlign w:val="top"/>
          </w:tcPr>
          <w:p w14:paraId="4FD78B02">
            <w:pPr>
              <w:rPr>
                <w:rFonts w:ascii="Arial"/>
                <w:sz w:val="21"/>
              </w:rPr>
            </w:pPr>
          </w:p>
        </w:tc>
      </w:tr>
      <w:tr w14:paraId="060C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13D49E15">
            <w:pPr>
              <w:rPr>
                <w:rFonts w:ascii="Arial"/>
                <w:sz w:val="21"/>
              </w:rPr>
            </w:pPr>
          </w:p>
        </w:tc>
        <w:tc>
          <w:tcPr>
            <w:tcW w:w="7568" w:type="dxa"/>
            <w:vAlign w:val="top"/>
          </w:tcPr>
          <w:p w14:paraId="632433D3">
            <w:pPr>
              <w:rPr>
                <w:rFonts w:ascii="Arial"/>
                <w:sz w:val="21"/>
              </w:rPr>
            </w:pPr>
          </w:p>
        </w:tc>
      </w:tr>
      <w:tr w14:paraId="27374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54F00FFE">
            <w:pPr>
              <w:rPr>
                <w:rFonts w:ascii="Arial"/>
                <w:sz w:val="21"/>
              </w:rPr>
            </w:pPr>
          </w:p>
        </w:tc>
        <w:tc>
          <w:tcPr>
            <w:tcW w:w="7568" w:type="dxa"/>
            <w:vAlign w:val="top"/>
          </w:tcPr>
          <w:p w14:paraId="7287E8D4">
            <w:pPr>
              <w:rPr>
                <w:rFonts w:ascii="Arial"/>
                <w:sz w:val="21"/>
              </w:rPr>
            </w:pPr>
          </w:p>
        </w:tc>
      </w:tr>
      <w:tr w14:paraId="36A4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7717D6E4">
            <w:pPr>
              <w:rPr>
                <w:rFonts w:ascii="Arial"/>
                <w:sz w:val="21"/>
              </w:rPr>
            </w:pPr>
          </w:p>
        </w:tc>
        <w:tc>
          <w:tcPr>
            <w:tcW w:w="7568" w:type="dxa"/>
            <w:vAlign w:val="top"/>
          </w:tcPr>
          <w:p w14:paraId="31E4F9F2">
            <w:pPr>
              <w:rPr>
                <w:rFonts w:ascii="Arial"/>
                <w:sz w:val="21"/>
              </w:rPr>
            </w:pPr>
          </w:p>
        </w:tc>
      </w:tr>
      <w:tr w14:paraId="0CC7E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373FB520">
            <w:pPr>
              <w:rPr>
                <w:rFonts w:ascii="Arial"/>
                <w:sz w:val="21"/>
              </w:rPr>
            </w:pPr>
          </w:p>
        </w:tc>
        <w:tc>
          <w:tcPr>
            <w:tcW w:w="7568" w:type="dxa"/>
            <w:vAlign w:val="top"/>
          </w:tcPr>
          <w:p w14:paraId="37AD410A">
            <w:pPr>
              <w:rPr>
                <w:rFonts w:ascii="Arial"/>
                <w:sz w:val="21"/>
              </w:rPr>
            </w:pPr>
          </w:p>
        </w:tc>
      </w:tr>
      <w:tr w14:paraId="5F5B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8" w:type="dxa"/>
            <w:tcBorders>
              <w:left w:val="single" w:color="000000" w:sz="2" w:space="0"/>
            </w:tcBorders>
            <w:vAlign w:val="top"/>
          </w:tcPr>
          <w:p w14:paraId="1D8F4F90">
            <w:pPr>
              <w:rPr>
                <w:rFonts w:ascii="Arial"/>
                <w:sz w:val="21"/>
              </w:rPr>
            </w:pPr>
          </w:p>
        </w:tc>
        <w:tc>
          <w:tcPr>
            <w:tcW w:w="7568" w:type="dxa"/>
            <w:vAlign w:val="top"/>
          </w:tcPr>
          <w:p w14:paraId="53D72091">
            <w:pPr>
              <w:rPr>
                <w:rFonts w:ascii="Arial"/>
                <w:sz w:val="21"/>
              </w:rPr>
            </w:pPr>
          </w:p>
        </w:tc>
      </w:tr>
      <w:tr w14:paraId="04A27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8" w:type="dxa"/>
            <w:tcBorders>
              <w:left w:val="single" w:color="000000" w:sz="2" w:space="0"/>
            </w:tcBorders>
            <w:vAlign w:val="top"/>
          </w:tcPr>
          <w:p w14:paraId="62EFC406">
            <w:pPr>
              <w:rPr>
                <w:rFonts w:ascii="Arial"/>
                <w:sz w:val="21"/>
              </w:rPr>
            </w:pPr>
          </w:p>
        </w:tc>
        <w:tc>
          <w:tcPr>
            <w:tcW w:w="7568" w:type="dxa"/>
            <w:vAlign w:val="top"/>
          </w:tcPr>
          <w:p w14:paraId="77FEF9B3">
            <w:pPr>
              <w:rPr>
                <w:rFonts w:ascii="Arial"/>
                <w:sz w:val="21"/>
              </w:rPr>
            </w:pPr>
          </w:p>
        </w:tc>
      </w:tr>
      <w:tr w14:paraId="26FD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798" w:type="dxa"/>
            <w:tcBorders>
              <w:left w:val="single" w:color="000000" w:sz="2" w:space="0"/>
            </w:tcBorders>
            <w:vAlign w:val="top"/>
          </w:tcPr>
          <w:p w14:paraId="6BF00979">
            <w:pPr>
              <w:rPr>
                <w:rFonts w:ascii="Arial"/>
                <w:sz w:val="21"/>
              </w:rPr>
            </w:pPr>
          </w:p>
        </w:tc>
        <w:tc>
          <w:tcPr>
            <w:tcW w:w="7568" w:type="dxa"/>
            <w:vAlign w:val="top"/>
          </w:tcPr>
          <w:p w14:paraId="4424A68D">
            <w:pPr>
              <w:rPr>
                <w:rFonts w:ascii="Arial"/>
                <w:sz w:val="21"/>
              </w:rPr>
            </w:pPr>
          </w:p>
        </w:tc>
      </w:tr>
    </w:tbl>
    <w:p w14:paraId="5B6AD5BF">
      <w:pPr>
        <w:rPr>
          <w:rFonts w:ascii="Arial" w:hAnsi="Arial" w:eastAsia="Arial" w:cs="Arial"/>
          <w:sz w:val="21"/>
          <w:szCs w:val="21"/>
        </w:rPr>
        <w:sectPr>
          <w:headerReference r:id="rId12" w:type="default"/>
          <w:footerReference r:id="rId13" w:type="default"/>
          <w:pgSz w:w="11906" w:h="16839"/>
          <w:pgMar w:top="1166" w:right="1764" w:bottom="1362" w:left="1767" w:header="829" w:footer="1200" w:gutter="0"/>
          <w:pgNumType w:fmt="decimal"/>
          <w:cols w:space="720" w:num="1"/>
        </w:sectPr>
      </w:pPr>
    </w:p>
    <w:p w14:paraId="30BF7248">
      <w:pPr>
        <w:pStyle w:val="2"/>
        <w:bidi w:val="0"/>
        <w:ind w:firstLine="2650" w:firstLineChars="600"/>
        <w:jc w:val="both"/>
        <w:rPr>
          <w:rFonts w:hint="eastAsia"/>
          <w:highlight w:val="yellow"/>
        </w:rPr>
      </w:pPr>
      <w:r>
        <w:rPr>
          <w:rStyle w:val="31"/>
          <w:rFonts w:hint="eastAsia"/>
          <w:b/>
          <w:bCs/>
          <w:color w:val="000000"/>
          <w:highlight w:val="none"/>
          <w:lang w:val="en-US" w:eastAsia="zh-CN"/>
        </w:rPr>
        <w:t xml:space="preserve">第四章 </w:t>
      </w:r>
      <w:r>
        <w:rPr>
          <w:rStyle w:val="31"/>
          <w:rFonts w:hint="eastAsia"/>
          <w:b/>
          <w:bCs/>
          <w:color w:val="000000"/>
          <w:highlight w:val="none"/>
          <w:lang w:val="zh-CN"/>
        </w:rPr>
        <w:t>采购需求</w:t>
      </w:r>
    </w:p>
    <w:p w14:paraId="7C90BCE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b/>
          <w:bCs/>
          <w:sz w:val="24"/>
          <w:szCs w:val="24"/>
          <w:lang w:val="en-US" w:eastAsia="zh-CN"/>
        </w:rPr>
      </w:pPr>
      <w:r>
        <w:rPr>
          <w:rFonts w:hint="eastAsia" w:ascii="Times New Roman" w:hAnsi="Times New Roman"/>
          <w:b/>
          <w:bCs/>
          <w:sz w:val="24"/>
          <w:szCs w:val="24"/>
        </w:rPr>
        <w:t>一、</w:t>
      </w:r>
      <w:r>
        <w:rPr>
          <w:rFonts w:hint="eastAsia" w:ascii="Times New Roman" w:hAnsi="Times New Roman"/>
          <w:b/>
          <w:bCs/>
          <w:sz w:val="24"/>
          <w:szCs w:val="24"/>
          <w:lang w:val="en-US" w:eastAsia="zh-CN"/>
        </w:rPr>
        <w:t>项目概述</w:t>
      </w:r>
    </w:p>
    <w:p w14:paraId="1B750BDF">
      <w:pPr>
        <w:keepNext w:val="0"/>
        <w:keepLines w:val="0"/>
        <w:pageBreakBefore w:val="0"/>
        <w:widowControl w:val="0"/>
        <w:kinsoku/>
        <w:wordWrap/>
        <w:overflowPunct/>
        <w:topLinePunct w:val="0"/>
        <w:autoSpaceDE/>
        <w:autoSpaceDN/>
        <w:bidi w:val="0"/>
        <w:adjustRightInd/>
        <w:snapToGrid/>
        <w:ind w:left="1679" w:leftChars="228" w:hanging="1200" w:hangingChars="500"/>
        <w:textAlignment w:val="auto"/>
        <w:rPr>
          <w:rFonts w:hint="eastAsia" w:ascii="Times New Roman" w:hAnsi="Times New Roman"/>
          <w:sz w:val="24"/>
          <w:szCs w:val="24"/>
          <w:u w:val="single"/>
          <w:lang w:val="en-US" w:eastAsia="zh-CN"/>
        </w:rPr>
      </w:pPr>
      <w:r>
        <w:rPr>
          <w:rFonts w:hint="eastAsia" w:ascii="Times New Roman" w:hAnsi="Times New Roman"/>
          <w:sz w:val="24"/>
          <w:szCs w:val="24"/>
          <w:lang w:val="en-US" w:eastAsia="zh-CN"/>
        </w:rPr>
        <w:t>项目名称：</w:t>
      </w:r>
      <w:r>
        <w:rPr>
          <w:rFonts w:hint="eastAsia" w:ascii="Times New Roman" w:hAnsi="Times New Roman"/>
          <w:sz w:val="24"/>
          <w:szCs w:val="24"/>
          <w:u w:val="single"/>
          <w:lang w:val="en-US" w:eastAsia="zh-CN"/>
        </w:rPr>
        <w:t>2026年前郭县义务教育薄弱环节改善与能力提升—教学计算机采购项目</w:t>
      </w:r>
    </w:p>
    <w:p w14:paraId="027E99B1">
      <w:pPr>
        <w:keepNext w:val="0"/>
        <w:keepLines w:val="0"/>
        <w:pageBreakBefore w:val="0"/>
        <w:widowControl w:val="0"/>
        <w:tabs>
          <w:tab w:val="left" w:pos="9460"/>
        </w:tabs>
        <w:kinsoku w:val="0"/>
        <w:wordWrap/>
        <w:overflowPunct/>
        <w:topLinePunct w:val="0"/>
        <w:autoSpaceDE w:val="0"/>
        <w:autoSpaceDN w:val="0"/>
        <w:bidi w:val="0"/>
        <w:adjustRightInd/>
        <w:snapToGrid/>
        <w:spacing w:before="1" w:line="365" w:lineRule="auto"/>
        <w:ind w:left="0" w:leftChars="0" w:right="210" w:rightChars="0" w:firstLine="480" w:firstLineChars="200"/>
        <w:jc w:val="left"/>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项目编号：采购计划-[2026]-00220-2026008</w:t>
      </w:r>
    </w:p>
    <w:p w14:paraId="4EDFE940">
      <w:pPr>
        <w:pStyle w:val="3"/>
        <w:keepNext/>
        <w:keepLines/>
        <w:pageBreakBefore w:val="0"/>
        <w:widowControl/>
        <w:kinsoku w:val="0"/>
        <w:wordWrap/>
        <w:overflowPunct/>
        <w:topLinePunct w:val="0"/>
        <w:autoSpaceDE w:val="0"/>
        <w:autoSpaceDN w:val="0"/>
        <w:bidi w:val="0"/>
        <w:adjustRightInd w:val="0"/>
        <w:snapToGrid w:val="0"/>
        <w:spacing w:before="0" w:beforeLines="50" w:after="0" w:afterLines="50"/>
        <w:ind w:firstLine="480" w:firstLineChars="200"/>
        <w:textAlignment w:val="baseline"/>
        <w:rPr>
          <w:rFonts w:hint="eastAsia"/>
          <w:b w:val="0"/>
          <w:bCs/>
          <w:sz w:val="24"/>
          <w:szCs w:val="20"/>
          <w:lang w:val="en-US" w:eastAsia="en-US"/>
        </w:rPr>
      </w:pPr>
      <w:bookmarkStart w:id="17" w:name="_Toc32488"/>
      <w:r>
        <w:rPr>
          <w:rFonts w:hint="eastAsia"/>
          <w:b w:val="0"/>
          <w:bCs/>
          <w:sz w:val="24"/>
          <w:szCs w:val="20"/>
          <w:lang w:val="en-US" w:eastAsia="zh-CN"/>
        </w:rPr>
        <w:t>二</w:t>
      </w:r>
      <w:r>
        <w:rPr>
          <w:rFonts w:hint="eastAsia"/>
          <w:b w:val="0"/>
          <w:bCs/>
          <w:sz w:val="24"/>
          <w:szCs w:val="20"/>
          <w:lang w:val="en-US" w:eastAsia="en-US"/>
        </w:rPr>
        <w:t>、采购需求前附表</w:t>
      </w:r>
      <w:bookmarkEnd w:id="17"/>
    </w:p>
    <w:tbl>
      <w:tblPr>
        <w:tblStyle w:val="21"/>
        <w:tblpPr w:leftFromText="180" w:rightFromText="180" w:vertAnchor="text" w:horzAnchor="page" w:tblpX="1293" w:tblpY="51"/>
        <w:tblOverlap w:val="never"/>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288"/>
        <w:gridCol w:w="7473"/>
      </w:tblGrid>
      <w:tr w14:paraId="0883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84" w:type="dxa"/>
            <w:shd w:val="clear" w:color="auto" w:fill="auto"/>
            <w:vAlign w:val="center"/>
          </w:tcPr>
          <w:p w14:paraId="3F86D3E5">
            <w:pPr>
              <w:widowControl w:val="0"/>
              <w:jc w:val="center"/>
              <w:rPr>
                <w:rFonts w:hint="eastAsia" w:ascii="宋体" w:hAnsi="宋体" w:eastAsia="宋体" w:cs="宋体"/>
                <w:b/>
                <w:bCs/>
                <w:snapToGrid w:val="0"/>
                <w:color w:val="000000"/>
                <w:spacing w:val="-3"/>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序号</w:t>
            </w:r>
          </w:p>
        </w:tc>
        <w:tc>
          <w:tcPr>
            <w:tcW w:w="1288" w:type="dxa"/>
            <w:shd w:val="clear" w:color="auto" w:fill="auto"/>
            <w:vAlign w:val="center"/>
          </w:tcPr>
          <w:p w14:paraId="0FEC8871">
            <w:pPr>
              <w:widowControl w:val="0"/>
              <w:jc w:val="center"/>
              <w:rPr>
                <w:rFonts w:hint="eastAsia" w:ascii="宋体" w:hAnsi="宋体" w:eastAsia="宋体" w:cs="宋体"/>
                <w:b/>
                <w:bCs/>
                <w:snapToGrid w:val="0"/>
                <w:color w:val="000000"/>
                <w:spacing w:val="-3"/>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条款名称</w:t>
            </w:r>
          </w:p>
        </w:tc>
        <w:tc>
          <w:tcPr>
            <w:tcW w:w="7473" w:type="dxa"/>
            <w:shd w:val="clear" w:color="auto" w:fill="auto"/>
            <w:vAlign w:val="center"/>
          </w:tcPr>
          <w:p w14:paraId="538BDC51">
            <w:pPr>
              <w:widowControl w:val="0"/>
              <w:jc w:val="center"/>
              <w:rPr>
                <w:rFonts w:hint="eastAsia" w:ascii="宋体" w:hAnsi="宋体" w:eastAsia="宋体" w:cs="宋体"/>
                <w:b/>
                <w:bCs/>
                <w:snapToGrid w:val="0"/>
                <w:color w:val="000000"/>
                <w:spacing w:val="-3"/>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内容、说明与要求</w:t>
            </w:r>
          </w:p>
        </w:tc>
      </w:tr>
      <w:tr w14:paraId="59CF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84" w:type="dxa"/>
            <w:shd w:val="clear" w:color="auto" w:fill="auto"/>
            <w:vAlign w:val="center"/>
          </w:tcPr>
          <w:p w14:paraId="2F963D6E">
            <w:pPr>
              <w:widowControl w:val="0"/>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1</w:t>
            </w:r>
          </w:p>
        </w:tc>
        <w:tc>
          <w:tcPr>
            <w:tcW w:w="1288" w:type="dxa"/>
            <w:shd w:val="clear" w:color="auto" w:fill="auto"/>
            <w:vAlign w:val="center"/>
          </w:tcPr>
          <w:p w14:paraId="28632CB3">
            <w:pPr>
              <w:widowControl w:val="0"/>
              <w:jc w:val="both"/>
              <w:rPr>
                <w:rFonts w:hint="eastAsia" w:ascii="宋体" w:hAnsi="宋体" w:eastAsia="宋体" w:cs="宋体"/>
                <w:snapToGrid w:val="0"/>
                <w:color w:val="000000"/>
                <w:spacing w:val="-3"/>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付款方式</w:t>
            </w:r>
          </w:p>
        </w:tc>
        <w:tc>
          <w:tcPr>
            <w:tcW w:w="7473" w:type="dxa"/>
            <w:shd w:val="clear" w:color="auto" w:fill="auto"/>
            <w:vAlign w:val="center"/>
          </w:tcPr>
          <w:p w14:paraId="407E402F">
            <w:pPr>
              <w:widowControl w:val="0"/>
              <w:jc w:val="both"/>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一次付清 。总验收报告完成后，达到付款条件起15日，支付合同总金额的100.00％。</w:t>
            </w:r>
          </w:p>
        </w:tc>
      </w:tr>
      <w:tr w14:paraId="3224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4" w:type="dxa"/>
            <w:shd w:val="clear" w:color="auto" w:fill="auto"/>
            <w:vAlign w:val="center"/>
          </w:tcPr>
          <w:p w14:paraId="1910B6FD">
            <w:pPr>
              <w:widowControl w:val="0"/>
              <w:jc w:val="center"/>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2</w:t>
            </w:r>
          </w:p>
        </w:tc>
        <w:tc>
          <w:tcPr>
            <w:tcW w:w="1288" w:type="dxa"/>
            <w:shd w:val="clear" w:color="auto" w:fill="auto"/>
            <w:vAlign w:val="center"/>
          </w:tcPr>
          <w:p w14:paraId="219574AB">
            <w:pPr>
              <w:widowControl w:val="0"/>
              <w:jc w:val="both"/>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交货</w:t>
            </w:r>
            <w:r>
              <w:rPr>
                <w:rFonts w:hint="eastAsia" w:ascii="宋体" w:hAnsi="宋体" w:eastAsia="宋体" w:cs="宋体"/>
                <w:snapToGrid w:val="0"/>
                <w:color w:val="000000"/>
                <w:spacing w:val="-3"/>
                <w:kern w:val="0"/>
                <w:sz w:val="24"/>
                <w:szCs w:val="24"/>
                <w:lang w:val="en-US" w:eastAsia="en-US" w:bidi="ar-SA"/>
              </w:rPr>
              <w:t>地点</w:t>
            </w:r>
          </w:p>
        </w:tc>
        <w:tc>
          <w:tcPr>
            <w:tcW w:w="7473" w:type="dxa"/>
            <w:shd w:val="clear" w:color="auto" w:fill="auto"/>
            <w:vAlign w:val="center"/>
          </w:tcPr>
          <w:p w14:paraId="0935A926">
            <w:pPr>
              <w:widowControl w:val="0"/>
              <w:jc w:val="both"/>
              <w:rPr>
                <w:rFonts w:hint="default"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前郭县31所学校</w:t>
            </w:r>
          </w:p>
        </w:tc>
      </w:tr>
      <w:tr w14:paraId="6145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84" w:type="dxa"/>
            <w:vAlign w:val="center"/>
          </w:tcPr>
          <w:p w14:paraId="408DADC1">
            <w:pPr>
              <w:widowControl w:val="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3</w:t>
            </w:r>
          </w:p>
        </w:tc>
        <w:tc>
          <w:tcPr>
            <w:tcW w:w="1288" w:type="dxa"/>
            <w:shd w:val="clear" w:color="auto" w:fill="auto"/>
            <w:vAlign w:val="center"/>
          </w:tcPr>
          <w:p w14:paraId="161DCB6B">
            <w:pPr>
              <w:widowControl w:val="0"/>
              <w:jc w:val="both"/>
              <w:rPr>
                <w:rFonts w:hint="eastAsia" w:ascii="宋体" w:hAnsi="宋体" w:eastAsia="宋体" w:cs="宋体"/>
                <w:snapToGrid w:val="0"/>
                <w:color w:val="000000"/>
                <w:spacing w:val="-3"/>
                <w:kern w:val="0"/>
                <w:sz w:val="24"/>
                <w:szCs w:val="24"/>
                <w:lang w:val="en-US" w:eastAsia="en-US" w:bidi="ar-SA"/>
              </w:rPr>
            </w:pPr>
            <w:r>
              <w:rPr>
                <w:rFonts w:hint="eastAsia" w:ascii="Times New Roman" w:hAnsi="Times New Roman"/>
                <w:sz w:val="24"/>
                <w:szCs w:val="24"/>
                <w:lang w:val="en-US" w:eastAsia="zh-CN"/>
              </w:rPr>
              <w:t>合同履行期限</w:t>
            </w:r>
          </w:p>
        </w:tc>
        <w:tc>
          <w:tcPr>
            <w:tcW w:w="7473" w:type="dxa"/>
            <w:shd w:val="clear" w:color="auto" w:fill="auto"/>
            <w:vAlign w:val="center"/>
          </w:tcPr>
          <w:p w14:paraId="09801080">
            <w:pPr>
              <w:pStyle w:val="39"/>
              <w:widowControl w:val="0"/>
              <w:spacing w:before="137" w:line="219" w:lineRule="auto"/>
              <w:jc w:val="both"/>
              <w:rPr>
                <w:rFonts w:hint="default" w:ascii="宋体" w:hAnsi="宋体" w:eastAsia="宋体"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自合同签订起35日</w:t>
            </w:r>
          </w:p>
        </w:tc>
      </w:tr>
      <w:tr w14:paraId="785C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14:paraId="7ACB6789">
            <w:pPr>
              <w:widowControl w:val="0"/>
              <w:jc w:val="center"/>
              <w:rPr>
                <w:rFonts w:hint="eastAsia" w:ascii="宋体" w:hAnsi="宋体" w:eastAsia="宋体" w:cs="宋体"/>
                <w:snapToGrid w:val="0"/>
                <w:color w:val="000000"/>
                <w:spacing w:val="-3"/>
                <w:kern w:val="0"/>
                <w:sz w:val="24"/>
                <w:szCs w:val="24"/>
                <w:lang w:val="en-US" w:eastAsia="zh-CN" w:bidi="ar-SA"/>
              </w:rPr>
            </w:pPr>
            <w:r>
              <w:rPr>
                <w:rFonts w:hint="eastAsia" w:ascii="宋体" w:hAnsi="宋体" w:eastAsia="宋体" w:cs="宋体"/>
                <w:snapToGrid w:val="0"/>
                <w:color w:val="000000"/>
                <w:spacing w:val="-3"/>
                <w:kern w:val="0"/>
                <w:sz w:val="24"/>
                <w:szCs w:val="24"/>
                <w:lang w:val="en-US" w:eastAsia="zh-CN" w:bidi="ar-SA"/>
              </w:rPr>
              <w:t>4</w:t>
            </w:r>
          </w:p>
        </w:tc>
        <w:tc>
          <w:tcPr>
            <w:tcW w:w="1288" w:type="dxa"/>
            <w:shd w:val="clear" w:color="auto" w:fill="auto"/>
            <w:vAlign w:val="center"/>
          </w:tcPr>
          <w:p w14:paraId="0F3F47B8">
            <w:pPr>
              <w:widowControl w:val="0"/>
              <w:jc w:val="both"/>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本项目采购标的名称及所属行业</w:t>
            </w:r>
          </w:p>
        </w:tc>
        <w:tc>
          <w:tcPr>
            <w:tcW w:w="7473" w:type="dxa"/>
            <w:shd w:val="clear" w:color="auto" w:fill="auto"/>
            <w:vAlign w:val="center"/>
          </w:tcPr>
          <w:p w14:paraId="60595692">
            <w:pPr>
              <w:pStyle w:val="39"/>
              <w:widowControl w:val="0"/>
              <w:spacing w:before="116" w:line="314" w:lineRule="auto"/>
              <w:ind w:right="175" w:rightChars="0"/>
              <w:jc w:val="both"/>
              <w:rPr>
                <w:rFonts w:hint="default"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en-US" w:bidi="ar-SA"/>
              </w:rPr>
              <w:t>标的名称：</w:t>
            </w:r>
            <w:r>
              <w:rPr>
                <w:rFonts w:hint="eastAsia" w:cs="宋体"/>
                <w:snapToGrid w:val="0"/>
                <w:color w:val="000000"/>
                <w:spacing w:val="-3"/>
                <w:kern w:val="0"/>
                <w:sz w:val="24"/>
                <w:szCs w:val="24"/>
                <w:highlight w:val="none"/>
                <w:lang w:val="en-US" w:eastAsia="zh-CN" w:bidi="ar-SA"/>
              </w:rPr>
              <w:t>2026年前郭县义务教育薄弱环节改善与能力提升—教学计算机采购项目</w:t>
            </w:r>
          </w:p>
          <w:p w14:paraId="1582F920">
            <w:pPr>
              <w:pStyle w:val="39"/>
              <w:widowControl w:val="0"/>
              <w:spacing w:before="116" w:line="314" w:lineRule="auto"/>
              <w:ind w:right="175" w:rightChars="0"/>
              <w:jc w:val="both"/>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en-US" w:bidi="ar-SA"/>
              </w:rPr>
              <w:t>所属行业：</w:t>
            </w:r>
            <w:r>
              <w:rPr>
                <w:rFonts w:hint="eastAsia" w:cs="宋体"/>
                <w:snapToGrid w:val="0"/>
                <w:color w:val="000000"/>
                <w:spacing w:val="-3"/>
                <w:kern w:val="0"/>
                <w:sz w:val="24"/>
                <w:szCs w:val="24"/>
                <w:highlight w:val="none"/>
                <w:lang w:val="en-US" w:eastAsia="zh-CN" w:bidi="ar-SA"/>
              </w:rPr>
              <w:t>制造业</w:t>
            </w:r>
          </w:p>
        </w:tc>
      </w:tr>
    </w:tbl>
    <w:p w14:paraId="1A220865">
      <w:pPr>
        <w:numPr>
          <w:ilvl w:val="0"/>
          <w:numId w:val="0"/>
        </w:numPr>
        <w:rPr>
          <w:rFonts w:hint="eastAsia" w:ascii="宋体" w:hAnsi="宋体" w:eastAsia="宋体" w:cs="宋体"/>
          <w:sz w:val="24"/>
          <w:szCs w:val="24"/>
          <w:lang w:val="en-US" w:eastAsia="zh-CN"/>
        </w:rPr>
      </w:pPr>
    </w:p>
    <w:p w14:paraId="13C66E6E">
      <w:pPr>
        <w:numPr>
          <w:ilvl w:val="0"/>
          <w:numId w:val="6"/>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采购需求：采购货物名称、数量及参数等：</w:t>
      </w:r>
    </w:p>
    <w:p w14:paraId="0C83D27E">
      <w:pPr>
        <w:pStyle w:val="15"/>
        <w:rPr>
          <w:rFonts w:hint="eastAsia" w:ascii="宋体" w:hAnsi="宋体" w:eastAsia="宋体" w:cs="宋体"/>
          <w:sz w:val="24"/>
          <w:szCs w:val="24"/>
          <w:lang w:val="en-US" w:eastAsia="zh-CN"/>
        </w:rPr>
      </w:pPr>
    </w:p>
    <w:p w14:paraId="32C0BF90">
      <w:pPr>
        <w:rPr>
          <w:rFonts w:hint="eastAsia" w:ascii="宋体" w:hAnsi="宋体" w:eastAsia="宋体" w:cs="宋体"/>
          <w:sz w:val="24"/>
          <w:szCs w:val="24"/>
          <w:lang w:val="en-US" w:eastAsia="zh-CN"/>
        </w:rPr>
      </w:pPr>
    </w:p>
    <w:p w14:paraId="5C82EB33">
      <w:pPr>
        <w:pStyle w:val="15"/>
        <w:rPr>
          <w:rFonts w:hint="eastAsia" w:ascii="宋体" w:hAnsi="宋体" w:eastAsia="宋体" w:cs="宋体"/>
          <w:sz w:val="24"/>
          <w:szCs w:val="24"/>
          <w:lang w:val="en-US" w:eastAsia="zh-CN"/>
        </w:rPr>
      </w:pPr>
    </w:p>
    <w:p w14:paraId="5C0375C4">
      <w:pPr>
        <w:rPr>
          <w:rFonts w:hint="eastAsia" w:ascii="宋体" w:hAnsi="宋体" w:eastAsia="宋体" w:cs="宋体"/>
          <w:sz w:val="24"/>
          <w:szCs w:val="24"/>
          <w:lang w:val="en-US" w:eastAsia="zh-CN"/>
        </w:rPr>
      </w:pPr>
    </w:p>
    <w:p w14:paraId="497D6194">
      <w:pPr>
        <w:pStyle w:val="15"/>
        <w:rPr>
          <w:rFonts w:hint="eastAsia" w:ascii="宋体" w:hAnsi="宋体" w:eastAsia="宋体" w:cs="宋体"/>
          <w:sz w:val="24"/>
          <w:szCs w:val="24"/>
          <w:lang w:val="en-US" w:eastAsia="zh-CN"/>
        </w:rPr>
      </w:pPr>
    </w:p>
    <w:p w14:paraId="61D1C016">
      <w:pPr>
        <w:rPr>
          <w:rFonts w:hint="eastAsia" w:ascii="宋体" w:hAnsi="宋体" w:eastAsia="宋体" w:cs="宋体"/>
          <w:sz w:val="24"/>
          <w:szCs w:val="24"/>
          <w:lang w:val="en-US" w:eastAsia="zh-CN"/>
        </w:rPr>
      </w:pPr>
    </w:p>
    <w:p w14:paraId="17598C5C">
      <w:pPr>
        <w:pStyle w:val="15"/>
        <w:rPr>
          <w:rFonts w:hint="eastAsia" w:ascii="宋体" w:hAnsi="宋体" w:eastAsia="宋体" w:cs="宋体"/>
          <w:sz w:val="24"/>
          <w:szCs w:val="24"/>
          <w:lang w:val="en-US" w:eastAsia="zh-CN"/>
        </w:rPr>
      </w:pPr>
    </w:p>
    <w:p w14:paraId="1E022267">
      <w:pPr>
        <w:rPr>
          <w:rFonts w:hint="eastAsia" w:ascii="宋体" w:hAnsi="宋体" w:eastAsia="宋体" w:cs="宋体"/>
          <w:sz w:val="24"/>
          <w:szCs w:val="24"/>
          <w:lang w:val="en-US" w:eastAsia="zh-CN"/>
        </w:rPr>
      </w:pPr>
    </w:p>
    <w:p w14:paraId="276E8C15">
      <w:pPr>
        <w:pStyle w:val="15"/>
        <w:rPr>
          <w:rFonts w:hint="eastAsia" w:ascii="宋体" w:hAnsi="宋体" w:eastAsia="宋体" w:cs="宋体"/>
          <w:sz w:val="24"/>
          <w:szCs w:val="24"/>
          <w:lang w:val="en-US" w:eastAsia="zh-CN"/>
        </w:rPr>
      </w:pPr>
    </w:p>
    <w:p w14:paraId="6F4729DA">
      <w:pPr>
        <w:rPr>
          <w:rFonts w:hint="eastAsia" w:ascii="宋体" w:hAnsi="宋体" w:eastAsia="宋体" w:cs="宋体"/>
          <w:sz w:val="24"/>
          <w:szCs w:val="24"/>
          <w:lang w:val="en-US" w:eastAsia="zh-CN"/>
        </w:rPr>
      </w:pPr>
    </w:p>
    <w:p w14:paraId="14FF1C73">
      <w:pPr>
        <w:pStyle w:val="15"/>
        <w:rPr>
          <w:rFonts w:hint="eastAsia" w:ascii="宋体" w:hAnsi="宋体" w:eastAsia="宋体" w:cs="宋体"/>
          <w:sz w:val="24"/>
          <w:szCs w:val="24"/>
          <w:lang w:val="en-US" w:eastAsia="zh-CN"/>
        </w:rPr>
      </w:pPr>
    </w:p>
    <w:p w14:paraId="71B5EB77">
      <w:pPr>
        <w:rPr>
          <w:rFonts w:hint="eastAsia" w:ascii="宋体" w:hAnsi="宋体" w:eastAsia="宋体" w:cs="宋体"/>
          <w:sz w:val="24"/>
          <w:szCs w:val="24"/>
          <w:lang w:val="en-US" w:eastAsia="zh-CN"/>
        </w:rPr>
      </w:pPr>
    </w:p>
    <w:p w14:paraId="4B091A7F">
      <w:pPr>
        <w:pStyle w:val="15"/>
        <w:rPr>
          <w:rFonts w:hint="eastAsia"/>
          <w:lang w:val="en-US" w:eastAsia="zh-CN"/>
        </w:rPr>
        <w:sectPr>
          <w:headerReference r:id="rId14" w:type="default"/>
          <w:footerReference r:id="rId15" w:type="default"/>
          <w:type w:val="continuous"/>
          <w:pgSz w:w="11907" w:h="16839"/>
          <w:pgMar w:top="1130" w:right="1133" w:bottom="1135" w:left="1012" w:header="0" w:footer="900" w:gutter="0"/>
          <w:cols w:space="720" w:num="1"/>
        </w:sectPr>
      </w:pPr>
    </w:p>
    <w:tbl>
      <w:tblPr>
        <w:tblStyle w:val="20"/>
        <w:tblpPr w:leftFromText="180" w:rightFromText="180" w:vertAnchor="text" w:horzAnchor="page" w:tblpX="1044" w:tblpY="688"/>
        <w:tblOverlap w:val="never"/>
        <w:tblW w:w="142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1522"/>
        <w:gridCol w:w="7865"/>
        <w:gridCol w:w="1260"/>
        <w:gridCol w:w="1073"/>
        <w:gridCol w:w="982"/>
        <w:gridCol w:w="1035"/>
      </w:tblGrid>
      <w:tr w14:paraId="44380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54" w:type="dxa"/>
            <w:vAlign w:val="center"/>
          </w:tcPr>
          <w:p w14:paraId="63478C46">
            <w:pPr>
              <w:widowControl w:val="0"/>
              <w:wordWrap/>
              <w:autoSpaceDE w:val="0"/>
              <w:autoSpaceDN w:val="0"/>
              <w:adjustRightInd/>
              <w:snapToGrid/>
              <w:ind w:firstLine="0" w:firstLineChars="0"/>
              <w:jc w:val="center"/>
              <w:textAlignment w:val="auto"/>
              <w:rPr>
                <w:lang w:eastAsia="en-US"/>
              </w:rPr>
            </w:pPr>
            <w:r>
              <w:rPr>
                <w:rFonts w:hint="eastAsia"/>
                <w:lang w:eastAsia="en-US"/>
              </w:rPr>
              <w:t>序号</w:t>
            </w:r>
          </w:p>
        </w:tc>
        <w:tc>
          <w:tcPr>
            <w:tcW w:w="1522" w:type="dxa"/>
            <w:vAlign w:val="center"/>
          </w:tcPr>
          <w:p w14:paraId="19A2D3AB">
            <w:pPr>
              <w:widowControl w:val="0"/>
              <w:wordWrap/>
              <w:autoSpaceDE w:val="0"/>
              <w:autoSpaceDN w:val="0"/>
              <w:adjustRightInd/>
              <w:snapToGrid/>
              <w:ind w:firstLine="0" w:firstLineChars="0"/>
              <w:jc w:val="center"/>
              <w:textAlignment w:val="auto"/>
              <w:rPr>
                <w:lang w:eastAsia="en-US"/>
              </w:rPr>
            </w:pPr>
            <w:r>
              <w:rPr>
                <w:rFonts w:hint="eastAsia"/>
                <w:lang w:eastAsia="en-US"/>
              </w:rPr>
              <w:t>货物名称</w:t>
            </w:r>
          </w:p>
        </w:tc>
        <w:tc>
          <w:tcPr>
            <w:tcW w:w="7865" w:type="dxa"/>
            <w:vAlign w:val="center"/>
          </w:tcPr>
          <w:p w14:paraId="47817527">
            <w:pPr>
              <w:widowControl w:val="0"/>
              <w:wordWrap/>
              <w:autoSpaceDE w:val="0"/>
              <w:autoSpaceDN w:val="0"/>
              <w:adjustRightInd/>
              <w:snapToGrid/>
              <w:ind w:firstLine="0" w:firstLineChars="0"/>
              <w:jc w:val="center"/>
              <w:textAlignment w:val="auto"/>
              <w:rPr>
                <w:lang w:eastAsia="en-US"/>
              </w:rPr>
            </w:pPr>
            <w:r>
              <w:rPr>
                <w:rFonts w:hint="eastAsia"/>
                <w:lang w:eastAsia="en-US"/>
              </w:rPr>
              <w:t>技术参数及要求</w:t>
            </w:r>
          </w:p>
        </w:tc>
        <w:tc>
          <w:tcPr>
            <w:tcW w:w="1260" w:type="dxa"/>
            <w:vAlign w:val="center"/>
          </w:tcPr>
          <w:p w14:paraId="0A0ABE74">
            <w:pPr>
              <w:widowControl w:val="0"/>
              <w:wordWrap/>
              <w:autoSpaceDE w:val="0"/>
              <w:autoSpaceDN w:val="0"/>
              <w:adjustRightInd/>
              <w:snapToGrid/>
              <w:ind w:firstLine="0" w:firstLineChars="0"/>
              <w:jc w:val="center"/>
              <w:textAlignment w:val="auto"/>
              <w:rPr>
                <w:lang w:eastAsia="en-US"/>
              </w:rPr>
            </w:pPr>
            <w:r>
              <w:rPr>
                <w:rFonts w:hint="eastAsia"/>
                <w:lang w:eastAsia="en-US"/>
              </w:rPr>
              <w:t>数量</w:t>
            </w:r>
          </w:p>
          <w:p w14:paraId="36FD26E5">
            <w:pPr>
              <w:widowControl w:val="0"/>
              <w:wordWrap/>
              <w:autoSpaceDE w:val="0"/>
              <w:autoSpaceDN w:val="0"/>
              <w:adjustRightInd/>
              <w:snapToGrid/>
              <w:ind w:firstLine="0" w:firstLineChars="0"/>
              <w:jc w:val="center"/>
              <w:textAlignment w:val="auto"/>
              <w:rPr>
                <w:lang w:eastAsia="en-US"/>
              </w:rPr>
            </w:pPr>
            <w:r>
              <w:rPr>
                <w:rFonts w:hint="eastAsia"/>
                <w:lang w:eastAsia="en-US"/>
              </w:rPr>
              <w:t>（</w:t>
            </w:r>
            <w:r>
              <w:rPr>
                <w:rFonts w:hint="eastAsia"/>
              </w:rPr>
              <w:t>单位</w:t>
            </w:r>
            <w:r>
              <w:rPr>
                <w:rFonts w:hint="eastAsia"/>
                <w:lang w:eastAsia="en-US"/>
              </w:rPr>
              <w:t>）</w:t>
            </w:r>
          </w:p>
        </w:tc>
        <w:tc>
          <w:tcPr>
            <w:tcW w:w="1073" w:type="dxa"/>
            <w:vAlign w:val="center"/>
          </w:tcPr>
          <w:p w14:paraId="12987FDB">
            <w:pPr>
              <w:widowControl w:val="0"/>
              <w:wordWrap/>
              <w:autoSpaceDE w:val="0"/>
              <w:autoSpaceDN w:val="0"/>
              <w:adjustRightInd/>
              <w:snapToGrid/>
              <w:ind w:firstLine="0" w:firstLineChars="0"/>
              <w:jc w:val="center"/>
              <w:textAlignment w:val="auto"/>
              <w:rPr>
                <w:rFonts w:hint="eastAsia"/>
              </w:rPr>
            </w:pPr>
            <w:r>
              <w:rPr>
                <w:rFonts w:hint="eastAsia"/>
              </w:rPr>
              <w:t>预算金额</w:t>
            </w:r>
          </w:p>
          <w:p w14:paraId="19737B21">
            <w:pPr>
              <w:widowControl w:val="0"/>
              <w:wordWrap/>
              <w:autoSpaceDE w:val="0"/>
              <w:autoSpaceDN w:val="0"/>
              <w:adjustRightInd/>
              <w:snapToGrid/>
              <w:ind w:firstLine="0" w:firstLineChars="0"/>
              <w:jc w:val="center"/>
              <w:textAlignment w:val="auto"/>
              <w:rPr>
                <w:rFonts w:hint="eastAsia"/>
                <w:lang w:eastAsia="zh-CN"/>
              </w:rPr>
            </w:pPr>
            <w:r>
              <w:rPr>
                <w:rFonts w:hint="eastAsia"/>
                <w:lang w:eastAsia="zh-CN"/>
              </w:rPr>
              <w:t>（</w:t>
            </w:r>
            <w:r>
              <w:rPr>
                <w:rFonts w:hint="eastAsia"/>
                <w:lang w:val="en-US" w:eastAsia="zh-CN"/>
              </w:rPr>
              <w:t>元</w:t>
            </w:r>
            <w:r>
              <w:rPr>
                <w:rFonts w:hint="eastAsia"/>
                <w:lang w:eastAsia="zh-CN"/>
              </w:rPr>
              <w:t>）</w:t>
            </w:r>
          </w:p>
        </w:tc>
        <w:tc>
          <w:tcPr>
            <w:tcW w:w="982" w:type="dxa"/>
            <w:vAlign w:val="center"/>
          </w:tcPr>
          <w:p w14:paraId="3550E0EC">
            <w:pPr>
              <w:widowControl w:val="0"/>
              <w:wordWrap/>
              <w:autoSpaceDE w:val="0"/>
              <w:autoSpaceDN w:val="0"/>
              <w:adjustRightInd/>
              <w:snapToGrid/>
              <w:ind w:firstLine="0" w:firstLineChars="0"/>
              <w:jc w:val="center"/>
              <w:textAlignment w:val="auto"/>
              <w:rPr>
                <w:lang w:eastAsia="en-US"/>
              </w:rPr>
            </w:pPr>
            <w:r>
              <w:rPr>
                <w:rFonts w:hint="eastAsia"/>
                <w:lang w:val="en-US" w:eastAsia="zh-CN"/>
              </w:rPr>
              <w:t>所属</w:t>
            </w:r>
            <w:r>
              <w:rPr>
                <w:rFonts w:hint="eastAsia"/>
                <w:lang w:eastAsia="en-US"/>
              </w:rPr>
              <w:t>行业</w:t>
            </w:r>
          </w:p>
        </w:tc>
        <w:tc>
          <w:tcPr>
            <w:tcW w:w="1035" w:type="dxa"/>
            <w:vAlign w:val="center"/>
          </w:tcPr>
          <w:p w14:paraId="76E9F89C">
            <w:pPr>
              <w:widowControl w:val="0"/>
              <w:wordWrap/>
              <w:autoSpaceDE w:val="0"/>
              <w:autoSpaceDN w:val="0"/>
              <w:adjustRightInd/>
              <w:snapToGrid/>
              <w:ind w:firstLine="0" w:firstLineChars="0"/>
              <w:jc w:val="center"/>
              <w:textAlignment w:val="auto"/>
              <w:rPr>
                <w:lang w:eastAsia="en-US"/>
              </w:rPr>
            </w:pPr>
            <w:r>
              <w:rPr>
                <w:rFonts w:hint="eastAsia"/>
                <w:lang w:eastAsia="en-US"/>
              </w:rPr>
              <w:t>是否为</w:t>
            </w:r>
          </w:p>
          <w:p w14:paraId="04194096">
            <w:pPr>
              <w:widowControl w:val="0"/>
              <w:wordWrap/>
              <w:autoSpaceDE w:val="0"/>
              <w:autoSpaceDN w:val="0"/>
              <w:adjustRightInd/>
              <w:snapToGrid/>
              <w:ind w:firstLine="0" w:firstLineChars="0"/>
              <w:jc w:val="center"/>
              <w:textAlignment w:val="auto"/>
              <w:rPr>
                <w:lang w:eastAsia="en-US"/>
              </w:rPr>
            </w:pPr>
            <w:r>
              <w:rPr>
                <w:rFonts w:hint="eastAsia"/>
                <w:lang w:eastAsia="en-US"/>
              </w:rPr>
              <w:t>核心产品</w:t>
            </w:r>
          </w:p>
        </w:tc>
      </w:tr>
      <w:tr w14:paraId="0752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554" w:type="dxa"/>
            <w:vAlign w:val="center"/>
          </w:tcPr>
          <w:p w14:paraId="62C07526">
            <w:pPr>
              <w:widowControl w:val="0"/>
              <w:wordWrap/>
              <w:autoSpaceDE w:val="0"/>
              <w:autoSpaceDN w:val="0"/>
              <w:adjustRightInd/>
              <w:snapToGrid/>
              <w:ind w:firstLine="0" w:firstLineChars="0"/>
              <w:jc w:val="center"/>
              <w:textAlignment w:val="auto"/>
              <w:rPr>
                <w:lang w:eastAsia="en-US"/>
              </w:rPr>
            </w:pPr>
            <w:r>
              <w:rPr>
                <w:rFonts w:hint="eastAsia"/>
                <w:lang w:eastAsia="en-US"/>
              </w:rPr>
              <w:t>1</w:t>
            </w:r>
          </w:p>
        </w:tc>
        <w:tc>
          <w:tcPr>
            <w:tcW w:w="1522" w:type="dxa"/>
            <w:vAlign w:val="center"/>
          </w:tcPr>
          <w:p w14:paraId="4CC66822">
            <w:pPr>
              <w:widowControl w:val="0"/>
              <w:wordWrap/>
              <w:autoSpaceDE w:val="0"/>
              <w:autoSpaceDN w:val="0"/>
              <w:adjustRightInd/>
              <w:snapToGrid/>
              <w:ind w:firstLine="0" w:firstLineChars="0"/>
              <w:jc w:val="center"/>
              <w:textAlignment w:val="auto"/>
              <w:rPr>
                <w:rFonts w:hint="eastAsia"/>
                <w:lang w:val="en-US" w:eastAsia="zh-CN"/>
              </w:rPr>
            </w:pPr>
            <w:r>
              <w:rPr>
                <w:rFonts w:hint="eastAsia"/>
                <w:lang w:val="en-US" w:eastAsia="zh-CN"/>
              </w:rPr>
              <w:t>计算机</w:t>
            </w:r>
          </w:p>
        </w:tc>
        <w:tc>
          <w:tcPr>
            <w:tcW w:w="7865" w:type="dxa"/>
            <w:vAlign w:val="center"/>
          </w:tcPr>
          <w:p w14:paraId="09F06A57">
            <w:pPr>
              <w:pStyle w:val="45"/>
              <w:ind w:firstLine="0" w:firstLineChars="0"/>
              <w:rPr>
                <w:rFonts w:ascii="宋体" w:hAnsi="宋体" w:eastAsia="等线" w:cs="宋体"/>
                <w:sz w:val="21"/>
                <w:szCs w:val="21"/>
              </w:rPr>
            </w:pPr>
            <w:r>
              <w:rPr>
                <w:rFonts w:hint="eastAsia" w:ascii="宋体" w:hAnsi="宋体" w:eastAsia="等线" w:cs="宋体"/>
                <w:sz w:val="21"/>
                <w:szCs w:val="21"/>
              </w:rPr>
              <w:t>1.★处理器：型号≥i5( 13代 )物理核心数≥12、主频≥2.5GHz、末级缓存容量≥18MB、线程数≥12、设计功耗≥45W、内存最高速率≥3200MT/s、通道数≥双通道、位宽≥64位;</w:t>
            </w:r>
          </w:p>
          <w:p w14:paraId="21F92B81">
            <w:pPr>
              <w:pStyle w:val="45"/>
              <w:ind w:firstLine="0" w:firstLineChars="0"/>
              <w:rPr>
                <w:rFonts w:ascii="宋体" w:hAnsi="宋体" w:eastAsia="等线" w:cs="宋体"/>
                <w:sz w:val="21"/>
                <w:szCs w:val="21"/>
              </w:rPr>
            </w:pPr>
            <w:r>
              <w:rPr>
                <w:rFonts w:hint="eastAsia" w:ascii="宋体" w:hAnsi="宋体" w:eastAsia="等线" w:cs="宋体"/>
                <w:sz w:val="21"/>
                <w:szCs w:val="21"/>
              </w:rPr>
              <w:t>2.主板：intel系列芯片组</w:t>
            </w:r>
            <w:r>
              <w:rPr>
                <w:rFonts w:hint="eastAsia" w:ascii="宋体" w:hAnsi="宋体" w:eastAsia="等线" w:cs="宋体"/>
                <w:sz w:val="21"/>
                <w:szCs w:val="21"/>
                <w:lang w:eastAsia="zh-CN"/>
              </w:rPr>
              <w:t>；</w:t>
            </w:r>
          </w:p>
          <w:p w14:paraId="5C5F9BC7">
            <w:pPr>
              <w:pStyle w:val="45"/>
              <w:ind w:firstLine="0" w:firstLineChars="0"/>
              <w:rPr>
                <w:rFonts w:ascii="宋体" w:hAnsi="宋体" w:eastAsia="等线" w:cs="宋体"/>
                <w:sz w:val="21"/>
                <w:szCs w:val="21"/>
              </w:rPr>
            </w:pPr>
            <w:r>
              <w:rPr>
                <w:rFonts w:hint="eastAsia" w:ascii="宋体" w:hAnsi="宋体" w:eastAsia="等线" w:cs="宋体"/>
                <w:sz w:val="21"/>
                <w:szCs w:val="21"/>
              </w:rPr>
              <w:t>3.★配置≥16GB DDR4 工作频率≥2666MHz内存，配置≥2个内存插槽；</w:t>
            </w:r>
          </w:p>
          <w:p w14:paraId="2906BAD7">
            <w:pPr>
              <w:pStyle w:val="45"/>
              <w:ind w:firstLine="0" w:firstLineChars="0"/>
              <w:rPr>
                <w:rFonts w:ascii="宋体" w:hAnsi="宋体" w:eastAsia="等线" w:cs="宋体"/>
                <w:sz w:val="21"/>
                <w:szCs w:val="21"/>
              </w:rPr>
            </w:pPr>
            <w:r>
              <w:rPr>
                <w:rFonts w:hint="eastAsia" w:ascii="宋体" w:hAnsi="宋体" w:eastAsia="等线" w:cs="宋体"/>
                <w:sz w:val="21"/>
                <w:szCs w:val="21"/>
              </w:rPr>
              <w:t>4.显卡：集成显卡</w:t>
            </w:r>
            <w:r>
              <w:rPr>
                <w:rFonts w:hint="eastAsia" w:ascii="宋体" w:hAnsi="宋体" w:eastAsia="等线" w:cs="宋体"/>
                <w:sz w:val="21"/>
                <w:szCs w:val="21"/>
                <w:lang w:eastAsia="zh-CN"/>
              </w:rPr>
              <w:t>；</w:t>
            </w:r>
          </w:p>
          <w:p w14:paraId="60FF7C83">
            <w:pPr>
              <w:pStyle w:val="45"/>
              <w:ind w:firstLine="0" w:firstLineChars="0"/>
              <w:rPr>
                <w:rFonts w:ascii="宋体" w:hAnsi="宋体" w:eastAsia="等线" w:cs="宋体"/>
                <w:sz w:val="21"/>
                <w:szCs w:val="21"/>
              </w:rPr>
            </w:pPr>
            <w:r>
              <w:rPr>
                <w:rFonts w:hint="eastAsia" w:ascii="宋体" w:hAnsi="宋体" w:eastAsia="等线" w:cs="宋体"/>
                <w:sz w:val="21"/>
                <w:szCs w:val="21"/>
              </w:rPr>
              <w:t>5.★存储：≥512GB SSD硬盘</w:t>
            </w:r>
            <w:r>
              <w:rPr>
                <w:rFonts w:hint="eastAsia" w:ascii="宋体" w:hAnsi="宋体" w:eastAsia="等线" w:cs="宋体"/>
                <w:sz w:val="21"/>
                <w:szCs w:val="21"/>
                <w:lang w:eastAsia="zh-CN"/>
              </w:rPr>
              <w:t>；</w:t>
            </w:r>
          </w:p>
          <w:p w14:paraId="075CF14A">
            <w:pPr>
              <w:pStyle w:val="45"/>
              <w:ind w:firstLine="0" w:firstLineChars="0"/>
              <w:rPr>
                <w:rFonts w:ascii="宋体" w:hAnsi="宋体" w:eastAsia="等线" w:cs="宋体"/>
                <w:sz w:val="21"/>
                <w:szCs w:val="21"/>
              </w:rPr>
            </w:pPr>
            <w:r>
              <w:rPr>
                <w:rFonts w:hint="eastAsia" w:ascii="宋体" w:hAnsi="宋体" w:eastAsia="等线" w:cs="宋体"/>
                <w:sz w:val="21"/>
                <w:szCs w:val="21"/>
              </w:rPr>
              <w:t>6.扩展插槽：PCIE插槽数量≥1个，SATA3接口≥2个；</w:t>
            </w:r>
          </w:p>
          <w:p w14:paraId="36BB82BD">
            <w:pPr>
              <w:pStyle w:val="45"/>
              <w:ind w:firstLine="0" w:firstLineChars="0"/>
              <w:rPr>
                <w:rFonts w:hint="eastAsia" w:ascii="宋体" w:hAnsi="宋体" w:eastAsia="等线" w:cs="宋体"/>
                <w:sz w:val="21"/>
                <w:szCs w:val="21"/>
                <w:lang w:eastAsia="zh-CN"/>
              </w:rPr>
            </w:pPr>
            <w:r>
              <w:rPr>
                <w:rFonts w:hint="eastAsia" w:ascii="宋体" w:hAnsi="宋体" w:eastAsia="等线" w:cs="宋体"/>
                <w:sz w:val="21"/>
                <w:szCs w:val="21"/>
              </w:rPr>
              <w:t>7.接口：USB接口≥8个，其中USB3.0以上接口≥4个；音频接口：麦克风</w:t>
            </w:r>
            <w:r>
              <w:rPr>
                <w:rFonts w:ascii="宋体" w:hAnsi="宋体" w:eastAsia="等线" w:cs="宋体"/>
                <w:sz w:val="21"/>
                <w:szCs w:val="21"/>
              </w:rPr>
              <w:t>≥</w:t>
            </w:r>
            <w:r>
              <w:rPr>
                <w:rFonts w:hint="eastAsia" w:ascii="宋体" w:hAnsi="宋体" w:eastAsia="等线" w:cs="宋体"/>
                <w:sz w:val="21"/>
                <w:szCs w:val="21"/>
              </w:rPr>
              <w:t>1个，耳机</w:t>
            </w:r>
            <w:r>
              <w:rPr>
                <w:rFonts w:ascii="宋体" w:hAnsi="宋体" w:eastAsia="等线" w:cs="宋体"/>
                <w:sz w:val="21"/>
                <w:szCs w:val="21"/>
              </w:rPr>
              <w:t>≥</w:t>
            </w:r>
            <w:r>
              <w:rPr>
                <w:rFonts w:hint="eastAsia" w:ascii="宋体" w:hAnsi="宋体" w:eastAsia="等线" w:cs="宋体"/>
                <w:sz w:val="21"/>
                <w:szCs w:val="21"/>
              </w:rPr>
              <w:t>1个；后端</w:t>
            </w:r>
            <w:r>
              <w:rPr>
                <w:rFonts w:ascii="宋体" w:hAnsi="宋体" w:eastAsia="等线" w:cs="宋体"/>
                <w:sz w:val="21"/>
                <w:szCs w:val="21"/>
              </w:rPr>
              <w:t>≥</w:t>
            </w:r>
            <w:r>
              <w:rPr>
                <w:rFonts w:hint="eastAsia" w:ascii="宋体" w:hAnsi="宋体" w:eastAsia="等线" w:cs="宋体"/>
                <w:sz w:val="21"/>
                <w:szCs w:val="21"/>
              </w:rPr>
              <w:t>3个Audio音频接口</w:t>
            </w:r>
            <w:r>
              <w:rPr>
                <w:rFonts w:hint="eastAsia" w:ascii="宋体" w:hAnsi="宋体" w:eastAsia="等线" w:cs="宋体"/>
                <w:sz w:val="21"/>
                <w:szCs w:val="21"/>
                <w:lang w:eastAsia="zh-CN"/>
              </w:rPr>
              <w:t>；</w:t>
            </w:r>
          </w:p>
          <w:p w14:paraId="2D6D6ED3">
            <w:pPr>
              <w:pStyle w:val="45"/>
              <w:ind w:firstLine="0" w:firstLineChars="0"/>
              <w:rPr>
                <w:rFonts w:ascii="宋体" w:hAnsi="宋体" w:eastAsia="等线" w:cs="宋体"/>
                <w:sz w:val="21"/>
                <w:szCs w:val="21"/>
              </w:rPr>
            </w:pPr>
            <w:r>
              <w:rPr>
                <w:rFonts w:hint="eastAsia" w:ascii="宋体" w:hAnsi="宋体" w:eastAsia="等线" w:cs="宋体"/>
                <w:sz w:val="21"/>
                <w:szCs w:val="21"/>
              </w:rPr>
              <w:t>8.网络：≥1个RJ45 10/100/1000自适应以太网口</w:t>
            </w:r>
            <w:r>
              <w:rPr>
                <w:rFonts w:hint="eastAsia" w:ascii="宋体" w:hAnsi="宋体" w:eastAsia="等线" w:cs="宋体"/>
                <w:sz w:val="21"/>
                <w:szCs w:val="21"/>
                <w:lang w:eastAsia="zh-CN"/>
              </w:rPr>
              <w:t>；</w:t>
            </w:r>
          </w:p>
          <w:p w14:paraId="3725958A">
            <w:pPr>
              <w:pStyle w:val="45"/>
              <w:ind w:firstLine="0" w:firstLineChars="0"/>
              <w:rPr>
                <w:rFonts w:ascii="宋体" w:hAnsi="宋体" w:eastAsia="等线" w:cs="宋体"/>
                <w:sz w:val="21"/>
                <w:szCs w:val="21"/>
              </w:rPr>
            </w:pPr>
            <w:r>
              <w:rPr>
                <w:rFonts w:hint="eastAsia" w:ascii="宋体" w:hAnsi="宋体" w:eastAsia="等线" w:cs="宋体"/>
                <w:sz w:val="21"/>
                <w:szCs w:val="21"/>
              </w:rPr>
              <w:t>9.机箱：容积≥8L；</w:t>
            </w:r>
          </w:p>
          <w:p w14:paraId="1814CB96">
            <w:pPr>
              <w:pStyle w:val="45"/>
              <w:ind w:firstLine="0" w:firstLineChars="0"/>
              <w:rPr>
                <w:rFonts w:ascii="宋体" w:hAnsi="宋体" w:eastAsia="等线" w:cs="宋体"/>
                <w:sz w:val="21"/>
                <w:szCs w:val="21"/>
              </w:rPr>
            </w:pPr>
            <w:r>
              <w:rPr>
                <w:rFonts w:hint="eastAsia" w:ascii="宋体" w:hAnsi="宋体" w:eastAsia="等线" w:cs="宋体"/>
                <w:sz w:val="21"/>
                <w:szCs w:val="21"/>
              </w:rPr>
              <w:t>10.显示器：与主机同一品牌，配置≥23.8寸LED显示器，显示屏刷新率≥100Hz，分辨率≥1920*1080，视频接口VGA+HDMI；</w:t>
            </w:r>
          </w:p>
          <w:p w14:paraId="72176499">
            <w:pPr>
              <w:pStyle w:val="45"/>
              <w:ind w:firstLine="0" w:firstLineChars="0"/>
              <w:rPr>
                <w:rFonts w:ascii="宋体" w:hAnsi="宋体" w:eastAsia="等线" w:cs="宋体"/>
                <w:sz w:val="21"/>
                <w:szCs w:val="21"/>
              </w:rPr>
            </w:pPr>
            <w:r>
              <w:rPr>
                <w:rFonts w:hint="eastAsia" w:ascii="宋体" w:hAnsi="宋体" w:eastAsia="等线" w:cs="宋体"/>
                <w:sz w:val="21"/>
                <w:szCs w:val="21"/>
              </w:rPr>
              <w:t>11.电源功率≥90W ；</w:t>
            </w:r>
          </w:p>
          <w:p w14:paraId="6BB1D034">
            <w:pPr>
              <w:pStyle w:val="45"/>
              <w:ind w:firstLine="0" w:firstLineChars="0"/>
              <w:rPr>
                <w:rFonts w:hint="eastAsia" w:ascii="宋体" w:hAnsi="宋体" w:eastAsia="等线" w:cs="宋体"/>
                <w:sz w:val="21"/>
                <w:szCs w:val="21"/>
              </w:rPr>
            </w:pPr>
            <w:r>
              <w:rPr>
                <w:rFonts w:hint="eastAsia" w:ascii="宋体" w:hAnsi="宋体" w:eastAsia="等线" w:cs="宋体"/>
                <w:sz w:val="21"/>
                <w:szCs w:val="21"/>
              </w:rPr>
              <w:t>12. USB有线键盘、鼠标</w:t>
            </w:r>
            <w:r>
              <w:rPr>
                <w:rFonts w:hint="eastAsia" w:ascii="宋体" w:hAnsi="宋体" w:eastAsia="等线" w:cs="宋体"/>
                <w:sz w:val="21"/>
                <w:szCs w:val="21"/>
                <w:lang w:eastAsia="zh-CN"/>
              </w:rPr>
              <w:t>；</w:t>
            </w:r>
          </w:p>
          <w:p w14:paraId="215A781E">
            <w:pPr>
              <w:pStyle w:val="45"/>
              <w:ind w:firstLine="0" w:firstLineChars="0"/>
              <w:rPr>
                <w:rFonts w:hint="eastAsia" w:ascii="宋体" w:hAnsi="宋体" w:eastAsia="等线" w:cs="宋体"/>
                <w:sz w:val="21"/>
                <w:szCs w:val="21"/>
              </w:rPr>
            </w:pPr>
            <w:r>
              <w:rPr>
                <w:rFonts w:hint="eastAsia" w:ascii="宋体" w:hAnsi="宋体" w:eastAsia="等线" w:cs="宋体"/>
                <w:sz w:val="21"/>
                <w:szCs w:val="21"/>
                <w:lang w:val="en-US" w:eastAsia="zh-CN"/>
              </w:rPr>
              <w:t>13.</w:t>
            </w:r>
            <w:r>
              <w:rPr>
                <w:rFonts w:hint="eastAsia" w:ascii="宋体" w:hAnsi="宋体" w:eastAsia="等线" w:cs="宋体"/>
                <w:sz w:val="21"/>
                <w:szCs w:val="21"/>
              </w:rPr>
              <w:t>售后服务：提供至少三年原厂免费维保服务。</w:t>
            </w:r>
          </w:p>
          <w:p w14:paraId="45789E48">
            <w:pPr>
              <w:pStyle w:val="45"/>
              <w:ind w:firstLine="0" w:firstLineChars="0"/>
              <w:rPr>
                <w:rFonts w:hint="eastAsia" w:ascii="宋体" w:hAnsi="宋体" w:eastAsia="等线" w:cs="宋体"/>
                <w:sz w:val="21"/>
                <w:szCs w:val="21"/>
              </w:rPr>
            </w:pPr>
          </w:p>
          <w:p w14:paraId="7D8BD98B">
            <w:pPr>
              <w:pStyle w:val="45"/>
              <w:ind w:firstLine="0" w:firstLineChars="0"/>
              <w:rPr>
                <w:rFonts w:ascii="宋体" w:hAnsi="宋体" w:eastAsia="等线" w:cs="宋体"/>
                <w:sz w:val="21"/>
                <w:szCs w:val="21"/>
              </w:rPr>
            </w:pPr>
            <w:r>
              <w:rPr>
                <w:rFonts w:hint="eastAsia" w:ascii="宋体" w:hAnsi="宋体" w:eastAsia="等线" w:cs="宋体"/>
                <w:sz w:val="21"/>
                <w:szCs w:val="21"/>
              </w:rPr>
              <w:t>随机软件：</w:t>
            </w:r>
          </w:p>
          <w:p w14:paraId="0BEAE72E">
            <w:pPr>
              <w:pStyle w:val="45"/>
              <w:ind w:firstLine="0" w:firstLineChars="0"/>
              <w:rPr>
                <w:rFonts w:ascii="宋体" w:hAnsi="宋体" w:eastAsia="等线" w:cs="宋体"/>
                <w:sz w:val="21"/>
                <w:szCs w:val="21"/>
              </w:rPr>
            </w:pPr>
            <w:r>
              <w:rPr>
                <w:rFonts w:hint="eastAsia" w:ascii="宋体" w:hAnsi="宋体" w:eastAsia="等线" w:cs="宋体"/>
                <w:sz w:val="21"/>
                <w:szCs w:val="21"/>
              </w:rPr>
              <w:t>1.为方便学校系统管理员、上课老师等多角色高效管理与教学，云桌面管理平台支持在专业模式和导航模式随意切换；专业模式的功能采用树状结构布局，用户可实现功能逻辑化管理；导航模式功能采用扁平化结构布局，用户对常用功能实现一键管理。</w:t>
            </w:r>
          </w:p>
          <w:p w14:paraId="5138A7AB">
            <w:pPr>
              <w:pStyle w:val="45"/>
              <w:ind w:firstLine="0" w:firstLineChars="0"/>
              <w:rPr>
                <w:rFonts w:ascii="宋体" w:hAnsi="宋体" w:eastAsia="等线" w:cs="宋体"/>
                <w:sz w:val="21"/>
                <w:szCs w:val="21"/>
              </w:rPr>
            </w:pPr>
            <w:r>
              <w:rPr>
                <w:rFonts w:hint="eastAsia" w:ascii="宋体" w:hAnsi="宋体" w:eastAsia="等线" w:cs="宋体"/>
                <w:sz w:val="21"/>
                <w:szCs w:val="21"/>
              </w:rPr>
              <w:t>2.软件、网站的黑白名单功能：为避免使用者运行访问教学无关的软件和网站，支持对软件、网站设置黑白名单。</w:t>
            </w:r>
          </w:p>
          <w:p w14:paraId="5CD81E3B">
            <w:pPr>
              <w:pStyle w:val="45"/>
              <w:ind w:firstLine="0" w:firstLineChars="0"/>
              <w:rPr>
                <w:rFonts w:ascii="宋体" w:hAnsi="宋体" w:eastAsia="等线" w:cs="宋体"/>
                <w:sz w:val="21"/>
                <w:szCs w:val="21"/>
              </w:rPr>
            </w:pPr>
            <w:r>
              <w:rPr>
                <w:rFonts w:hint="eastAsia" w:ascii="宋体" w:hAnsi="宋体" w:eastAsia="等线" w:cs="宋体"/>
                <w:sz w:val="21"/>
                <w:szCs w:val="21"/>
              </w:rPr>
              <w:t>3.为方便学校掌握终端硬件运行情况，支持平台收集所有终端的运行状态信息，包含但不限于终端名称、CPU温度、开机时间、硬盘信息等。</w:t>
            </w:r>
          </w:p>
          <w:p w14:paraId="37E48CFF">
            <w:pPr>
              <w:pStyle w:val="45"/>
              <w:ind w:firstLine="0" w:firstLineChars="0"/>
              <w:rPr>
                <w:rFonts w:ascii="宋体" w:hAnsi="宋体" w:eastAsia="等线" w:cs="宋体"/>
                <w:sz w:val="21"/>
                <w:szCs w:val="21"/>
              </w:rPr>
            </w:pPr>
            <w:r>
              <w:rPr>
                <w:rFonts w:hint="eastAsia" w:ascii="宋体" w:hAnsi="宋体" w:eastAsia="等线" w:cs="宋体"/>
                <w:sz w:val="21"/>
                <w:szCs w:val="21"/>
              </w:rPr>
              <w:t>4.★为确保系统运行的流畅性与稳定性，在面临终端遭受病毒侵袭及垃圾文件累积过多等潜在风险时，支持通过管理端集中执行病毒全面查杀与系统瘦身，以有效防止因这些问题导致的系统缓慢或崩溃现象，从而保障用户的顺畅使用体验。</w:t>
            </w:r>
          </w:p>
          <w:p w14:paraId="084B4171">
            <w:pPr>
              <w:pStyle w:val="45"/>
              <w:ind w:firstLine="0" w:firstLineChars="0"/>
              <w:rPr>
                <w:rFonts w:ascii="宋体" w:hAnsi="宋体" w:eastAsia="等线" w:cs="宋体"/>
                <w:sz w:val="21"/>
                <w:szCs w:val="21"/>
              </w:rPr>
            </w:pPr>
            <w:r>
              <w:rPr>
                <w:rFonts w:hint="eastAsia" w:ascii="宋体" w:hAnsi="宋体" w:eastAsia="等线" w:cs="宋体"/>
                <w:sz w:val="21"/>
                <w:szCs w:val="21"/>
                <w:lang w:val="en-US" w:eastAsia="zh-CN"/>
              </w:rPr>
              <w:t>5</w:t>
            </w:r>
            <w:r>
              <w:rPr>
                <w:rFonts w:hint="eastAsia" w:ascii="宋体" w:hAnsi="宋体" w:eastAsia="等线" w:cs="宋体"/>
                <w:sz w:val="21"/>
                <w:szCs w:val="21"/>
              </w:rPr>
              <w:t>.为方便学校对教学软件运行情况的统计，支持平台收集所有终端的软件信息，包含但不限于程序名称、运行次数、运行时长、版本、程序大小等。</w:t>
            </w:r>
          </w:p>
          <w:p w14:paraId="5E89E5FB">
            <w:pPr>
              <w:pStyle w:val="45"/>
              <w:ind w:firstLine="0" w:firstLineChars="0"/>
              <w:rPr>
                <w:rFonts w:ascii="宋体" w:hAnsi="宋体" w:eastAsia="等线" w:cs="宋体"/>
                <w:sz w:val="21"/>
                <w:szCs w:val="21"/>
              </w:rPr>
            </w:pPr>
            <w:r>
              <w:rPr>
                <w:rFonts w:hint="eastAsia" w:ascii="宋体" w:hAnsi="宋体" w:eastAsia="等线" w:cs="宋体"/>
                <w:sz w:val="21"/>
                <w:szCs w:val="21"/>
                <w:lang w:val="en-US" w:eastAsia="zh-CN"/>
              </w:rPr>
              <w:t>6</w:t>
            </w:r>
            <w:r>
              <w:rPr>
                <w:rFonts w:hint="eastAsia" w:ascii="宋体" w:hAnsi="宋体" w:eastAsia="等线" w:cs="宋体"/>
                <w:sz w:val="21"/>
                <w:szCs w:val="21"/>
              </w:rPr>
              <w:t>.可提供网盘功能：支持用户在终端登录网盘，实现数据漫游与数据共享；支持用户将网盘中的文件分享给其他用户，其他用户可通过链接和提取码查看文件。</w:t>
            </w:r>
          </w:p>
          <w:p w14:paraId="1AF76F70">
            <w:pPr>
              <w:pStyle w:val="45"/>
              <w:ind w:firstLine="0" w:firstLineChars="0"/>
              <w:rPr>
                <w:rFonts w:ascii="宋体" w:hAnsi="宋体" w:eastAsia="等线" w:cs="宋体"/>
                <w:sz w:val="21"/>
                <w:szCs w:val="21"/>
              </w:rPr>
            </w:pPr>
            <w:r>
              <w:rPr>
                <w:rFonts w:hint="eastAsia" w:ascii="宋体" w:hAnsi="宋体" w:eastAsia="等线" w:cs="宋体"/>
                <w:sz w:val="21"/>
                <w:szCs w:val="21"/>
                <w:lang w:val="en-US" w:eastAsia="zh-CN"/>
              </w:rPr>
              <w:t>7</w:t>
            </w:r>
            <w:r>
              <w:rPr>
                <w:rFonts w:hint="eastAsia" w:ascii="宋体" w:hAnsi="宋体" w:eastAsia="等线" w:cs="宋体"/>
                <w:sz w:val="21"/>
                <w:szCs w:val="21"/>
              </w:rPr>
              <w:t>.为保障在大批量终端集中下发与更新镜像时能够获得更快的速度，当学校网络带宽有限时，可支持在管理集群内将主服务器内镜像提前下发至IO服务器，通过IO服务器分发镜像，实现数据分流，提升局域网内镜像的更新速度。</w:t>
            </w:r>
          </w:p>
          <w:p w14:paraId="0FBD6E03">
            <w:pPr>
              <w:pStyle w:val="45"/>
              <w:ind w:firstLine="0" w:firstLineChars="0"/>
              <w:rPr>
                <w:rFonts w:hint="eastAsia" w:ascii="宋体" w:hAnsi="宋体" w:eastAsia="等线" w:cs="宋体"/>
                <w:sz w:val="21"/>
                <w:szCs w:val="21"/>
              </w:rPr>
            </w:pPr>
            <w:r>
              <w:rPr>
                <w:rFonts w:hint="eastAsia" w:ascii="宋体" w:hAnsi="宋体" w:eastAsia="等线" w:cs="宋体"/>
                <w:sz w:val="21"/>
                <w:szCs w:val="21"/>
                <w:lang w:val="en-US" w:eastAsia="zh-CN"/>
              </w:rPr>
              <w:t>8</w:t>
            </w:r>
            <w:r>
              <w:rPr>
                <w:rFonts w:hint="eastAsia" w:ascii="宋体" w:hAnsi="宋体" w:eastAsia="等线" w:cs="宋体"/>
                <w:sz w:val="21"/>
                <w:szCs w:val="21"/>
              </w:rPr>
              <w:t>.为满足学校对多教学场景的切换，支持三种模式对某一系统盘和数据盘的管理，即还原模式、读写模式、 学习模式。</w:t>
            </w:r>
          </w:p>
          <w:p w14:paraId="4290555F">
            <w:pPr>
              <w:pStyle w:val="45"/>
              <w:ind w:firstLine="0" w:firstLineChars="0"/>
              <w:rPr>
                <w:rFonts w:hint="eastAsia" w:ascii="宋体" w:hAnsi="宋体" w:eastAsia="等线" w:cs="宋体"/>
                <w:kern w:val="0"/>
                <w:sz w:val="21"/>
                <w:szCs w:val="21"/>
                <w:lang w:val="en-US" w:eastAsia="zh-CN" w:bidi="ar-SA"/>
              </w:rPr>
            </w:pPr>
            <w:r>
              <w:rPr>
                <w:rFonts w:hint="eastAsia" w:ascii="宋体" w:hAnsi="宋体" w:eastAsia="等线" w:cs="宋体"/>
                <w:kern w:val="0"/>
                <w:sz w:val="21"/>
                <w:szCs w:val="21"/>
                <w:lang w:val="en-US" w:eastAsia="zh-CN" w:bidi="ar-SA"/>
              </w:rPr>
              <w:t>9.★提供备课与教学云空间功能，老师可将课件、教材等上传至云空间，上传后数据可跟随老师账号实时漫游，可在教室直接登陆并使用，避免因使用U盘导致的病毒交叉感染；云空间支持文件分享功能，可通过链接和提取码的方式分享给其他老师或学生，构建校内资源与知识共享平台。</w:t>
            </w:r>
          </w:p>
          <w:p w14:paraId="726E04EE">
            <w:pPr>
              <w:widowControl w:val="0"/>
              <w:wordWrap/>
              <w:autoSpaceDE w:val="0"/>
              <w:autoSpaceDN w:val="0"/>
              <w:adjustRightInd/>
              <w:snapToGrid/>
              <w:ind w:firstLine="0" w:firstLineChars="0"/>
              <w:textAlignment w:val="auto"/>
              <w:rPr>
                <w:rFonts w:hint="eastAsia"/>
              </w:rPr>
            </w:pPr>
            <w:r>
              <w:rPr>
                <w:rFonts w:hint="eastAsia" w:ascii="宋体" w:hAnsi="宋体" w:eastAsia="等线" w:cs="宋体"/>
                <w:kern w:val="0"/>
                <w:sz w:val="21"/>
                <w:szCs w:val="21"/>
                <w:lang w:val="en-US" w:eastAsia="zh-CN" w:bidi="ar-SA"/>
              </w:rPr>
              <w:t>10.为避免网络端口被占用而引起的教学环境不可用的问题，云桌面管理平台支持对服务器使用的网络端口进行检测，并通过检测结果帮助管理员快速分析和解决问题。</w:t>
            </w:r>
          </w:p>
        </w:tc>
        <w:tc>
          <w:tcPr>
            <w:tcW w:w="1260" w:type="dxa"/>
            <w:vAlign w:val="center"/>
          </w:tcPr>
          <w:p w14:paraId="6E0D3228">
            <w:pPr>
              <w:widowControl w:val="0"/>
              <w:wordWrap/>
              <w:autoSpaceDE w:val="0"/>
              <w:autoSpaceDN w:val="0"/>
              <w:adjustRightInd/>
              <w:snapToGrid/>
              <w:ind w:firstLine="0" w:firstLineChars="0"/>
              <w:jc w:val="both"/>
              <w:textAlignment w:val="auto"/>
              <w:rPr>
                <w:rFonts w:hint="eastAsia" w:eastAsia="宋体"/>
                <w:lang w:val="en-US" w:eastAsia="zh-CN"/>
              </w:rPr>
            </w:pPr>
            <w:r>
              <w:rPr>
                <w:rFonts w:hint="eastAsia"/>
                <w:lang w:val="en-US" w:eastAsia="zh-CN"/>
              </w:rPr>
              <w:t xml:space="preserve">  576（台）</w:t>
            </w:r>
          </w:p>
        </w:tc>
        <w:tc>
          <w:tcPr>
            <w:tcW w:w="1073" w:type="dxa"/>
            <w:vAlign w:val="center"/>
          </w:tcPr>
          <w:p w14:paraId="2F88246E">
            <w:pPr>
              <w:widowControl w:val="0"/>
              <w:wordWrap/>
              <w:autoSpaceDE w:val="0"/>
              <w:autoSpaceDN w:val="0"/>
              <w:adjustRightInd/>
              <w:snapToGrid/>
              <w:ind w:firstLine="0" w:firstLineChars="0"/>
              <w:jc w:val="center"/>
              <w:textAlignment w:val="auto"/>
              <w:rPr>
                <w:rFonts w:hint="eastAsia" w:eastAsia="宋体"/>
                <w:lang w:val="en-US" w:eastAsia="zh-CN"/>
              </w:rPr>
            </w:pPr>
            <w:r>
              <w:rPr>
                <w:rFonts w:hint="eastAsia"/>
                <w:lang w:val="en-US" w:eastAsia="zh-CN"/>
              </w:rPr>
              <w:t>2805120</w:t>
            </w:r>
          </w:p>
        </w:tc>
        <w:tc>
          <w:tcPr>
            <w:tcW w:w="982" w:type="dxa"/>
            <w:vAlign w:val="center"/>
          </w:tcPr>
          <w:p w14:paraId="169A151B">
            <w:pPr>
              <w:widowControl w:val="0"/>
              <w:wordWrap/>
              <w:autoSpaceDE w:val="0"/>
              <w:autoSpaceDN w:val="0"/>
              <w:adjustRightInd/>
              <w:snapToGrid/>
              <w:ind w:firstLine="0" w:firstLineChars="0"/>
              <w:jc w:val="center"/>
              <w:textAlignment w:val="auto"/>
              <w:rPr>
                <w:rFonts w:hint="eastAsia" w:eastAsia="宋体"/>
                <w:lang w:val="en-US" w:eastAsia="zh-CN"/>
              </w:rPr>
            </w:pPr>
            <w:r>
              <w:rPr>
                <w:rFonts w:hint="eastAsia" w:ascii="Times New Roman" w:hAnsi="Times New Roman"/>
                <w:sz w:val="24"/>
                <w:szCs w:val="24"/>
                <w:highlight w:val="none"/>
              </w:rPr>
              <w:t>制造业</w:t>
            </w:r>
          </w:p>
        </w:tc>
        <w:tc>
          <w:tcPr>
            <w:tcW w:w="1035" w:type="dxa"/>
            <w:vAlign w:val="center"/>
          </w:tcPr>
          <w:p w14:paraId="4AF1BDF0">
            <w:pPr>
              <w:widowControl w:val="0"/>
              <w:wordWrap/>
              <w:autoSpaceDE w:val="0"/>
              <w:autoSpaceDN w:val="0"/>
              <w:adjustRightInd/>
              <w:snapToGrid/>
              <w:ind w:firstLine="0" w:firstLineChars="0"/>
              <w:jc w:val="both"/>
              <w:textAlignment w:val="auto"/>
              <w:rPr>
                <w:rFonts w:hint="eastAsia" w:eastAsia="宋体"/>
                <w:lang w:val="en-US" w:eastAsia="zh-CN"/>
              </w:rPr>
            </w:pPr>
            <w:r>
              <w:rPr>
                <w:rFonts w:hint="eastAsia"/>
                <w:lang w:val="en-US" w:eastAsia="zh-CN"/>
              </w:rPr>
              <w:t xml:space="preserve">    是</w:t>
            </w:r>
          </w:p>
        </w:tc>
      </w:tr>
    </w:tbl>
    <w:p w14:paraId="0ADACBE4">
      <w:pPr>
        <w:keepNext/>
        <w:keepLines/>
        <w:widowControl w:val="0"/>
        <w:numPr>
          <w:ilvl w:val="2"/>
          <w:numId w:val="0"/>
        </w:numPr>
        <w:spacing w:before="317" w:after="317" w:line="360" w:lineRule="auto"/>
        <w:ind w:left="0" w:firstLineChars="0"/>
        <w:jc w:val="left"/>
        <w:outlineLvl w:val="2"/>
        <w:rPr>
          <w:rFonts w:ascii="黑体" w:hAnsi="黑体" w:eastAsia="仿宋" w:cs="Times New Roman"/>
          <w:b/>
          <w:bCs/>
          <w:kern w:val="2"/>
          <w:sz w:val="30"/>
          <w:szCs w:val="32"/>
          <w:lang w:val="en-US" w:eastAsia="zh-CN" w:bidi="ar-SA"/>
        </w:rPr>
      </w:pPr>
      <w:bookmarkStart w:id="30" w:name="_GoBack"/>
      <w:bookmarkEnd w:id="30"/>
    </w:p>
    <w:p w14:paraId="011B9BA8">
      <w:pPr>
        <w:rPr>
          <w:rFonts w:hint="eastAsia"/>
          <w:lang w:val="en-US" w:eastAsia="zh-CN"/>
        </w:rPr>
      </w:pPr>
    </w:p>
    <w:p w14:paraId="7E5B0969">
      <w:pPr>
        <w:pStyle w:val="45"/>
        <w:ind w:firstLine="0" w:firstLineChars="0"/>
        <w:rPr>
          <w:rFonts w:hint="eastAsia" w:ascii="宋体" w:hAnsi="宋体" w:cs="宋体"/>
          <w:b/>
          <w:bCs/>
          <w:color w:val="FF0000"/>
          <w:szCs w:val="21"/>
        </w:rPr>
      </w:pPr>
      <w:r>
        <w:rPr>
          <w:rFonts w:hint="eastAsia" w:ascii="宋体" w:hAnsi="宋体" w:cs="宋体"/>
          <w:b/>
          <w:bCs/>
          <w:color w:val="FF0000"/>
          <w:szCs w:val="21"/>
        </w:rPr>
        <w:t>注：</w:t>
      </w:r>
    </w:p>
    <w:p w14:paraId="1035B792">
      <w:pPr>
        <w:ind w:firstLine="316" w:firstLineChars="150"/>
        <w:rPr>
          <w:rFonts w:hint="eastAsia" w:ascii="宋体" w:hAnsi="宋体" w:cs="宋体"/>
          <w:b/>
          <w:bCs/>
          <w:color w:val="FF0000"/>
          <w:szCs w:val="21"/>
        </w:rPr>
      </w:pPr>
      <w:r>
        <w:rPr>
          <w:rFonts w:hint="eastAsia" w:ascii="宋体" w:hAnsi="宋体" w:cs="宋体"/>
          <w:b/>
          <w:bCs/>
          <w:color w:val="FF0000"/>
          <w:szCs w:val="21"/>
        </w:rPr>
        <w:t>技术指标中带“</w:t>
      </w:r>
      <w:r>
        <w:rPr>
          <w:rFonts w:hint="eastAsia" w:ascii="宋体" w:hAnsi="宋体" w:cs="宋体"/>
          <w:color w:val="FF0000"/>
          <w:szCs w:val="21"/>
        </w:rPr>
        <w:t>★</w:t>
      </w:r>
      <w:r>
        <w:rPr>
          <w:rFonts w:hint="eastAsia" w:ascii="宋体" w:hAnsi="宋体" w:cs="宋体"/>
          <w:b/>
          <w:bCs/>
          <w:color w:val="FF0000"/>
          <w:szCs w:val="21"/>
        </w:rPr>
        <w:t>”参数指标，投标人所投产品的技术指标没有完全响应的视作没有响应招标文件，不能通过初审。</w:t>
      </w:r>
    </w:p>
    <w:p w14:paraId="3B069280">
      <w:pPr>
        <w:rPr>
          <w:rFonts w:hint="eastAsia" w:ascii="宋体"/>
          <w:sz w:val="24"/>
        </w:rPr>
      </w:pPr>
      <w:r>
        <w:rPr>
          <w:rFonts w:hint="eastAsia"/>
          <w:b/>
          <w:bCs/>
          <w:sz w:val="24"/>
        </w:rPr>
        <w:t>项目总体要求：</w:t>
      </w:r>
    </w:p>
    <w:p w14:paraId="1179B42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sz w:val="24"/>
        </w:rPr>
        <w:t>所投产品为原厂原装品牌整机，拒绝组装机、改装机、翻新机，</w:t>
      </w:r>
      <w:r>
        <w:rPr>
          <w:rFonts w:hint="eastAsia" w:ascii="宋体" w:hAnsi="宋体" w:eastAsia="宋体" w:cs="宋体"/>
          <w:color w:val="auto"/>
          <w:sz w:val="24"/>
          <w:szCs w:val="24"/>
          <w:highlight w:val="none"/>
          <w:lang w:val="en-US" w:eastAsia="zh-CN"/>
        </w:rPr>
        <w:t>本项目完全执行强制采购节能产品，优先采购环保产品的政策。</w:t>
      </w:r>
    </w:p>
    <w:p w14:paraId="170F5CF5">
      <w:pPr>
        <w:spacing w:line="360" w:lineRule="auto"/>
        <w:ind w:firstLine="480" w:firstLineChars="200"/>
        <w:rPr>
          <w:rFonts w:hint="eastAsia" w:ascii="宋体"/>
          <w:sz w:val="24"/>
        </w:rPr>
      </w:pPr>
      <w:r>
        <w:rPr>
          <w:rFonts w:hint="eastAsia" w:ascii="宋体" w:hAnsi="宋体"/>
          <w:sz w:val="24"/>
        </w:rPr>
        <w:t>质保要求：三年。</w:t>
      </w:r>
    </w:p>
    <w:p w14:paraId="4081393E">
      <w:pPr>
        <w:spacing w:line="360" w:lineRule="auto"/>
        <w:ind w:firstLine="480" w:firstLineChars="200"/>
        <w:rPr>
          <w:rFonts w:hint="eastAsia" w:ascii="宋体" w:hAnsi="宋体"/>
          <w:sz w:val="24"/>
        </w:rPr>
      </w:pPr>
      <w:r>
        <w:rPr>
          <w:rFonts w:hint="eastAsia" w:ascii="宋体" w:hAnsi="宋体"/>
          <w:sz w:val="24"/>
        </w:rPr>
        <w:t>交货时间：</w:t>
      </w:r>
      <w:bookmarkStart w:id="18" w:name="OLE_LINK160"/>
      <w:bookmarkStart w:id="19" w:name="OLE_LINK161"/>
      <w:r>
        <w:rPr>
          <w:rFonts w:hint="eastAsia" w:ascii="宋体" w:hAnsi="宋体"/>
          <w:sz w:val="24"/>
          <w:highlight w:val="none"/>
        </w:rPr>
        <w:t>自合同签订起35日并安装调试完毕。</w:t>
      </w:r>
      <w:bookmarkEnd w:id="18"/>
      <w:bookmarkEnd w:id="19"/>
    </w:p>
    <w:p w14:paraId="5D68B4A8">
      <w:pPr>
        <w:spacing w:line="360" w:lineRule="auto"/>
        <w:ind w:firstLine="480" w:firstLineChars="200"/>
        <w:jc w:val="left"/>
        <w:rPr>
          <w:rFonts w:hint="eastAsia"/>
          <w:b/>
          <w:bCs/>
          <w:szCs w:val="21"/>
        </w:rPr>
      </w:pPr>
      <w:r>
        <w:rPr>
          <w:rFonts w:hint="eastAsia" w:ascii="宋体" w:hAnsi="宋体"/>
          <w:bCs/>
          <w:sz w:val="24"/>
        </w:rPr>
        <w:t>供货地点：</w:t>
      </w:r>
      <w:r>
        <w:rPr>
          <w:rFonts w:hint="eastAsia" w:ascii="宋体" w:hAnsi="宋体"/>
          <w:bCs/>
          <w:sz w:val="24"/>
          <w:lang w:val="en-US" w:eastAsia="zh-CN"/>
        </w:rPr>
        <w:t>前郭</w:t>
      </w:r>
      <w:r>
        <w:rPr>
          <w:rFonts w:hint="eastAsia" w:ascii="宋体" w:hAnsi="宋体"/>
          <w:bCs/>
          <w:sz w:val="24"/>
        </w:rPr>
        <w:t>县</w:t>
      </w:r>
      <w:r>
        <w:rPr>
          <w:rFonts w:hint="eastAsia" w:ascii="宋体" w:hAnsi="宋体"/>
          <w:bCs/>
          <w:sz w:val="24"/>
          <w:lang w:val="en-US" w:eastAsia="zh-CN"/>
        </w:rPr>
        <w:t>31</w:t>
      </w:r>
      <w:r>
        <w:rPr>
          <w:rFonts w:hint="eastAsia" w:ascii="宋体" w:hAnsi="宋体"/>
          <w:bCs/>
          <w:sz w:val="24"/>
        </w:rPr>
        <w:t>所学校</w:t>
      </w:r>
    </w:p>
    <w:p w14:paraId="5F2533D0">
      <w:pPr>
        <w:spacing w:line="360" w:lineRule="auto"/>
        <w:ind w:firstLine="480" w:firstLineChars="200"/>
        <w:rPr>
          <w:sz w:val="24"/>
        </w:rPr>
      </w:pPr>
      <w:r>
        <w:rPr>
          <w:rFonts w:hint="eastAsia" w:ascii="宋体" w:hAnsi="宋体"/>
          <w:sz w:val="24"/>
        </w:rPr>
        <w:t>交货方式：由中标人负责将货物安全完好运抵交货地点、安装调试并保证验收合格。</w:t>
      </w:r>
    </w:p>
    <w:p w14:paraId="70541BD6">
      <w:pPr>
        <w:spacing w:line="360" w:lineRule="auto"/>
        <w:ind w:firstLine="354" w:firstLineChars="147"/>
        <w:rPr>
          <w:b/>
          <w:bCs/>
          <w:sz w:val="24"/>
          <w:lang w:val="zh-CN"/>
        </w:rPr>
      </w:pPr>
      <w:r>
        <w:rPr>
          <w:rFonts w:hint="eastAsia" w:ascii="黑体" w:hAnsi="黑体"/>
          <w:b/>
          <w:bCs/>
          <w:sz w:val="24"/>
          <w:lang w:val="en-US" w:eastAsia="zh-CN"/>
        </w:rPr>
        <w:t xml:space="preserve"> </w:t>
      </w:r>
      <w:r>
        <w:rPr>
          <w:rFonts w:hint="eastAsia" w:ascii="黑体" w:hAnsi="黑体"/>
          <w:b/>
          <w:bCs/>
          <w:sz w:val="24"/>
        </w:rPr>
        <w:t>售后服务要求：</w:t>
      </w:r>
    </w:p>
    <w:p w14:paraId="7B088162">
      <w:pPr>
        <w:spacing w:line="360" w:lineRule="auto"/>
        <w:ind w:firstLine="480" w:firstLineChars="200"/>
        <w:rPr>
          <w:rFonts w:ascii="宋体"/>
          <w:color w:val="000000"/>
          <w:sz w:val="24"/>
        </w:rPr>
      </w:pPr>
      <w:r>
        <w:rPr>
          <w:rFonts w:hint="eastAsia" w:ascii="宋体" w:hAnsi="宋体"/>
          <w:sz w:val="24"/>
        </w:rPr>
        <w:t>1.</w:t>
      </w:r>
      <w:r>
        <w:rPr>
          <w:rFonts w:hint="eastAsia" w:ascii="宋体"/>
          <w:color w:val="000000"/>
          <w:sz w:val="24"/>
          <w:lang w:val="zh-CN"/>
        </w:rPr>
        <w:t>服务响应时间不得超过1小时。</w:t>
      </w:r>
    </w:p>
    <w:p w14:paraId="00CD8150">
      <w:pPr>
        <w:spacing w:line="360" w:lineRule="auto"/>
        <w:ind w:firstLine="480" w:firstLineChars="200"/>
        <w:rPr>
          <w:rFonts w:hint="eastAsia" w:ascii="宋体"/>
          <w:sz w:val="24"/>
        </w:rPr>
      </w:pPr>
      <w:r>
        <w:rPr>
          <w:rFonts w:hint="eastAsia" w:ascii="宋体"/>
          <w:color w:val="000000"/>
          <w:sz w:val="24"/>
          <w:lang w:val="zh-CN"/>
        </w:rPr>
        <w:t>2</w:t>
      </w:r>
      <w:r>
        <w:rPr>
          <w:rFonts w:hint="eastAsia" w:ascii="宋体"/>
          <w:color w:val="000000"/>
          <w:sz w:val="24"/>
        </w:rPr>
        <w:t>.</w:t>
      </w:r>
      <w:r>
        <w:rPr>
          <w:rFonts w:hint="eastAsia" w:ascii="宋体"/>
          <w:color w:val="000000"/>
          <w:sz w:val="24"/>
          <w:lang w:val="zh-CN"/>
        </w:rPr>
        <w:t>在设备出现故障后，</w:t>
      </w:r>
      <w:r>
        <w:rPr>
          <w:rFonts w:hint="eastAsia" w:ascii="宋体"/>
          <w:color w:val="000000"/>
          <w:sz w:val="24"/>
        </w:rPr>
        <w:t>6</w:t>
      </w:r>
      <w:r>
        <w:rPr>
          <w:rFonts w:hint="eastAsia" w:ascii="宋体"/>
          <w:color w:val="000000"/>
          <w:sz w:val="24"/>
          <w:lang w:val="zh-CN"/>
        </w:rPr>
        <w:t>小时内到达现场进行检修。</w:t>
      </w:r>
    </w:p>
    <w:p w14:paraId="0D2B578D">
      <w:pPr>
        <w:spacing w:line="360" w:lineRule="auto"/>
        <w:ind w:firstLine="480" w:firstLineChars="200"/>
        <w:rPr>
          <w:rFonts w:hint="eastAsia"/>
          <w:lang w:val="en-US" w:eastAsia="zh-CN"/>
        </w:rPr>
        <w:sectPr>
          <w:pgSz w:w="16839" w:h="11907" w:orient="landscape"/>
          <w:pgMar w:top="1012" w:right="1130" w:bottom="1133" w:left="1135" w:header="0" w:footer="900" w:gutter="0"/>
          <w:cols w:space="720" w:num="1"/>
        </w:sectPr>
      </w:pPr>
      <w:r>
        <w:rPr>
          <w:rFonts w:hint="eastAsia" w:ascii="宋体" w:hAnsi="宋体"/>
          <w:sz w:val="24"/>
        </w:rPr>
        <w:t>3.投标时应提供售后服务承诺。</w:t>
      </w:r>
    </w:p>
    <w:p w14:paraId="68ADC01F">
      <w:pPr>
        <w:rPr>
          <w:rFonts w:hint="eastAsia" w:ascii="仿宋_GB2312" w:hAnsi="宋体" w:eastAsia="仿宋_GB2312" w:cs="宋体"/>
          <w:b/>
          <w:color w:val="000000"/>
          <w:sz w:val="32"/>
          <w:szCs w:val="32"/>
          <w:highlight w:val="none"/>
          <w:lang w:val="en-US" w:eastAsia="zh-CN"/>
        </w:rPr>
      </w:pPr>
      <w:r>
        <w:rPr>
          <w:rFonts w:hint="eastAsia" w:ascii="仿宋_GB2312" w:hAnsi="宋体" w:eastAsia="仿宋_GB2312" w:cs="宋体"/>
          <w:b/>
          <w:color w:val="000000"/>
          <w:sz w:val="32"/>
          <w:szCs w:val="32"/>
          <w:highlight w:val="none"/>
          <w:lang w:val="en-US" w:eastAsia="zh-CN"/>
        </w:rPr>
        <w:t xml:space="preserve">二、技术要求 </w:t>
      </w:r>
    </w:p>
    <w:p w14:paraId="10414673">
      <w:pPr>
        <w:keepNext w:val="0"/>
        <w:keepLines w:val="0"/>
        <w:pageBreakBefore w:val="0"/>
        <w:widowControl w:val="0"/>
        <w:kinsoku/>
        <w:wordWrap/>
        <w:overflowPunct/>
        <w:autoSpaceDE/>
        <w:autoSpaceDN/>
        <w:bidi w:val="0"/>
        <w:spacing w:line="520" w:lineRule="exact"/>
        <w:ind w:firstLine="640" w:firstLineChars="200"/>
        <w:textAlignment w:val="auto"/>
        <w:rPr>
          <w:rFonts w:hint="eastAsia"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lang w:val="en-US" w:eastAsia="zh-CN"/>
        </w:rPr>
        <w:t>.</w:t>
      </w:r>
      <w:r>
        <w:rPr>
          <w:rFonts w:hint="eastAsia" w:ascii="仿宋_GB2312" w:hAnsi="宋体" w:eastAsia="仿宋_GB2312" w:cs="宋体"/>
          <w:color w:val="000000"/>
          <w:sz w:val="32"/>
          <w:szCs w:val="32"/>
          <w:highlight w:val="none"/>
        </w:rPr>
        <w:t>技术要求</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符合国家相关行业规范标准。</w:t>
      </w:r>
    </w:p>
    <w:p w14:paraId="6A080690">
      <w:pPr>
        <w:keepNext w:val="0"/>
        <w:keepLines w:val="0"/>
        <w:pageBreakBefore w:val="0"/>
        <w:widowControl w:val="0"/>
        <w:kinsoku/>
        <w:wordWrap/>
        <w:overflowPunct/>
        <w:autoSpaceDE/>
        <w:autoSpaceDN/>
        <w:bidi w:val="0"/>
        <w:spacing w:line="520" w:lineRule="exact"/>
        <w:ind w:firstLine="640" w:firstLineChars="200"/>
        <w:textAlignment w:val="auto"/>
        <w:rPr>
          <w:rFonts w:hint="eastAsia"/>
          <w:highlight w:val="none"/>
        </w:rPr>
      </w:pPr>
      <w:r>
        <w:rPr>
          <w:rFonts w:hint="eastAsia" w:ascii="仿宋_GB2312" w:hAnsi="宋体" w:eastAsia="仿宋_GB2312" w:cs="宋体"/>
          <w:color w:val="000000"/>
          <w:sz w:val="32"/>
          <w:szCs w:val="32"/>
          <w:highlight w:val="none"/>
        </w:rPr>
        <w:t>2</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其他要求</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无</w:t>
      </w:r>
    </w:p>
    <w:p w14:paraId="25F486CA">
      <w:pPr>
        <w:spacing w:line="450" w:lineRule="atLeast"/>
        <w:ind w:firstLine="567"/>
        <w:rPr>
          <w:rFonts w:ascii="仿宋_GB2312" w:hAnsi="宋体" w:eastAsia="仿宋_GB2312" w:cs="宋体"/>
          <w:b/>
          <w:color w:val="000000"/>
          <w:sz w:val="32"/>
          <w:szCs w:val="32"/>
          <w:highlight w:val="none"/>
        </w:rPr>
      </w:pPr>
      <w:r>
        <w:rPr>
          <w:rFonts w:hint="eastAsia" w:ascii="宋体" w:hAnsi="宋体" w:eastAsia="宋体" w:cs="Times New Roman"/>
          <w:b/>
          <w:bCs/>
          <w:color w:val="000000"/>
          <w:spacing w:val="-11"/>
          <w:sz w:val="24"/>
          <w:highlight w:val="none"/>
          <w:lang w:val="en-US" w:eastAsia="zh-CN"/>
        </w:rPr>
        <w:t>*</w:t>
      </w:r>
      <w:r>
        <w:rPr>
          <w:rFonts w:hint="eastAsia" w:ascii="仿宋_GB2312" w:hAnsi="宋体" w:eastAsia="仿宋_GB2312" w:cs="宋体"/>
          <w:b/>
          <w:color w:val="000000"/>
          <w:sz w:val="32"/>
          <w:szCs w:val="32"/>
          <w:highlight w:val="none"/>
          <w:lang w:val="en-US" w:eastAsia="zh-CN"/>
        </w:rPr>
        <w:t>三</w:t>
      </w:r>
      <w:r>
        <w:rPr>
          <w:rFonts w:hint="eastAsia" w:ascii="仿宋_GB2312" w:hAnsi="宋体" w:eastAsia="仿宋_GB2312" w:cs="宋体"/>
          <w:b/>
          <w:color w:val="000000"/>
          <w:sz w:val="32"/>
          <w:szCs w:val="32"/>
          <w:highlight w:val="none"/>
        </w:rPr>
        <w:t>、商务要求</w:t>
      </w:r>
    </w:p>
    <w:p w14:paraId="4883D942">
      <w:pPr>
        <w:numPr>
          <w:ilvl w:val="0"/>
          <w:numId w:val="0"/>
        </w:numPr>
        <w:spacing w:line="450" w:lineRule="atLeast"/>
        <w:ind w:firstLine="640" w:firstLineChars="200"/>
        <w:rPr>
          <w:rFonts w:hint="default" w:ascii="仿宋_GB2312" w:hAnsi="宋体" w:eastAsia="仿宋_GB2312" w:cs="宋体"/>
          <w:color w:val="000000"/>
          <w:sz w:val="32"/>
          <w:szCs w:val="32"/>
          <w:highlight w:val="none"/>
          <w:lang w:val="en-US" w:eastAsia="zh-CN"/>
        </w:rPr>
      </w:pP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付款方式</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lang w:val="en-US" w:eastAsia="zh-CN"/>
        </w:rPr>
        <w:t>一次付清 。总验收报告完成后，达到付款条件起15日，支付合同总金额的100.00％。</w:t>
      </w:r>
    </w:p>
    <w:p w14:paraId="08E89DED">
      <w:pPr>
        <w:numPr>
          <w:ilvl w:val="0"/>
          <w:numId w:val="0"/>
        </w:numPr>
        <w:spacing w:line="450" w:lineRule="atLeast"/>
        <w:ind w:firstLine="640" w:firstLineChars="200"/>
        <w:rPr>
          <w:rFonts w:hint="eastAsia" w:ascii="仿宋_GB2312" w:hAnsi="宋体" w:eastAsia="仿宋_GB2312" w:cs="宋体"/>
          <w:color w:val="000000"/>
          <w:sz w:val="32"/>
          <w:szCs w:val="32"/>
          <w:highlight w:val="none"/>
          <w:lang w:val="en-US" w:eastAsia="zh-CN"/>
        </w:rPr>
      </w:pP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交货时间</w:t>
      </w:r>
      <w:r>
        <w:rPr>
          <w:rFonts w:hint="eastAsia" w:ascii="仿宋_GB2312" w:hAnsi="宋体" w:eastAsia="仿宋_GB2312" w:cs="宋体"/>
          <w:color w:val="000000"/>
          <w:sz w:val="32"/>
          <w:szCs w:val="32"/>
          <w:highlight w:val="none"/>
          <w:lang w:val="en-US" w:eastAsia="zh-CN"/>
        </w:rPr>
        <w:t>：自合同签订之日起35内完成供货及安装，并保证验收合格。</w:t>
      </w:r>
    </w:p>
    <w:p w14:paraId="78719D4B">
      <w:pPr>
        <w:numPr>
          <w:ilvl w:val="0"/>
          <w:numId w:val="0"/>
        </w:numPr>
        <w:spacing w:line="450" w:lineRule="atLeast"/>
        <w:ind w:firstLine="640" w:firstLineChars="200"/>
        <w:rPr>
          <w:rFonts w:hint="default" w:ascii="仿宋_GB2312" w:hAnsi="宋体" w:eastAsia="仿宋_GB2312" w:cs="宋体"/>
          <w:color w:val="000000"/>
          <w:sz w:val="32"/>
          <w:szCs w:val="32"/>
          <w:highlight w:val="none"/>
          <w:lang w:val="en-US" w:eastAsia="zh-CN"/>
        </w:rPr>
      </w:pPr>
      <w:r>
        <w:rPr>
          <w:rFonts w:hint="eastAsia" w:ascii="仿宋_GB2312" w:hAnsi="宋体" w:eastAsia="仿宋_GB2312" w:cs="宋体"/>
          <w:color w:val="000000"/>
          <w:sz w:val="32"/>
          <w:szCs w:val="32"/>
          <w:highlight w:val="none"/>
          <w:lang w:val="en-US" w:eastAsia="zh-CN"/>
        </w:rPr>
        <w:t>3.履约验收时间：供应商提出验收申请之日起7日内组织验收。</w:t>
      </w:r>
    </w:p>
    <w:p w14:paraId="6695CBCA">
      <w:pPr>
        <w:spacing w:line="450" w:lineRule="atLeast"/>
        <w:ind w:firstLine="640" w:firstLineChars="200"/>
        <w:rPr>
          <w:rFonts w:hint="eastAsia" w:ascii="仿宋_GB2312" w:hAnsi="宋体" w:eastAsia="仿宋_GB2312" w:cs="宋体"/>
          <w:color w:val="000000"/>
          <w:sz w:val="32"/>
          <w:szCs w:val="32"/>
          <w:highlight w:val="none"/>
          <w:lang w:val="en-US" w:eastAsia="zh-CN"/>
        </w:rPr>
      </w:pP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lang w:val="en-US" w:eastAsia="zh-CN"/>
        </w:rPr>
        <w:t>交货地点：前郭县31所学校。</w:t>
      </w:r>
    </w:p>
    <w:p w14:paraId="192E1D00">
      <w:pPr>
        <w:spacing w:line="450" w:lineRule="atLeast"/>
        <w:ind w:firstLine="640" w:firstLineChars="200"/>
        <w:rPr>
          <w:rFonts w:hint="eastAsia" w:ascii="仿宋_GB2312" w:hAnsi="宋体" w:eastAsia="仿宋_GB2312" w:cs="宋体"/>
          <w:color w:val="000000"/>
          <w:sz w:val="32"/>
          <w:szCs w:val="32"/>
          <w:highlight w:val="none"/>
          <w:lang w:val="zh-CN" w:eastAsia="zh-CN"/>
        </w:rPr>
      </w:pPr>
      <w:r>
        <w:rPr>
          <w:rFonts w:hint="eastAsia" w:ascii="仿宋_GB2312" w:hAnsi="宋体" w:eastAsia="仿宋_GB2312" w:cs="宋体"/>
          <w:color w:val="000000"/>
          <w:sz w:val="32"/>
          <w:szCs w:val="32"/>
          <w:highlight w:val="none"/>
          <w:lang w:val="en-US" w:eastAsia="zh-CN"/>
        </w:rPr>
        <w:t>5.质量标准：</w:t>
      </w:r>
      <w:r>
        <w:rPr>
          <w:rFonts w:hint="eastAsia" w:ascii="仿宋_GB2312" w:hAnsi="宋体" w:eastAsia="仿宋_GB2312" w:cs="宋体"/>
          <w:color w:val="000000"/>
          <w:sz w:val="32"/>
          <w:szCs w:val="32"/>
          <w:highlight w:val="none"/>
          <w:lang w:val="zh-CN" w:eastAsia="zh-CN"/>
        </w:rPr>
        <w:t>符合国家质量标准要求。</w:t>
      </w:r>
    </w:p>
    <w:p w14:paraId="07A0C4AF">
      <w:pPr>
        <w:spacing w:line="450" w:lineRule="atLeast"/>
        <w:ind w:firstLine="640" w:firstLineChars="200"/>
        <w:rPr>
          <w:rFonts w:hint="eastAsia" w:ascii="仿宋_GB2312" w:hAnsi="宋体" w:eastAsia="仿宋_GB2312" w:cs="宋体"/>
          <w:color w:val="000000"/>
          <w:sz w:val="32"/>
          <w:szCs w:val="32"/>
          <w:highlight w:val="none"/>
          <w:lang w:val="en-US" w:eastAsia="zh-CN"/>
        </w:rPr>
      </w:pPr>
      <w:r>
        <w:rPr>
          <w:rFonts w:hint="eastAsia" w:ascii="仿宋_GB2312" w:hAnsi="宋体" w:eastAsia="仿宋_GB2312" w:cs="宋体"/>
          <w:color w:val="000000"/>
          <w:sz w:val="32"/>
          <w:szCs w:val="32"/>
          <w:highlight w:val="none"/>
          <w:lang w:val="en-US" w:eastAsia="zh-CN"/>
        </w:rPr>
        <w:t>6.质量保修范围和保修期：自交付验收合格之日起提供为期3年的质量保修服务。</w:t>
      </w:r>
    </w:p>
    <w:p w14:paraId="71BE47F0">
      <w:pPr>
        <w:spacing w:line="450" w:lineRule="atLeast"/>
        <w:ind w:firstLine="640" w:firstLineChars="200"/>
        <w:rPr>
          <w:rFonts w:hint="eastAsia" w:ascii="仿宋_GB2312" w:hAnsi="宋体" w:eastAsia="仿宋_GB2312" w:cs="宋体"/>
          <w:color w:val="000000"/>
          <w:sz w:val="32"/>
          <w:szCs w:val="32"/>
          <w:highlight w:val="none"/>
        </w:rPr>
      </w:pPr>
      <w:r>
        <w:rPr>
          <w:rFonts w:hint="eastAsia" w:ascii="仿宋_GB2312" w:hAnsi="宋体" w:eastAsia="仿宋_GB2312" w:cs="宋体"/>
          <w:color w:val="000000"/>
          <w:kern w:val="2"/>
          <w:sz w:val="32"/>
          <w:szCs w:val="32"/>
          <w:highlight w:val="none"/>
          <w:lang w:val="en-US" w:eastAsia="zh-CN" w:bidi="ar-SA"/>
        </w:rPr>
        <w:t>7.售后</w:t>
      </w:r>
      <w:r>
        <w:rPr>
          <w:rFonts w:hint="eastAsia" w:ascii="仿宋_GB2312" w:hAnsi="宋体" w:eastAsia="仿宋_GB2312" w:cs="宋体"/>
          <w:color w:val="000000"/>
          <w:sz w:val="32"/>
          <w:szCs w:val="32"/>
          <w:highlight w:val="none"/>
        </w:rPr>
        <w:t>服务：服务响应时间不得超过1小时</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在设备出现故障后，6小时内到达现场进行检修</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投标时应提供售后服务承诺。</w:t>
      </w:r>
    </w:p>
    <w:p w14:paraId="7E3F55E8">
      <w:pPr>
        <w:spacing w:line="450" w:lineRule="atLeast"/>
        <w:ind w:firstLine="567"/>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lang w:val="en-US" w:eastAsia="zh-CN"/>
        </w:rPr>
        <w:t>8.</w:t>
      </w:r>
      <w:r>
        <w:rPr>
          <w:rFonts w:hint="eastAsia" w:ascii="仿宋_GB2312" w:hAnsi="宋体" w:eastAsia="仿宋_GB2312" w:cs="宋体"/>
          <w:color w:val="000000"/>
          <w:sz w:val="32"/>
          <w:szCs w:val="32"/>
          <w:highlight w:val="none"/>
        </w:rPr>
        <w:t>其他要求</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 xml:space="preserve"> </w:t>
      </w:r>
      <w:r>
        <w:rPr>
          <w:rFonts w:hint="eastAsia" w:ascii="仿宋_GB2312" w:hAnsi="宋体" w:eastAsia="仿宋_GB2312" w:cs="宋体"/>
          <w:color w:val="000000"/>
          <w:sz w:val="32"/>
          <w:szCs w:val="32"/>
          <w:highlight w:val="none"/>
          <w:lang w:eastAsia="zh-CN"/>
        </w:rPr>
        <w:t>无</w:t>
      </w:r>
    </w:p>
    <w:p w14:paraId="1A8C32DE">
      <w:pPr>
        <w:ind w:left="480"/>
        <w:jc w:val="left"/>
        <w:rPr>
          <w:rFonts w:hint="eastAsia" w:ascii="仿宋_GB2312" w:hAnsi="宋体" w:eastAsia="仿宋_GB2312" w:cs="宋体"/>
          <w:b/>
          <w:color w:val="000000"/>
          <w:sz w:val="32"/>
          <w:szCs w:val="32"/>
          <w:highlight w:val="none"/>
          <w:lang w:eastAsia="zh-CN"/>
        </w:rPr>
      </w:pPr>
      <w:r>
        <w:rPr>
          <w:rFonts w:hint="eastAsia" w:ascii="仿宋_GB2312" w:hAnsi="宋体" w:eastAsia="仿宋_GB2312" w:cs="宋体"/>
          <w:b/>
          <w:color w:val="000000"/>
          <w:sz w:val="32"/>
          <w:szCs w:val="32"/>
          <w:highlight w:val="none"/>
          <w:lang w:val="en-US" w:eastAsia="zh-CN"/>
        </w:rPr>
        <w:t>四</w:t>
      </w:r>
      <w:r>
        <w:rPr>
          <w:rFonts w:hint="eastAsia" w:ascii="仿宋_GB2312" w:hAnsi="宋体" w:eastAsia="仿宋_GB2312" w:cs="宋体"/>
          <w:b/>
          <w:color w:val="000000"/>
          <w:sz w:val="32"/>
          <w:szCs w:val="32"/>
          <w:highlight w:val="none"/>
        </w:rPr>
        <w:t>、合同签订</w:t>
      </w:r>
      <w:r>
        <w:rPr>
          <w:rFonts w:hint="eastAsia" w:ascii="仿宋_GB2312" w:hAnsi="宋体" w:eastAsia="仿宋_GB2312" w:cs="宋体"/>
          <w:b/>
          <w:color w:val="000000"/>
          <w:sz w:val="32"/>
          <w:szCs w:val="32"/>
          <w:highlight w:val="none"/>
          <w:lang w:eastAsia="zh-CN"/>
        </w:rPr>
        <w:t>：</w:t>
      </w:r>
    </w:p>
    <w:p w14:paraId="6BD7BC93">
      <w:pPr>
        <w:spacing w:line="450" w:lineRule="atLeast"/>
        <w:ind w:firstLine="567"/>
        <w:rPr>
          <w:rFonts w:hint="eastAsia" w:ascii="仿宋_GB2312" w:hAnsi="宋体" w:eastAsia="仿宋_GB2312" w:cs="宋体"/>
          <w:color w:val="000000"/>
          <w:sz w:val="32"/>
          <w:szCs w:val="32"/>
          <w:highlight w:val="none"/>
          <w:lang w:eastAsia="zh-CN"/>
        </w:rPr>
      </w:pPr>
      <w:r>
        <w:rPr>
          <w:rFonts w:hint="eastAsia" w:ascii="仿宋_GB2312" w:hAnsi="宋体" w:eastAsia="仿宋_GB2312" w:cs="宋体"/>
          <w:color w:val="000000"/>
          <w:sz w:val="32"/>
          <w:szCs w:val="32"/>
          <w:highlight w:val="none"/>
        </w:rPr>
        <w:t>采购人与中标人应当在中标通知书发出之日起三十日内，按照采购文件确定的事项签订政府采购合同。</w:t>
      </w:r>
    </w:p>
    <w:p w14:paraId="346C481E">
      <w:pPr>
        <w:numPr>
          <w:ilvl w:val="0"/>
          <w:numId w:val="0"/>
        </w:numPr>
        <w:ind w:left="480" w:leftChars="0"/>
        <w:rPr>
          <w:rFonts w:ascii="仿宋_GB2312" w:hAnsi="宋体" w:eastAsia="仿宋_GB2312" w:cs="宋体"/>
          <w:b/>
          <w:color w:val="000000"/>
          <w:sz w:val="32"/>
          <w:szCs w:val="32"/>
          <w:highlight w:val="none"/>
        </w:rPr>
      </w:pPr>
      <w:r>
        <w:rPr>
          <w:rFonts w:hint="eastAsia" w:ascii="仿宋_GB2312" w:hAnsi="宋体" w:eastAsia="仿宋_GB2312" w:cs="宋体"/>
          <w:b/>
          <w:color w:val="000000"/>
          <w:sz w:val="32"/>
          <w:szCs w:val="32"/>
          <w:highlight w:val="none"/>
          <w:lang w:val="en-US" w:eastAsia="zh-CN"/>
        </w:rPr>
        <w:t>五、</w:t>
      </w:r>
      <w:r>
        <w:rPr>
          <w:rFonts w:hint="eastAsia" w:ascii="仿宋_GB2312" w:hAnsi="宋体" w:eastAsia="仿宋_GB2312" w:cs="宋体"/>
          <w:b/>
          <w:color w:val="000000"/>
          <w:sz w:val="32"/>
          <w:szCs w:val="32"/>
          <w:highlight w:val="none"/>
        </w:rPr>
        <w:t>验收方式</w:t>
      </w:r>
      <w:r>
        <w:rPr>
          <w:rFonts w:hint="eastAsia" w:ascii="仿宋_GB2312" w:hAnsi="宋体" w:eastAsia="仿宋_GB2312" w:cs="宋体"/>
          <w:b/>
          <w:color w:val="000000"/>
          <w:sz w:val="32"/>
          <w:szCs w:val="32"/>
          <w:highlight w:val="none"/>
          <w:lang w:eastAsia="zh-CN"/>
        </w:rPr>
        <w:t>：</w:t>
      </w:r>
    </w:p>
    <w:p w14:paraId="7C264D21">
      <w:pPr>
        <w:spacing w:line="450" w:lineRule="atLeast"/>
        <w:ind w:firstLine="567"/>
        <w:rPr>
          <w:rFonts w:hint="eastAsia" w:ascii="宋体" w:hAnsi="宋体" w:eastAsia="宋体" w:cs="宋体"/>
          <w:sz w:val="24"/>
          <w:highlight w:val="none"/>
          <w:lang w:val="en-US" w:eastAsia="zh-CN"/>
        </w:rPr>
      </w:pPr>
      <w:r>
        <w:rPr>
          <w:rFonts w:hint="eastAsia" w:ascii="仿宋_GB2312" w:hAnsi="宋体" w:eastAsia="仿宋_GB2312" w:cs="宋体"/>
          <w:color w:val="000000"/>
          <w:sz w:val="32"/>
          <w:szCs w:val="32"/>
          <w:highlight w:val="none"/>
          <w:lang w:eastAsia="zh-CN"/>
        </w:rPr>
        <w:t>采购人根据法律法规和相关要求及时组织履约验收，严格履行采购人对采购需求和履约验收的主体责任。</w:t>
      </w:r>
    </w:p>
    <w:p w14:paraId="48DC66AD">
      <w:pPr>
        <w:keepNext w:val="0"/>
        <w:keepLines w:val="0"/>
        <w:pageBreakBefore w:val="0"/>
        <w:widowControl w:val="0"/>
        <w:kinsoku/>
        <w:wordWrap/>
        <w:overflowPunct/>
        <w:topLinePunct/>
        <w:autoSpaceDE/>
        <w:autoSpaceDN/>
        <w:bidi w:val="0"/>
        <w:adjustRightInd w:val="0"/>
        <w:snapToGrid w:val="0"/>
        <w:spacing w:line="520" w:lineRule="exact"/>
        <w:ind w:firstLine="219" w:firstLineChars="100"/>
        <w:jc w:val="left"/>
        <w:textAlignment w:val="auto"/>
        <w:rPr>
          <w:rFonts w:hint="eastAsia" w:ascii="宋体" w:hAnsi="宋体" w:eastAsia="宋体" w:cs="Times New Roman"/>
          <w:b/>
          <w:bCs/>
          <w:color w:val="auto"/>
          <w:spacing w:val="-11"/>
          <w:sz w:val="24"/>
          <w:highlight w:val="none"/>
          <w:lang w:eastAsia="zh-CN"/>
        </w:rPr>
      </w:pPr>
      <w:r>
        <w:rPr>
          <w:rFonts w:hint="eastAsia" w:ascii="宋体" w:hAnsi="宋体" w:eastAsia="宋体" w:cs="Times New Roman"/>
          <w:b/>
          <w:bCs/>
          <w:color w:val="auto"/>
          <w:spacing w:val="-11"/>
          <w:sz w:val="24"/>
          <w:highlight w:val="none"/>
          <w:lang w:eastAsia="zh-CN"/>
        </w:rPr>
        <w:t>说明：</w:t>
      </w:r>
    </w:p>
    <w:p w14:paraId="596ABE38">
      <w:pPr>
        <w:keepNext w:val="0"/>
        <w:keepLines w:val="0"/>
        <w:pageBreakBefore w:val="0"/>
        <w:widowControl w:val="0"/>
        <w:numPr>
          <w:ilvl w:val="0"/>
          <w:numId w:val="0"/>
        </w:numPr>
        <w:kinsoku/>
        <w:wordWrap/>
        <w:overflowPunct/>
        <w:topLinePunct/>
        <w:autoSpaceDE/>
        <w:autoSpaceDN/>
        <w:bidi w:val="0"/>
        <w:adjustRightInd w:val="0"/>
        <w:snapToGrid w:val="0"/>
        <w:spacing w:line="520" w:lineRule="exact"/>
        <w:ind w:firstLine="219" w:firstLineChars="100"/>
        <w:jc w:val="left"/>
        <w:textAlignment w:val="auto"/>
        <w:rPr>
          <w:rFonts w:hint="default"/>
          <w:lang w:val="en-US" w:eastAsia="zh-CN"/>
        </w:rPr>
      </w:pPr>
      <w:r>
        <w:rPr>
          <w:rFonts w:hint="eastAsia" w:ascii="宋体" w:hAnsi="宋体" w:eastAsia="宋体" w:cs="Times New Roman"/>
          <w:b/>
          <w:bCs/>
          <w:color w:val="auto"/>
          <w:spacing w:val="-11"/>
          <w:sz w:val="24"/>
          <w:highlight w:val="none"/>
          <w:lang w:val="en-US" w:eastAsia="zh-CN"/>
        </w:rPr>
        <w:t>1、</w:t>
      </w:r>
      <w:r>
        <w:rPr>
          <w:rFonts w:hint="eastAsia" w:ascii="宋体" w:hAnsi="宋体" w:eastAsia="宋体" w:cs="Times New Roman"/>
          <w:b/>
          <w:bCs/>
          <w:color w:val="auto"/>
          <w:spacing w:val="-11"/>
          <w:sz w:val="24"/>
          <w:highlight w:val="none"/>
          <w:lang w:eastAsia="zh-CN"/>
        </w:rPr>
        <w:t>本章的要求不能作为资格性条件要求评审。</w:t>
      </w:r>
    </w:p>
    <w:p w14:paraId="343895E1">
      <w:pPr>
        <w:rPr>
          <w:rStyle w:val="31"/>
          <w:rFonts w:hint="eastAsia"/>
          <w:b/>
          <w:bCs/>
          <w:color w:val="000000"/>
          <w:highlight w:val="none"/>
          <w:lang w:val="zh-CN"/>
        </w:rPr>
      </w:pPr>
      <w:r>
        <w:rPr>
          <w:rStyle w:val="31"/>
          <w:rFonts w:hint="eastAsia"/>
          <w:b/>
          <w:bCs/>
          <w:color w:val="000000"/>
          <w:highlight w:val="none"/>
          <w:lang w:val="zh-CN"/>
        </w:rPr>
        <w:br w:type="page"/>
      </w:r>
    </w:p>
    <w:p w14:paraId="7F616485">
      <w:pPr>
        <w:pStyle w:val="2"/>
        <w:bidi w:val="0"/>
        <w:jc w:val="center"/>
        <w:rPr>
          <w:rFonts w:hint="eastAsia"/>
        </w:rPr>
      </w:pPr>
      <w:r>
        <w:rPr>
          <w:rStyle w:val="31"/>
          <w:rFonts w:hint="eastAsia"/>
          <w:b/>
          <w:bCs/>
          <w:color w:val="000000"/>
          <w:highlight w:val="none"/>
          <w:lang w:val="zh-CN"/>
        </w:rPr>
        <w:t>第</w:t>
      </w:r>
      <w:r>
        <w:rPr>
          <w:rStyle w:val="31"/>
          <w:rFonts w:hint="eastAsia"/>
          <w:b/>
          <w:bCs/>
          <w:color w:val="000000"/>
          <w:highlight w:val="none"/>
          <w:lang w:val="en-US" w:eastAsia="zh-CN"/>
        </w:rPr>
        <w:t>五</w:t>
      </w:r>
      <w:r>
        <w:rPr>
          <w:rStyle w:val="31"/>
          <w:rFonts w:hint="eastAsia"/>
          <w:b/>
          <w:bCs/>
          <w:color w:val="000000"/>
          <w:highlight w:val="none"/>
          <w:lang w:val="zh-CN"/>
        </w:rPr>
        <w:t>章 评标办法</w:t>
      </w:r>
    </w:p>
    <w:p w14:paraId="1001FC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按照《中华人民共和国政府采购法</w:t>
      </w:r>
      <w:r>
        <w:rPr>
          <w:rFonts w:hint="eastAsia"/>
          <w:sz w:val="24"/>
          <w:szCs w:val="24"/>
          <w:highlight w:val="none"/>
          <w:lang w:eastAsia="zh-CN"/>
        </w:rPr>
        <w:t>》《</w:t>
      </w:r>
      <w:r>
        <w:rPr>
          <w:rFonts w:hint="eastAsia"/>
          <w:sz w:val="24"/>
          <w:szCs w:val="24"/>
          <w:highlight w:val="none"/>
        </w:rPr>
        <w:t>中华人民共和国政府采购法实施条例》和《政府采购货物和服务招标投标管理办法》及国家有关部委的联合制定的《评标委员会和评标方法暂行规定》的有关规定，遵循公开、公平、公正和诚实信用的原则，结合本项目的实际情况，制定</w:t>
      </w:r>
      <w:r>
        <w:rPr>
          <w:rFonts w:hint="eastAsia"/>
          <w:sz w:val="24"/>
          <w:szCs w:val="24"/>
          <w:highlight w:val="none"/>
          <w:lang w:val="en-US" w:eastAsia="zh-CN"/>
        </w:rPr>
        <w:t>前郭县公安局采购物业保洁项目</w:t>
      </w:r>
      <w:r>
        <w:rPr>
          <w:rFonts w:hint="eastAsia"/>
          <w:sz w:val="24"/>
          <w:szCs w:val="24"/>
          <w:highlight w:val="none"/>
        </w:rPr>
        <w:t>招标评标办法。</w:t>
      </w:r>
    </w:p>
    <w:p w14:paraId="431BC6D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highlight w:val="none"/>
        </w:rPr>
      </w:pPr>
      <w:r>
        <w:rPr>
          <w:rFonts w:hint="eastAsia"/>
          <w:b/>
          <w:bCs/>
          <w:sz w:val="24"/>
          <w:szCs w:val="24"/>
          <w:highlight w:val="none"/>
        </w:rPr>
        <w:t>一、评标程序</w:t>
      </w:r>
    </w:p>
    <w:p w14:paraId="6F7E0C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（一）组成评标委员会</w:t>
      </w:r>
    </w:p>
    <w:p w14:paraId="328574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按照国家有关部委的相关规定，</w:t>
      </w:r>
      <w:r>
        <w:rPr>
          <w:rFonts w:hint="eastAsia"/>
          <w:sz w:val="24"/>
          <w:szCs w:val="24"/>
          <w:highlight w:val="none"/>
          <w:lang w:val="en-US" w:eastAsia="zh-CN"/>
        </w:rPr>
        <w:t>从</w:t>
      </w:r>
      <w:r>
        <w:rPr>
          <w:rFonts w:hint="eastAsia"/>
          <w:sz w:val="24"/>
          <w:szCs w:val="24"/>
          <w:highlight w:val="none"/>
        </w:rPr>
        <w:t>政采云专家库中随机抽取技术、经济等方面的专家以及采购人代表共5人组成。</w:t>
      </w:r>
    </w:p>
    <w:p w14:paraId="4953F8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（二）评标工作</w:t>
      </w:r>
    </w:p>
    <w:p w14:paraId="1667A5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评标工作应本着客观公正、公平竞争、择优推荐、规范合法的原则进行。本次评标采用综合评分法，评标工作分初步评审和详细评审，初步评审不合格的投标单位不进入详细评审。</w:t>
      </w:r>
    </w:p>
    <w:p w14:paraId="44D3A6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（三）初步评审</w:t>
      </w:r>
    </w:p>
    <w:p w14:paraId="59A093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初步评审阶段，采购人首先应当依法对投标人的资格进行审查，并将审查结果提交给评标委员会；评标委员会依据本章初步评审记录表规定的标准对投标文件进行初步评审。</w:t>
      </w:r>
    </w:p>
    <w:p w14:paraId="3FF104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（四）详细评审</w:t>
      </w:r>
    </w:p>
    <w:p w14:paraId="6C5701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评标委员会对通过初步评审的投标单位进行</w:t>
      </w:r>
      <w:r>
        <w:rPr>
          <w:rFonts w:hint="eastAsia"/>
          <w:sz w:val="24"/>
          <w:szCs w:val="24"/>
          <w:highlight w:val="none"/>
          <w:lang w:val="en-US" w:eastAsia="zh-CN"/>
        </w:rPr>
        <w:t>符合性审查及</w:t>
      </w:r>
      <w:r>
        <w:rPr>
          <w:rFonts w:hint="eastAsia"/>
          <w:sz w:val="24"/>
          <w:szCs w:val="24"/>
          <w:highlight w:val="none"/>
        </w:rPr>
        <w:t>详细评审，评标委员会各成员独立对每个投标人的投标文件进行评价，并汇总每个投标人的综合得分。</w:t>
      </w:r>
    </w:p>
    <w:p w14:paraId="4234AF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none"/>
        </w:rPr>
      </w:pPr>
      <w:r>
        <w:rPr>
          <w:rFonts w:hint="eastAsia"/>
          <w:sz w:val="24"/>
          <w:szCs w:val="24"/>
          <w:highlight w:val="none"/>
        </w:rPr>
        <w:t>（五）确定中标人</w:t>
      </w:r>
    </w:p>
    <w:p w14:paraId="01DE20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highlight w:val="yellow"/>
        </w:rPr>
      </w:pPr>
      <w:r>
        <w:rPr>
          <w:rFonts w:hint="eastAsia"/>
          <w:sz w:val="24"/>
          <w:szCs w:val="24"/>
          <w:highlight w:val="none"/>
        </w:rPr>
        <w:t>详细评审后将各投标人的综合得分由高至低进行排序，并确定排名第一的投标人为本项目的中标人。综合得分相同的，按投标报价由低到高的顺序排列；报价相同的，按技术指标得分顺序排列。如提供相同品牌产品且通过初步评审的不同投标人参加同一合同下投标的，按一家投标人计算，评审后得分最高的同品牌投标人获得中标人推荐资格；评审得分相同的，报价最低的同品牌投标人获得中标人推荐资格；报价相同的，类似业绩得分最高的同品牌投标人获得中标人推荐资格；类似业绩得分相同的，售后服务体系得分最高的同品牌投标人获得中标人推荐资格。</w:t>
      </w:r>
    </w:p>
    <w:p w14:paraId="053BD9D5">
      <w:pPr>
        <w:keepNext w:val="0"/>
        <w:keepLines w:val="0"/>
        <w:pageBreakBefore w:val="0"/>
        <w:widowControl w:val="0"/>
        <w:numPr>
          <w:ilvl w:val="0"/>
          <w:numId w:val="7"/>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b w:val="0"/>
          <w:bCs w:val="0"/>
          <w:sz w:val="24"/>
          <w:szCs w:val="24"/>
          <w:highlight w:val="none"/>
        </w:rPr>
        <w:t>特别声明：投标人的投标报价不允许超过采购预算，单项报价金额不得高于单项预算金额，否则采购人有权否决投标人的投标报价。</w:t>
      </w:r>
    </w:p>
    <w:p w14:paraId="55E66C51">
      <w:pPr>
        <w:numPr>
          <w:ilvl w:val="0"/>
          <w:numId w:val="0"/>
        </w:numPr>
        <w:spacing w:line="360" w:lineRule="auto"/>
        <w:ind w:firstLine="562" w:firstLineChars="200"/>
        <w:jc w:val="both"/>
        <w:rPr>
          <w:rFonts w:hint="eastAsia" w:ascii="宋体" w:hAnsi="宋体"/>
          <w:b/>
          <w:sz w:val="28"/>
          <w:szCs w:val="28"/>
          <w:highlight w:val="none"/>
          <w:lang w:val="zh-CN"/>
        </w:rPr>
      </w:pPr>
      <w:r>
        <w:rPr>
          <w:rFonts w:hint="eastAsia" w:ascii="宋体" w:hAnsi="宋体"/>
          <w:b/>
          <w:sz w:val="28"/>
          <w:szCs w:val="28"/>
          <w:highlight w:val="none"/>
          <w:lang w:val="en-US" w:eastAsia="zh-CN"/>
        </w:rPr>
        <w:t>二、</w:t>
      </w:r>
      <w:r>
        <w:rPr>
          <w:rFonts w:hint="eastAsia" w:ascii="宋体" w:hAnsi="宋体"/>
          <w:b/>
          <w:sz w:val="28"/>
          <w:szCs w:val="28"/>
          <w:highlight w:val="none"/>
          <w:lang w:val="zh-CN"/>
        </w:rPr>
        <w:t>评审细则</w:t>
      </w:r>
    </w:p>
    <w:p w14:paraId="30303A43">
      <w:pPr>
        <w:numPr>
          <w:ilvl w:val="0"/>
          <w:numId w:val="0"/>
        </w:numPr>
        <w:spacing w:line="360" w:lineRule="auto"/>
        <w:jc w:val="both"/>
        <w:rPr>
          <w:rFonts w:hint="eastAsia" w:ascii="宋体" w:hAnsi="宋体"/>
          <w:b/>
          <w:sz w:val="28"/>
          <w:szCs w:val="28"/>
          <w:highlight w:val="none"/>
          <w:lang w:val="zh-CN"/>
        </w:rPr>
      </w:pPr>
      <w:r>
        <w:rPr>
          <w:rFonts w:hint="eastAsia"/>
          <w:sz w:val="28"/>
          <w:szCs w:val="28"/>
          <w:highlight w:val="none"/>
          <w:lang w:val="zh-CN" w:eastAsia="zh-CN"/>
        </w:rPr>
        <w:t>（</w:t>
      </w:r>
      <w:r>
        <w:rPr>
          <w:rFonts w:hint="eastAsia"/>
          <w:sz w:val="28"/>
          <w:szCs w:val="28"/>
          <w:highlight w:val="none"/>
          <w:lang w:val="en-US" w:eastAsia="zh-CN"/>
        </w:rPr>
        <w:t>一</w:t>
      </w:r>
      <w:r>
        <w:rPr>
          <w:rFonts w:hint="eastAsia"/>
          <w:sz w:val="28"/>
          <w:szCs w:val="28"/>
          <w:highlight w:val="none"/>
          <w:lang w:val="zh-CN" w:eastAsia="zh-CN"/>
        </w:rPr>
        <w:t>）</w:t>
      </w:r>
      <w:r>
        <w:rPr>
          <w:rFonts w:hint="eastAsia"/>
          <w:sz w:val="28"/>
          <w:szCs w:val="28"/>
          <w:highlight w:val="none"/>
          <w:lang w:val="zh-CN"/>
        </w:rPr>
        <w:t>资格及符合性评审</w:t>
      </w:r>
      <w:r>
        <w:rPr>
          <w:rFonts w:hint="eastAsia"/>
          <w:sz w:val="28"/>
          <w:szCs w:val="28"/>
          <w:highlight w:val="none"/>
          <w:lang w:val="zh-CN" w:eastAsia="zh-CN"/>
        </w:rPr>
        <w:t>（初步评审）</w:t>
      </w:r>
    </w:p>
    <w:p w14:paraId="72A5C796">
      <w:pPr>
        <w:pageBreakBefore w:val="0"/>
        <w:tabs>
          <w:tab w:val="left" w:pos="7665"/>
        </w:tabs>
        <w:kinsoku/>
        <w:overflowPunct/>
        <w:topLinePunct w:val="0"/>
        <w:bidi w:val="0"/>
        <w:spacing w:line="360" w:lineRule="auto"/>
        <w:textAlignment w:val="auto"/>
        <w:rPr>
          <w:rFonts w:hint="eastAsia" w:ascii="宋体" w:hAnsi="宋体" w:eastAsia="宋体" w:cs="宋体"/>
          <w:color w:val="auto"/>
          <w:lang w:val="zh-CN"/>
        </w:rPr>
      </w:pPr>
      <w:r>
        <w:rPr>
          <w:rFonts w:hint="eastAsia" w:ascii="宋体" w:hAnsi="宋体" w:eastAsia="宋体" w:cs="宋体"/>
          <w:color w:val="auto"/>
          <w:sz w:val="24"/>
          <w:szCs w:val="24"/>
          <w:highlight w:val="none"/>
          <w:lang w:val="zh-CN" w:eastAsia="zh-CN"/>
        </w:rPr>
        <w:t>资格审查要求：</w:t>
      </w:r>
      <w:r>
        <w:rPr>
          <w:rFonts w:hint="eastAsia" w:ascii="宋体" w:hAnsi="宋体" w:eastAsia="宋体" w:cs="宋体"/>
          <w:color w:val="auto"/>
          <w:sz w:val="24"/>
          <w:szCs w:val="24"/>
          <w:highlight w:val="none"/>
          <w:lang w:val="en-US" w:eastAsia="zh-CN"/>
        </w:rPr>
        <w:t>由采购人进行审查</w:t>
      </w:r>
      <w:r>
        <w:rPr>
          <w:rFonts w:hint="eastAsia" w:ascii="宋体" w:hAnsi="宋体" w:eastAsia="宋体" w:cs="宋体"/>
          <w:color w:val="auto"/>
          <w:sz w:val="24"/>
          <w:szCs w:val="24"/>
          <w:highlight w:val="none"/>
          <w:lang w:val="zh-CN" w:eastAsia="zh-CN"/>
        </w:rPr>
        <w:t>（不满足任何一项审查内容要求，资格审查即为不合格）。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641"/>
        <w:gridCol w:w="8775"/>
      </w:tblGrid>
      <w:tr w14:paraId="4914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0F1171D1">
            <w:pPr>
              <w:jc w:val="center"/>
              <w:rPr>
                <w:rFonts w:hint="eastAsia" w:eastAsiaTheme="minorEastAsia"/>
                <w:vertAlign w:val="baseline"/>
                <w:lang w:val="en-US" w:eastAsia="zh-CN"/>
              </w:rPr>
            </w:pPr>
            <w:r>
              <w:rPr>
                <w:rFonts w:hint="eastAsia"/>
                <w:vertAlign w:val="baseline"/>
                <w:lang w:val="en-US" w:eastAsia="zh-CN"/>
              </w:rPr>
              <w:t>1</w:t>
            </w:r>
          </w:p>
        </w:tc>
        <w:tc>
          <w:tcPr>
            <w:tcW w:w="641" w:type="dxa"/>
            <w:vMerge w:val="restart"/>
            <w:vAlign w:val="center"/>
          </w:tcPr>
          <w:p w14:paraId="706ECCBB">
            <w:pPr>
              <w:pStyle w:val="11"/>
              <w:spacing w:line="276" w:lineRule="auto"/>
              <w:jc w:val="both"/>
              <w:rPr>
                <w:rFonts w:hint="eastAsia" w:hAnsi="宋体"/>
                <w:bCs/>
                <w:kern w:val="0"/>
                <w:sz w:val="24"/>
                <w:szCs w:val="24"/>
                <w:highlight w:val="none"/>
              </w:rPr>
            </w:pPr>
          </w:p>
          <w:p w14:paraId="15EFF3CF">
            <w:pPr>
              <w:pStyle w:val="11"/>
              <w:spacing w:line="276" w:lineRule="auto"/>
              <w:jc w:val="center"/>
              <w:rPr>
                <w:rFonts w:hAnsi="宋体"/>
                <w:bCs/>
                <w:kern w:val="0"/>
                <w:sz w:val="24"/>
                <w:szCs w:val="24"/>
                <w:highlight w:val="none"/>
              </w:rPr>
            </w:pPr>
            <w:r>
              <w:rPr>
                <w:rFonts w:hint="eastAsia" w:hAnsi="宋体"/>
                <w:bCs/>
                <w:kern w:val="0"/>
                <w:sz w:val="24"/>
                <w:szCs w:val="24"/>
                <w:highlight w:val="none"/>
              </w:rPr>
              <w:t>资</w:t>
            </w:r>
          </w:p>
          <w:p w14:paraId="7D929EE7">
            <w:pPr>
              <w:pStyle w:val="11"/>
              <w:spacing w:line="276" w:lineRule="auto"/>
              <w:jc w:val="center"/>
              <w:rPr>
                <w:rFonts w:hAnsi="宋体"/>
                <w:bCs/>
                <w:kern w:val="0"/>
                <w:sz w:val="24"/>
                <w:szCs w:val="24"/>
                <w:highlight w:val="none"/>
              </w:rPr>
            </w:pPr>
            <w:r>
              <w:rPr>
                <w:rFonts w:hint="eastAsia" w:hAnsi="宋体"/>
                <w:bCs/>
                <w:kern w:val="0"/>
                <w:sz w:val="24"/>
                <w:szCs w:val="24"/>
                <w:highlight w:val="none"/>
              </w:rPr>
              <w:t>格</w:t>
            </w:r>
          </w:p>
          <w:p w14:paraId="06039047">
            <w:pPr>
              <w:pStyle w:val="11"/>
              <w:spacing w:line="276" w:lineRule="auto"/>
              <w:jc w:val="center"/>
              <w:rPr>
                <w:rFonts w:hAnsi="宋体"/>
                <w:bCs/>
                <w:kern w:val="0"/>
                <w:sz w:val="24"/>
                <w:szCs w:val="24"/>
                <w:highlight w:val="none"/>
              </w:rPr>
            </w:pPr>
            <w:r>
              <w:rPr>
                <w:rFonts w:hint="eastAsia" w:hAnsi="宋体"/>
                <w:bCs/>
                <w:kern w:val="0"/>
                <w:sz w:val="24"/>
                <w:szCs w:val="24"/>
                <w:highlight w:val="none"/>
              </w:rPr>
              <w:t>性</w:t>
            </w:r>
          </w:p>
          <w:p w14:paraId="6F174ACF">
            <w:pPr>
              <w:pStyle w:val="11"/>
              <w:spacing w:line="276" w:lineRule="auto"/>
              <w:jc w:val="center"/>
              <w:rPr>
                <w:rFonts w:hAnsi="宋体"/>
                <w:bCs/>
                <w:kern w:val="0"/>
                <w:sz w:val="24"/>
                <w:szCs w:val="24"/>
                <w:highlight w:val="none"/>
              </w:rPr>
            </w:pPr>
            <w:r>
              <w:rPr>
                <w:rFonts w:hint="eastAsia" w:hAnsi="宋体"/>
                <w:bCs/>
                <w:kern w:val="0"/>
                <w:sz w:val="24"/>
                <w:szCs w:val="24"/>
                <w:highlight w:val="none"/>
              </w:rPr>
              <w:t>审</w:t>
            </w:r>
          </w:p>
          <w:p w14:paraId="5922BABF">
            <w:pPr>
              <w:jc w:val="center"/>
              <w:rPr>
                <w:vertAlign w:val="baseline"/>
              </w:rPr>
            </w:pPr>
            <w:r>
              <w:rPr>
                <w:rFonts w:hint="eastAsia" w:hAnsi="宋体"/>
                <w:bCs/>
                <w:kern w:val="0"/>
                <w:sz w:val="24"/>
                <w:szCs w:val="24"/>
                <w:highlight w:val="none"/>
              </w:rPr>
              <w:t>查</w:t>
            </w:r>
          </w:p>
        </w:tc>
        <w:tc>
          <w:tcPr>
            <w:tcW w:w="8775" w:type="dxa"/>
            <w:shd w:val="clear" w:color="auto" w:fill="auto"/>
            <w:vAlign w:val="center"/>
          </w:tcPr>
          <w:p w14:paraId="39D5D63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营业执照等证明文件：</w:t>
            </w:r>
          </w:p>
          <w:p w14:paraId="4C67DFE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供应商为企业（包括合伙企业）的，应提供有效的营业执照；</w:t>
            </w:r>
          </w:p>
          <w:p w14:paraId="5508966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供应商为事业单位的，应提供有效的事业单位法人证书；</w:t>
            </w:r>
          </w:p>
          <w:p w14:paraId="65C6467E">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供应商是非企业机构的，应提供有效的执业许可证或登记证书等证明文件；</w:t>
            </w:r>
          </w:p>
          <w:p w14:paraId="2D4F2FB2">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供应商是个体工商户的，应提供有效的个体工商户营业执照；</w:t>
            </w:r>
          </w:p>
          <w:p w14:paraId="590CA7F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供应商是自然人的，应提供有效的自然人身份证明；</w:t>
            </w:r>
          </w:p>
          <w:p w14:paraId="31E023F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投标</w:t>
            </w:r>
            <w:r>
              <w:rPr>
                <w:rFonts w:hint="eastAsia" w:ascii="宋体" w:hAnsi="宋体" w:eastAsia="宋体" w:cs="宋体"/>
                <w:bCs/>
                <w:sz w:val="21"/>
                <w:szCs w:val="21"/>
                <w:highlight w:val="none"/>
                <w:lang w:val="zh-CN"/>
              </w:rPr>
              <w:t>文件内附</w:t>
            </w:r>
            <w:r>
              <w:rPr>
                <w:rFonts w:hint="eastAsia" w:ascii="宋体" w:hAnsi="宋体" w:eastAsia="宋体" w:cs="宋体"/>
                <w:bCs/>
                <w:sz w:val="21"/>
                <w:szCs w:val="21"/>
                <w:highlight w:val="none"/>
                <w:lang w:val="en-US" w:eastAsia="zh-CN"/>
              </w:rPr>
              <w:t>营业执照等证明文件复印件（正副本均可）并加盖公章。</w:t>
            </w:r>
          </w:p>
        </w:tc>
      </w:tr>
      <w:tr w14:paraId="6875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70D234B5">
            <w:pPr>
              <w:jc w:val="center"/>
              <w:rPr>
                <w:rFonts w:hint="default" w:eastAsiaTheme="minorEastAsia"/>
                <w:vertAlign w:val="baseline"/>
                <w:lang w:val="en-US" w:eastAsia="zh-CN"/>
              </w:rPr>
            </w:pPr>
            <w:r>
              <w:rPr>
                <w:rFonts w:hint="eastAsia"/>
                <w:vertAlign w:val="baseline"/>
                <w:lang w:val="en-US" w:eastAsia="zh-CN"/>
              </w:rPr>
              <w:t>2</w:t>
            </w:r>
          </w:p>
        </w:tc>
        <w:tc>
          <w:tcPr>
            <w:tcW w:w="641" w:type="dxa"/>
            <w:vMerge w:val="continue"/>
          </w:tcPr>
          <w:p w14:paraId="565166F8">
            <w:pPr>
              <w:rPr>
                <w:vertAlign w:val="baseline"/>
              </w:rPr>
            </w:pPr>
          </w:p>
        </w:tc>
        <w:tc>
          <w:tcPr>
            <w:tcW w:w="8775" w:type="dxa"/>
          </w:tcPr>
          <w:p w14:paraId="01DB056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依法缴纳税收证明：</w:t>
            </w:r>
          </w:p>
          <w:p w14:paraId="4DE8F78B">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依法</w:t>
            </w:r>
            <w:r>
              <w:rPr>
                <w:rFonts w:hint="eastAsia" w:ascii="宋体" w:hAnsi="宋体" w:eastAsia="宋体" w:cs="宋体"/>
                <w:bCs/>
                <w:sz w:val="21"/>
                <w:szCs w:val="21"/>
                <w:highlight w:val="none"/>
                <w:lang w:val="zh-CN"/>
              </w:rPr>
              <w:t>缴纳税收</w:t>
            </w:r>
            <w:r>
              <w:rPr>
                <w:rFonts w:hint="eastAsia" w:ascii="宋体" w:hAnsi="宋体" w:cs="宋体"/>
                <w:bCs/>
                <w:sz w:val="21"/>
                <w:szCs w:val="21"/>
                <w:highlight w:val="none"/>
                <w:lang w:val="en-US" w:eastAsia="zh-CN"/>
              </w:rPr>
              <w:t>的相关材料（近一年任意一个月的</w:t>
            </w:r>
            <w:r>
              <w:rPr>
                <w:rFonts w:hint="eastAsia" w:ascii="宋体" w:hAnsi="宋体" w:eastAsia="宋体" w:cs="宋体"/>
                <w:bCs/>
                <w:sz w:val="21"/>
                <w:szCs w:val="21"/>
                <w:highlight w:val="none"/>
                <w:lang w:val="en-US" w:eastAsia="zh-CN"/>
              </w:rPr>
              <w:t>缴税凭据或完税证明</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（依法免税的，应提供相应文件证明其依法免税）</w:t>
            </w:r>
          </w:p>
          <w:p w14:paraId="1000DF3C">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left"/>
              <w:textAlignment w:val="auto"/>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en-US" w:eastAsia="zh-CN"/>
              </w:rPr>
              <w:t>投标文件中附缴税凭据或完税证明复印件并加盖公章。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依法免税的，附相应文件复印件并加盖公章。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（所提供文件须加盖证明单位相关业务章。）</w:t>
            </w:r>
          </w:p>
        </w:tc>
      </w:tr>
      <w:tr w14:paraId="1520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433" w:type="dxa"/>
            <w:vAlign w:val="center"/>
          </w:tcPr>
          <w:p w14:paraId="3297C525">
            <w:pPr>
              <w:jc w:val="center"/>
              <w:rPr>
                <w:rFonts w:hint="default" w:eastAsiaTheme="minorEastAsia"/>
                <w:vertAlign w:val="baseline"/>
                <w:lang w:val="en-US" w:eastAsia="zh-CN"/>
              </w:rPr>
            </w:pPr>
            <w:r>
              <w:rPr>
                <w:rFonts w:hint="eastAsia"/>
                <w:vertAlign w:val="baseline"/>
                <w:lang w:val="en-US" w:eastAsia="zh-CN"/>
              </w:rPr>
              <w:t>3</w:t>
            </w:r>
          </w:p>
        </w:tc>
        <w:tc>
          <w:tcPr>
            <w:tcW w:w="641" w:type="dxa"/>
            <w:vMerge w:val="continue"/>
          </w:tcPr>
          <w:p w14:paraId="4537E9CD">
            <w:pPr>
              <w:rPr>
                <w:vertAlign w:val="baseline"/>
              </w:rPr>
            </w:pPr>
          </w:p>
        </w:tc>
        <w:tc>
          <w:tcPr>
            <w:tcW w:w="8775" w:type="dxa"/>
            <w:shd w:val="clear" w:color="auto" w:fill="auto"/>
            <w:vAlign w:val="top"/>
          </w:tcPr>
          <w:p w14:paraId="45B95857">
            <w:pPr>
              <w:bidi w:val="0"/>
              <w:rPr>
                <w:rFonts w:hint="eastAsia" w:ascii="宋体" w:hAnsi="宋体" w:cs="宋体"/>
                <w:bCs/>
                <w:kern w:val="2"/>
                <w:sz w:val="24"/>
                <w:szCs w:val="24"/>
                <w:highlight w:val="none"/>
                <w:lang w:val="zh-CN" w:eastAsia="zh-CN" w:bidi="ar-SA"/>
              </w:rPr>
            </w:pPr>
            <w:r>
              <w:rPr>
                <w:rFonts w:hint="eastAsia" w:ascii="宋体" w:hAnsi="宋体" w:cs="宋体" w:eastAsiaTheme="minorEastAsia"/>
                <w:bCs/>
                <w:kern w:val="2"/>
                <w:sz w:val="24"/>
                <w:szCs w:val="24"/>
                <w:highlight w:val="none"/>
                <w:lang w:val="zh-CN" w:eastAsia="zh-CN" w:bidi="ar-SA"/>
              </w:rPr>
              <w:t>社会保障资金证明</w:t>
            </w:r>
            <w:r>
              <w:rPr>
                <w:rFonts w:hint="eastAsia" w:ascii="宋体" w:hAnsi="宋体" w:cs="宋体"/>
                <w:bCs/>
                <w:kern w:val="2"/>
                <w:sz w:val="24"/>
                <w:szCs w:val="24"/>
                <w:highlight w:val="none"/>
                <w:lang w:val="zh-CN" w:eastAsia="zh-CN" w:bidi="ar-SA"/>
              </w:rPr>
              <w:t>：</w:t>
            </w:r>
          </w:p>
          <w:p w14:paraId="683B76E1">
            <w:pPr>
              <w:bidi w:val="0"/>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依法缴纳社会保障资金的相关材料（近一年任意一个月的</w:t>
            </w:r>
            <w:r>
              <w:rPr>
                <w:rFonts w:hint="eastAsia" w:ascii="宋体" w:hAnsi="宋体" w:eastAsia="宋体" w:cs="宋体"/>
                <w:bCs/>
                <w:sz w:val="21"/>
                <w:szCs w:val="21"/>
                <w:highlight w:val="none"/>
                <w:lang w:val="en-US" w:eastAsia="zh-CN"/>
              </w:rPr>
              <w:t>用人单位社会保险凭证或参保证明</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（依法不需要缴纳社会保险的，应提供相应文件证明其依法不需要缴纳社会保险）。</w:t>
            </w:r>
          </w:p>
          <w:p w14:paraId="4D9F876E">
            <w:pPr>
              <w:bidi w:val="0"/>
              <w:rPr>
                <w:rFonts w:hint="eastAsia" w:ascii="宋体" w:hAnsi="宋体" w:cs="宋体"/>
                <w:bCs/>
                <w:kern w:val="2"/>
                <w:sz w:val="24"/>
                <w:szCs w:val="24"/>
                <w:highlight w:val="none"/>
                <w:lang w:val="zh-CN" w:eastAsia="zh-CN" w:bidi="ar-SA"/>
              </w:rPr>
            </w:pPr>
            <w:r>
              <w:rPr>
                <w:rFonts w:hint="eastAsia" w:ascii="宋体" w:hAnsi="宋体" w:eastAsia="宋体" w:cs="宋体"/>
                <w:bCs/>
                <w:sz w:val="21"/>
                <w:szCs w:val="21"/>
                <w:highlight w:val="none"/>
                <w:lang w:val="en-US" w:eastAsia="zh-CN"/>
              </w:rPr>
              <w:t>投标文件中附相关材料复印件并加盖公章。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依法不需要缴纳社会保险的，附相应文件复印件并加盖公章。</w:t>
            </w:r>
            <w:r>
              <w:rPr>
                <w:rFonts w:hint="eastAsia" w:ascii="宋体" w:hAnsi="宋体" w:cs="宋体"/>
                <w:bCs/>
                <w:sz w:val="21"/>
                <w:szCs w:val="21"/>
                <w:highlight w:val="none"/>
                <w:lang w:val="en-US" w:eastAsia="zh-CN"/>
              </w:rPr>
              <w:t>）</w:t>
            </w:r>
            <w:r>
              <w:rPr>
                <w:rFonts w:hint="eastAsia" w:ascii="宋体" w:hAnsi="宋体" w:eastAsia="宋体" w:cs="宋体"/>
                <w:bCs/>
                <w:sz w:val="21"/>
                <w:szCs w:val="21"/>
                <w:highlight w:val="none"/>
                <w:lang w:val="en-US" w:eastAsia="zh-CN"/>
              </w:rPr>
              <w:t>（所提供文件须加盖证明单位相关业务章。）</w:t>
            </w:r>
          </w:p>
        </w:tc>
      </w:tr>
      <w:tr w14:paraId="18A1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1E3A0E6C">
            <w:pPr>
              <w:jc w:val="center"/>
              <w:rPr>
                <w:rFonts w:hint="default" w:eastAsiaTheme="minorEastAsia"/>
                <w:vertAlign w:val="baseline"/>
                <w:lang w:val="en-US" w:eastAsia="zh-CN"/>
              </w:rPr>
            </w:pPr>
            <w:r>
              <w:rPr>
                <w:rFonts w:hint="eastAsia"/>
                <w:vertAlign w:val="baseline"/>
                <w:lang w:val="en-US" w:eastAsia="zh-CN"/>
              </w:rPr>
              <w:t>4</w:t>
            </w:r>
          </w:p>
        </w:tc>
        <w:tc>
          <w:tcPr>
            <w:tcW w:w="641" w:type="dxa"/>
            <w:vMerge w:val="continue"/>
          </w:tcPr>
          <w:p w14:paraId="0C7F3949">
            <w:pPr>
              <w:rPr>
                <w:vertAlign w:val="baseline"/>
              </w:rPr>
            </w:pPr>
          </w:p>
        </w:tc>
        <w:tc>
          <w:tcPr>
            <w:tcW w:w="8775" w:type="dxa"/>
            <w:shd w:val="clear" w:color="auto" w:fill="auto"/>
            <w:vAlign w:val="top"/>
          </w:tcPr>
          <w:p w14:paraId="33817910">
            <w:pPr>
              <w:bidi w:val="0"/>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财务状况证明：</w:t>
            </w:r>
          </w:p>
          <w:p w14:paraId="526A4E3D">
            <w:pPr>
              <w:bidi w:val="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供应商具有提交响应文件截止时间前三个月内开户银行出具的资信证明或经会计师事务所审计的近三年内任意一年</w:t>
            </w:r>
            <w:r>
              <w:rPr>
                <w:rFonts w:hint="eastAsia" w:ascii="宋体" w:hAnsi="宋体" w:eastAsia="宋体" w:cs="宋体"/>
                <w:bCs/>
                <w:sz w:val="21"/>
                <w:szCs w:val="21"/>
                <w:highlight w:val="none"/>
                <w:lang w:val="zh-CN" w:eastAsia="zh-CN"/>
              </w:rPr>
              <w:t>财务审计报告</w:t>
            </w:r>
            <w:r>
              <w:rPr>
                <w:rFonts w:hint="eastAsia" w:ascii="宋体" w:hAnsi="宋体" w:eastAsia="宋体" w:cs="宋体"/>
                <w:bCs/>
                <w:sz w:val="21"/>
                <w:szCs w:val="21"/>
                <w:highlight w:val="none"/>
                <w:lang w:val="en-US" w:eastAsia="zh-CN"/>
              </w:rPr>
              <w:t>。</w:t>
            </w:r>
          </w:p>
          <w:p w14:paraId="735D03AA">
            <w:pPr>
              <w:bidi w:val="0"/>
              <w:rPr>
                <w:rFonts w:hint="eastAsia" w:ascii="宋体" w:hAnsi="宋体" w:eastAsia="宋体" w:cs="宋体"/>
                <w:bCs/>
                <w:sz w:val="21"/>
                <w:szCs w:val="21"/>
                <w:highlight w:val="none"/>
                <w:lang w:val="zh-CN" w:eastAsia="zh-CN"/>
              </w:rPr>
            </w:pPr>
            <w:r>
              <w:rPr>
                <w:rFonts w:hint="eastAsia" w:ascii="宋体" w:hAnsi="宋体" w:eastAsia="宋体" w:cs="宋体"/>
                <w:bCs/>
                <w:sz w:val="21"/>
                <w:szCs w:val="21"/>
                <w:highlight w:val="none"/>
                <w:lang w:val="en-US" w:eastAsia="zh-CN"/>
              </w:rPr>
              <w:t>投标文件中附资信证明或财务审计报告复印件并加盖公章（所提供文件须加盖证明单位相关业务章。）</w:t>
            </w:r>
          </w:p>
          <w:p w14:paraId="2BD50F0B">
            <w:pPr>
              <w:bidi w:val="0"/>
              <w:rPr>
                <w:rFonts w:hint="eastAsia" w:ascii="宋体" w:hAnsi="宋体" w:eastAsia="宋体" w:cs="宋体"/>
                <w:bCs/>
                <w:sz w:val="21"/>
                <w:szCs w:val="21"/>
                <w:highlight w:val="none"/>
                <w:lang w:val="zh-CN" w:eastAsia="zh-CN"/>
              </w:rPr>
            </w:pPr>
          </w:p>
        </w:tc>
      </w:tr>
      <w:tr w14:paraId="6B95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433" w:type="dxa"/>
            <w:vAlign w:val="center"/>
          </w:tcPr>
          <w:p w14:paraId="26AFA2C5">
            <w:pPr>
              <w:jc w:val="center"/>
              <w:rPr>
                <w:rFonts w:hint="default" w:eastAsiaTheme="minorEastAsia"/>
                <w:vertAlign w:val="baseline"/>
                <w:lang w:val="en-US" w:eastAsia="zh-CN"/>
              </w:rPr>
            </w:pPr>
            <w:r>
              <w:rPr>
                <w:rFonts w:hint="eastAsia"/>
                <w:vertAlign w:val="baseline"/>
                <w:lang w:val="en-US" w:eastAsia="zh-CN"/>
              </w:rPr>
              <w:t>5</w:t>
            </w:r>
          </w:p>
        </w:tc>
        <w:tc>
          <w:tcPr>
            <w:tcW w:w="641" w:type="dxa"/>
            <w:vMerge w:val="continue"/>
          </w:tcPr>
          <w:p w14:paraId="7F6BA31D">
            <w:pPr>
              <w:rPr>
                <w:vertAlign w:val="baseline"/>
              </w:rPr>
            </w:pPr>
          </w:p>
        </w:tc>
        <w:tc>
          <w:tcPr>
            <w:tcW w:w="8775" w:type="dxa"/>
          </w:tcPr>
          <w:p w14:paraId="6D58D8A0">
            <w:pPr>
              <w:bidi w:val="0"/>
              <w:rPr>
                <w:rFonts w:hint="eastAsia"/>
                <w:sz w:val="24"/>
                <w:szCs w:val="24"/>
                <w:highlight w:val="none"/>
                <w:lang w:val="en-US" w:eastAsia="zh-CN"/>
              </w:rPr>
            </w:pPr>
            <w:r>
              <w:rPr>
                <w:rFonts w:hint="eastAsia"/>
                <w:sz w:val="24"/>
                <w:szCs w:val="24"/>
                <w:highlight w:val="none"/>
                <w:lang w:val="en-US" w:eastAsia="zh-CN"/>
              </w:rPr>
              <w:t>投标人资信证明文件（投标人应提交以下资信证明文件）</w:t>
            </w:r>
          </w:p>
          <w:p w14:paraId="599DCEFD">
            <w:pPr>
              <w:bidi w:val="0"/>
              <w:rPr>
                <w:rFonts w:hint="eastAsia"/>
                <w:sz w:val="24"/>
                <w:szCs w:val="24"/>
                <w:highlight w:val="none"/>
                <w:lang w:val="en-US" w:eastAsia="zh-CN"/>
              </w:rPr>
            </w:pPr>
            <w:r>
              <w:rPr>
                <w:rFonts w:hint="eastAsia"/>
                <w:sz w:val="24"/>
                <w:szCs w:val="24"/>
                <w:highlight w:val="none"/>
                <w:lang w:val="en-US" w:eastAsia="zh-CN"/>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谈判。</w:t>
            </w:r>
          </w:p>
          <w:p w14:paraId="362BD4A3">
            <w:pPr>
              <w:rPr>
                <w:vertAlign w:val="baseline"/>
              </w:rPr>
            </w:pPr>
            <w:r>
              <w:rPr>
                <w:rFonts w:hint="eastAsia"/>
                <w:sz w:val="24"/>
                <w:szCs w:val="24"/>
                <w:highlight w:val="none"/>
                <w:lang w:val="zh-CN" w:eastAsia="zh-CN"/>
              </w:rPr>
              <w:t>投标文件中</w:t>
            </w:r>
            <w:r>
              <w:rPr>
                <w:rFonts w:hint="eastAsia"/>
                <w:sz w:val="24"/>
                <w:szCs w:val="24"/>
                <w:highlight w:val="none"/>
                <w:lang w:val="en-US" w:eastAsia="zh-CN"/>
              </w:rPr>
              <w:t>①</w:t>
            </w:r>
            <w:r>
              <w:rPr>
                <w:rFonts w:hint="eastAsia"/>
                <w:sz w:val="24"/>
                <w:szCs w:val="24"/>
                <w:highlight w:val="none"/>
                <w:lang w:val="zh-CN" w:eastAsia="zh-CN"/>
              </w:rPr>
              <w:t>附相关网站查询截图并加盖投标人公章，查询时点为获取</w:t>
            </w:r>
            <w:r>
              <w:rPr>
                <w:rFonts w:hint="eastAsia"/>
                <w:sz w:val="24"/>
                <w:szCs w:val="24"/>
                <w:highlight w:val="none"/>
                <w:lang w:val="en-US" w:eastAsia="zh-CN"/>
              </w:rPr>
              <w:t>投标</w:t>
            </w:r>
            <w:r>
              <w:rPr>
                <w:rFonts w:hint="eastAsia"/>
                <w:sz w:val="24"/>
                <w:szCs w:val="24"/>
                <w:highlight w:val="none"/>
                <w:lang w:val="zh-CN" w:eastAsia="zh-CN"/>
              </w:rPr>
              <w:t>文件开始时间至</w:t>
            </w:r>
            <w:r>
              <w:rPr>
                <w:rFonts w:hint="eastAsia"/>
                <w:sz w:val="24"/>
                <w:szCs w:val="24"/>
                <w:highlight w:val="none"/>
                <w:lang w:val="en-US" w:eastAsia="zh-CN"/>
              </w:rPr>
              <w:t>投标文件提交</w:t>
            </w:r>
            <w:r>
              <w:rPr>
                <w:rFonts w:hint="eastAsia"/>
                <w:sz w:val="24"/>
                <w:szCs w:val="24"/>
                <w:highlight w:val="none"/>
                <w:lang w:val="zh-CN" w:eastAsia="zh-CN"/>
              </w:rPr>
              <w:t>截止时间；</w:t>
            </w:r>
            <w:r>
              <w:rPr>
                <w:rFonts w:hint="eastAsia"/>
                <w:sz w:val="24"/>
                <w:szCs w:val="24"/>
                <w:highlight w:val="none"/>
                <w:lang w:val="en-US" w:eastAsia="zh-CN"/>
              </w:rPr>
              <w:t>②-③投标</w:t>
            </w:r>
            <w:r>
              <w:rPr>
                <w:rFonts w:hint="eastAsia"/>
                <w:sz w:val="24"/>
                <w:szCs w:val="24"/>
                <w:highlight w:val="none"/>
                <w:lang w:val="zh-CN" w:eastAsia="zh-CN"/>
              </w:rPr>
              <w:t>文件中附由法定代表人签字并加盖投标人公章的承诺书，格式自拟。</w:t>
            </w:r>
          </w:p>
        </w:tc>
      </w:tr>
      <w:tr w14:paraId="737D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2B5307F0">
            <w:pPr>
              <w:jc w:val="center"/>
              <w:rPr>
                <w:rFonts w:hint="default"/>
                <w:vertAlign w:val="baseline"/>
                <w:lang w:val="en-US" w:eastAsia="zh-CN"/>
              </w:rPr>
            </w:pPr>
            <w:r>
              <w:rPr>
                <w:rFonts w:hint="eastAsia"/>
                <w:vertAlign w:val="baseline"/>
                <w:lang w:val="en-US" w:eastAsia="zh-CN"/>
              </w:rPr>
              <w:t>1</w:t>
            </w:r>
          </w:p>
        </w:tc>
        <w:tc>
          <w:tcPr>
            <w:tcW w:w="641" w:type="dxa"/>
            <w:vMerge w:val="restart"/>
            <w:vAlign w:val="center"/>
          </w:tcPr>
          <w:p w14:paraId="066C4E4A">
            <w:pPr>
              <w:pStyle w:val="11"/>
              <w:spacing w:line="240" w:lineRule="auto"/>
              <w:jc w:val="center"/>
              <w:rPr>
                <w:rFonts w:hAnsi="宋体"/>
                <w:bCs/>
                <w:kern w:val="0"/>
                <w:sz w:val="24"/>
                <w:szCs w:val="24"/>
                <w:highlight w:val="none"/>
              </w:rPr>
            </w:pPr>
            <w:r>
              <w:rPr>
                <w:rFonts w:hint="eastAsia" w:hAnsi="宋体"/>
                <w:bCs/>
                <w:kern w:val="0"/>
                <w:sz w:val="24"/>
                <w:szCs w:val="24"/>
                <w:highlight w:val="none"/>
              </w:rPr>
              <w:t>符</w:t>
            </w:r>
          </w:p>
          <w:p w14:paraId="3B9467D7">
            <w:pPr>
              <w:pStyle w:val="11"/>
              <w:spacing w:line="240" w:lineRule="auto"/>
              <w:jc w:val="center"/>
              <w:rPr>
                <w:rFonts w:hAnsi="宋体"/>
                <w:bCs/>
                <w:kern w:val="0"/>
                <w:sz w:val="24"/>
                <w:szCs w:val="24"/>
                <w:highlight w:val="none"/>
              </w:rPr>
            </w:pPr>
            <w:r>
              <w:rPr>
                <w:rFonts w:hint="eastAsia" w:hAnsi="宋体"/>
                <w:bCs/>
                <w:kern w:val="0"/>
                <w:sz w:val="24"/>
                <w:szCs w:val="24"/>
                <w:highlight w:val="none"/>
              </w:rPr>
              <w:t>合 性评审</w:t>
            </w:r>
          </w:p>
          <w:p w14:paraId="5EDD7569">
            <w:pPr>
              <w:jc w:val="center"/>
              <w:rPr>
                <w:vertAlign w:val="baseline"/>
              </w:rPr>
            </w:pPr>
          </w:p>
        </w:tc>
        <w:tc>
          <w:tcPr>
            <w:tcW w:w="8775" w:type="dxa"/>
          </w:tcPr>
          <w:p w14:paraId="3B765FAB">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投标报价不得超过采购预算，</w:t>
            </w:r>
            <w:r>
              <w:rPr>
                <w:rFonts w:hint="eastAsia" w:ascii="Times New Roman" w:hAnsi="Times New Roman"/>
                <w:b/>
                <w:bCs/>
                <w:sz w:val="24"/>
                <w:szCs w:val="24"/>
                <w:highlight w:val="none"/>
              </w:rPr>
              <w:t>单项报价金额不得高于单项预算金额</w:t>
            </w:r>
            <w:r>
              <w:rPr>
                <w:rFonts w:hint="eastAsia" w:ascii="Times New Roman" w:hAnsi="Times New Roman"/>
                <w:b/>
                <w:bCs/>
                <w:sz w:val="24"/>
                <w:szCs w:val="24"/>
                <w:highlight w:val="none"/>
                <w:lang w:eastAsia="zh-CN"/>
              </w:rPr>
              <w:t>，</w:t>
            </w:r>
            <w:r>
              <w:rPr>
                <w:rFonts w:hint="eastAsia" w:ascii="宋体" w:hAnsi="宋体" w:cs="宋体"/>
                <w:bCs/>
                <w:sz w:val="24"/>
                <w:szCs w:val="24"/>
                <w:highlight w:val="none"/>
                <w:lang w:val="en-US" w:eastAsia="zh-CN"/>
              </w:rPr>
              <w:t>一个货物（服务）不能出现两个或两个以上报价，投标报价无缺漏项，符合招标文件要求。</w:t>
            </w:r>
          </w:p>
        </w:tc>
      </w:tr>
      <w:tr w14:paraId="73C1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34251C5D">
            <w:pPr>
              <w:jc w:val="center"/>
              <w:rPr>
                <w:rFonts w:hint="default"/>
                <w:vertAlign w:val="baseline"/>
                <w:lang w:val="en-US" w:eastAsia="zh-CN"/>
              </w:rPr>
            </w:pPr>
            <w:r>
              <w:rPr>
                <w:rFonts w:hint="eastAsia"/>
                <w:vertAlign w:val="baseline"/>
                <w:lang w:val="en-US" w:eastAsia="zh-CN"/>
              </w:rPr>
              <w:t>2</w:t>
            </w:r>
          </w:p>
        </w:tc>
        <w:tc>
          <w:tcPr>
            <w:tcW w:w="641" w:type="dxa"/>
            <w:vMerge w:val="continue"/>
          </w:tcPr>
          <w:p w14:paraId="2B7F461F">
            <w:pPr>
              <w:rPr>
                <w:vertAlign w:val="baseline"/>
              </w:rPr>
            </w:pPr>
          </w:p>
        </w:tc>
        <w:tc>
          <w:tcPr>
            <w:tcW w:w="8775" w:type="dxa"/>
          </w:tcPr>
          <w:p w14:paraId="30D5737B">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投标文件的编制、签署、盖章、涂改、删除、插字、公章使用等符合招标文件要求；投标文件的格式、文字、目录、页码等符合招标文件要求或对投标无实质性影响，投标内容无缺项、漏项的。</w:t>
            </w:r>
          </w:p>
        </w:tc>
      </w:tr>
      <w:tr w14:paraId="6E8C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586FFA09">
            <w:pPr>
              <w:jc w:val="center"/>
              <w:rPr>
                <w:rFonts w:hint="default"/>
                <w:vertAlign w:val="baseline"/>
                <w:lang w:val="en-US" w:eastAsia="zh-CN"/>
              </w:rPr>
            </w:pPr>
            <w:r>
              <w:rPr>
                <w:rFonts w:hint="eastAsia"/>
                <w:vertAlign w:val="baseline"/>
                <w:lang w:val="en-US" w:eastAsia="zh-CN"/>
              </w:rPr>
              <w:t>3</w:t>
            </w:r>
          </w:p>
        </w:tc>
        <w:tc>
          <w:tcPr>
            <w:tcW w:w="641" w:type="dxa"/>
            <w:vMerge w:val="continue"/>
          </w:tcPr>
          <w:p w14:paraId="0697BF7E">
            <w:pPr>
              <w:rPr>
                <w:vertAlign w:val="baseline"/>
              </w:rPr>
            </w:pPr>
          </w:p>
        </w:tc>
        <w:tc>
          <w:tcPr>
            <w:tcW w:w="8775" w:type="dxa"/>
          </w:tcPr>
          <w:p w14:paraId="6307911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提供货物质量标准等能够满足招标文件要求的。</w:t>
            </w:r>
          </w:p>
        </w:tc>
      </w:tr>
      <w:tr w14:paraId="1DD5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vAlign w:val="center"/>
          </w:tcPr>
          <w:p w14:paraId="1B79907C">
            <w:pPr>
              <w:jc w:val="center"/>
              <w:rPr>
                <w:rFonts w:hint="default"/>
                <w:vertAlign w:val="baseline"/>
                <w:lang w:val="en-US" w:eastAsia="zh-CN"/>
              </w:rPr>
            </w:pPr>
            <w:r>
              <w:rPr>
                <w:rFonts w:hint="eastAsia"/>
                <w:vertAlign w:val="baseline"/>
                <w:lang w:val="en-US" w:eastAsia="zh-CN"/>
              </w:rPr>
              <w:t>4</w:t>
            </w:r>
          </w:p>
        </w:tc>
        <w:tc>
          <w:tcPr>
            <w:tcW w:w="641" w:type="dxa"/>
            <w:vMerge w:val="continue"/>
          </w:tcPr>
          <w:p w14:paraId="1F266EEF">
            <w:pPr>
              <w:rPr>
                <w:vertAlign w:val="baseline"/>
              </w:rPr>
            </w:pPr>
          </w:p>
        </w:tc>
        <w:tc>
          <w:tcPr>
            <w:tcW w:w="8775" w:type="dxa"/>
          </w:tcPr>
          <w:p w14:paraId="6A275C7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投标文件技术标必须遵守的统一格式和规范。</w:t>
            </w:r>
          </w:p>
          <w:p w14:paraId="08A8EC12">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技术标文件（暗标）未按以下“盲评”要求制作的，为无效投标，除下述要求外，不得因暗标格式问题认定为无效投标：</w:t>
            </w:r>
          </w:p>
          <w:p w14:paraId="33B45F7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1.版面要求：A4纸张大小；</w:t>
            </w:r>
          </w:p>
          <w:p w14:paraId="152C35B2">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2.颜色要求：所有文字、图表均为黑色；</w:t>
            </w:r>
          </w:p>
          <w:p w14:paraId="235EE60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3.字体要求：标题及正文部分所用文字均采用“宋体”四号“常规”字；所有字体均不得出现加粗、加色、倾斜、下划线等标记；</w:t>
            </w:r>
          </w:p>
          <w:p w14:paraId="58F243F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4.排版要求：页边距要求上边距2.5厘米，其余均为2厘米；不得设置封面、目录；正文行间距为固定值30磅；文字内容（含正文标题、正文）统一设为左对齐，首行缩进2字符，段落前后不设置空行；不得设置页眉、页脚和页码；</w:t>
            </w:r>
          </w:p>
          <w:p w14:paraId="6E9CF07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 5.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0F6191B0">
            <w:pPr>
              <w:bidi w:val="0"/>
              <w:ind w:firstLine="240" w:firstLineChars="10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6.其它：除满足上述各项要求外，构成投标文件的“技术暗标”的正文中均不得出现供应商的名称和其它可识别供应商身份的字符、徽标、人员名称以及其他可能被辨别出供应商身份的任何标记。</w:t>
            </w:r>
          </w:p>
          <w:p w14:paraId="495D8508">
            <w:pPr>
              <w:bidi w:val="0"/>
              <w:ind w:firstLine="240" w:firstLineChars="100"/>
              <w:rPr>
                <w:rFonts w:hint="default" w:ascii="宋体" w:hAnsi="宋体" w:cs="宋体"/>
                <w:bCs/>
                <w:sz w:val="24"/>
                <w:szCs w:val="24"/>
                <w:highlight w:val="none"/>
                <w:lang w:val="en-US" w:eastAsia="zh-CN"/>
              </w:rPr>
            </w:pPr>
          </w:p>
        </w:tc>
      </w:tr>
    </w:tbl>
    <w:p w14:paraId="65CA2221">
      <w:pPr>
        <w:rPr>
          <w:rFonts w:hint="eastAsia"/>
          <w:b/>
          <w:bCs/>
          <w:sz w:val="28"/>
          <w:szCs w:val="36"/>
        </w:rPr>
      </w:pPr>
    </w:p>
    <w:p w14:paraId="4FBB54BE">
      <w:pPr>
        <w:rPr>
          <w:rFonts w:hint="eastAsia"/>
          <w:b/>
          <w:bCs/>
          <w:sz w:val="28"/>
          <w:szCs w:val="36"/>
        </w:rPr>
      </w:pPr>
      <w:r>
        <w:rPr>
          <w:rFonts w:hint="eastAsia"/>
          <w:b/>
          <w:bCs/>
          <w:sz w:val="28"/>
          <w:szCs w:val="36"/>
        </w:rPr>
        <w:br w:type="page"/>
      </w:r>
    </w:p>
    <w:p w14:paraId="41BE1E92">
      <w:pPr>
        <w:numPr>
          <w:ilvl w:val="0"/>
          <w:numId w:val="0"/>
        </w:numPr>
        <w:rPr>
          <w:rFonts w:hint="eastAsia"/>
          <w:b/>
          <w:bCs/>
          <w:sz w:val="28"/>
          <w:szCs w:val="36"/>
          <w:highlight w:val="none"/>
        </w:rPr>
        <w:sectPr>
          <w:footerReference r:id="rId1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7972C912">
      <w:pPr>
        <w:numPr>
          <w:ilvl w:val="0"/>
          <w:numId w:val="8"/>
        </w:numPr>
        <w:rPr>
          <w:rFonts w:hint="eastAsia"/>
          <w:b/>
          <w:bCs/>
          <w:sz w:val="28"/>
          <w:szCs w:val="36"/>
          <w:highlight w:val="none"/>
        </w:rPr>
      </w:pPr>
      <w:r>
        <w:rPr>
          <w:rFonts w:hint="eastAsia"/>
          <w:b/>
          <w:bCs/>
          <w:sz w:val="28"/>
          <w:szCs w:val="36"/>
          <w:highlight w:val="none"/>
        </w:rPr>
        <w:t>综合评分表（详细评审）</w:t>
      </w:r>
    </w:p>
    <w:tbl>
      <w:tblPr>
        <w:tblStyle w:val="20"/>
        <w:tblW w:w="14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59"/>
        <w:gridCol w:w="9644"/>
        <w:gridCol w:w="1410"/>
      </w:tblGrid>
      <w:tr w14:paraId="7AC3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14:paraId="071F7C38">
            <w:pPr>
              <w:pStyle w:val="45"/>
              <w:rPr>
                <w:rFonts w:hint="eastAsia" w:ascii="宋体" w:hAnsi="宋体" w:cs="宋体"/>
                <w:szCs w:val="21"/>
              </w:rPr>
            </w:pPr>
            <w:r>
              <w:rPr>
                <w:rFonts w:hint="eastAsia" w:ascii="宋体" w:hAnsi="宋体" w:cs="宋体"/>
                <w:szCs w:val="21"/>
              </w:rPr>
              <w:t>项目</w:t>
            </w:r>
          </w:p>
        </w:tc>
        <w:tc>
          <w:tcPr>
            <w:tcW w:w="1559" w:type="dxa"/>
            <w:tcBorders>
              <w:top w:val="single" w:color="auto" w:sz="4" w:space="0"/>
              <w:left w:val="single" w:color="auto" w:sz="4" w:space="0"/>
              <w:bottom w:val="single" w:color="auto" w:sz="4" w:space="0"/>
              <w:right w:val="single" w:color="auto" w:sz="4" w:space="0"/>
            </w:tcBorders>
            <w:vAlign w:val="top"/>
          </w:tcPr>
          <w:p w14:paraId="5A16DDB5">
            <w:pPr>
              <w:pStyle w:val="45"/>
              <w:ind w:firstLine="0" w:firstLineChars="0"/>
              <w:rPr>
                <w:rFonts w:hint="eastAsia" w:ascii="宋体" w:hAnsi="宋体" w:cs="宋体"/>
                <w:szCs w:val="21"/>
              </w:rPr>
            </w:pPr>
            <w:r>
              <w:rPr>
                <w:rFonts w:hint="eastAsia" w:ascii="宋体" w:hAnsi="宋体" w:cs="宋体"/>
                <w:szCs w:val="21"/>
              </w:rPr>
              <w:t>分项名称</w:t>
            </w:r>
          </w:p>
        </w:tc>
        <w:tc>
          <w:tcPr>
            <w:tcW w:w="9644" w:type="dxa"/>
            <w:tcBorders>
              <w:top w:val="single" w:color="auto" w:sz="4" w:space="0"/>
              <w:left w:val="single" w:color="auto" w:sz="4" w:space="0"/>
              <w:bottom w:val="single" w:color="auto" w:sz="4" w:space="0"/>
              <w:right w:val="single" w:color="auto" w:sz="4" w:space="0"/>
            </w:tcBorders>
            <w:vAlign w:val="top"/>
          </w:tcPr>
          <w:p w14:paraId="3023ED3A">
            <w:pPr>
              <w:pStyle w:val="45"/>
              <w:rPr>
                <w:rFonts w:hint="eastAsia" w:ascii="宋体" w:hAnsi="宋体" w:cs="宋体"/>
                <w:szCs w:val="21"/>
              </w:rPr>
            </w:pPr>
            <w:r>
              <w:rPr>
                <w:rFonts w:hint="eastAsia" w:ascii="宋体" w:hAnsi="宋体" w:cs="宋体"/>
                <w:szCs w:val="21"/>
              </w:rPr>
              <w:t>评分标准</w:t>
            </w:r>
          </w:p>
        </w:tc>
        <w:tc>
          <w:tcPr>
            <w:tcW w:w="1410" w:type="dxa"/>
            <w:tcBorders>
              <w:top w:val="single" w:color="auto" w:sz="4" w:space="0"/>
              <w:left w:val="single" w:color="auto" w:sz="4" w:space="0"/>
              <w:bottom w:val="single" w:color="auto" w:sz="4" w:space="0"/>
              <w:right w:val="single" w:color="auto" w:sz="4" w:space="0"/>
            </w:tcBorders>
            <w:vAlign w:val="top"/>
          </w:tcPr>
          <w:p w14:paraId="549E4C79">
            <w:pPr>
              <w:pStyle w:val="45"/>
              <w:rPr>
                <w:rFonts w:hint="eastAsia" w:ascii="宋体" w:hAnsi="宋体" w:cs="宋体"/>
                <w:szCs w:val="21"/>
              </w:rPr>
            </w:pPr>
            <w:r>
              <w:rPr>
                <w:rFonts w:hint="eastAsia" w:ascii="宋体" w:hAnsi="宋体" w:cs="宋体"/>
                <w:szCs w:val="21"/>
              </w:rPr>
              <w:t>满分</w:t>
            </w:r>
          </w:p>
        </w:tc>
      </w:tr>
      <w:tr w14:paraId="0415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top"/>
          </w:tcPr>
          <w:p w14:paraId="46869342">
            <w:pPr>
              <w:pStyle w:val="45"/>
              <w:ind w:firstLine="0" w:firstLineChars="0"/>
              <w:rPr>
                <w:rFonts w:ascii="宋体" w:hAnsi="宋体" w:cs="宋体"/>
                <w:szCs w:val="21"/>
              </w:rPr>
            </w:pPr>
            <w:r>
              <w:rPr>
                <w:rFonts w:hint="eastAsia" w:ascii="宋体" w:hAnsi="宋体" w:cs="宋体"/>
                <w:szCs w:val="21"/>
              </w:rPr>
              <w:t>价格部分</w:t>
            </w:r>
          </w:p>
          <w:p w14:paraId="74AC79AC">
            <w:pPr>
              <w:pStyle w:val="45"/>
              <w:ind w:firstLine="0" w:firstLineChars="0"/>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top"/>
          </w:tcPr>
          <w:p w14:paraId="4D05B4DA">
            <w:pPr>
              <w:pStyle w:val="45"/>
              <w:ind w:firstLine="0" w:firstLineChars="0"/>
              <w:rPr>
                <w:rFonts w:hint="eastAsia" w:ascii="宋体" w:hAnsi="宋体" w:cs="宋体"/>
                <w:szCs w:val="21"/>
              </w:rPr>
            </w:pPr>
            <w:r>
              <w:rPr>
                <w:rFonts w:hint="eastAsia" w:ascii="宋体" w:hAnsi="宋体" w:cs="宋体"/>
                <w:szCs w:val="21"/>
              </w:rPr>
              <w:t>投标报价</w:t>
            </w:r>
          </w:p>
        </w:tc>
        <w:tc>
          <w:tcPr>
            <w:tcW w:w="9644" w:type="dxa"/>
            <w:tcBorders>
              <w:top w:val="single" w:color="auto" w:sz="4" w:space="0"/>
              <w:left w:val="single" w:color="auto" w:sz="4" w:space="0"/>
              <w:bottom w:val="single" w:color="auto" w:sz="4" w:space="0"/>
              <w:right w:val="single" w:color="auto" w:sz="4" w:space="0"/>
            </w:tcBorders>
            <w:vAlign w:val="top"/>
          </w:tcPr>
          <w:p w14:paraId="7242A9E3">
            <w:pPr>
              <w:pStyle w:val="45"/>
              <w:ind w:firstLine="0" w:firstLineChars="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cs="宋体"/>
                <w:szCs w:val="21"/>
              </w:rPr>
              <w:t>评标基准价：满足招标文件要求且投标价格最低的投标报价为评标基准价，评标基准价为满分；</w:t>
            </w:r>
            <w:r>
              <w:rPr>
                <w:rFonts w:hint="eastAsia" w:ascii="宋体" w:hAnsi="宋体" w:cs="宋体"/>
                <w:szCs w:val="21"/>
              </w:rPr>
              <w:br w:type="textWrapping"/>
            </w:r>
            <w:r>
              <w:rPr>
                <w:rFonts w:hint="eastAsia" w:ascii="宋体" w:hAnsi="宋体" w:cs="宋体"/>
                <w:szCs w:val="21"/>
              </w:rPr>
              <w:t>2、其他投标人的报价得分按照下列公式计算：投标报价得分＝（评标基准价/有效投标报价）×30％×10</w:t>
            </w:r>
            <w:r>
              <w:rPr>
                <w:rFonts w:hint="eastAsia" w:ascii="宋体" w:hAnsi="宋体" w:eastAsia="宋体" w:cs="宋体"/>
                <w:szCs w:val="21"/>
              </w:rPr>
              <w:t>0</w:t>
            </w:r>
            <w:r>
              <w:rPr>
                <w:rFonts w:hint="eastAsia" w:ascii="宋体" w:hAnsi="宋体" w:eastAsia="宋体" w:cs="宋体"/>
                <w:szCs w:val="21"/>
                <w:lang w:eastAsia="zh-CN"/>
              </w:rPr>
              <w:t>，</w:t>
            </w:r>
            <w:r>
              <w:rPr>
                <w:rFonts w:hint="eastAsia" w:ascii="宋体" w:hAnsi="宋体" w:eastAsia="宋体" w:cs="宋体"/>
                <w:szCs w:val="21"/>
              </w:rPr>
              <w:t>保留两位小数。</w:t>
            </w:r>
          </w:p>
          <w:p w14:paraId="1AFBF9CE">
            <w:pPr>
              <w:pStyle w:val="45"/>
              <w:ind w:firstLine="0" w:firstLineChars="0"/>
              <w:rPr>
                <w:rFonts w:hint="eastAsia" w:ascii="宋体" w:hAnsi="宋体" w:cs="宋体"/>
                <w:szCs w:val="21"/>
              </w:rPr>
            </w:pPr>
            <w:r>
              <w:rPr>
                <w:rFonts w:hint="eastAsia" w:ascii="宋体" w:hAnsi="宋体" w:eastAsia="宋体" w:cs="宋体"/>
                <w:szCs w:val="21"/>
              </w:rPr>
              <w:t>价格扣除：按照《政府采购促进中小企业发展暂行办法》（财库〔2020〕46号）、《关于进一步加大政府采购支持中小企业力度的通知》（财库〔2022〕19号）规定，对小型和微型企业供应商产品的价格给予10%的扣除，用扣除后的价格参与评审。</w:t>
            </w:r>
          </w:p>
        </w:tc>
        <w:tc>
          <w:tcPr>
            <w:tcW w:w="1410" w:type="dxa"/>
            <w:tcBorders>
              <w:top w:val="single" w:color="auto" w:sz="4" w:space="0"/>
              <w:left w:val="single" w:color="auto" w:sz="4" w:space="0"/>
              <w:bottom w:val="single" w:color="auto" w:sz="4" w:space="0"/>
              <w:right w:val="single" w:color="auto" w:sz="4" w:space="0"/>
            </w:tcBorders>
            <w:vAlign w:val="top"/>
          </w:tcPr>
          <w:p w14:paraId="4A9A5842">
            <w:pPr>
              <w:pStyle w:val="45"/>
              <w:rPr>
                <w:rFonts w:hint="eastAsia" w:ascii="宋体" w:hAnsi="宋体" w:cs="宋体"/>
                <w:szCs w:val="21"/>
              </w:rPr>
            </w:pPr>
            <w:r>
              <w:rPr>
                <w:rFonts w:hint="eastAsia" w:ascii="宋体" w:hAnsi="宋体" w:cs="宋体"/>
                <w:szCs w:val="21"/>
              </w:rPr>
              <w:t>30分</w:t>
            </w:r>
          </w:p>
        </w:tc>
      </w:tr>
      <w:tr w14:paraId="6E05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right w:val="single" w:color="auto" w:sz="4" w:space="0"/>
            </w:tcBorders>
            <w:vAlign w:val="top"/>
          </w:tcPr>
          <w:p w14:paraId="7A026B83">
            <w:pPr>
              <w:pStyle w:val="45"/>
              <w:ind w:firstLine="0" w:firstLineChars="0"/>
              <w:rPr>
                <w:rFonts w:hint="eastAsia" w:ascii="宋体" w:hAnsi="宋体" w:cs="宋体"/>
                <w:szCs w:val="21"/>
              </w:rPr>
            </w:pPr>
            <w:bookmarkStart w:id="20" w:name="OLE_LINK5"/>
            <w:bookmarkStart w:id="21" w:name="_Hlk233211448"/>
            <w:r>
              <w:rPr>
                <w:rFonts w:hint="eastAsia" w:ascii="宋体" w:hAnsi="宋体" w:cs="宋体"/>
                <w:szCs w:val="21"/>
              </w:rPr>
              <w:t>技术部分</w:t>
            </w:r>
            <w:bookmarkEnd w:id="20"/>
          </w:p>
        </w:tc>
        <w:tc>
          <w:tcPr>
            <w:tcW w:w="1559" w:type="dxa"/>
            <w:tcBorders>
              <w:top w:val="single" w:color="auto" w:sz="4" w:space="0"/>
              <w:left w:val="single" w:color="auto" w:sz="4" w:space="0"/>
              <w:bottom w:val="single" w:color="auto" w:sz="4" w:space="0"/>
              <w:right w:val="single" w:color="auto" w:sz="4" w:space="0"/>
            </w:tcBorders>
            <w:vAlign w:val="top"/>
          </w:tcPr>
          <w:p w14:paraId="0A78E121">
            <w:pPr>
              <w:pStyle w:val="45"/>
              <w:ind w:firstLine="0" w:firstLineChars="0"/>
              <w:rPr>
                <w:rFonts w:hint="eastAsia" w:ascii="宋体" w:hAnsi="宋体" w:cs="宋体"/>
                <w:szCs w:val="21"/>
              </w:rPr>
            </w:pPr>
            <w:r>
              <w:rPr>
                <w:rFonts w:hint="eastAsia" w:ascii="宋体" w:hAnsi="宋体" w:cs="宋体"/>
                <w:szCs w:val="21"/>
              </w:rPr>
              <w:t>产品性能</w:t>
            </w:r>
          </w:p>
        </w:tc>
        <w:tc>
          <w:tcPr>
            <w:tcW w:w="9644" w:type="dxa"/>
            <w:tcBorders>
              <w:top w:val="single" w:color="auto" w:sz="4" w:space="0"/>
              <w:left w:val="single" w:color="auto" w:sz="4" w:space="0"/>
              <w:bottom w:val="single" w:color="auto" w:sz="4" w:space="0"/>
              <w:right w:val="single" w:color="auto" w:sz="4" w:space="0"/>
            </w:tcBorders>
            <w:vAlign w:val="top"/>
          </w:tcPr>
          <w:p w14:paraId="1A643194">
            <w:pPr>
              <w:pStyle w:val="45"/>
              <w:numPr>
                <w:ilvl w:val="0"/>
                <w:numId w:val="9"/>
              </w:numPr>
              <w:ind w:firstLineChars="0"/>
              <w:rPr>
                <w:rFonts w:ascii="宋体" w:hAnsi="宋体" w:cs="宋体"/>
                <w:szCs w:val="21"/>
              </w:rPr>
            </w:pPr>
            <w:r>
              <w:rPr>
                <w:rFonts w:hint="eastAsia" w:ascii="宋体" w:hAnsi="宋体" w:cs="宋体"/>
                <w:szCs w:val="21"/>
              </w:rPr>
              <w:t>内存工作频率≥3200MHz内存，得3分；</w:t>
            </w:r>
          </w:p>
          <w:p w14:paraId="088BC657">
            <w:pPr>
              <w:pStyle w:val="45"/>
              <w:numPr>
                <w:ilvl w:val="0"/>
                <w:numId w:val="9"/>
              </w:numPr>
              <w:ind w:firstLineChars="0"/>
              <w:rPr>
                <w:rFonts w:ascii="宋体" w:hAnsi="宋体" w:cs="宋体"/>
                <w:szCs w:val="21"/>
              </w:rPr>
            </w:pPr>
            <w:r>
              <w:rPr>
                <w:rFonts w:hint="eastAsia" w:ascii="宋体" w:hAnsi="宋体" w:cs="宋体"/>
                <w:szCs w:val="21"/>
              </w:rPr>
              <w:t>显示器刷新率≥100GHz,得3分；</w:t>
            </w:r>
          </w:p>
          <w:p w14:paraId="38ECB23C">
            <w:pPr>
              <w:pStyle w:val="45"/>
              <w:numPr>
                <w:ilvl w:val="0"/>
                <w:numId w:val="9"/>
              </w:numPr>
              <w:ind w:firstLineChars="0"/>
              <w:rPr>
                <w:rFonts w:ascii="宋体" w:hAnsi="宋体" w:cs="宋体"/>
                <w:szCs w:val="21"/>
              </w:rPr>
            </w:pPr>
            <w:r>
              <w:rPr>
                <w:rFonts w:hint="eastAsia" w:ascii="宋体" w:hAnsi="宋体" w:cs="宋体"/>
                <w:szCs w:val="21"/>
              </w:rPr>
              <w:t>显示器对比度≥3000:1，得3分；</w:t>
            </w:r>
          </w:p>
          <w:p w14:paraId="5DA03EED">
            <w:pPr>
              <w:pStyle w:val="45"/>
              <w:numPr>
                <w:ilvl w:val="0"/>
                <w:numId w:val="9"/>
              </w:numPr>
              <w:ind w:firstLineChars="0"/>
              <w:rPr>
                <w:rFonts w:hint="eastAsia" w:ascii="宋体" w:hAnsi="宋体" w:cs="宋体"/>
                <w:szCs w:val="21"/>
              </w:rPr>
            </w:pPr>
            <w:r>
              <w:rPr>
                <w:rFonts w:hint="eastAsia" w:ascii="宋体" w:hAnsi="宋体" w:cs="宋体"/>
                <w:szCs w:val="21"/>
              </w:rPr>
              <w:t>显示器可视角度≥178°，得3</w:t>
            </w:r>
            <w:r>
              <w:rPr>
                <w:rFonts w:hint="eastAsia" w:ascii="宋体" w:hAnsi="宋体" w:cs="宋体"/>
                <w:szCs w:val="21"/>
                <w:lang w:val="en-US" w:eastAsia="zh-CN"/>
              </w:rPr>
              <w:t>分</w:t>
            </w:r>
            <w:r>
              <w:rPr>
                <w:rFonts w:hint="eastAsia" w:ascii="宋体" w:hAnsi="宋体" w:cs="宋体"/>
                <w:szCs w:val="21"/>
              </w:rPr>
              <w:t>；</w:t>
            </w:r>
          </w:p>
          <w:p w14:paraId="4DB2EECB">
            <w:pPr>
              <w:pStyle w:val="45"/>
              <w:numPr>
                <w:ilvl w:val="0"/>
                <w:numId w:val="0"/>
              </w:numPr>
              <w:ind w:leftChars="0"/>
              <w:rPr>
                <w:rFonts w:hint="eastAsia" w:ascii="宋体" w:hAnsi="宋体" w:cs="宋体"/>
                <w:szCs w:val="21"/>
              </w:rPr>
            </w:pPr>
            <w:r>
              <w:rPr>
                <w:rFonts w:hint="eastAsia" w:ascii="宋体" w:hAnsi="宋体" w:cs="宋体"/>
                <w:szCs w:val="21"/>
                <w:lang w:val="en-US" w:eastAsia="zh-CN"/>
              </w:rPr>
              <w:t>5、显示器具有低蓝光护眼认证，得3分。</w:t>
            </w:r>
          </w:p>
        </w:tc>
        <w:tc>
          <w:tcPr>
            <w:tcW w:w="1410" w:type="dxa"/>
            <w:tcBorders>
              <w:top w:val="single" w:color="auto" w:sz="4" w:space="0"/>
              <w:left w:val="single" w:color="auto" w:sz="4" w:space="0"/>
              <w:bottom w:val="single" w:color="auto" w:sz="4" w:space="0"/>
              <w:right w:val="single" w:color="auto" w:sz="4" w:space="0"/>
            </w:tcBorders>
            <w:vAlign w:val="top"/>
          </w:tcPr>
          <w:p w14:paraId="276354C2">
            <w:pPr>
              <w:pStyle w:val="4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w:t>
            </w:r>
          </w:p>
        </w:tc>
      </w:tr>
      <w:bookmarkEnd w:id="21"/>
      <w:tr w14:paraId="6B19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left w:val="single" w:color="auto" w:sz="4" w:space="0"/>
              <w:bottom w:val="single" w:color="auto" w:sz="4" w:space="0"/>
              <w:right w:val="single" w:color="auto" w:sz="4" w:space="0"/>
            </w:tcBorders>
            <w:vAlign w:val="top"/>
          </w:tcPr>
          <w:p w14:paraId="401A5AA7">
            <w:pPr>
              <w:pStyle w:val="45"/>
              <w:ind w:firstLine="0" w:firstLineChars="0"/>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top"/>
          </w:tcPr>
          <w:p w14:paraId="16008A77">
            <w:pPr>
              <w:pStyle w:val="45"/>
              <w:ind w:firstLine="0" w:firstLineChars="0"/>
              <w:rPr>
                <w:rFonts w:hint="eastAsia" w:ascii="宋体" w:hAnsi="宋体" w:cs="宋体"/>
                <w:szCs w:val="21"/>
              </w:rPr>
            </w:pPr>
            <w:r>
              <w:rPr>
                <w:rFonts w:hint="eastAsia" w:ascii="宋体" w:hAnsi="宋体" w:cs="宋体"/>
                <w:szCs w:val="21"/>
              </w:rPr>
              <w:t>随机软件</w:t>
            </w:r>
          </w:p>
        </w:tc>
        <w:tc>
          <w:tcPr>
            <w:tcW w:w="9644" w:type="dxa"/>
            <w:tcBorders>
              <w:top w:val="single" w:color="auto" w:sz="4" w:space="0"/>
              <w:left w:val="single" w:color="auto" w:sz="4" w:space="0"/>
              <w:bottom w:val="single" w:color="auto" w:sz="4" w:space="0"/>
              <w:right w:val="single" w:color="auto" w:sz="4" w:space="0"/>
            </w:tcBorders>
            <w:vAlign w:val="top"/>
          </w:tcPr>
          <w:p w14:paraId="6DE0E4FB">
            <w:pPr>
              <w:pStyle w:val="45"/>
              <w:ind w:firstLine="0" w:firstLineChars="0"/>
              <w:rPr>
                <w:rFonts w:hint="eastAsia" w:ascii="宋体" w:hAnsi="宋体" w:cs="宋体"/>
                <w:szCs w:val="21"/>
              </w:rPr>
            </w:pPr>
            <w:r>
              <w:rPr>
                <w:rFonts w:hint="eastAsia" w:ascii="宋体" w:hAnsi="宋体" w:cs="宋体"/>
                <w:szCs w:val="21"/>
              </w:rPr>
              <w:t>为验证本项目中软件功能的响应程度，投标人需针对本项目的10项功能，逐条提供真实、有效的功能实现证明材料单项功能完全满足得2分，最高得20分，如因投标人自身原因无法提供的不予计分。</w:t>
            </w:r>
          </w:p>
        </w:tc>
        <w:tc>
          <w:tcPr>
            <w:tcW w:w="1410" w:type="dxa"/>
            <w:tcBorders>
              <w:top w:val="single" w:color="auto" w:sz="4" w:space="0"/>
              <w:left w:val="single" w:color="auto" w:sz="4" w:space="0"/>
              <w:bottom w:val="single" w:color="auto" w:sz="4" w:space="0"/>
              <w:right w:val="single" w:color="auto" w:sz="4" w:space="0"/>
            </w:tcBorders>
            <w:vAlign w:val="top"/>
          </w:tcPr>
          <w:p w14:paraId="4A95279E">
            <w:pPr>
              <w:pStyle w:val="45"/>
              <w:rPr>
                <w:rFonts w:hint="eastAsia" w:ascii="宋体" w:hAnsi="宋体" w:cs="宋体"/>
                <w:szCs w:val="21"/>
              </w:rPr>
            </w:pPr>
            <w:r>
              <w:rPr>
                <w:rFonts w:hint="eastAsia" w:ascii="宋体" w:hAnsi="宋体" w:cs="宋体"/>
                <w:szCs w:val="21"/>
              </w:rPr>
              <w:t>20分</w:t>
            </w:r>
          </w:p>
        </w:tc>
      </w:tr>
      <w:tr w14:paraId="1D39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vAlign w:val="top"/>
          </w:tcPr>
          <w:p w14:paraId="049DE1D1">
            <w:pPr>
              <w:pStyle w:val="45"/>
              <w:ind w:firstLine="0" w:firstLineChars="0"/>
              <w:rPr>
                <w:rFonts w:hint="eastAsia" w:ascii="宋体" w:hAnsi="宋体" w:cs="宋体"/>
                <w:szCs w:val="21"/>
              </w:rPr>
            </w:pPr>
            <w:r>
              <w:rPr>
                <w:rFonts w:hint="eastAsia" w:ascii="宋体" w:hAnsi="宋体" w:cs="宋体"/>
                <w:szCs w:val="21"/>
              </w:rPr>
              <w:t>商务部分</w:t>
            </w:r>
          </w:p>
        </w:tc>
        <w:tc>
          <w:tcPr>
            <w:tcW w:w="1559" w:type="dxa"/>
            <w:tcBorders>
              <w:top w:val="single" w:color="auto" w:sz="4" w:space="0"/>
              <w:left w:val="single" w:color="auto" w:sz="4" w:space="0"/>
              <w:bottom w:val="single" w:color="auto" w:sz="4" w:space="0"/>
              <w:right w:val="single" w:color="auto" w:sz="4" w:space="0"/>
            </w:tcBorders>
            <w:vAlign w:val="top"/>
          </w:tcPr>
          <w:p w14:paraId="7EEB173E">
            <w:pPr>
              <w:pStyle w:val="45"/>
              <w:ind w:firstLine="0" w:firstLineChars="0"/>
              <w:rPr>
                <w:rFonts w:hint="eastAsia" w:ascii="宋体" w:hAnsi="宋体" w:cs="宋体"/>
                <w:szCs w:val="21"/>
              </w:rPr>
            </w:pPr>
            <w:r>
              <w:rPr>
                <w:rFonts w:hint="eastAsia" w:ascii="宋体" w:hAnsi="宋体" w:cs="宋体"/>
                <w:szCs w:val="21"/>
              </w:rPr>
              <w:t>企业资质</w:t>
            </w:r>
          </w:p>
        </w:tc>
        <w:tc>
          <w:tcPr>
            <w:tcW w:w="9644" w:type="dxa"/>
            <w:tcBorders>
              <w:top w:val="single" w:color="auto" w:sz="4" w:space="0"/>
              <w:left w:val="single" w:color="auto" w:sz="4" w:space="0"/>
              <w:bottom w:val="single" w:color="auto" w:sz="4" w:space="0"/>
              <w:right w:val="single" w:color="auto" w:sz="4" w:space="0"/>
            </w:tcBorders>
            <w:vAlign w:val="top"/>
          </w:tcPr>
          <w:p w14:paraId="36582E1D">
            <w:pPr>
              <w:pStyle w:val="45"/>
              <w:ind w:firstLine="0" w:firstLineChars="0"/>
              <w:rPr>
                <w:rFonts w:hint="eastAsia" w:ascii="宋体" w:hAnsi="宋体" w:cs="宋体"/>
                <w:szCs w:val="21"/>
              </w:rPr>
            </w:pPr>
            <w:r>
              <w:rPr>
                <w:rFonts w:hint="eastAsia" w:ascii="宋体" w:hAnsi="宋体" w:cs="宋体"/>
                <w:szCs w:val="21"/>
              </w:rPr>
              <w:t>投标产品具备ISO9001质量管理体系、ISO14001环境管理体系认证证</w:t>
            </w:r>
            <w:r>
              <w:rPr>
                <w:rFonts w:hint="eastAsia" w:ascii="宋体" w:hAnsi="宋体" w:eastAsia="宋体" w:cs="宋体"/>
                <w:szCs w:val="21"/>
              </w:rPr>
              <w:t>书各</w:t>
            </w:r>
            <w:r>
              <w:rPr>
                <w:rFonts w:hint="eastAsia" w:ascii="宋体" w:hAnsi="宋体" w:eastAsia="宋体" w:cs="宋体"/>
                <w:szCs w:val="21"/>
                <w:lang w:val="en-US" w:eastAsia="zh-CN"/>
              </w:rPr>
              <w:t>得</w:t>
            </w:r>
            <w:r>
              <w:rPr>
                <w:rFonts w:hint="eastAsia" w:ascii="宋体" w:hAnsi="宋体" w:eastAsia="宋体" w:cs="宋体"/>
                <w:szCs w:val="21"/>
              </w:rPr>
              <w:t>1</w:t>
            </w:r>
            <w:r>
              <w:rPr>
                <w:rFonts w:hint="eastAsia" w:ascii="宋体" w:hAnsi="宋体" w:cs="宋体"/>
                <w:szCs w:val="21"/>
              </w:rPr>
              <w:t>分，满分2分。</w:t>
            </w:r>
          </w:p>
        </w:tc>
        <w:tc>
          <w:tcPr>
            <w:tcW w:w="1410" w:type="dxa"/>
            <w:tcBorders>
              <w:top w:val="single" w:color="auto" w:sz="4" w:space="0"/>
              <w:left w:val="single" w:color="auto" w:sz="4" w:space="0"/>
              <w:bottom w:val="single" w:color="auto" w:sz="4" w:space="0"/>
              <w:right w:val="single" w:color="auto" w:sz="4" w:space="0"/>
            </w:tcBorders>
            <w:vAlign w:val="top"/>
          </w:tcPr>
          <w:p w14:paraId="410D0129">
            <w:pPr>
              <w:pStyle w:val="45"/>
              <w:rPr>
                <w:rFonts w:hint="eastAsia" w:ascii="宋体" w:hAnsi="宋体" w:cs="宋体"/>
                <w:szCs w:val="21"/>
              </w:rPr>
            </w:pPr>
            <w:r>
              <w:rPr>
                <w:rFonts w:hint="eastAsia" w:ascii="宋体" w:hAnsi="宋体" w:cs="宋体"/>
                <w:szCs w:val="21"/>
              </w:rPr>
              <w:t>2分</w:t>
            </w:r>
          </w:p>
        </w:tc>
      </w:tr>
      <w:tr w14:paraId="006A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B806AA">
            <w:pPr>
              <w:pStyle w:val="45"/>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top"/>
          </w:tcPr>
          <w:p w14:paraId="7460CD7B">
            <w:pPr>
              <w:pStyle w:val="45"/>
              <w:ind w:firstLine="0" w:firstLineChars="0"/>
              <w:rPr>
                <w:rFonts w:hint="eastAsia" w:ascii="宋体" w:hAnsi="宋体" w:cs="宋体"/>
                <w:szCs w:val="21"/>
              </w:rPr>
            </w:pPr>
            <w:r>
              <w:rPr>
                <w:rFonts w:hint="eastAsia" w:ascii="宋体" w:hAnsi="宋体" w:cs="宋体"/>
                <w:szCs w:val="21"/>
              </w:rPr>
              <w:t>产品资质</w:t>
            </w:r>
          </w:p>
        </w:tc>
        <w:tc>
          <w:tcPr>
            <w:tcW w:w="9644" w:type="dxa"/>
            <w:tcBorders>
              <w:top w:val="single" w:color="auto" w:sz="4" w:space="0"/>
              <w:left w:val="single" w:color="auto" w:sz="4" w:space="0"/>
              <w:bottom w:val="single" w:color="auto" w:sz="4" w:space="0"/>
              <w:right w:val="single" w:color="auto" w:sz="4" w:space="0"/>
            </w:tcBorders>
            <w:vAlign w:val="top"/>
          </w:tcPr>
          <w:p w14:paraId="50539779">
            <w:pPr>
              <w:pStyle w:val="45"/>
              <w:ind w:firstLine="0" w:firstLineChars="0"/>
              <w:rPr>
                <w:rFonts w:hint="eastAsia" w:ascii="宋体" w:hAnsi="宋体" w:cs="宋体"/>
                <w:szCs w:val="21"/>
              </w:rPr>
            </w:pPr>
            <w:r>
              <w:rPr>
                <w:rFonts w:hint="eastAsia" w:ascii="宋体" w:hAnsi="宋体" w:eastAsia="宋体" w:cs="宋体"/>
                <w:szCs w:val="21"/>
              </w:rPr>
              <w:t>投标产品需提供</w:t>
            </w:r>
            <w:r>
              <w:rPr>
                <w:rFonts w:hint="eastAsia" w:ascii="宋体" w:hAnsi="宋体" w:eastAsia="宋体" w:cs="宋体"/>
                <w:szCs w:val="21"/>
                <w:lang w:val="en-US" w:eastAsia="zh-CN"/>
              </w:rPr>
              <w:t>3</w:t>
            </w:r>
            <w:r>
              <w:rPr>
                <w:rFonts w:hint="eastAsia" w:ascii="宋体" w:hAnsi="宋体" w:eastAsia="宋体" w:cs="宋体"/>
                <w:szCs w:val="21"/>
              </w:rPr>
              <w:t>C认证证书、节能证书、环保证书，</w:t>
            </w:r>
            <w:r>
              <w:rPr>
                <w:rFonts w:hint="eastAsia" w:ascii="宋体" w:hAnsi="宋体" w:eastAsia="宋体" w:cs="宋体"/>
                <w:szCs w:val="21"/>
                <w:lang w:val="en-US" w:eastAsia="zh-CN"/>
              </w:rPr>
              <w:t>每项</w:t>
            </w:r>
            <w:r>
              <w:rPr>
                <w:rFonts w:hint="eastAsia" w:ascii="宋体" w:hAnsi="宋体" w:eastAsia="宋体" w:cs="宋体"/>
                <w:szCs w:val="21"/>
              </w:rPr>
              <w:t>各得1分，满分3分。</w:t>
            </w:r>
          </w:p>
        </w:tc>
        <w:tc>
          <w:tcPr>
            <w:tcW w:w="1410" w:type="dxa"/>
            <w:tcBorders>
              <w:top w:val="single" w:color="auto" w:sz="4" w:space="0"/>
              <w:left w:val="single" w:color="auto" w:sz="4" w:space="0"/>
              <w:bottom w:val="single" w:color="auto" w:sz="4" w:space="0"/>
              <w:right w:val="single" w:color="auto" w:sz="4" w:space="0"/>
            </w:tcBorders>
            <w:vAlign w:val="top"/>
          </w:tcPr>
          <w:p w14:paraId="5C833AC9">
            <w:pPr>
              <w:pStyle w:val="45"/>
              <w:rPr>
                <w:rFonts w:hint="eastAsia" w:ascii="宋体" w:hAnsi="宋体" w:cs="宋体"/>
                <w:szCs w:val="21"/>
              </w:rPr>
            </w:pPr>
            <w:r>
              <w:rPr>
                <w:rFonts w:hint="eastAsia" w:ascii="宋体" w:hAnsi="宋体" w:cs="宋体"/>
                <w:szCs w:val="21"/>
              </w:rPr>
              <w:t>3分</w:t>
            </w:r>
          </w:p>
        </w:tc>
      </w:tr>
      <w:tr w14:paraId="4B80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677528">
            <w:pPr>
              <w:pStyle w:val="45"/>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top"/>
          </w:tcPr>
          <w:p w14:paraId="69AFF7DB">
            <w:pPr>
              <w:pStyle w:val="45"/>
              <w:ind w:firstLine="0" w:firstLineChars="0"/>
              <w:rPr>
                <w:rFonts w:hint="eastAsia" w:ascii="宋体" w:hAnsi="宋体" w:cs="宋体"/>
                <w:szCs w:val="21"/>
              </w:rPr>
            </w:pPr>
            <w:r>
              <w:rPr>
                <w:rFonts w:hint="eastAsia" w:ascii="宋体" w:hAnsi="宋体" w:cs="宋体"/>
                <w:szCs w:val="21"/>
              </w:rPr>
              <w:t>服务承诺</w:t>
            </w:r>
          </w:p>
        </w:tc>
        <w:tc>
          <w:tcPr>
            <w:tcW w:w="9644" w:type="dxa"/>
            <w:tcBorders>
              <w:top w:val="single" w:color="auto" w:sz="4" w:space="0"/>
              <w:left w:val="single" w:color="auto" w:sz="4" w:space="0"/>
              <w:bottom w:val="single" w:color="auto" w:sz="4" w:space="0"/>
              <w:right w:val="single" w:color="auto" w:sz="4" w:space="0"/>
            </w:tcBorders>
            <w:vAlign w:val="top"/>
          </w:tcPr>
          <w:p w14:paraId="624D038D">
            <w:pPr>
              <w:pStyle w:val="45"/>
              <w:ind w:firstLine="0" w:firstLineChars="0"/>
              <w:rPr>
                <w:rFonts w:hint="eastAsia" w:ascii="宋体" w:hAnsi="宋体" w:cs="宋体"/>
                <w:szCs w:val="21"/>
              </w:rPr>
            </w:pPr>
            <w:r>
              <w:rPr>
                <w:rFonts w:hint="eastAsia" w:ascii="宋体" w:hAnsi="宋体" w:cs="宋体"/>
                <w:szCs w:val="21"/>
              </w:rPr>
              <w:t>1. 服务时长：服务期内，投标人能够提供每周5天，每天8小时，线上与线下双线的技术支持服务，并提供售后服务承诺的，得3分，未提供或提供服务要求不达标的不得分。</w:t>
            </w:r>
          </w:p>
          <w:p w14:paraId="6A93D9D2">
            <w:pPr>
              <w:pStyle w:val="45"/>
              <w:ind w:firstLine="0" w:firstLineChars="0"/>
              <w:rPr>
                <w:rFonts w:hint="eastAsia" w:ascii="宋体" w:hAnsi="宋体" w:cs="宋体"/>
                <w:szCs w:val="21"/>
              </w:rPr>
            </w:pPr>
            <w:r>
              <w:rPr>
                <w:rFonts w:hint="eastAsia" w:ascii="宋体" w:hAnsi="宋体" w:cs="宋体"/>
                <w:szCs w:val="21"/>
              </w:rPr>
              <w:t xml:space="preserve">2. 培训指导：服务期内，投标人能够提供完善的项目培训与应用指导服务，每年至少组织1次覆盖责任机构的项目培训指导活动，并提供售后服务承诺的，得3分，未提供或提供服务要求不达标的不得分。 </w:t>
            </w:r>
          </w:p>
          <w:p w14:paraId="6500EE01">
            <w:pPr>
              <w:pStyle w:val="45"/>
              <w:ind w:firstLine="0" w:firstLineChars="0"/>
              <w:rPr>
                <w:rFonts w:hint="eastAsia" w:ascii="宋体" w:hAnsi="宋体" w:cs="宋体"/>
                <w:szCs w:val="21"/>
              </w:rPr>
            </w:pPr>
            <w:r>
              <w:rPr>
                <w:rFonts w:hint="eastAsia" w:ascii="宋体" w:hAnsi="宋体" w:cs="宋体"/>
                <w:szCs w:val="21"/>
              </w:rPr>
              <w:t>3. 技术支持：服务期内，投标人能够做到接到需方故障修复通知和技术支持请求后，1小时内做出响应，2小时内派出技术工程师线上支持，并提供售后服务承诺的，得3分，</w:t>
            </w:r>
            <w:bookmarkStart w:id="22" w:name="OLE_LINK48"/>
            <w:r>
              <w:rPr>
                <w:rFonts w:hint="eastAsia" w:ascii="宋体" w:hAnsi="宋体" w:cs="宋体"/>
                <w:szCs w:val="21"/>
              </w:rPr>
              <w:t>未提供或提供服务要求不达标的不得分。</w:t>
            </w:r>
          </w:p>
          <w:bookmarkEnd w:id="22"/>
          <w:p w14:paraId="4C1EFC8E">
            <w:pPr>
              <w:pStyle w:val="45"/>
              <w:ind w:firstLine="0" w:firstLineChars="0"/>
              <w:rPr>
                <w:rFonts w:hint="eastAsia" w:ascii="宋体" w:hAnsi="宋体" w:cs="宋体"/>
                <w:szCs w:val="21"/>
              </w:rPr>
            </w:pPr>
            <w:r>
              <w:rPr>
                <w:rFonts w:hint="eastAsia" w:ascii="宋体" w:hAnsi="宋体" w:cs="宋体"/>
                <w:szCs w:val="21"/>
              </w:rPr>
              <w:t>4. 人员配置：服务期内，投标人能够为需方配备专职的技术服务团队，遇到重大故障时能够提供现场技术支持，并提供售后服务承诺的，得3分，未提供或提供服务要求不达标的不得分。</w:t>
            </w:r>
          </w:p>
          <w:p w14:paraId="1F78963E">
            <w:pPr>
              <w:pStyle w:val="45"/>
              <w:ind w:firstLine="0" w:firstLineChars="0"/>
              <w:rPr>
                <w:rFonts w:hint="eastAsia" w:ascii="宋体" w:hAnsi="宋体" w:cs="宋体"/>
                <w:szCs w:val="21"/>
              </w:rPr>
            </w:pPr>
            <w:r>
              <w:rPr>
                <w:rFonts w:hint="eastAsia" w:ascii="宋体" w:hAnsi="宋体" w:cs="宋体"/>
                <w:szCs w:val="21"/>
              </w:rPr>
              <w:t>5. 项目巡检：服务期内，投标人每年面向本项目覆盖的组织机构，至少提供1 次项目工程师巡检服务，并提供售后服务承诺的，得3分，未提供或提供服务要求不达标的不得分 。</w:t>
            </w:r>
          </w:p>
        </w:tc>
        <w:tc>
          <w:tcPr>
            <w:tcW w:w="1410" w:type="dxa"/>
            <w:tcBorders>
              <w:top w:val="single" w:color="auto" w:sz="4" w:space="0"/>
              <w:left w:val="single" w:color="auto" w:sz="4" w:space="0"/>
              <w:bottom w:val="single" w:color="auto" w:sz="4" w:space="0"/>
              <w:right w:val="single" w:color="auto" w:sz="4" w:space="0"/>
            </w:tcBorders>
            <w:vAlign w:val="top"/>
          </w:tcPr>
          <w:p w14:paraId="5FA3C7E2">
            <w:pPr>
              <w:pStyle w:val="45"/>
              <w:rPr>
                <w:rFonts w:hint="eastAsia" w:ascii="宋体" w:hAnsi="宋体" w:cs="宋体"/>
                <w:szCs w:val="21"/>
              </w:rPr>
            </w:pPr>
            <w:r>
              <w:rPr>
                <w:rFonts w:hint="eastAsia" w:ascii="宋体" w:hAnsi="宋体" w:cs="宋体"/>
                <w:szCs w:val="21"/>
              </w:rPr>
              <w:t>15分</w:t>
            </w:r>
          </w:p>
        </w:tc>
      </w:tr>
      <w:tr w14:paraId="05AF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vAlign w:val="center"/>
          </w:tcPr>
          <w:p w14:paraId="14491D9F">
            <w:pPr>
              <w:pStyle w:val="45"/>
              <w:rPr>
                <w:rFonts w:hint="eastAsia"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top"/>
          </w:tcPr>
          <w:p w14:paraId="6BE8B1B8">
            <w:pPr>
              <w:pStyle w:val="45"/>
              <w:ind w:firstLine="0" w:firstLineChars="0"/>
              <w:rPr>
                <w:rFonts w:hint="eastAsia" w:ascii="宋体" w:hAnsi="宋体" w:cs="宋体"/>
                <w:szCs w:val="21"/>
              </w:rPr>
            </w:pPr>
            <w:r>
              <w:rPr>
                <w:rFonts w:hint="eastAsia" w:ascii="宋体" w:hAnsi="宋体" w:cs="宋体"/>
                <w:szCs w:val="21"/>
              </w:rPr>
              <w:t>供货实施方案</w:t>
            </w:r>
          </w:p>
        </w:tc>
        <w:tc>
          <w:tcPr>
            <w:tcW w:w="9644" w:type="dxa"/>
            <w:tcBorders>
              <w:top w:val="single" w:color="auto" w:sz="4" w:space="0"/>
              <w:left w:val="single" w:color="auto" w:sz="4" w:space="0"/>
              <w:bottom w:val="single" w:color="auto" w:sz="4" w:space="0"/>
              <w:right w:val="single" w:color="auto" w:sz="4" w:space="0"/>
            </w:tcBorders>
            <w:vAlign w:val="top"/>
          </w:tcPr>
          <w:p w14:paraId="3E177674">
            <w:pPr>
              <w:widowControl/>
              <w:ind w:firstLine="420" w:firstLineChars="200"/>
              <w:rPr>
                <w:rFonts w:hint="eastAsia" w:ascii="宋体" w:hAnsi="宋体" w:cs="宋体"/>
                <w:szCs w:val="21"/>
              </w:rPr>
            </w:pPr>
            <w:bookmarkStart w:id="23" w:name="OLE_LINK47"/>
            <w:r>
              <w:rPr>
                <w:rFonts w:hint="eastAsia" w:ascii="宋体" w:hAnsi="宋体" w:cs="宋体"/>
                <w:szCs w:val="21"/>
              </w:rPr>
              <w:t>应包含：配送方案，供货服务方案，应急处理方案，供货周期，到货验收等，</w:t>
            </w:r>
            <w:bookmarkEnd w:id="23"/>
            <w:r>
              <w:rPr>
                <w:rFonts w:hint="eastAsia" w:ascii="宋体" w:hAnsi="宋体" w:cs="宋体"/>
                <w:szCs w:val="21"/>
              </w:rPr>
              <w:t>每一项3分，未提供或提供服务要求不达标的不得分。上述方案具有针对性</w:t>
            </w:r>
            <w:r>
              <w:rPr>
                <w:rFonts w:hint="eastAsia" w:ascii="宋体" w:hAnsi="宋体" w:cs="宋体"/>
                <w:szCs w:val="21"/>
                <w:lang w:eastAsia="zh-CN"/>
              </w:rPr>
              <w:t>、</w:t>
            </w:r>
            <w:r>
              <w:rPr>
                <w:rFonts w:hint="eastAsia" w:ascii="宋体" w:hAnsi="宋体" w:cs="宋体"/>
                <w:szCs w:val="21"/>
              </w:rPr>
              <w:t>可行性</w:t>
            </w:r>
            <w:r>
              <w:rPr>
                <w:rFonts w:hint="eastAsia" w:ascii="宋体" w:hAnsi="宋体" w:cs="宋体"/>
                <w:szCs w:val="21"/>
                <w:lang w:val="en-US" w:eastAsia="zh-CN"/>
              </w:rPr>
              <w:t>和适配性</w:t>
            </w:r>
            <w:r>
              <w:rPr>
                <w:rFonts w:hint="eastAsia" w:ascii="宋体" w:hAnsi="宋体" w:cs="宋体"/>
                <w:szCs w:val="21"/>
              </w:rPr>
              <w:t>，内容</w:t>
            </w:r>
            <w:r>
              <w:rPr>
                <w:rFonts w:hint="eastAsia" w:ascii="宋体" w:hAnsi="宋体" w:cs="宋体"/>
                <w:szCs w:val="21"/>
                <w:lang w:val="en-US" w:eastAsia="zh-CN"/>
              </w:rPr>
              <w:t>详细，</w:t>
            </w:r>
            <w:r>
              <w:rPr>
                <w:rFonts w:hint="eastAsia" w:ascii="宋体" w:hAnsi="宋体" w:cs="宋体"/>
                <w:szCs w:val="21"/>
              </w:rPr>
              <w:t>满足并优于采购需求要求的每项得</w:t>
            </w:r>
            <w:r>
              <w:rPr>
                <w:rFonts w:hint="eastAsia" w:ascii="宋体" w:hAnsi="宋体" w:cs="宋体"/>
                <w:szCs w:val="21"/>
                <w:lang w:val="en-US" w:eastAsia="zh-CN"/>
              </w:rPr>
              <w:t>3</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针对性</w:t>
            </w:r>
            <w:r>
              <w:rPr>
                <w:rFonts w:hint="eastAsia" w:ascii="宋体" w:hAnsi="宋体" w:cs="宋体"/>
                <w:szCs w:val="21"/>
                <w:lang w:eastAsia="zh-CN"/>
              </w:rPr>
              <w:t>、</w:t>
            </w:r>
            <w:r>
              <w:rPr>
                <w:rFonts w:hint="eastAsia" w:ascii="宋体" w:hAnsi="宋体" w:cs="宋体"/>
                <w:szCs w:val="21"/>
              </w:rPr>
              <w:t>可行性</w:t>
            </w:r>
            <w:r>
              <w:rPr>
                <w:rFonts w:hint="eastAsia" w:ascii="宋体" w:hAnsi="宋体" w:cs="宋体"/>
                <w:szCs w:val="21"/>
                <w:lang w:val="en-US" w:eastAsia="zh-CN"/>
              </w:rPr>
              <w:t>和适配性一般每项得2分；</w:t>
            </w:r>
            <w:r>
              <w:rPr>
                <w:rFonts w:hint="eastAsia" w:ascii="宋体" w:hAnsi="宋体" w:cs="宋体"/>
                <w:szCs w:val="21"/>
              </w:rPr>
              <w:t>针对性</w:t>
            </w:r>
            <w:r>
              <w:rPr>
                <w:rFonts w:hint="eastAsia" w:ascii="宋体" w:hAnsi="宋体" w:cs="宋体"/>
                <w:szCs w:val="21"/>
                <w:lang w:eastAsia="zh-CN"/>
              </w:rPr>
              <w:t>、</w:t>
            </w:r>
            <w:r>
              <w:rPr>
                <w:rFonts w:hint="eastAsia" w:ascii="宋体" w:hAnsi="宋体" w:cs="宋体"/>
                <w:szCs w:val="21"/>
              </w:rPr>
              <w:t>可行性</w:t>
            </w:r>
            <w:r>
              <w:rPr>
                <w:rFonts w:hint="eastAsia" w:ascii="宋体" w:hAnsi="宋体" w:cs="宋体"/>
                <w:szCs w:val="21"/>
                <w:lang w:val="en-US" w:eastAsia="zh-CN"/>
              </w:rPr>
              <w:t>和适配性</w:t>
            </w:r>
            <w:r>
              <w:rPr>
                <w:rFonts w:hint="eastAsia" w:ascii="宋体" w:hAnsi="宋体" w:cs="宋体"/>
                <w:szCs w:val="21"/>
              </w:rPr>
              <w:t>存在一般缺陷（一般缺陷是指方案内容前后不一致、前后逻辑错误，不影响项目的实施）</w:t>
            </w:r>
            <w:r>
              <w:rPr>
                <w:rFonts w:hint="eastAsia" w:ascii="宋体" w:hAnsi="宋体" w:cs="宋体"/>
                <w:szCs w:val="21"/>
                <w:lang w:val="en-US" w:eastAsia="zh-CN"/>
              </w:rPr>
              <w:t>每项得1分；</w:t>
            </w:r>
            <w:r>
              <w:rPr>
                <w:rFonts w:hint="eastAsia" w:ascii="宋体" w:hAnsi="宋体" w:cs="宋体"/>
                <w:szCs w:val="21"/>
              </w:rPr>
              <w:t>未提供或提供服务要求不达标</w:t>
            </w:r>
            <w:r>
              <w:rPr>
                <w:rFonts w:hint="eastAsia" w:ascii="宋体" w:hAnsi="宋体" w:cs="宋体"/>
                <w:szCs w:val="21"/>
                <w:lang w:eastAsia="zh-CN"/>
              </w:rPr>
              <w:t>（</w:t>
            </w:r>
            <w:r>
              <w:rPr>
                <w:rFonts w:hint="eastAsia" w:ascii="宋体" w:hAnsi="宋体" w:cs="宋体"/>
                <w:szCs w:val="21"/>
                <w:lang w:val="en-US" w:eastAsia="zh-CN"/>
              </w:rPr>
              <w:t>不达标</w:t>
            </w:r>
            <w:r>
              <w:rPr>
                <w:rFonts w:hint="eastAsia" w:ascii="宋体" w:hAnsi="宋体" w:cs="宋体"/>
                <w:szCs w:val="21"/>
              </w:rPr>
              <w:t>是指方案凭空编造、与采购项目和采购需求无关，无法指导项目实施</w:t>
            </w:r>
            <w:r>
              <w:rPr>
                <w:rFonts w:hint="eastAsia" w:ascii="宋体" w:hAnsi="宋体" w:cs="宋体"/>
                <w:szCs w:val="21"/>
                <w:lang w:eastAsia="zh-CN"/>
              </w:rPr>
              <w:t>）</w:t>
            </w:r>
            <w:r>
              <w:rPr>
                <w:rFonts w:hint="eastAsia" w:ascii="宋体" w:hAnsi="宋体" w:cs="宋体"/>
                <w:szCs w:val="21"/>
              </w:rPr>
              <w:t>的不得分</w:t>
            </w:r>
            <w:r>
              <w:rPr>
                <w:rFonts w:hint="eastAsia" w:ascii="宋体" w:hAnsi="宋体" w:cs="宋体"/>
                <w:szCs w:val="21"/>
                <w:lang w:eastAsia="zh-CN"/>
              </w:rPr>
              <w:t>。</w:t>
            </w:r>
          </w:p>
          <w:p w14:paraId="24564501">
            <w:pPr>
              <w:pStyle w:val="45"/>
              <w:ind w:firstLine="0" w:firstLineChars="0"/>
              <w:rPr>
                <w:rFonts w:hint="eastAsia" w:ascii="宋体" w:hAnsi="宋体" w:cs="宋体"/>
                <w:szCs w:val="21"/>
              </w:rPr>
            </w:pPr>
          </w:p>
        </w:tc>
        <w:tc>
          <w:tcPr>
            <w:tcW w:w="1410" w:type="dxa"/>
            <w:tcBorders>
              <w:top w:val="single" w:color="auto" w:sz="4" w:space="0"/>
              <w:left w:val="single" w:color="auto" w:sz="4" w:space="0"/>
              <w:bottom w:val="single" w:color="auto" w:sz="4" w:space="0"/>
              <w:right w:val="single" w:color="auto" w:sz="4" w:space="0"/>
            </w:tcBorders>
            <w:vAlign w:val="top"/>
          </w:tcPr>
          <w:p w14:paraId="140F00F7">
            <w:pPr>
              <w:pStyle w:val="45"/>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分</w:t>
            </w:r>
          </w:p>
        </w:tc>
      </w:tr>
    </w:tbl>
    <w:p w14:paraId="1770624F">
      <w:pPr>
        <w:snapToGrid w:val="0"/>
        <w:spacing w:before="65" w:line="240" w:lineRule="auto"/>
        <w:ind w:left="0" w:leftChars="0" w:right="0" w:rightChars="0" w:firstLine="0" w:firstLineChars="0"/>
        <w:jc w:val="both"/>
        <w:rPr>
          <w:rFonts w:hint="eastAsia" w:ascii="宋体" w:hAnsi="宋体" w:eastAsia="宋体" w:cs="宋体"/>
          <w:b/>
          <w:bCs/>
          <w:spacing w:val="6"/>
          <w:sz w:val="21"/>
          <w:szCs w:val="21"/>
        </w:rPr>
      </w:pPr>
      <w:r>
        <w:rPr>
          <w:rFonts w:hint="eastAsia" w:ascii="宋体" w:hAnsi="宋体" w:eastAsia="宋体" w:cs="宋体"/>
          <w:b/>
          <w:bCs/>
          <w:spacing w:val="6"/>
          <w:sz w:val="21"/>
          <w:szCs w:val="21"/>
        </w:rPr>
        <w:t xml:space="preserve">政策功能 </w:t>
      </w:r>
    </w:p>
    <w:p w14:paraId="3979850F">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第一部分 价格扣除</w:t>
      </w:r>
    </w:p>
    <w:p w14:paraId="468E74C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一、小型和微型企业产品价格扣除 </w:t>
      </w:r>
    </w:p>
    <w:p w14:paraId="2FFC6CE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（一）根据财政部、工业和信息化部印发的《政府采购促进中小企业发展管理办法》 （财库[2020]46 号）、《关于进一步加大政府采购支持中小企业力度的通知》（财库 〔2022〕19 号）的规定，投标人所投全部产品均为小型、微型企业生产的，评标价格给予对应价格 10%的扣除，用扣除后的价格参与评审。 </w:t>
      </w:r>
    </w:p>
    <w:p w14:paraId="04ADC43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（二）如允许联合体投标，联合体投标时联合体协议约定小型和微型企业的协议合同 金额占到 30%以上的，可给予 4%的价格扣除。联合体各方都是小型和微型企业的，可 给予10%的价格扣除。 </w:t>
      </w:r>
    </w:p>
    <w:p w14:paraId="36F703D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（三）《政府采购促进中小企业发展管理办法》所称中小企业，是指在中华人民共和国 境内依法设立，依据国务院批准的中小企业划分标准确定的中型企业、小型企业和微 型企业，但与大企业的负责人为同一人，或者与大企业存在直接控股、管理关系的除外。符合中小企业划分标准的个体工商户，在政府采购活动中视同中小企业。中小企业划分标准以《工业和信息化部、国家统计局、国家发展和改革委员会、财政部关于印发中小企业划型标准规定的通知》（工信部联企业[2011]300 号）规定的划分标准为准。 </w:t>
      </w:r>
    </w:p>
    <w:p w14:paraId="7BF79B18">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小型、微型企业提供中型企业制造的货物的，视同为中型企业。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76EF200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四）参加政府采购活动的中小企业应当提供《中小企业声明函》（格式见第六章投标文件格式）。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 </w:t>
      </w:r>
    </w:p>
    <w:p w14:paraId="511E1A3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（五）监狱企业产品价格扣除 </w:t>
      </w:r>
    </w:p>
    <w:p w14:paraId="5EE479C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1.监狱企业视同小型、微型企业，按上述第（一）条款享受评审中价格扣除。 </w:t>
      </w:r>
    </w:p>
    <w:p w14:paraId="36C35965">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DA857AA">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3.监狱企业参加政府采购活动时，应当提供由省级以上监狱管理局、戒毒管理局（含新疆生产建设兵团）出具的属于监狱企业的证明文件，否则不予认可。 </w:t>
      </w:r>
    </w:p>
    <w:p w14:paraId="1080B19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（六）残疾人福利性单位产品价格扣除 </w:t>
      </w:r>
    </w:p>
    <w:p w14:paraId="659995AC">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1.残疾人福利性单位视同小型、微型企业，按上述第（一）条款享受评审中价格扣除。 </w:t>
      </w:r>
    </w:p>
    <w:p w14:paraId="6F33D87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2.根据财政部、民政部、中国残疾人联合会印发的《关于促进残疾人就业政府采购政策的通知》（财库〔2017〕141 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中华人民共和国政府采购法》第七十七条第一款的规定追究法律责任。 </w:t>
      </w:r>
    </w:p>
    <w:p w14:paraId="12238D52">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二、投标人同时为小型、微型企业、监狱企业、残疾人福利性单位任两种或以上情况的，评审中只享受一次价格扣除，不重复进行价格扣除。 </w:t>
      </w:r>
    </w:p>
    <w:p w14:paraId="1BE402E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三、对本国产品的支持政策（适用于接受进口产品参与投标的项目,本项目不适用） </w:t>
      </w:r>
    </w:p>
    <w:p w14:paraId="01FE29E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xml:space="preserve">（一）政府采购活动中既有本国产品又有非本国产品参与竞争的，依法对本国产品给 予价格评审优惠，对本国产品的报价给予 20%的价格扣除，用扣除后的价格参与评审。 </w:t>
      </w:r>
    </w:p>
    <w:p w14:paraId="4B39FD37">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二）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3D0F94BD">
      <w:pPr>
        <w:bidi w:val="0"/>
        <w:rPr>
          <w:rFonts w:hint="eastAsia" w:ascii="宋体" w:hAnsi="宋体" w:cs="宋体"/>
          <w:bCs/>
          <w:sz w:val="24"/>
          <w:szCs w:val="24"/>
          <w:highlight w:val="none"/>
          <w:lang w:val="en-US" w:eastAsia="zh-CN"/>
        </w:rPr>
      </w:pPr>
    </w:p>
    <w:p w14:paraId="34D986F3">
      <w:pPr>
        <w:bidi w:val="0"/>
        <w:rPr>
          <w:rFonts w:hint="eastAsia" w:ascii="宋体" w:hAnsi="宋体" w:cs="宋体"/>
          <w:bCs/>
          <w:sz w:val="24"/>
          <w:szCs w:val="24"/>
          <w:highlight w:val="none"/>
          <w:lang w:val="en-US" w:eastAsia="zh-CN"/>
        </w:rPr>
      </w:pPr>
    </w:p>
    <w:p w14:paraId="43FC385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第二部分  本国产品标准</w:t>
      </w:r>
    </w:p>
    <w:p w14:paraId="2B4AE7B2">
      <w:pPr>
        <w:bidi w:val="0"/>
        <w:rPr>
          <w:rFonts w:hint="eastAsia" w:ascii="宋体" w:hAnsi="宋体" w:cs="宋体"/>
          <w:bCs/>
          <w:sz w:val="24"/>
          <w:szCs w:val="24"/>
          <w:highlight w:val="none"/>
          <w:lang w:val="en-US" w:eastAsia="zh-CN"/>
        </w:rPr>
      </w:pPr>
    </w:p>
    <w:p w14:paraId="24CE195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国务院办公厅关于在政府采购中实施本国产品标准及相关政策的通知</w:t>
      </w:r>
    </w:p>
    <w:p w14:paraId="380381F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国办发〔2025〕34号  </w:t>
      </w:r>
    </w:p>
    <w:p w14:paraId="2A78060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各省、自治区、直辖市人民政府，国务院各部委、各直属机构：</w:t>
      </w:r>
    </w:p>
    <w:p w14:paraId="5296ED61">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0F20306C">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一、本国产品标准</w:t>
      </w:r>
    </w:p>
    <w:p w14:paraId="7ACEDE9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本国产品应当符合以下条件：</w:t>
      </w:r>
    </w:p>
    <w:p w14:paraId="23473F78">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（一）在中国境内生产</w:t>
      </w:r>
    </w:p>
    <w:p w14:paraId="5667C2EB">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产品应当在中国境内生产，即在中华人民共和国关境内实现从原材料、组件到产品的属性改变。</w:t>
      </w:r>
    </w:p>
    <w:p w14:paraId="19E0775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属性改变是指经过制造、加工或者组装等工序，产生完全不同于原材料、组件的新产品，并具有新的名称和特征（用途）。属性改变不包括以下细微操作：</w:t>
      </w:r>
    </w:p>
    <w:p w14:paraId="3825323F">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1.为确保产品在运输或者储存期间保持某种状态而进行的操作；</w:t>
      </w:r>
    </w:p>
    <w:p w14:paraId="4B4DF4C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2.为产品运输或者销售进行的包装或者展示；</w:t>
      </w:r>
    </w:p>
    <w:p w14:paraId="36FEC58F">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3.在产品或者其包装上粘贴或者印刷品牌、标志、标识以及其他用于区别的标记；</w:t>
      </w:r>
    </w:p>
    <w:p w14:paraId="55B12EF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4.简单的上漆、磨光和分装；</w:t>
      </w:r>
    </w:p>
    <w:p w14:paraId="3C95A9C2">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5.其他不属于属性改变的情形。</w:t>
      </w:r>
    </w:p>
    <w:p w14:paraId="734E0A0F">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（二）在中国境内生产的组件成本占比达到规定比例</w:t>
      </w:r>
    </w:p>
    <w:p w14:paraId="0A21CB3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产品在中国境内生产的组件成本占比应当达到规定比例，计算公式为：</w:t>
      </w:r>
    </w:p>
    <w:p w14:paraId="16176071">
      <w:pPr>
        <w:bidi w:val="0"/>
        <w:rPr>
          <w:rFonts w:hint="eastAsia" w:ascii="宋体" w:hAnsi="宋体" w:cs="宋体"/>
          <w:bCs/>
          <w:sz w:val="24"/>
          <w:szCs w:val="24"/>
          <w:highlight w:val="none"/>
          <w:lang w:val="en-US" w:eastAsia="zh-CN"/>
        </w:rPr>
      </w:pPr>
    </w:p>
    <w:p w14:paraId="309FEC7D">
      <w:pPr>
        <w:bidi w:val="0"/>
        <w:rPr>
          <w:rFonts w:hint="eastAsia" w:ascii="宋体" w:hAnsi="宋体" w:cs="宋体"/>
          <w:bCs/>
          <w:sz w:val="24"/>
          <w:szCs w:val="24"/>
          <w:highlight w:val="none"/>
          <w:lang w:val="en-US" w:eastAsia="zh-CN"/>
        </w:rPr>
      </w:pPr>
    </w:p>
    <w:p w14:paraId="1B37454D">
      <w:pPr>
        <w:bidi w:val="0"/>
        <w:rPr>
          <w:rFonts w:hint="eastAsia" w:ascii="宋体" w:hAnsi="宋体" w:cs="宋体"/>
          <w:bCs/>
          <w:sz w:val="24"/>
          <w:szCs w:val="24"/>
          <w:highlight w:val="none"/>
          <w:lang w:val="en-US" w:eastAsia="zh-CN"/>
        </w:rPr>
      </w:pPr>
    </w:p>
    <w:p w14:paraId="783CD93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5FD4EB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（三）特定产品的关键组件、关键工序符合相关要求</w:t>
      </w:r>
    </w:p>
    <w:p w14:paraId="5B5489D7">
      <w:pPr>
        <w:bidi w:val="0"/>
        <w:rPr>
          <w:rFonts w:hint="eastAsia" w:ascii="宋体" w:hAnsi="宋体" w:cs="宋体"/>
          <w:bCs/>
          <w:sz w:val="24"/>
          <w:szCs w:val="24"/>
          <w:highlight w:val="none"/>
          <w:lang w:val="en-US" w:eastAsia="zh-CN"/>
        </w:rPr>
      </w:pPr>
    </w:p>
    <w:p w14:paraId="3547009A">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1850A99B">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41AD66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二、本国产品标准的适用范围</w:t>
      </w:r>
    </w:p>
    <w:p w14:paraId="7BF3D507">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0C299F">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三、对本国产品的支持政策</w:t>
      </w:r>
    </w:p>
    <w:p w14:paraId="75F8F97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5B6FBDBB">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EA44DC">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四、政策执行要求</w:t>
      </w:r>
    </w:p>
    <w:p w14:paraId="6A624085">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（一）产品在中国境内生产的组件成本核算规则。产品在中国境内生产的组件成本，按照《中国境内生产的组件成本核算基本规则》（见附件1）计算。</w:t>
      </w:r>
    </w:p>
    <w:p w14:paraId="205CAA2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64F602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采购人、采购代理机构应当随中标、成交结果同时公告中标、成交供应商提供的《声明函》或有关证明文件。</w:t>
      </w:r>
    </w:p>
    <w:p w14:paraId="673BF35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6C13CA2">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（四）中华人民共和国缔结或者共同参加的国际条约、协定对政府采购中本国产品政策另有规定的，按照有关条约、协定执行。</w:t>
      </w:r>
    </w:p>
    <w:p w14:paraId="759FDDA9">
      <w:pPr>
        <w:bidi w:val="0"/>
        <w:rPr>
          <w:rFonts w:hint="eastAsia" w:ascii="宋体" w:hAnsi="宋体" w:cs="宋体"/>
          <w:bCs/>
          <w:sz w:val="24"/>
          <w:szCs w:val="24"/>
          <w:highlight w:val="none"/>
          <w:lang w:val="en-US" w:eastAsia="zh-CN"/>
        </w:rPr>
      </w:pPr>
    </w:p>
    <w:p w14:paraId="3702C042">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五、争议处理</w:t>
      </w:r>
    </w:p>
    <w:p w14:paraId="4CC7A478">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9B6CC21">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（一）政府采购投诉处理、监督检查中，对产品或组件是否在中国境内生产存在争议的，按照以下原则处理：</w:t>
      </w:r>
    </w:p>
    <w:p w14:paraId="72B4E18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8C23F2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1F8E55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2CC0A15A">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06E1DF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1C64E0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本通知自2026年1月1日起施行。</w:t>
      </w:r>
    </w:p>
    <w:p w14:paraId="0B4D3574">
      <w:pPr>
        <w:bidi w:val="0"/>
        <w:rPr>
          <w:rFonts w:hint="eastAsia" w:ascii="宋体" w:hAnsi="宋体" w:cs="宋体"/>
          <w:bCs/>
          <w:sz w:val="24"/>
          <w:szCs w:val="24"/>
          <w:highlight w:val="none"/>
          <w:lang w:val="en-US" w:eastAsia="zh-CN"/>
        </w:rPr>
      </w:pPr>
    </w:p>
    <w:p w14:paraId="472C31A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国务院办公厅         </w:t>
      </w:r>
    </w:p>
    <w:p w14:paraId="74717BD2">
      <w:pPr>
        <w:bidi w:val="0"/>
        <w:rPr>
          <w:rFonts w:hint="eastAsia" w:ascii="宋体" w:hAnsi="宋体" w:cs="宋体"/>
          <w:bCs/>
          <w:sz w:val="24"/>
          <w:szCs w:val="24"/>
          <w:highlight w:val="none"/>
          <w:lang w:val="en-US" w:eastAsia="zh-CN"/>
        </w:rPr>
      </w:pPr>
    </w:p>
    <w:p w14:paraId="3099379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2025年9月28日</w:t>
      </w:r>
    </w:p>
    <w:p w14:paraId="66D48E2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第三部分中小企业划型标准规定</w:t>
      </w:r>
    </w:p>
    <w:p w14:paraId="6418D78D">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一、根据《中华人民共和国中小企业促进法》和《国务院关于进一步促进中小企业发展的若干意见》(国发〔2009〕36号)，制定本规定。</w:t>
      </w:r>
    </w:p>
    <w:p w14:paraId="6DC5E56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二、中小企业划分为中型、小型、微型三种类型，具体标准根据企业从业人员、营业收入、资产总额等指标，结合行业特点制定。</w:t>
      </w:r>
    </w:p>
    <w:p w14:paraId="1D06BAB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17F4F5">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四、各行业划型标准为：</w:t>
      </w:r>
    </w:p>
    <w:p w14:paraId="4A24C205">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（一）农、林、牧、渔业。营业收入20000万元以下的为中小微型企业。其中，营业收入500万元及以上的为中型企业，营业收入50万元及以上的为小型企业，营业收入50万元以下的为微型企业。</w:t>
      </w:r>
    </w:p>
    <w:p w14:paraId="59019DE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D644A1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0BD05F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798905C">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16023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25606B7">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3A1C07">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E5AAF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F7CBBB">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FA17E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8C6EB9">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C4752C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CDCF4AE">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AAA4900">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6CFC1E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（十六）其他未列明行业。从业人员300人以下的为中小微型企业。其中，从业人员100人及以上的为中型企业；从业人员10人及以上的为小型企业；从业人员10人以下的为微型企业。</w:t>
      </w:r>
    </w:p>
    <w:p w14:paraId="212126C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五、企业类型的划分以统计部门的统计数据为依据。</w:t>
      </w:r>
    </w:p>
    <w:p w14:paraId="6C66DA71">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六、本规定适用于在中华人民共和国境内依法设立的各类所有制和各种组织形式的企业。个体工商户和本规定以外的行业，参照本规定进行划型。</w:t>
      </w:r>
    </w:p>
    <w:p w14:paraId="010D3AB6">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2498FBA5">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八、本规定由工业和信息化部、国家统计局会同有关部门根据《国民经济行业分类》修订情况和企业发展变化情况适时修订。</w:t>
      </w:r>
    </w:p>
    <w:p w14:paraId="70EC8814">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九、本规定由工业和信息化部、国家统计局会同有关部门负责解释。</w:t>
      </w:r>
    </w:p>
    <w:p w14:paraId="210E2B13">
      <w:pPr>
        <w:bidi w:val="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　　十、本规定自发布之日起执行，原国家经贸委、原国家计委、财政部和国家统计局2003年颁布的《中小企业标准暂行规定》同时废止。</w:t>
      </w:r>
    </w:p>
    <w:p w14:paraId="029340CE">
      <w:pPr>
        <w:bidi w:val="0"/>
        <w:rPr>
          <w:rFonts w:hint="eastAsia" w:ascii="宋体" w:hAnsi="宋体" w:cs="宋体"/>
          <w:bCs/>
          <w:sz w:val="24"/>
          <w:szCs w:val="24"/>
          <w:highlight w:val="none"/>
          <w:lang w:val="en-US" w:eastAsia="zh-CN"/>
        </w:rPr>
      </w:pPr>
    </w:p>
    <w:p w14:paraId="00CF2DCB">
      <w:pPr>
        <w:bidi w:val="0"/>
        <w:rPr>
          <w:rFonts w:hint="eastAsia" w:ascii="宋体" w:hAnsi="宋体" w:cs="宋体"/>
          <w:bCs/>
          <w:sz w:val="24"/>
          <w:szCs w:val="24"/>
          <w:highlight w:val="none"/>
          <w:lang w:val="en-US" w:eastAsia="zh-CN"/>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1CE4F9EB">
      <w:pPr>
        <w:numPr>
          <w:ilvl w:val="0"/>
          <w:numId w:val="0"/>
        </w:numPr>
        <w:rPr>
          <w:rFonts w:hint="eastAsia"/>
          <w:b/>
          <w:bCs/>
          <w:sz w:val="28"/>
          <w:szCs w:val="36"/>
          <w:highlight w:val="yellow"/>
        </w:rPr>
      </w:pPr>
    </w:p>
    <w:p w14:paraId="5895306A">
      <w:pPr>
        <w:bidi w:val="0"/>
        <w:rPr>
          <w:rFonts w:hint="eastAsia"/>
        </w:rPr>
      </w:pPr>
      <w:r>
        <w:rPr>
          <w:rFonts w:hint="eastAsia"/>
          <w:sz w:val="24"/>
          <w:szCs w:val="32"/>
        </w:rPr>
        <w:t>本次评标内容及具体规则如下：</w:t>
      </w:r>
    </w:p>
    <w:p w14:paraId="4FB8988C">
      <w:pPr>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注：</w:t>
      </w:r>
      <w:r>
        <w:rPr>
          <w:rFonts w:hint="eastAsia" w:ascii="仿宋" w:hAnsi="仿宋" w:eastAsia="仿宋" w:cs="仿宋"/>
          <w:b w:val="0"/>
          <w:bCs w:val="0"/>
          <w:sz w:val="28"/>
          <w:szCs w:val="36"/>
          <w:lang w:val="en-US" w:eastAsia="zh-CN"/>
        </w:rPr>
        <w:t>1.</w:t>
      </w:r>
      <w:r>
        <w:rPr>
          <w:rFonts w:hint="eastAsia" w:ascii="仿宋" w:hAnsi="仿宋" w:eastAsia="仿宋" w:cs="仿宋"/>
          <w:sz w:val="28"/>
          <w:szCs w:val="36"/>
          <w:lang w:val="en-US" w:eastAsia="zh-CN"/>
        </w:rPr>
        <w:t>评分分值计算保留小数点后两位，第三位四舍五入。</w:t>
      </w:r>
    </w:p>
    <w:p w14:paraId="0CEB2862">
      <w:pPr>
        <w:numPr>
          <w:ilvl w:val="0"/>
          <w:numId w:val="0"/>
        </w:numPr>
        <w:ind w:firstLine="560" w:firstLineChars="200"/>
        <w:rPr>
          <w:rFonts w:hint="eastAsia" w:ascii="仿宋" w:hAnsi="仿宋" w:eastAsia="仿宋" w:cs="仿宋"/>
          <w:sz w:val="28"/>
          <w:szCs w:val="36"/>
          <w:lang w:val="en-US" w:eastAsia="zh-CN"/>
        </w:rPr>
      </w:pPr>
      <w:r>
        <w:rPr>
          <w:rFonts w:hint="eastAsia" w:ascii="仿宋" w:hAnsi="仿宋" w:eastAsia="仿宋" w:cs="仿宋"/>
          <w:b w:val="0"/>
          <w:bCs w:val="0"/>
          <w:sz w:val="28"/>
          <w:szCs w:val="36"/>
          <w:lang w:val="en-US" w:eastAsia="zh-CN"/>
        </w:rPr>
        <w:t>2.</w:t>
      </w:r>
      <w:r>
        <w:rPr>
          <w:rFonts w:hint="eastAsia" w:ascii="仿宋" w:hAnsi="仿宋" w:eastAsia="仿宋" w:cs="仿宋"/>
          <w:sz w:val="28"/>
          <w:szCs w:val="36"/>
          <w:lang w:val="en-US" w:eastAsia="zh-CN"/>
        </w:rPr>
        <w:t>严禁照搬采购需求原文、网上抄袭或进行无实质内容的泛泛阐述，凡存在此类情形的，该项评审直接按零分处理。</w:t>
      </w:r>
    </w:p>
    <w:p w14:paraId="1024AC1E">
      <w:pPr>
        <w:numPr>
          <w:ilvl w:val="0"/>
          <w:numId w:val="0"/>
        </w:numPr>
        <w:ind w:firstLine="560" w:firstLineChars="200"/>
        <w:rPr>
          <w:rFonts w:hint="eastAsia" w:ascii="仿宋" w:hAnsi="仿宋" w:eastAsia="仿宋" w:cs="仿宋"/>
          <w:sz w:val="28"/>
          <w:szCs w:val="36"/>
          <w:lang w:val="en-US" w:eastAsia="zh-CN"/>
        </w:rPr>
      </w:pPr>
      <w:r>
        <w:rPr>
          <w:rFonts w:hint="eastAsia" w:ascii="仿宋" w:hAnsi="仿宋" w:eastAsia="仿宋" w:cs="仿宋"/>
          <w:b w:val="0"/>
          <w:bCs w:val="0"/>
          <w:sz w:val="28"/>
          <w:szCs w:val="36"/>
          <w:lang w:val="en-US" w:eastAsia="zh-CN"/>
        </w:rPr>
        <w:t>3.</w:t>
      </w:r>
      <w:r>
        <w:rPr>
          <w:rFonts w:hint="eastAsia" w:ascii="仿宋" w:hAnsi="仿宋" w:eastAsia="仿宋" w:cs="仿宋"/>
          <w:sz w:val="28"/>
          <w:szCs w:val="36"/>
          <w:lang w:val="en-US" w:eastAsia="zh-CN"/>
        </w:rPr>
        <w:t>得分扣减仅限本项范围内，不涉及其他评分项。</w:t>
      </w:r>
    </w:p>
    <w:p w14:paraId="67E4AB71">
      <w:pPr>
        <w:pStyle w:val="11"/>
        <w:spacing w:line="240" w:lineRule="auto"/>
        <w:jc w:val="both"/>
        <w:rPr>
          <w:rFonts w:hint="eastAsia" w:ascii="宋体" w:hAnsi="宋体" w:cs="宋体"/>
          <w:sz w:val="24"/>
          <w:szCs w:val="24"/>
          <w:highlight w:val="none"/>
          <w:lang w:val="zh-CN"/>
        </w:rPr>
      </w:pPr>
      <w:bookmarkStart w:id="24" w:name="_Toc23221"/>
      <w:r>
        <w:rPr>
          <w:rFonts w:hint="eastAsia" w:hAnsi="宋体" w:cs="宋体"/>
          <w:sz w:val="24"/>
          <w:szCs w:val="24"/>
          <w:highlight w:val="none"/>
          <w:lang w:val="en-US" w:eastAsia="zh-CN"/>
        </w:rPr>
        <w:t>三、</w:t>
      </w:r>
      <w:r>
        <w:rPr>
          <w:rFonts w:hint="eastAsia" w:ascii="宋体" w:hAnsi="宋体" w:cs="宋体"/>
          <w:sz w:val="24"/>
          <w:szCs w:val="24"/>
          <w:highlight w:val="none"/>
          <w:lang w:val="zh-CN"/>
        </w:rPr>
        <w:t>分值构成与评分标准</w:t>
      </w:r>
    </w:p>
    <w:p w14:paraId="3549294A">
      <w:pPr>
        <w:pStyle w:val="11"/>
        <w:spacing w:line="240" w:lineRule="auto"/>
        <w:jc w:val="both"/>
        <w:rPr>
          <w:rFonts w:hint="eastAsia" w:ascii="宋体" w:hAnsi="宋体" w:cs="宋体"/>
          <w:sz w:val="24"/>
          <w:szCs w:val="24"/>
          <w:highlight w:val="none"/>
          <w:lang w:val="zh-CN"/>
        </w:rPr>
      </w:pPr>
      <w:r>
        <w:rPr>
          <w:rFonts w:hint="eastAsia" w:hAnsi="宋体" w:cs="宋体"/>
          <w:sz w:val="24"/>
          <w:szCs w:val="24"/>
          <w:highlight w:val="none"/>
          <w:lang w:val="en-US" w:eastAsia="zh-CN"/>
        </w:rPr>
        <w:t>1、</w:t>
      </w:r>
      <w:r>
        <w:rPr>
          <w:rFonts w:hint="eastAsia" w:ascii="宋体" w:hAnsi="宋体" w:cs="宋体"/>
          <w:sz w:val="24"/>
          <w:szCs w:val="24"/>
          <w:highlight w:val="none"/>
          <w:lang w:val="zh-CN"/>
        </w:rPr>
        <w:t>分值构成</w:t>
      </w:r>
    </w:p>
    <w:p w14:paraId="456BDEA1">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(1)</w:t>
      </w:r>
      <w:r>
        <w:rPr>
          <w:rFonts w:hint="eastAsia" w:hAnsi="宋体" w:cs="宋体"/>
          <w:sz w:val="24"/>
          <w:szCs w:val="24"/>
          <w:highlight w:val="none"/>
          <w:lang w:val="en-US" w:eastAsia="zh-CN"/>
        </w:rPr>
        <w:t>价格部分</w:t>
      </w:r>
      <w:r>
        <w:rPr>
          <w:rFonts w:hint="eastAsia" w:ascii="宋体" w:hAnsi="宋体" w:cs="宋体"/>
          <w:sz w:val="24"/>
          <w:szCs w:val="24"/>
          <w:highlight w:val="none"/>
          <w:lang w:val="zh-CN"/>
        </w:rPr>
        <w:t>：</w:t>
      </w:r>
      <w:r>
        <w:rPr>
          <w:rFonts w:hint="eastAsia" w:hAnsi="宋体" w:cs="宋体"/>
          <w:sz w:val="24"/>
          <w:szCs w:val="24"/>
          <w:highlight w:val="none"/>
          <w:lang w:val="en-US" w:eastAsia="zh-CN"/>
        </w:rPr>
        <w:t>见</w:t>
      </w:r>
      <w:r>
        <w:rPr>
          <w:rFonts w:hint="eastAsia" w:ascii="宋体" w:hAnsi="宋体" w:cs="宋体"/>
          <w:sz w:val="24"/>
          <w:szCs w:val="24"/>
          <w:highlight w:val="none"/>
          <w:lang w:val="zh-CN"/>
        </w:rPr>
        <w:t>综合评分表（详细评审）（保留小数点后二位，小数点后第三位“四舍五入”）；</w:t>
      </w:r>
    </w:p>
    <w:p w14:paraId="207CF308">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(2)商务</w:t>
      </w:r>
      <w:r>
        <w:rPr>
          <w:rFonts w:hint="eastAsia" w:hAnsi="宋体" w:cs="宋体"/>
          <w:sz w:val="24"/>
          <w:szCs w:val="24"/>
          <w:highlight w:val="none"/>
          <w:lang w:val="en-US" w:eastAsia="zh-CN"/>
        </w:rPr>
        <w:t>部分</w:t>
      </w:r>
      <w:r>
        <w:rPr>
          <w:rFonts w:hint="eastAsia" w:ascii="宋体" w:hAnsi="宋体" w:cs="宋体"/>
          <w:sz w:val="24"/>
          <w:szCs w:val="24"/>
          <w:highlight w:val="none"/>
          <w:lang w:val="zh-CN"/>
        </w:rPr>
        <w:t>：</w:t>
      </w:r>
      <w:r>
        <w:rPr>
          <w:rFonts w:hint="eastAsia" w:hAnsi="宋体" w:cs="宋体"/>
          <w:sz w:val="24"/>
          <w:szCs w:val="24"/>
          <w:highlight w:val="none"/>
          <w:lang w:val="en-US" w:eastAsia="zh-CN"/>
        </w:rPr>
        <w:t>见</w:t>
      </w:r>
      <w:r>
        <w:rPr>
          <w:rFonts w:hint="eastAsia" w:ascii="宋体" w:hAnsi="宋体" w:cs="宋体"/>
          <w:sz w:val="24"/>
          <w:szCs w:val="24"/>
          <w:highlight w:val="none"/>
          <w:lang w:val="zh-CN"/>
        </w:rPr>
        <w:t>综合评分表（详细评审）；</w:t>
      </w:r>
    </w:p>
    <w:p w14:paraId="23CC44A1">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(3)</w:t>
      </w:r>
      <w:r>
        <w:rPr>
          <w:rFonts w:hint="eastAsia" w:hAnsi="宋体" w:cs="宋体"/>
          <w:sz w:val="24"/>
          <w:szCs w:val="24"/>
          <w:highlight w:val="none"/>
          <w:lang w:val="en-US" w:eastAsia="zh-CN"/>
        </w:rPr>
        <w:t>技术部分</w:t>
      </w:r>
      <w:r>
        <w:rPr>
          <w:rFonts w:hint="eastAsia" w:ascii="宋体" w:hAnsi="宋体" w:cs="宋体"/>
          <w:sz w:val="24"/>
          <w:szCs w:val="24"/>
          <w:highlight w:val="none"/>
          <w:lang w:val="zh-CN"/>
        </w:rPr>
        <w:t>：见综合评分表（详细评审）；</w:t>
      </w:r>
    </w:p>
    <w:p w14:paraId="505F191B">
      <w:pPr>
        <w:pStyle w:val="11"/>
        <w:spacing w:line="240" w:lineRule="auto"/>
        <w:jc w:val="both"/>
        <w:rPr>
          <w:rFonts w:hint="eastAsia" w:ascii="宋体" w:hAnsi="宋体" w:cs="宋体"/>
          <w:sz w:val="24"/>
          <w:szCs w:val="24"/>
          <w:highlight w:val="none"/>
          <w:lang w:val="zh-CN"/>
        </w:rPr>
      </w:pPr>
      <w:r>
        <w:rPr>
          <w:rFonts w:hint="eastAsia" w:hAnsi="宋体" w:cs="宋体"/>
          <w:sz w:val="24"/>
          <w:szCs w:val="24"/>
          <w:highlight w:val="none"/>
          <w:lang w:val="en-US" w:eastAsia="zh-CN"/>
        </w:rPr>
        <w:t>2、</w:t>
      </w:r>
      <w:r>
        <w:rPr>
          <w:rFonts w:hint="eastAsia" w:ascii="宋体" w:hAnsi="宋体" w:cs="宋体"/>
          <w:sz w:val="24"/>
          <w:szCs w:val="24"/>
          <w:highlight w:val="none"/>
          <w:lang w:val="zh-CN"/>
        </w:rPr>
        <w:t>投标报价计算公式</w:t>
      </w:r>
    </w:p>
    <w:p w14:paraId="4BF29D93">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投标报价的计算公式：有效投标报价最低者为评标基准价,得满分</w:t>
      </w:r>
      <w:r>
        <w:rPr>
          <w:rFonts w:hint="eastAsia" w:hAnsi="宋体" w:cs="宋体"/>
          <w:sz w:val="24"/>
          <w:szCs w:val="24"/>
          <w:highlight w:val="none"/>
          <w:lang w:val="en-US" w:eastAsia="zh-CN"/>
        </w:rPr>
        <w:t>30</w:t>
      </w:r>
      <w:r>
        <w:rPr>
          <w:rFonts w:hint="eastAsia" w:ascii="宋体" w:hAnsi="宋体" w:cs="宋体"/>
          <w:sz w:val="24"/>
          <w:szCs w:val="24"/>
          <w:highlight w:val="none"/>
          <w:lang w:val="zh-CN"/>
        </w:rPr>
        <w:t>分,其他投标人的报价得分按下列公式统一计算：投标报价得分=（评标基准价／投标报价）×</w:t>
      </w:r>
      <w:r>
        <w:rPr>
          <w:rFonts w:hint="eastAsia" w:hAnsi="宋体" w:cs="宋体"/>
          <w:sz w:val="24"/>
          <w:szCs w:val="24"/>
          <w:highlight w:val="none"/>
          <w:lang w:val="en-US" w:eastAsia="zh-CN"/>
        </w:rPr>
        <w:t>30</w:t>
      </w:r>
      <w:r>
        <w:rPr>
          <w:rFonts w:hint="eastAsia" w:ascii="宋体" w:hAnsi="宋体" w:cs="宋体"/>
          <w:sz w:val="24"/>
          <w:szCs w:val="24"/>
          <w:highlight w:val="none"/>
          <w:lang w:val="zh-CN"/>
        </w:rPr>
        <w:t>。如果评标委员会认为最低的投标报价明显低于投标人其成本价格,有可能影响投标产品质量和不能诚信履约的，应当要求该投标人在规定的期限内予以解释说明并提供相关证明材料，投标人不能合理解释或提供相关证明材料的，则评委会认定其以低于成本价投标，其报价不能作为评标基准价,不计入报价计算（其报价得分为0分）。报价得分精确保留小数点后二位，小数点后第三位“四舍五入”。</w:t>
      </w:r>
    </w:p>
    <w:p w14:paraId="213823DF">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3</w:t>
      </w:r>
      <w:r>
        <w:rPr>
          <w:rFonts w:hint="eastAsia" w:hAnsi="宋体" w:cs="宋体"/>
          <w:sz w:val="24"/>
          <w:szCs w:val="24"/>
          <w:highlight w:val="none"/>
          <w:lang w:val="zh-CN"/>
        </w:rPr>
        <w:t>、</w:t>
      </w:r>
      <w:r>
        <w:rPr>
          <w:rFonts w:hint="eastAsia" w:ascii="宋体" w:hAnsi="宋体" w:cs="宋体"/>
          <w:sz w:val="24"/>
          <w:szCs w:val="24"/>
          <w:highlight w:val="none"/>
          <w:lang w:val="zh-CN"/>
        </w:rPr>
        <w:t>评标程序</w:t>
      </w:r>
    </w:p>
    <w:p w14:paraId="19DC10C1">
      <w:pPr>
        <w:pStyle w:val="11"/>
        <w:spacing w:line="240" w:lineRule="auto"/>
        <w:ind w:firstLine="480" w:firstLineChars="200"/>
        <w:jc w:val="both"/>
        <w:rPr>
          <w:rFonts w:hint="eastAsia" w:ascii="宋体" w:hAnsi="宋体" w:cs="宋体"/>
          <w:sz w:val="24"/>
          <w:szCs w:val="24"/>
          <w:highlight w:val="none"/>
          <w:lang w:val="zh-CN"/>
        </w:rPr>
      </w:pPr>
      <w:r>
        <w:rPr>
          <w:rFonts w:hint="eastAsia" w:hAnsi="宋体" w:cs="宋体"/>
          <w:sz w:val="24"/>
          <w:szCs w:val="24"/>
          <w:highlight w:val="none"/>
          <w:lang w:val="en-US" w:eastAsia="zh-CN"/>
        </w:rPr>
        <w:t>3.1</w:t>
      </w:r>
      <w:r>
        <w:rPr>
          <w:rFonts w:hint="eastAsia" w:ascii="宋体" w:hAnsi="宋体" w:cs="宋体"/>
          <w:sz w:val="24"/>
          <w:szCs w:val="24"/>
          <w:highlight w:val="none"/>
          <w:lang w:val="zh-CN"/>
        </w:rPr>
        <w:t>投标人有以下情形之一的，其投标作废标处理：</w:t>
      </w:r>
    </w:p>
    <w:p w14:paraId="2D97274C">
      <w:pPr>
        <w:autoSpaceDN w:val="0"/>
        <w:spacing w:line="360" w:lineRule="exact"/>
        <w:ind w:firstLine="480" w:firstLineChars="200"/>
        <w:jc w:val="both"/>
        <w:textAlignment w:val="baseline"/>
        <w:rPr>
          <w:rFonts w:hint="eastAsia" w:ascii="宋体" w:hAnsi="宋体" w:eastAsia="宋体" w:cs="宋体"/>
          <w:kern w:val="2"/>
          <w:sz w:val="24"/>
          <w:szCs w:val="24"/>
          <w:highlight w:val="none"/>
          <w:lang w:val="zh-CN" w:eastAsia="zh-CN" w:bidi="ar-SA"/>
        </w:rPr>
      </w:pPr>
      <w:r>
        <w:rPr>
          <w:rFonts w:hint="eastAsia" w:ascii="宋体" w:hAnsi="宋体" w:cs="宋体"/>
          <w:sz w:val="24"/>
          <w:szCs w:val="24"/>
          <w:highlight w:val="none"/>
          <w:lang w:val="zh-CN"/>
        </w:rPr>
        <w:t>(1)</w:t>
      </w:r>
      <w:r>
        <w:rPr>
          <w:rFonts w:hint="eastAsia" w:ascii="宋体" w:hAnsi="宋体" w:eastAsia="宋体" w:cs="宋体"/>
          <w:kern w:val="2"/>
          <w:sz w:val="24"/>
          <w:szCs w:val="24"/>
          <w:highlight w:val="none"/>
          <w:lang w:val="zh-CN" w:eastAsia="zh-CN" w:bidi="ar-SA"/>
        </w:rPr>
        <w:t xml:space="preserve">投标人不得存在下列情形之一： </w:t>
      </w:r>
    </w:p>
    <w:p w14:paraId="66BCD042">
      <w:pPr>
        <w:spacing w:line="360" w:lineRule="exact"/>
        <w:ind w:left="210" w:leftChars="100"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①被责令停业的；</w:t>
      </w:r>
    </w:p>
    <w:p w14:paraId="1C9E8079">
      <w:pPr>
        <w:spacing w:line="360" w:lineRule="exact"/>
        <w:ind w:left="210" w:leftChars="100"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②被暂停或取消投标资格的；</w:t>
      </w:r>
    </w:p>
    <w:p w14:paraId="2CB6EBA7">
      <w:pPr>
        <w:spacing w:line="360" w:lineRule="exact"/>
        <w:ind w:left="210" w:leftChars="100"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③财产被接管或冻结的；</w:t>
      </w:r>
    </w:p>
    <w:p w14:paraId="6FDA0EAE">
      <w:pPr>
        <w:spacing w:line="360" w:lineRule="exact"/>
        <w:ind w:left="210" w:leftChars="100" w:firstLine="480" w:firstLineChars="200"/>
        <w:jc w:val="both"/>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④在最近三年内有骗取中标或严重违约或重大工程质量问题的。</w:t>
      </w:r>
    </w:p>
    <w:p w14:paraId="6F9DF934">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(2)不按评标委员会要求澄清、说明或补正的。</w:t>
      </w:r>
    </w:p>
    <w:p w14:paraId="1695E920">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(3)串通投标或弄虚作假或有其他违法行为的。</w:t>
      </w:r>
    </w:p>
    <w:p w14:paraId="21ED964F">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有下列情形之一的，经评标委员会集体表决认定后，视作串通投标，其投标作废标处理：</w:t>
      </w:r>
    </w:p>
    <w:p w14:paraId="44634138">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①不同投标人的投标文件内容存在非正常一致的；</w:t>
      </w:r>
    </w:p>
    <w:p w14:paraId="0BF5E87F">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②不同投标人的投标文件错漏之处一致的；</w:t>
      </w:r>
    </w:p>
    <w:p w14:paraId="7CF9A535">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③不同投标人的投标报价或者报价组成异常一致或者呈规律性变化的；</w:t>
      </w:r>
    </w:p>
    <w:p w14:paraId="3A292C40">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④不同投标人的投标文件由同一单位或者同一个人编制的；</w:t>
      </w:r>
    </w:p>
    <w:p w14:paraId="76D5E47D">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⑤不同投标人投标文件载明的项目管理班子成员出现同一人的；</w:t>
      </w:r>
    </w:p>
    <w:p w14:paraId="767DDE81">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⑥不同投标人的投标文件相互混装的；</w:t>
      </w:r>
    </w:p>
    <w:p w14:paraId="317C7512">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⑦不同投标人的投标文件由同一台电脑编制或者同一台附属设备打印的；</w:t>
      </w:r>
    </w:p>
    <w:p w14:paraId="4DC1B2C3">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⑧不同投标人委托同一人投标的；</w:t>
      </w:r>
    </w:p>
    <w:p w14:paraId="2FA9BA3D">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⑨不同投标人聘请同一人为其投标提供技术或者经济咨询服务的（招标项目本身要求采用专有技术的除外）；</w:t>
      </w:r>
    </w:p>
    <w:p w14:paraId="15EC6F6E">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⑩评标委员会认定的其他串通投标情形。</w:t>
      </w:r>
    </w:p>
    <w:p w14:paraId="01005305">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3.2 详细评审</w:t>
      </w:r>
    </w:p>
    <w:p w14:paraId="32F1A919">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3.2.1评标委员会按本章综合评分表（详细评审）规定的量化因素和分值进行打分，并计算出综合评估得分。</w:t>
      </w:r>
    </w:p>
    <w:p w14:paraId="48FD2874">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(1)按本章综合评分表（详细评审）规定的评审因素和分值对投标报价计算出得分A；</w:t>
      </w:r>
    </w:p>
    <w:p w14:paraId="7BED31AF">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(2)按本章综合评分表（详细评审）规定的评审因素和分值对商务因素计算出得分B；</w:t>
      </w:r>
    </w:p>
    <w:p w14:paraId="2FFC7D6E">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(3)按本章综合评分表（详细评审）规定的评审因素和分值对</w:t>
      </w:r>
      <w:r>
        <w:rPr>
          <w:rFonts w:hint="eastAsia" w:hAnsi="宋体" w:cs="宋体"/>
          <w:sz w:val="24"/>
          <w:szCs w:val="24"/>
          <w:highlight w:val="none"/>
          <w:lang w:val="en-US" w:eastAsia="zh-CN"/>
        </w:rPr>
        <w:t>技术</w:t>
      </w:r>
      <w:r>
        <w:rPr>
          <w:rFonts w:hint="eastAsia" w:ascii="宋体" w:hAnsi="宋体" w:cs="宋体"/>
          <w:sz w:val="24"/>
          <w:szCs w:val="24"/>
          <w:highlight w:val="none"/>
          <w:lang w:val="zh-CN"/>
        </w:rPr>
        <w:t>方案计算出得分C；</w:t>
      </w:r>
    </w:p>
    <w:p w14:paraId="76B7B1A8">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3.2.2 评分分值计算保留小数点后二位，小数点后第三位“四舍五入”。</w:t>
      </w:r>
    </w:p>
    <w:p w14:paraId="420D7C23">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3.2.3 投标人得分=A+B+C。</w:t>
      </w:r>
    </w:p>
    <w:p w14:paraId="48060FBD">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3.2.4报价评审</w:t>
      </w:r>
    </w:p>
    <w:p w14:paraId="4C979770">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评标委员会对投标人投标文件中的投标报价进行评审，评审内容包括：</w:t>
      </w:r>
    </w:p>
    <w:p w14:paraId="13535D3D">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投标报价有算术错误的，评标委员会按以下原则对投标报价进行修正，修正的价格经投标人书面确认后具有约束力。修正后的价格为投标人最终报价，如果中标就是中标价。投标人不接受修正价格的，其投标作废标处理。</w:t>
      </w:r>
    </w:p>
    <w:p w14:paraId="4CE462B7">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(1)投标文件中的大写金额与小写金额不一致的，以大写金额为准：</w:t>
      </w:r>
    </w:p>
    <w:p w14:paraId="5668860D">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(2)总价金额与依据单价计算出的结果不一致的，以单价金额为准修正总价，但单价金额小数点有明显错误的除外。</w:t>
      </w:r>
    </w:p>
    <w:p w14:paraId="050946E8">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3.3 投标文件的澄清和补正</w:t>
      </w:r>
    </w:p>
    <w:p w14:paraId="16748FF6">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3.3.1 在评标过程中，评标委员会可以书面形式要求投标人对所提交投标文件中不明确的内容进行书面澄清或说明，或者对细微偏差进行补正。评标委员会不接受投标人主动提出的澄清、说明或补正。</w:t>
      </w:r>
    </w:p>
    <w:p w14:paraId="1A0629C3">
      <w:pPr>
        <w:pStyle w:val="11"/>
        <w:spacing w:line="240" w:lineRule="auto"/>
        <w:jc w:val="both"/>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    3.3.2 澄清、说明和补正不得改变投标文件的实质性内容(算术性错误修正的除外)。投标人的书面澄清、说明和补正属于投标文件的组成部分。</w:t>
      </w:r>
    </w:p>
    <w:p w14:paraId="451C4B48">
      <w:pPr>
        <w:pStyle w:val="11"/>
        <w:spacing w:line="240" w:lineRule="auto"/>
        <w:ind w:firstLine="480" w:firstLineChars="200"/>
        <w:jc w:val="both"/>
        <w:rPr>
          <w:rFonts w:hint="eastAsia" w:ascii="宋体" w:hAnsi="宋体" w:cs="宋体"/>
          <w:sz w:val="24"/>
          <w:szCs w:val="24"/>
          <w:highlight w:val="none"/>
          <w:lang w:val="zh-CN"/>
        </w:rPr>
      </w:pPr>
      <w:r>
        <w:rPr>
          <w:rFonts w:hint="eastAsia" w:ascii="宋体" w:hAnsi="宋体" w:cs="宋体"/>
          <w:sz w:val="24"/>
          <w:szCs w:val="24"/>
          <w:highlight w:val="none"/>
          <w:lang w:val="zh-CN"/>
        </w:rPr>
        <w:t>3.3.3 评标委员会对投标人提交的澄清、说明或补正有疑问的，可以要求投标人进一步澄清、说明或补正，直至满足评标委员会的要求。</w:t>
      </w:r>
    </w:p>
    <w:p w14:paraId="192D4C04">
      <w:pPr>
        <w:pStyle w:val="11"/>
        <w:spacing w:line="240" w:lineRule="auto"/>
        <w:jc w:val="both"/>
        <w:rPr>
          <w:rFonts w:hint="eastAsia" w:ascii="宋体" w:hAnsi="宋体" w:cs="宋体"/>
          <w:sz w:val="24"/>
          <w:szCs w:val="24"/>
          <w:highlight w:val="yellow"/>
          <w:lang w:val="zh-CN"/>
        </w:rPr>
      </w:pPr>
      <w:r>
        <w:rPr>
          <w:rFonts w:hint="eastAsia" w:ascii="宋体" w:hAnsi="宋体" w:cs="宋体"/>
          <w:sz w:val="24"/>
          <w:szCs w:val="24"/>
          <w:highlight w:val="yellow"/>
          <w:lang w:val="zh-CN"/>
        </w:rPr>
        <w:br w:type="page"/>
      </w:r>
    </w:p>
    <w:p w14:paraId="6FE56702">
      <w:pPr>
        <w:pStyle w:val="11"/>
        <w:spacing w:line="240" w:lineRule="auto"/>
        <w:jc w:val="center"/>
        <w:rPr>
          <w:highlight w:val="yellow"/>
        </w:rPr>
      </w:pPr>
      <w:r>
        <w:rPr>
          <w:rFonts w:hint="eastAsia" w:ascii="Calibri" w:hAnsi="Calibri" w:eastAsia="宋体" w:cs="Times New Roman"/>
          <w:b/>
          <w:bCs/>
          <w:kern w:val="44"/>
          <w:sz w:val="44"/>
          <w:szCs w:val="44"/>
          <w:highlight w:val="none"/>
          <w:lang w:val="en-US" w:eastAsia="zh-CN" w:bidi="ar-SA"/>
        </w:rPr>
        <w:t>第六章  投标文件主要条款及格式样本</w:t>
      </w:r>
      <w:bookmarkEnd w:id="2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6813"/>
      </w:tblGrid>
      <w:tr w14:paraId="69AA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6457A8B7">
            <w:pPr>
              <w:numPr>
                <w:ilvl w:val="0"/>
                <w:numId w:val="0"/>
              </w:numPr>
              <w:autoSpaceDE w:val="0"/>
              <w:autoSpaceDN w:val="0"/>
              <w:adjustRightInd w:val="0"/>
              <w:spacing w:line="440" w:lineRule="exact"/>
              <w:jc w:val="both"/>
              <w:rPr>
                <w:rFonts w:hint="eastAsia" w:ascii="宋体" w:hAnsi="宋体" w:eastAsia="宋体" w:cs="宋体"/>
                <w:b/>
                <w:bCs/>
                <w:sz w:val="24"/>
                <w:highlight w:val="none"/>
                <w:vertAlign w:val="baseline"/>
                <w:lang w:val="zh-CN"/>
              </w:rPr>
            </w:pPr>
            <w:r>
              <w:rPr>
                <w:rFonts w:hint="eastAsia" w:ascii="宋体" w:hAnsi="宋体" w:eastAsia="宋体" w:cs="宋体"/>
                <w:b/>
                <w:bCs/>
                <w:sz w:val="24"/>
                <w:highlight w:val="none"/>
                <w:vertAlign w:val="baseline"/>
                <w:lang w:val="en-US" w:eastAsia="zh-CN"/>
              </w:rPr>
              <w:t>评</w:t>
            </w:r>
            <w:r>
              <w:rPr>
                <w:rFonts w:hint="eastAsia" w:ascii="宋体" w:hAnsi="宋体" w:eastAsia="宋体" w:cs="宋体"/>
                <w:b/>
                <w:bCs/>
                <w:sz w:val="24"/>
                <w:highlight w:val="none"/>
                <w:vertAlign w:val="baseline"/>
                <w:lang w:val="zh-CN"/>
              </w:rPr>
              <w:t>审方式</w:t>
            </w:r>
          </w:p>
        </w:tc>
        <w:tc>
          <w:tcPr>
            <w:tcW w:w="6813" w:type="dxa"/>
            <w:noWrap w:val="0"/>
            <w:vAlign w:val="top"/>
          </w:tcPr>
          <w:p w14:paraId="1DD7A3EA">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zh-CN"/>
              </w:rPr>
              <w:t>双盲评审</w:t>
            </w:r>
          </w:p>
        </w:tc>
      </w:tr>
      <w:tr w14:paraId="4EEF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70BB9276">
            <w:pPr>
              <w:numPr>
                <w:ilvl w:val="0"/>
                <w:numId w:val="0"/>
              </w:numPr>
              <w:autoSpaceDE w:val="0"/>
              <w:autoSpaceDN w:val="0"/>
              <w:adjustRightInd w:val="0"/>
              <w:spacing w:line="440" w:lineRule="exact"/>
              <w:jc w:val="both"/>
              <w:rPr>
                <w:rFonts w:hint="eastAsia" w:ascii="宋体" w:hAnsi="宋体" w:eastAsia="宋体" w:cs="宋体"/>
                <w:b/>
                <w:bCs/>
                <w:sz w:val="24"/>
                <w:highlight w:val="none"/>
                <w:vertAlign w:val="baseline"/>
                <w:lang w:val="zh-CN"/>
              </w:rPr>
            </w:pPr>
            <w:r>
              <w:rPr>
                <w:rFonts w:hint="eastAsia" w:ascii="宋体" w:hAnsi="宋体" w:eastAsia="宋体" w:cs="宋体"/>
                <w:b/>
                <w:bCs/>
                <w:sz w:val="24"/>
                <w:highlight w:val="none"/>
                <w:vertAlign w:val="baseline"/>
                <w:lang w:val="zh-CN"/>
              </w:rPr>
              <w:t>文件编制要求</w:t>
            </w:r>
          </w:p>
        </w:tc>
        <w:tc>
          <w:tcPr>
            <w:tcW w:w="6813" w:type="dxa"/>
            <w:noWrap w:val="0"/>
            <w:vAlign w:val="top"/>
          </w:tcPr>
          <w:p w14:paraId="580DFC8F">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zh-CN"/>
              </w:rPr>
              <w:t>投标人必须将投标文件分为商务标（明标）和技术标（暗标）两部分，并分开制作</w:t>
            </w:r>
          </w:p>
        </w:tc>
      </w:tr>
      <w:tr w14:paraId="48FB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57EF0928">
            <w:pPr>
              <w:numPr>
                <w:ilvl w:val="0"/>
                <w:numId w:val="0"/>
              </w:numPr>
              <w:autoSpaceDE w:val="0"/>
              <w:autoSpaceDN w:val="0"/>
              <w:adjustRightInd w:val="0"/>
              <w:spacing w:line="440" w:lineRule="exact"/>
              <w:jc w:val="both"/>
              <w:rPr>
                <w:rFonts w:hint="eastAsia" w:ascii="宋体" w:hAnsi="宋体" w:eastAsia="宋体" w:cs="宋体"/>
                <w:b/>
                <w:bCs/>
                <w:sz w:val="24"/>
                <w:highlight w:val="none"/>
                <w:vertAlign w:val="baseline"/>
                <w:lang w:val="zh-CN"/>
              </w:rPr>
            </w:pPr>
            <w:r>
              <w:rPr>
                <w:rFonts w:hint="eastAsia" w:ascii="宋体" w:hAnsi="宋体" w:eastAsia="宋体" w:cs="宋体"/>
                <w:b/>
                <w:bCs/>
                <w:sz w:val="24"/>
                <w:highlight w:val="none"/>
                <w:vertAlign w:val="baseline"/>
                <w:lang w:val="zh-CN"/>
              </w:rPr>
              <w:t>技术标（暗标）格式</w:t>
            </w:r>
          </w:p>
        </w:tc>
        <w:tc>
          <w:tcPr>
            <w:tcW w:w="6813" w:type="dxa"/>
            <w:noWrap w:val="0"/>
            <w:vAlign w:val="top"/>
          </w:tcPr>
          <w:p w14:paraId="69F3B7CD">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zh-CN"/>
              </w:rPr>
              <w:t>投标文件技术标必须遵守的统一格式和规范。</w:t>
            </w:r>
          </w:p>
          <w:p w14:paraId="2A7B323B">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zh-CN"/>
              </w:rPr>
              <w:t xml:space="preserve"> 技术标文件（暗标）未按以下“盲评”要求制作的，为无效投标，除下述要求外，不得因暗标格式问题认定为无效投标：</w:t>
            </w:r>
          </w:p>
          <w:p w14:paraId="3071E7B4">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en-US" w:eastAsia="zh-CN"/>
              </w:rPr>
              <w:t>1.</w:t>
            </w:r>
            <w:r>
              <w:rPr>
                <w:rFonts w:hint="eastAsia" w:ascii="宋体" w:hAnsi="宋体" w:eastAsia="宋体" w:cs="宋体"/>
                <w:b w:val="0"/>
                <w:bCs w:val="0"/>
                <w:sz w:val="24"/>
                <w:highlight w:val="none"/>
                <w:vertAlign w:val="baseline"/>
                <w:lang w:val="zh-CN"/>
              </w:rPr>
              <w:t>版面要求：A4纸张大小；</w:t>
            </w:r>
          </w:p>
          <w:p w14:paraId="13534962">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en-US" w:eastAsia="zh-CN"/>
              </w:rPr>
              <w:t>2.</w:t>
            </w:r>
            <w:r>
              <w:rPr>
                <w:rFonts w:hint="eastAsia" w:ascii="宋体" w:hAnsi="宋体" w:eastAsia="宋体" w:cs="宋体"/>
                <w:b w:val="0"/>
                <w:bCs w:val="0"/>
                <w:sz w:val="24"/>
                <w:highlight w:val="none"/>
                <w:vertAlign w:val="baseline"/>
                <w:lang w:val="zh-CN"/>
              </w:rPr>
              <w:t>颜色要求：所有文字、图、表均为黑色；</w:t>
            </w:r>
          </w:p>
          <w:p w14:paraId="2DDDC65D">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en-US" w:eastAsia="zh-CN"/>
              </w:rPr>
              <w:t>3.</w:t>
            </w:r>
            <w:r>
              <w:rPr>
                <w:rFonts w:hint="eastAsia" w:ascii="宋体" w:hAnsi="宋体" w:eastAsia="宋体" w:cs="宋体"/>
                <w:b w:val="0"/>
                <w:bCs w:val="0"/>
                <w:sz w:val="24"/>
                <w:highlight w:val="none"/>
                <w:vertAlign w:val="baseline"/>
                <w:lang w:val="zh-CN"/>
              </w:rPr>
              <w:t>字体要求：标题及正文部分所用文字均采用“宋体”四号“常规”字；所有字体均不得出现加粗、加色、倾斜、下划线等标记；</w:t>
            </w:r>
          </w:p>
          <w:p w14:paraId="0DB372D6">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en-US" w:eastAsia="zh-CN"/>
              </w:rPr>
              <w:t>4.</w:t>
            </w:r>
            <w:r>
              <w:rPr>
                <w:rFonts w:hint="eastAsia" w:ascii="宋体" w:hAnsi="宋体" w:eastAsia="宋体" w:cs="宋体"/>
                <w:b w:val="0"/>
                <w:bCs w:val="0"/>
                <w:sz w:val="24"/>
                <w:highlight w:val="none"/>
                <w:vertAlign w:val="baseline"/>
                <w:lang w:val="zh-CN"/>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2AEC105A">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en-US" w:eastAsia="zh-CN"/>
              </w:rPr>
              <w:t>5.</w:t>
            </w:r>
            <w:r>
              <w:rPr>
                <w:rFonts w:hint="eastAsia" w:ascii="宋体" w:hAnsi="宋体" w:eastAsia="宋体" w:cs="宋体"/>
                <w:b w:val="0"/>
                <w:bCs w:val="0"/>
                <w:sz w:val="24"/>
                <w:highlight w:val="none"/>
                <w:vertAlign w:val="baseline"/>
                <w:lang w:val="zh-CN"/>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14C17FB0">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en-US" w:eastAsia="zh-CN"/>
              </w:rPr>
            </w:pPr>
            <w:r>
              <w:rPr>
                <w:rFonts w:hint="eastAsia" w:ascii="宋体" w:hAnsi="宋体" w:eastAsia="宋体" w:cs="宋体"/>
                <w:b w:val="0"/>
                <w:bCs w:val="0"/>
                <w:sz w:val="24"/>
                <w:highlight w:val="none"/>
                <w:vertAlign w:val="baseline"/>
                <w:lang w:val="en-US" w:eastAsia="zh-CN"/>
              </w:rPr>
              <w:t>6.</w:t>
            </w:r>
            <w:r>
              <w:rPr>
                <w:rFonts w:hint="eastAsia" w:ascii="宋体" w:hAnsi="宋体" w:eastAsia="宋体" w:cs="宋体"/>
                <w:b w:val="0"/>
                <w:bCs w:val="0"/>
                <w:sz w:val="24"/>
                <w:highlight w:val="none"/>
                <w:vertAlign w:val="baseline"/>
                <w:lang w:val="zh-CN"/>
              </w:rPr>
              <w:t>其它：除满足上述各项要求外，构成投标文件的“技术暗标”的正文中均不得出现供应商的名称和其它可识别供应商身份的字符、徽标、人员名称以及其他可能被辨别出供应商身份的任何标记。</w:t>
            </w:r>
          </w:p>
        </w:tc>
      </w:tr>
      <w:tr w14:paraId="4383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noWrap w:val="0"/>
            <w:vAlign w:val="top"/>
          </w:tcPr>
          <w:p w14:paraId="333EC747">
            <w:pPr>
              <w:numPr>
                <w:ilvl w:val="0"/>
                <w:numId w:val="0"/>
              </w:numPr>
              <w:autoSpaceDE w:val="0"/>
              <w:autoSpaceDN w:val="0"/>
              <w:adjustRightInd w:val="0"/>
              <w:spacing w:line="440" w:lineRule="exact"/>
              <w:jc w:val="both"/>
              <w:rPr>
                <w:rFonts w:hint="eastAsia" w:ascii="宋体" w:hAnsi="宋体" w:eastAsia="宋体" w:cs="宋体"/>
                <w:b w:val="0"/>
                <w:bCs w:val="0"/>
                <w:sz w:val="24"/>
                <w:highlight w:val="none"/>
                <w:vertAlign w:val="baseline"/>
                <w:lang w:val="zh-CN"/>
              </w:rPr>
            </w:pPr>
            <w:r>
              <w:rPr>
                <w:rFonts w:hint="eastAsia" w:ascii="宋体" w:hAnsi="宋体" w:eastAsia="宋体" w:cs="宋体"/>
                <w:b/>
                <w:bCs/>
                <w:sz w:val="24"/>
                <w:highlight w:val="none"/>
                <w:vertAlign w:val="baseline"/>
                <w:lang w:val="zh-CN"/>
              </w:rPr>
              <w:t>无效投标情形</w:t>
            </w:r>
          </w:p>
        </w:tc>
        <w:tc>
          <w:tcPr>
            <w:tcW w:w="6813" w:type="dxa"/>
            <w:noWrap w:val="0"/>
            <w:vAlign w:val="top"/>
          </w:tcPr>
          <w:p w14:paraId="645DCE5E">
            <w:pPr>
              <w:numPr>
                <w:ilvl w:val="0"/>
                <w:numId w:val="0"/>
              </w:numPr>
              <w:autoSpaceDE w:val="0"/>
              <w:autoSpaceDN w:val="0"/>
              <w:adjustRightInd w:val="0"/>
              <w:spacing w:line="440" w:lineRule="exact"/>
              <w:jc w:val="left"/>
              <w:rPr>
                <w:rFonts w:hint="eastAsia" w:ascii="宋体" w:hAnsi="宋体" w:eastAsia="宋体" w:cs="宋体"/>
                <w:b w:val="0"/>
                <w:bCs w:val="0"/>
                <w:sz w:val="24"/>
                <w:highlight w:val="none"/>
                <w:vertAlign w:val="baseline"/>
                <w:lang w:val="zh-CN"/>
              </w:rPr>
            </w:pPr>
            <w:r>
              <w:rPr>
                <w:rFonts w:hint="eastAsia" w:ascii="宋体" w:hAnsi="宋体" w:eastAsia="宋体" w:cs="宋体"/>
                <w:b w:val="0"/>
                <w:bCs w:val="0"/>
                <w:sz w:val="24"/>
                <w:highlight w:val="none"/>
                <w:vertAlign w:val="baseline"/>
                <w:lang w:val="zh-CN"/>
              </w:rPr>
              <w:t>投标人未按“暗标”要求编制技术标，或其技术标中泄露了身份信息，将作为</w:t>
            </w:r>
            <w:r>
              <w:rPr>
                <w:rFonts w:hint="eastAsia" w:ascii="宋体" w:hAnsi="宋体" w:eastAsia="宋体" w:cs="宋体"/>
                <w:b/>
                <w:bCs/>
                <w:sz w:val="24"/>
                <w:highlight w:val="none"/>
                <w:vertAlign w:val="baseline"/>
                <w:lang w:val="zh-CN"/>
              </w:rPr>
              <w:t>无效投标处理</w:t>
            </w:r>
            <w:r>
              <w:rPr>
                <w:rFonts w:hint="eastAsia" w:ascii="宋体" w:hAnsi="宋体" w:eastAsia="宋体" w:cs="宋体"/>
                <w:b w:val="0"/>
                <w:bCs w:val="0"/>
                <w:sz w:val="24"/>
                <w:highlight w:val="none"/>
                <w:vertAlign w:val="baseline"/>
                <w:lang w:val="zh-CN"/>
              </w:rPr>
              <w:t>。</w:t>
            </w:r>
          </w:p>
        </w:tc>
      </w:tr>
    </w:tbl>
    <w:p w14:paraId="2723FDF3">
      <w:pPr>
        <w:pStyle w:val="11"/>
        <w:spacing w:line="360" w:lineRule="auto"/>
        <w:rPr>
          <w:rFonts w:hAnsi="宋体"/>
          <w:b/>
          <w:sz w:val="32"/>
          <w:szCs w:val="32"/>
          <w:highlight w:val="none"/>
        </w:rPr>
      </w:pPr>
    </w:p>
    <w:p w14:paraId="02254186">
      <w:pPr>
        <w:spacing w:line="500" w:lineRule="exact"/>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说明：</w:t>
      </w:r>
    </w:p>
    <w:p w14:paraId="45C86A5F">
      <w:pPr>
        <w:spacing w:line="590" w:lineRule="exact"/>
        <w:ind w:left="159" w:leftChars="76" w:firstLine="417" w:firstLineChars="149"/>
        <w:rPr>
          <w:rFonts w:hint="eastAsia" w:ascii="宋体" w:hAnsi="宋体" w:eastAsia="宋体" w:cs="宋体"/>
          <w:sz w:val="28"/>
          <w:szCs w:val="28"/>
          <w:highlight w:val="none"/>
        </w:rPr>
      </w:pPr>
      <w:r>
        <w:rPr>
          <w:rFonts w:hint="eastAsia" w:ascii="宋体" w:hAnsi="宋体" w:eastAsia="宋体" w:cs="宋体"/>
          <w:sz w:val="28"/>
          <w:szCs w:val="28"/>
          <w:highlight w:val="none"/>
        </w:rPr>
        <w:t>一、投标人的投标文件和本章所制格式不一致的，采用综合评分法时评标委员会将在评分时以投标文件不规范予以扣分处理。</w:t>
      </w:r>
    </w:p>
    <w:p w14:paraId="1A290057">
      <w:pPr>
        <w:spacing w:line="590" w:lineRule="exact"/>
        <w:ind w:left="159" w:leftChars="76" w:firstLine="417" w:firstLineChars="149"/>
        <w:rPr>
          <w:rFonts w:hint="eastAsia" w:ascii="宋体" w:hAnsi="宋体" w:eastAsia="宋体" w:cs="宋体"/>
          <w:sz w:val="28"/>
          <w:szCs w:val="28"/>
          <w:highlight w:val="none"/>
        </w:rPr>
      </w:pPr>
      <w:r>
        <w:rPr>
          <w:rFonts w:hint="eastAsia" w:ascii="宋体" w:hAnsi="宋体" w:eastAsia="宋体" w:cs="宋体"/>
          <w:sz w:val="28"/>
          <w:szCs w:val="28"/>
          <w:highlight w:val="none"/>
        </w:rPr>
        <w:t>二、本章所制投标文件格式有关表格中的备注栏，由投标人根据自身投标情况作解释性说明，不作为必填项。</w:t>
      </w:r>
    </w:p>
    <w:p w14:paraId="6D337F32">
      <w:pPr>
        <w:spacing w:line="590" w:lineRule="exact"/>
        <w:ind w:left="159" w:leftChars="76" w:firstLine="417" w:firstLineChars="149"/>
        <w:rPr>
          <w:rFonts w:hint="eastAsia" w:ascii="宋体" w:hAnsi="宋体" w:eastAsia="宋体" w:cs="宋体"/>
          <w:sz w:val="28"/>
          <w:szCs w:val="28"/>
          <w:highlight w:val="none"/>
        </w:rPr>
      </w:pPr>
      <w:r>
        <w:rPr>
          <w:rFonts w:hint="eastAsia" w:ascii="宋体" w:hAnsi="宋体" w:eastAsia="宋体" w:cs="宋体"/>
          <w:sz w:val="28"/>
          <w:szCs w:val="28"/>
          <w:highlight w:val="none"/>
        </w:rPr>
        <w:t>三、投标人不予填写的地方，应当用“/”表示。</w:t>
      </w:r>
    </w:p>
    <w:p w14:paraId="18C1CBCA">
      <w:pPr>
        <w:spacing w:line="590" w:lineRule="exact"/>
        <w:ind w:left="159" w:leftChars="76" w:firstLine="417" w:firstLineChars="149"/>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四、投标人提供投标文件应当按照以下格式及要求进行编制，且应当不少于以下内容。</w:t>
      </w:r>
    </w:p>
    <w:p w14:paraId="61E9DABA">
      <w:pPr>
        <w:pStyle w:val="15"/>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lang w:val="en-US" w:eastAsia="zh-CN"/>
        </w:rPr>
        <w:t xml:space="preserve">    五</w:t>
      </w:r>
      <w:r>
        <w:rPr>
          <w:rFonts w:hint="eastAsia" w:ascii="宋体" w:hAnsi="宋体" w:eastAsia="宋体" w:cs="宋体"/>
          <w:kern w:val="2"/>
          <w:sz w:val="28"/>
          <w:szCs w:val="28"/>
          <w:highlight w:val="none"/>
          <w:lang w:val="en-US" w:eastAsia="zh-CN" w:bidi="ar-SA"/>
        </w:rPr>
        <w:t>、</w:t>
      </w:r>
      <w:r>
        <w:rPr>
          <w:rFonts w:hint="eastAsia" w:ascii="宋体" w:hAnsi="宋体" w:eastAsia="宋体" w:cs="宋体"/>
          <w:kern w:val="2"/>
          <w:sz w:val="28"/>
          <w:szCs w:val="28"/>
          <w:highlight w:val="none"/>
          <w:lang w:val="zh-CN" w:eastAsia="zh-CN" w:bidi="ar-SA"/>
        </w:rPr>
        <w:t>本项目为全流程电子标，如采购文件中的响应文件格式与“政采云”平台格式有出入，请以“政采云”平台为准。</w:t>
      </w:r>
    </w:p>
    <w:p w14:paraId="198A1452">
      <w:pPr>
        <w:rPr>
          <w:rFonts w:hint="eastAsi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17A76A40">
      <w:pPr>
        <w:spacing w:line="500" w:lineRule="exact"/>
        <w:jc w:val="right"/>
        <w:rPr>
          <w:rFonts w:ascii="宋体" w:hAnsi="宋体" w:eastAsia="宋体" w:cs="Times New Roman"/>
          <w:b w:val="0"/>
          <w:bCs/>
          <w:sz w:val="30"/>
          <w:szCs w:val="30"/>
          <w:highlight w:val="none"/>
        </w:rPr>
      </w:pPr>
      <w:r>
        <w:rPr>
          <w:rFonts w:hint="eastAsia" w:ascii="宋体" w:hAnsi="宋体" w:eastAsia="宋体" w:cs="Times New Roman"/>
          <w:b w:val="0"/>
          <w:bCs/>
          <w:sz w:val="44"/>
          <w:szCs w:val="44"/>
          <w:highlight w:val="none"/>
        </w:rPr>
        <w:t xml:space="preserve"> 正本/副本</w:t>
      </w:r>
    </w:p>
    <w:p w14:paraId="49D982B1">
      <w:pPr>
        <w:spacing w:line="500" w:lineRule="exact"/>
        <w:jc w:val="center"/>
        <w:rPr>
          <w:rFonts w:ascii="宋体" w:hAnsi="宋体" w:eastAsia="宋体" w:cs="Times New Roman"/>
          <w:b w:val="0"/>
          <w:bCs/>
          <w:sz w:val="44"/>
          <w:szCs w:val="44"/>
          <w:highlight w:val="none"/>
        </w:rPr>
      </w:pPr>
    </w:p>
    <w:p w14:paraId="12A37859">
      <w:pPr>
        <w:spacing w:line="500" w:lineRule="exact"/>
        <w:jc w:val="center"/>
        <w:rPr>
          <w:rFonts w:ascii="宋体" w:hAnsi="宋体" w:eastAsia="宋体" w:cs="Times New Roman"/>
          <w:b w:val="0"/>
          <w:bCs/>
          <w:sz w:val="44"/>
          <w:szCs w:val="44"/>
          <w:highlight w:val="none"/>
        </w:rPr>
      </w:pPr>
    </w:p>
    <w:p w14:paraId="4D3234EE">
      <w:pPr>
        <w:spacing w:line="500" w:lineRule="exact"/>
        <w:jc w:val="center"/>
        <w:rPr>
          <w:rFonts w:ascii="宋体" w:hAnsi="宋体" w:eastAsia="宋体" w:cs="Times New Roman"/>
          <w:b w:val="0"/>
          <w:bCs/>
          <w:sz w:val="44"/>
          <w:szCs w:val="44"/>
          <w:highlight w:val="none"/>
        </w:rPr>
      </w:pPr>
      <w:r>
        <w:rPr>
          <w:rFonts w:hint="eastAsia" w:ascii="宋体" w:hAnsi="宋体" w:eastAsia="宋体" w:cs="Times New Roman"/>
          <w:b w:val="0"/>
          <w:bCs/>
          <w:sz w:val="44"/>
          <w:szCs w:val="44"/>
          <w:highlight w:val="none"/>
          <w:lang w:eastAsia="zh-CN"/>
        </w:rPr>
        <w:t>前郭县</w:t>
      </w:r>
      <w:r>
        <w:rPr>
          <w:rFonts w:ascii="宋体" w:hAnsi="宋体" w:eastAsia="宋体" w:cs="Times New Roman"/>
          <w:b w:val="0"/>
          <w:bCs/>
          <w:sz w:val="44"/>
          <w:szCs w:val="44"/>
          <w:highlight w:val="none"/>
        </w:rPr>
        <w:t>政府采购项目</w:t>
      </w:r>
    </w:p>
    <w:p w14:paraId="1102280B">
      <w:pPr>
        <w:spacing w:line="500" w:lineRule="exact"/>
        <w:jc w:val="center"/>
        <w:rPr>
          <w:rFonts w:ascii="宋体" w:hAnsi="宋体" w:eastAsia="宋体" w:cs="Times New Roman"/>
          <w:b w:val="0"/>
          <w:bCs/>
          <w:sz w:val="44"/>
          <w:szCs w:val="44"/>
          <w:highlight w:val="none"/>
        </w:rPr>
      </w:pPr>
    </w:p>
    <w:p w14:paraId="59C2B4DF">
      <w:pPr>
        <w:spacing w:line="500" w:lineRule="exact"/>
        <w:jc w:val="center"/>
        <w:rPr>
          <w:rFonts w:ascii="宋体" w:hAnsi="宋体" w:eastAsia="宋体" w:cs="Times New Roman"/>
          <w:b w:val="0"/>
          <w:bCs/>
          <w:sz w:val="44"/>
          <w:szCs w:val="44"/>
          <w:highlight w:val="none"/>
        </w:rPr>
      </w:pPr>
    </w:p>
    <w:p w14:paraId="1C184FB6">
      <w:pPr>
        <w:spacing w:line="500" w:lineRule="exact"/>
        <w:jc w:val="center"/>
        <w:rPr>
          <w:rFonts w:ascii="宋体" w:hAnsi="宋体" w:eastAsia="宋体" w:cs="Times New Roman"/>
          <w:b w:val="0"/>
          <w:bCs/>
          <w:sz w:val="44"/>
          <w:szCs w:val="44"/>
          <w:highlight w:val="none"/>
        </w:rPr>
      </w:pPr>
    </w:p>
    <w:p w14:paraId="2E6F5268">
      <w:pPr>
        <w:spacing w:line="500" w:lineRule="exact"/>
        <w:jc w:val="center"/>
        <w:rPr>
          <w:rFonts w:ascii="宋体" w:hAnsi="宋体" w:eastAsia="宋体" w:cs="Times New Roman"/>
          <w:b w:val="0"/>
          <w:bCs/>
          <w:sz w:val="44"/>
          <w:szCs w:val="44"/>
          <w:highlight w:val="none"/>
        </w:rPr>
      </w:pPr>
    </w:p>
    <w:p w14:paraId="79B4B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b w:val="0"/>
          <w:bCs/>
          <w:sz w:val="44"/>
          <w:szCs w:val="44"/>
          <w:highlight w:val="none"/>
        </w:rPr>
      </w:pPr>
    </w:p>
    <w:p w14:paraId="5378E44F">
      <w:pPr>
        <w:bidi w:val="0"/>
        <w:ind w:left="0" w:leftChars="0" w:right="0" w:rightChars="0" w:firstLine="0" w:firstLineChars="0"/>
        <w:jc w:val="center"/>
        <w:rPr>
          <w:rFonts w:hint="eastAsia"/>
          <w:sz w:val="72"/>
          <w:szCs w:val="72"/>
          <w:highlight w:val="none"/>
          <w:lang w:val="en-US" w:eastAsia="zh-CN"/>
        </w:rPr>
      </w:pPr>
      <w:bookmarkStart w:id="25" w:name="_Toc16822"/>
      <w:r>
        <w:rPr>
          <w:rFonts w:hint="eastAsia"/>
          <w:sz w:val="72"/>
          <w:szCs w:val="72"/>
          <w:highlight w:val="none"/>
          <w:lang w:val="en-US" w:eastAsia="zh-CN"/>
        </w:rPr>
        <w:t>投  标  文  件</w:t>
      </w:r>
      <w:bookmarkEnd w:id="25"/>
    </w:p>
    <w:p w14:paraId="7899A4F8">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b w:val="0"/>
          <w:bCs/>
          <w:sz w:val="44"/>
          <w:szCs w:val="44"/>
          <w:highlight w:val="none"/>
        </w:rPr>
      </w:pPr>
    </w:p>
    <w:p w14:paraId="5DE50F78">
      <w:pPr>
        <w:spacing w:line="500" w:lineRule="exact"/>
        <w:jc w:val="left"/>
        <w:rPr>
          <w:rFonts w:ascii="宋体" w:hAnsi="宋体" w:eastAsia="宋体" w:cs="Times New Roman"/>
          <w:b/>
          <w:sz w:val="28"/>
          <w:szCs w:val="28"/>
          <w:highlight w:val="none"/>
        </w:rPr>
      </w:pPr>
    </w:p>
    <w:p w14:paraId="3EA68955">
      <w:pPr>
        <w:spacing w:line="780" w:lineRule="exact"/>
        <w:rPr>
          <w:rFonts w:ascii="宋体" w:hAnsi="宋体" w:eastAsia="宋体" w:cs="Times New Roman"/>
          <w:sz w:val="28"/>
          <w:szCs w:val="28"/>
          <w:highlight w:val="none"/>
        </w:rPr>
      </w:pPr>
    </w:p>
    <w:p w14:paraId="0F6EAB48">
      <w:pPr>
        <w:spacing w:line="500" w:lineRule="exact"/>
        <w:rPr>
          <w:rFonts w:ascii="宋体" w:hAnsi="宋体" w:eastAsia="宋体" w:cs="Times New Roman"/>
          <w:sz w:val="28"/>
          <w:szCs w:val="28"/>
          <w:highlight w:val="none"/>
        </w:rPr>
      </w:pPr>
    </w:p>
    <w:p w14:paraId="36E0587F">
      <w:pPr>
        <w:spacing w:line="500" w:lineRule="exact"/>
        <w:rPr>
          <w:rFonts w:ascii="宋体" w:hAnsi="宋体" w:eastAsia="宋体" w:cs="Times New Roman"/>
          <w:sz w:val="28"/>
          <w:szCs w:val="28"/>
          <w:highlight w:val="none"/>
        </w:rPr>
      </w:pPr>
    </w:p>
    <w:p w14:paraId="5346B5CD">
      <w:pPr>
        <w:spacing w:line="500" w:lineRule="exact"/>
        <w:rPr>
          <w:rFonts w:ascii="宋体" w:hAnsi="宋体" w:eastAsia="宋体" w:cs="Times New Roman"/>
          <w:b/>
          <w:sz w:val="28"/>
          <w:szCs w:val="28"/>
          <w:highlight w:val="none"/>
          <w:u w:val="single"/>
        </w:rPr>
      </w:pPr>
      <w:r>
        <w:rPr>
          <w:rFonts w:hint="eastAsia" w:ascii="宋体" w:hAnsi="宋体" w:eastAsia="宋体" w:cs="Times New Roman"/>
          <w:b/>
          <w:sz w:val="28"/>
          <w:szCs w:val="28"/>
          <w:highlight w:val="none"/>
        </w:rPr>
        <w:t>项目</w:t>
      </w:r>
      <w:r>
        <w:rPr>
          <w:rFonts w:ascii="宋体" w:hAnsi="宋体" w:eastAsia="宋体" w:cs="Times New Roman"/>
          <w:b/>
          <w:sz w:val="28"/>
          <w:szCs w:val="28"/>
          <w:highlight w:val="none"/>
        </w:rPr>
        <w:t>名称：</w:t>
      </w:r>
      <w:r>
        <w:rPr>
          <w:rFonts w:hint="eastAsia" w:ascii="宋体" w:hAnsi="宋体" w:eastAsia="宋体" w:cs="Times New Roman"/>
          <w:b/>
          <w:sz w:val="28"/>
          <w:szCs w:val="28"/>
          <w:highlight w:val="none"/>
          <w:u w:val="single"/>
        </w:rPr>
        <w:t xml:space="preserve">                                            </w:t>
      </w:r>
    </w:p>
    <w:p w14:paraId="02BC8244">
      <w:pPr>
        <w:spacing w:line="500" w:lineRule="exact"/>
        <w:rPr>
          <w:rFonts w:ascii="宋体" w:hAnsi="宋体" w:eastAsia="宋体" w:cs="Times New Roman"/>
          <w:b/>
          <w:sz w:val="28"/>
          <w:szCs w:val="28"/>
          <w:highlight w:val="none"/>
        </w:rPr>
      </w:pPr>
      <w:r>
        <w:rPr>
          <w:rFonts w:hint="eastAsia" w:ascii="宋体" w:hAnsi="宋体" w:eastAsia="宋体" w:cs="Times New Roman"/>
          <w:b/>
          <w:sz w:val="28"/>
          <w:szCs w:val="28"/>
          <w:highlight w:val="none"/>
        </w:rPr>
        <w:t>项目编号：</w:t>
      </w:r>
      <w:r>
        <w:rPr>
          <w:rFonts w:hint="eastAsia" w:ascii="宋体" w:hAnsi="宋体" w:eastAsia="宋体" w:cs="Times New Roman"/>
          <w:b/>
          <w:sz w:val="28"/>
          <w:szCs w:val="28"/>
          <w:highlight w:val="none"/>
          <w:u w:val="single"/>
        </w:rPr>
        <w:t xml:space="preserve">                                            </w:t>
      </w:r>
    </w:p>
    <w:p w14:paraId="58C3D898">
      <w:pPr>
        <w:spacing w:line="500" w:lineRule="exact"/>
        <w:rPr>
          <w:rFonts w:ascii="宋体" w:hAnsi="宋体" w:eastAsia="宋体" w:cs="Times New Roman"/>
          <w:b/>
          <w:sz w:val="28"/>
          <w:szCs w:val="28"/>
          <w:highlight w:val="none"/>
          <w:u w:val="single"/>
        </w:rPr>
      </w:pPr>
      <w:r>
        <w:rPr>
          <w:rFonts w:hint="eastAsia" w:ascii="宋体" w:hAnsi="宋体" w:eastAsia="宋体" w:cs="Times New Roman"/>
          <w:b/>
          <w:sz w:val="28"/>
          <w:szCs w:val="28"/>
          <w:highlight w:val="none"/>
        </w:rPr>
        <w:t>投标人全称</w:t>
      </w:r>
      <w:r>
        <w:rPr>
          <w:rFonts w:ascii="宋体" w:hAnsi="宋体" w:eastAsia="宋体" w:cs="Times New Roman"/>
          <w:b/>
          <w:sz w:val="28"/>
          <w:szCs w:val="28"/>
          <w:highlight w:val="none"/>
        </w:rPr>
        <w:t>：</w:t>
      </w:r>
      <w:r>
        <w:rPr>
          <w:rFonts w:hint="eastAsia" w:ascii="宋体" w:hAnsi="宋体" w:eastAsia="宋体" w:cs="Times New Roman"/>
          <w:b/>
          <w:sz w:val="28"/>
          <w:szCs w:val="28"/>
          <w:highlight w:val="none"/>
          <w:u w:val="single"/>
        </w:rPr>
        <w:t xml:space="preserve">                          （加盖单位公章</w:t>
      </w:r>
      <w:r>
        <w:rPr>
          <w:rFonts w:ascii="宋体" w:hAnsi="宋体" w:eastAsia="宋体" w:cs="Times New Roman"/>
          <w:b/>
          <w:sz w:val="28"/>
          <w:szCs w:val="28"/>
          <w:highlight w:val="none"/>
          <w:u w:val="single"/>
        </w:rPr>
        <w:t>）</w:t>
      </w:r>
    </w:p>
    <w:p w14:paraId="65262C59">
      <w:pPr>
        <w:spacing w:line="500" w:lineRule="exact"/>
        <w:rPr>
          <w:rFonts w:hint="default" w:ascii="宋体" w:hAnsi="宋体" w:eastAsia="宋体" w:cs="Times New Roman"/>
          <w:b/>
          <w:sz w:val="28"/>
          <w:szCs w:val="28"/>
          <w:highlight w:val="none"/>
          <w:u w:val="single"/>
          <w:lang w:val="en-US" w:eastAsia="zh-CN"/>
        </w:rPr>
      </w:pPr>
      <w:r>
        <w:rPr>
          <w:rFonts w:hint="eastAsia" w:ascii="宋体" w:hAnsi="宋体" w:eastAsia="宋体" w:cs="Times New Roman"/>
          <w:b/>
          <w:sz w:val="28"/>
          <w:szCs w:val="28"/>
          <w:highlight w:val="none"/>
          <w:u w:val="none"/>
        </w:rPr>
        <w:t>投标人地址：</w:t>
      </w:r>
      <w:r>
        <w:rPr>
          <w:rFonts w:hint="eastAsia" w:ascii="宋体" w:hAnsi="宋体" w:eastAsia="宋体" w:cs="Times New Roman"/>
          <w:b/>
          <w:sz w:val="28"/>
          <w:szCs w:val="28"/>
          <w:highlight w:val="none"/>
          <w:u w:val="single"/>
          <w:lang w:val="en-US" w:eastAsia="zh-CN"/>
        </w:rPr>
        <w:t xml:space="preserve">                            </w:t>
      </w:r>
      <w:r>
        <w:rPr>
          <w:rFonts w:hint="eastAsia" w:ascii="宋体" w:hAnsi="宋体" w:cs="Times New Roman"/>
          <w:b/>
          <w:sz w:val="28"/>
          <w:szCs w:val="28"/>
          <w:highlight w:val="none"/>
          <w:u w:val="single"/>
          <w:lang w:val="en-US" w:eastAsia="zh-CN"/>
        </w:rPr>
        <w:t xml:space="preserve">   </w:t>
      </w:r>
      <w:r>
        <w:rPr>
          <w:rFonts w:hint="eastAsia" w:ascii="宋体" w:hAnsi="宋体" w:eastAsia="宋体" w:cs="Times New Roman"/>
          <w:b/>
          <w:sz w:val="28"/>
          <w:szCs w:val="28"/>
          <w:highlight w:val="none"/>
          <w:u w:val="single"/>
          <w:lang w:val="en-US" w:eastAsia="zh-CN"/>
        </w:rPr>
        <w:t xml:space="preserve">           </w:t>
      </w:r>
    </w:p>
    <w:p w14:paraId="71790B8C">
      <w:pPr>
        <w:spacing w:line="500" w:lineRule="exact"/>
        <w:rPr>
          <w:rFonts w:ascii="宋体" w:hAnsi="宋体" w:eastAsia="宋体" w:cs="Times New Roman"/>
          <w:b/>
          <w:sz w:val="28"/>
          <w:szCs w:val="28"/>
          <w:highlight w:val="none"/>
        </w:rPr>
      </w:pPr>
      <w:r>
        <w:rPr>
          <w:rFonts w:hint="eastAsia" w:ascii="宋体" w:hAnsi="宋体" w:eastAsia="宋体" w:cs="Times New Roman"/>
          <w:b/>
          <w:sz w:val="28"/>
          <w:szCs w:val="28"/>
          <w:highlight w:val="none"/>
        </w:rPr>
        <w:t>日  期</w:t>
      </w:r>
      <w:r>
        <w:rPr>
          <w:rFonts w:ascii="宋体" w:hAnsi="宋体" w:eastAsia="宋体" w:cs="Times New Roman"/>
          <w:b/>
          <w:sz w:val="28"/>
          <w:szCs w:val="28"/>
          <w:highlight w:val="none"/>
        </w:rPr>
        <w:t>：</w:t>
      </w:r>
      <w:r>
        <w:rPr>
          <w:rFonts w:hint="eastAsia" w:ascii="宋体" w:hAnsi="宋体" w:eastAsia="宋体" w:cs="Times New Roman"/>
          <w:b/>
          <w:sz w:val="28"/>
          <w:szCs w:val="28"/>
          <w:highlight w:val="none"/>
          <w:u w:val="single"/>
        </w:rPr>
        <w:t xml:space="preserve">        </w:t>
      </w:r>
      <w:r>
        <w:rPr>
          <w:rFonts w:hint="eastAsia" w:ascii="宋体" w:hAnsi="宋体" w:cs="Times New Roman"/>
          <w:b/>
          <w:sz w:val="28"/>
          <w:szCs w:val="28"/>
          <w:highlight w:val="none"/>
          <w:u w:val="single"/>
          <w:lang w:val="en-US" w:eastAsia="zh-CN"/>
        </w:rPr>
        <w:t xml:space="preserve"> </w:t>
      </w:r>
      <w:r>
        <w:rPr>
          <w:rFonts w:hint="eastAsia" w:ascii="宋体" w:hAnsi="宋体" w:eastAsia="宋体" w:cs="Times New Roman"/>
          <w:b/>
          <w:sz w:val="28"/>
          <w:szCs w:val="28"/>
          <w:highlight w:val="none"/>
          <w:u w:val="single"/>
        </w:rPr>
        <w:t xml:space="preserve">              年 </w:t>
      </w:r>
      <w:r>
        <w:rPr>
          <w:rFonts w:ascii="宋体" w:hAnsi="宋体" w:eastAsia="宋体" w:cs="Times New Roman"/>
          <w:b/>
          <w:sz w:val="28"/>
          <w:szCs w:val="28"/>
          <w:highlight w:val="none"/>
          <w:u w:val="single"/>
        </w:rPr>
        <w:t xml:space="preserve">  </w:t>
      </w:r>
      <w:r>
        <w:rPr>
          <w:rFonts w:hint="eastAsia" w:ascii="宋体" w:hAnsi="宋体" w:eastAsia="宋体" w:cs="Times New Roman"/>
          <w:b/>
          <w:sz w:val="28"/>
          <w:szCs w:val="28"/>
          <w:highlight w:val="none"/>
          <w:u w:val="single"/>
        </w:rPr>
        <w:t xml:space="preserve">月 </w:t>
      </w:r>
      <w:r>
        <w:rPr>
          <w:rFonts w:ascii="宋体" w:hAnsi="宋体" w:eastAsia="宋体" w:cs="Times New Roman"/>
          <w:b/>
          <w:sz w:val="28"/>
          <w:szCs w:val="28"/>
          <w:highlight w:val="none"/>
          <w:u w:val="single"/>
        </w:rPr>
        <w:t xml:space="preserve">  </w:t>
      </w:r>
      <w:r>
        <w:rPr>
          <w:rFonts w:hint="eastAsia" w:ascii="宋体" w:hAnsi="宋体" w:eastAsia="宋体" w:cs="Times New Roman"/>
          <w:b/>
          <w:sz w:val="28"/>
          <w:szCs w:val="28"/>
          <w:highlight w:val="none"/>
          <w:u w:val="single"/>
        </w:rPr>
        <w:t xml:space="preserve">日           </w:t>
      </w:r>
    </w:p>
    <w:p w14:paraId="4C134762">
      <w:pPr>
        <w:rPr>
          <w:rFonts w:hint="eastAsia" w:ascii="宋体" w:hAnsi="宋体" w:eastAsia="宋体" w:cs="Times New Roman"/>
          <w:sz w:val="28"/>
          <w:szCs w:val="28"/>
          <w:highlight w:val="none"/>
          <w:lang w:val="en-US" w:eastAsia="zh-CN"/>
        </w:rPr>
      </w:pPr>
      <w:r>
        <w:rPr>
          <w:rFonts w:hint="eastAsia" w:ascii="宋体" w:hAnsi="宋体" w:cs="Times New Roman"/>
          <w:sz w:val="28"/>
          <w:szCs w:val="28"/>
          <w:highlight w:val="none"/>
          <w:lang w:val="en-US" w:eastAsia="zh-CN"/>
        </w:rPr>
        <w:t xml:space="preserve"> </w:t>
      </w:r>
    </w:p>
    <w:p w14:paraId="236C3504">
      <w:pPr>
        <w:pStyle w:val="8"/>
        <w:numPr>
          <w:ilvl w:val="0"/>
          <w:numId w:val="0"/>
        </w:numPr>
        <w:ind w:leftChars="0"/>
        <w:rPr>
          <w:rFonts w:hint="eastAsia"/>
        </w:rPr>
      </w:pPr>
      <w:r>
        <w:rPr>
          <w:rFonts w:hint="eastAsia" w:ascii="宋体" w:hAnsi="宋体"/>
          <w:b/>
          <w:bCs/>
          <w:sz w:val="32"/>
          <w:szCs w:val="32"/>
          <w:highlight w:val="none"/>
        </w:rPr>
        <w:br w:type="page"/>
      </w:r>
    </w:p>
    <w:p w14:paraId="25E55C80">
      <w:pPr>
        <w:bidi w:val="0"/>
        <w:rPr>
          <w:rFonts w:hint="eastAsia"/>
        </w:rPr>
      </w:pPr>
    </w:p>
    <w:p w14:paraId="31E1D322">
      <w:pPr>
        <w:spacing w:line="590" w:lineRule="exact"/>
        <w:ind w:left="0" w:leftChars="0" w:right="0" w:rightChars="0" w:firstLine="0" w:firstLineChars="0"/>
        <w:jc w:val="center"/>
        <w:rPr>
          <w:rFonts w:hint="eastAsia" w:ascii="宋体" w:hAnsi="宋体"/>
          <w:b/>
          <w:bCs/>
          <w:sz w:val="32"/>
          <w:szCs w:val="32"/>
          <w:highlight w:val="none"/>
        </w:rPr>
      </w:pPr>
      <w:r>
        <w:rPr>
          <w:rFonts w:hint="eastAsia" w:ascii="宋体" w:hAnsi="宋体"/>
          <w:b/>
          <w:bCs/>
          <w:sz w:val="32"/>
          <w:szCs w:val="32"/>
          <w:highlight w:val="none"/>
        </w:rPr>
        <w:t>目 录</w:t>
      </w:r>
    </w:p>
    <w:p w14:paraId="03CB91DB">
      <w:pPr>
        <w:spacing w:line="590" w:lineRule="exact"/>
        <w:ind w:left="0" w:leftChars="0" w:right="0" w:rightChars="0" w:firstLine="0" w:firstLineChars="0"/>
        <w:jc w:val="center"/>
        <w:rPr>
          <w:rFonts w:hint="eastAsia" w:ascii="宋体" w:hAnsi="宋体"/>
          <w:b/>
          <w:bCs/>
          <w:sz w:val="32"/>
          <w:szCs w:val="32"/>
          <w:highlight w:val="none"/>
        </w:rPr>
      </w:pPr>
      <w:r>
        <w:rPr>
          <w:rFonts w:hint="eastAsia" w:ascii="宋体" w:hAnsi="宋体"/>
          <w:b/>
          <w:bCs/>
          <w:sz w:val="32"/>
          <w:szCs w:val="32"/>
          <w:highlight w:val="none"/>
        </w:rPr>
        <w:t>请投标人自行编写</w:t>
      </w:r>
    </w:p>
    <w:p w14:paraId="0A849A09">
      <w:pPr>
        <w:spacing w:line="590" w:lineRule="exact"/>
        <w:ind w:firstLine="3213" w:firstLineChars="1000"/>
        <w:rPr>
          <w:rFonts w:ascii="宋体" w:hAnsi="宋体"/>
          <w:b/>
          <w:bCs/>
          <w:sz w:val="32"/>
          <w:szCs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04D66E84">
      <w:pPr>
        <w:spacing w:afterLines="200" w:line="590" w:lineRule="exact"/>
        <w:ind w:left="0" w:leftChars="0" w:right="0" w:rightChars="0" w:firstLine="0" w:firstLineChars="0"/>
        <w:jc w:val="center"/>
        <w:rPr>
          <w:rFonts w:hint="eastAsia"/>
          <w:lang w:eastAsia="zh-CN"/>
        </w:rPr>
      </w:pPr>
      <w:bookmarkStart w:id="26" w:name="_Toc27230"/>
      <w:r>
        <w:rPr>
          <w:rStyle w:val="33"/>
          <w:rFonts w:hint="eastAsia"/>
          <w:highlight w:val="none"/>
          <w:u w:val="none"/>
        </w:rPr>
        <w:t>一、投标</w:t>
      </w:r>
      <w:r>
        <w:rPr>
          <w:rStyle w:val="33"/>
          <w:rFonts w:hint="eastAsia" w:eastAsia="黑体"/>
          <w:highlight w:val="none"/>
          <w:u w:val="none"/>
          <w:lang w:val="en-US" w:eastAsia="zh-CN"/>
        </w:rPr>
        <w:t>函</w:t>
      </w:r>
      <w:bookmarkEnd w:id="26"/>
    </w:p>
    <w:p w14:paraId="1D5FE89F">
      <w:pPr>
        <w:bidi w:val="0"/>
        <w:rPr>
          <w:rFonts w:hint="eastAsia" w:ascii="宋体" w:hAnsi="宋体" w:eastAsia="宋体" w:cs="宋体"/>
          <w:sz w:val="24"/>
          <w:szCs w:val="24"/>
        </w:rPr>
      </w:pPr>
      <w:r>
        <w:rPr>
          <w:rFonts w:hint="eastAsia" w:ascii="宋体" w:hAnsi="宋体" w:eastAsia="宋体" w:cs="宋体"/>
          <w:sz w:val="24"/>
          <w:szCs w:val="24"/>
          <w:lang w:eastAsia="zh-CN"/>
        </w:rPr>
        <w:t>前郭尔罗斯蒙古族自治县政府采购中心</w:t>
      </w:r>
      <w:r>
        <w:rPr>
          <w:rFonts w:hint="eastAsia" w:ascii="宋体" w:hAnsi="宋体" w:eastAsia="宋体" w:cs="宋体"/>
          <w:sz w:val="24"/>
          <w:szCs w:val="24"/>
        </w:rPr>
        <w:t>：</w:t>
      </w:r>
    </w:p>
    <w:p w14:paraId="2BE05EBD">
      <w:pPr>
        <w:keepNext w:val="0"/>
        <w:keepLines w:val="0"/>
        <w:pageBreakBefore w:val="0"/>
        <w:widowControl w:val="0"/>
        <w:tabs>
          <w:tab w:val="left" w:pos="9460"/>
        </w:tabs>
        <w:kinsoku w:val="0"/>
        <w:wordWrap w:val="0"/>
        <w:overflowPunct/>
        <w:topLinePunct w:val="0"/>
        <w:autoSpaceDE w:val="0"/>
        <w:autoSpaceDN w:val="0"/>
        <w:bidi w:val="0"/>
        <w:adjustRightInd/>
        <w:snapToGrid/>
        <w:spacing w:before="1" w:line="365" w:lineRule="auto"/>
        <w:ind w:left="0" w:leftChars="0" w:right="21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根据你方政</w:t>
      </w:r>
      <w:r>
        <w:rPr>
          <w:rFonts w:hint="eastAsia" w:ascii="宋体" w:hAnsi="宋体" w:eastAsia="宋体" w:cs="宋体"/>
          <w:sz w:val="24"/>
          <w:szCs w:val="24"/>
          <w:u w:val="none"/>
        </w:rPr>
        <w:t>府采购</w:t>
      </w:r>
      <w:r>
        <w:rPr>
          <w:rFonts w:hint="eastAsia" w:ascii="宋体" w:hAnsi="宋体" w:eastAsia="宋体" w:cs="宋体"/>
          <w:sz w:val="24"/>
          <w:szCs w:val="24"/>
          <w:u w:val="single"/>
          <w:lang w:val="en-US" w:eastAsia="zh-CN"/>
        </w:rPr>
        <w:t>2026年前郭县义务教育薄弱环节改善与能力提升—教学计算机采购项目</w:t>
      </w:r>
      <w:r>
        <w:rPr>
          <w:rFonts w:hint="eastAsia" w:ascii="宋体" w:hAnsi="宋体" w:eastAsia="宋体" w:cs="宋体"/>
          <w:sz w:val="24"/>
          <w:szCs w:val="24"/>
          <w:highlight w:val="none"/>
        </w:rPr>
        <w:t>的编号为</w:t>
      </w:r>
      <w:r>
        <w:rPr>
          <w:rFonts w:hint="eastAsia" w:ascii="宋体" w:hAnsi="宋体" w:eastAsia="宋体" w:cs="宋体"/>
          <w:sz w:val="24"/>
          <w:szCs w:val="24"/>
          <w:u w:val="single"/>
          <w:lang w:val="en-US" w:eastAsia="zh-CN"/>
        </w:rPr>
        <w:t>采购计划-[2026]-00220-2026008</w:t>
      </w:r>
      <w:r>
        <w:rPr>
          <w:rFonts w:hint="eastAsia" w:ascii="宋体" w:hAnsi="宋体" w:eastAsia="宋体" w:cs="宋体"/>
          <w:sz w:val="24"/>
          <w:szCs w:val="24"/>
          <w:highlight w:val="none"/>
        </w:rPr>
        <w:t>招标文件，我方正</w:t>
      </w:r>
      <w:r>
        <w:rPr>
          <w:rFonts w:hint="eastAsia" w:ascii="宋体" w:hAnsi="宋体" w:eastAsia="宋体" w:cs="宋体"/>
          <w:sz w:val="24"/>
          <w:szCs w:val="24"/>
        </w:rPr>
        <w:t>式授权的下述签字人</w:t>
      </w:r>
      <w:r>
        <w:rPr>
          <w:rFonts w:hint="eastAsia" w:ascii="宋体" w:hAnsi="宋体" w:eastAsia="宋体" w:cs="宋体"/>
          <w:sz w:val="24"/>
          <w:szCs w:val="24"/>
          <w:u w:val="single"/>
        </w:rPr>
        <w:t>（姓名和职务）</w:t>
      </w:r>
      <w:r>
        <w:rPr>
          <w:rFonts w:hint="eastAsia" w:ascii="宋体" w:hAnsi="宋体" w:eastAsia="宋体" w:cs="宋体"/>
          <w:sz w:val="24"/>
          <w:szCs w:val="24"/>
        </w:rPr>
        <w:t>代表我方</w:t>
      </w:r>
      <w:r>
        <w:rPr>
          <w:rFonts w:hint="eastAsia" w:ascii="宋体" w:hAnsi="宋体" w:eastAsia="宋体" w:cs="宋体"/>
          <w:sz w:val="24"/>
          <w:szCs w:val="24"/>
          <w:u w:val="single"/>
        </w:rPr>
        <w:t>（投标人的名称）</w:t>
      </w:r>
      <w:r>
        <w:rPr>
          <w:rFonts w:hint="eastAsia" w:ascii="宋体" w:hAnsi="宋体" w:eastAsia="宋体" w:cs="宋体"/>
          <w:sz w:val="24"/>
          <w:szCs w:val="24"/>
        </w:rPr>
        <w:t>，按照你方招标文件的规定</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文件，并保证</w:t>
      </w:r>
      <w:r>
        <w:rPr>
          <w:rFonts w:hint="eastAsia" w:ascii="宋体" w:hAnsi="宋体" w:eastAsia="宋体" w:cs="宋体"/>
          <w:sz w:val="24"/>
          <w:szCs w:val="24"/>
        </w:rPr>
        <w:t>所提供的全部文件是真实的、有效的和准确的。</w:t>
      </w:r>
    </w:p>
    <w:p w14:paraId="6DD71B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据此函，签字人兹宣布同意如下：</w:t>
      </w:r>
    </w:p>
    <w:p w14:paraId="3038B4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1.按招标文件规定提供货物的投标总价为（大写）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494FD3DC">
      <w:pPr>
        <w:keepNext w:val="0"/>
        <w:keepLines w:val="0"/>
        <w:pageBreakBefore w:val="0"/>
        <w:widowControl w:val="0"/>
        <w:kinsoku/>
        <w:wordWrap/>
        <w:overflowPunct/>
        <w:topLinePunct w:val="0"/>
        <w:autoSpaceDE/>
        <w:autoSpaceDN/>
        <w:bidi w:val="0"/>
        <w:adjustRightInd/>
        <w:snapToGrid/>
        <w:ind w:left="10" w:leftChars="0" w:firstLine="468" w:firstLineChars="195"/>
        <w:textAlignment w:val="auto"/>
        <w:rPr>
          <w:rFonts w:hint="eastAsia" w:ascii="宋体" w:hAnsi="宋体" w:eastAsia="宋体" w:cs="宋体"/>
          <w:sz w:val="24"/>
          <w:szCs w:val="24"/>
        </w:rPr>
      </w:pPr>
      <w:r>
        <w:rPr>
          <w:rFonts w:hint="eastAsia" w:ascii="宋体" w:hAnsi="宋体" w:eastAsia="宋体" w:cs="宋体"/>
          <w:sz w:val="24"/>
          <w:szCs w:val="24"/>
        </w:rPr>
        <w:t>2.如果我方中标，我们保证根据招标文件规定履行合同责任和义务。</w:t>
      </w:r>
    </w:p>
    <w:p w14:paraId="432F14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元的投标保证金与本投标文件同时提交。</w:t>
      </w:r>
    </w:p>
    <w:p w14:paraId="14D7DC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4.如果我方中标，我方保证按照招标文件规定提交履约保证金，承担履约责任。</w:t>
      </w:r>
    </w:p>
    <w:p w14:paraId="72A390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5.我们已详细阅读了全部招标文件，包括招标文件的修改、补充文件、参考资料及有关的附件，我们接受招标文件的全部条款和条件，我们知道必须放弃提出含糊不清或误解的问题的权利。</w:t>
      </w:r>
    </w:p>
    <w:p w14:paraId="6E48AA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6.我们对招标文件关于时限、程序方面的规定没有异议，保证按照招标文件规定的时限和程序参加投标活动。</w:t>
      </w:r>
    </w:p>
    <w:p w14:paraId="356FBE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7.我们同意在投标人须知规定的开标时间起遵循本投标书，并在投标人须知规定的投标有效期满之前均具有约束力，并有可能中标。</w:t>
      </w:r>
    </w:p>
    <w:p w14:paraId="0EAC44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8.我们如果在规定的投标有效期内撤回投标，则你方可不予退还我们的投标保证金。</w:t>
      </w:r>
    </w:p>
    <w:p w14:paraId="3A9397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9.我们保证向你方提供你方可能要求的与本投标有关的任何证据或资料。</w:t>
      </w:r>
    </w:p>
    <w:p w14:paraId="4120A5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10.我们完全理解你方不一定要接受最低报价的投标或收到的任何投标。</w:t>
      </w:r>
    </w:p>
    <w:p w14:paraId="702363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11.本投标自开标之时起90天内有效。</w:t>
      </w:r>
    </w:p>
    <w:p w14:paraId="4EC04A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12.我方保证严格遵守《中华人民共和国政府采购法》的有关规定，若有下列情形之一的，我方将被处不予退还投标保证金，列入不良行为记录名单，在一至三年内禁止参加政府采购活动，并予以公告：</w:t>
      </w:r>
    </w:p>
    <w:p w14:paraId="66F4C4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（1）提供虚假材料谋取中标、成交的；</w:t>
      </w:r>
    </w:p>
    <w:p w14:paraId="2F53AF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（2）采取不正当手段诋毁、排挤其他投标人的；</w:t>
      </w:r>
    </w:p>
    <w:p w14:paraId="4C3694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（3）与其他投标人、采购中心或者采购单位人员或者其他有关人员恶意串通的；</w:t>
      </w:r>
    </w:p>
    <w:p w14:paraId="395C22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（4）向评标委员会成员、采购中心或者采购单位人员或者其他有关人员行贿或者提供其他不正当利益的；</w:t>
      </w:r>
    </w:p>
    <w:p w14:paraId="799219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（5）被评定中标后无正当理由不与采购人或者采购代理机构订立合同，或者中标后不按招标文件和中标供应商的投标文件订立合同，或者与采购人另行订立背离合同实质性内容的协议的；</w:t>
      </w:r>
    </w:p>
    <w:p w14:paraId="0DED11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（6）将中标项目转让给他人或者将中标项目分包给他人的；</w:t>
      </w:r>
    </w:p>
    <w:p w14:paraId="082A6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（7）签订合同后拒绝履行合同义务的；</w:t>
      </w:r>
    </w:p>
    <w:p w14:paraId="7E9F5C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（8）拒绝有关部门监督检查或提供虚假情况的。</w:t>
      </w:r>
    </w:p>
    <w:p w14:paraId="199D8BCF">
      <w:pPr>
        <w:bidi w:val="0"/>
        <w:ind w:firstLine="4800" w:firstLineChars="2000"/>
        <w:rPr>
          <w:rFonts w:hint="eastAsia" w:ascii="宋体" w:hAnsi="宋体" w:eastAsia="宋体" w:cs="宋体"/>
          <w:sz w:val="24"/>
          <w:szCs w:val="24"/>
        </w:rPr>
      </w:pPr>
    </w:p>
    <w:p w14:paraId="19E08B49">
      <w:pPr>
        <w:bidi w:val="0"/>
        <w:ind w:firstLine="4800" w:firstLineChars="2000"/>
        <w:rPr>
          <w:rFonts w:hint="eastAsia" w:ascii="宋体" w:hAnsi="宋体" w:eastAsia="宋体" w:cs="宋体"/>
          <w:sz w:val="24"/>
          <w:szCs w:val="24"/>
        </w:rPr>
      </w:pPr>
    </w:p>
    <w:p w14:paraId="1FE88B5E">
      <w:pPr>
        <w:bidi w:val="0"/>
        <w:ind w:firstLine="4800" w:firstLineChars="2000"/>
        <w:rPr>
          <w:rFonts w:hint="eastAsia" w:ascii="宋体" w:hAnsi="宋体" w:eastAsia="宋体" w:cs="宋体"/>
          <w:sz w:val="24"/>
          <w:szCs w:val="24"/>
        </w:rPr>
      </w:pPr>
      <w:r>
        <w:rPr>
          <w:rFonts w:hint="eastAsia" w:ascii="宋体" w:hAnsi="宋体" w:eastAsia="宋体" w:cs="宋体"/>
          <w:sz w:val="24"/>
          <w:szCs w:val="24"/>
        </w:rPr>
        <w:t>投标人名称（加盖投标人公章）：</w:t>
      </w:r>
    </w:p>
    <w:p w14:paraId="76B1B9DF">
      <w:pPr>
        <w:bidi w:val="0"/>
        <w:ind w:firstLine="4800" w:firstLineChars="2000"/>
        <w:rPr>
          <w:rFonts w:hint="eastAsia" w:ascii="宋体" w:hAnsi="宋体" w:eastAsia="宋体" w:cs="宋体"/>
          <w:sz w:val="24"/>
          <w:szCs w:val="24"/>
        </w:rPr>
      </w:pPr>
    </w:p>
    <w:p w14:paraId="2B3B69AF">
      <w:pPr>
        <w:bidi w:val="0"/>
        <w:ind w:firstLine="4800" w:firstLineChars="2000"/>
        <w:rPr>
          <w:rFonts w:hint="eastAsia" w:ascii="宋体" w:hAnsi="宋体" w:eastAsia="宋体" w:cs="宋体"/>
          <w:sz w:val="24"/>
          <w:szCs w:val="24"/>
        </w:rPr>
      </w:pPr>
    </w:p>
    <w:p w14:paraId="34D0BD84">
      <w:pPr>
        <w:bidi w:val="0"/>
        <w:ind w:firstLine="4800" w:firstLineChars="2000"/>
        <w:rPr>
          <w:rFonts w:hint="eastAsia" w:ascii="宋体" w:hAnsi="宋体" w:eastAsia="宋体" w:cs="宋体"/>
          <w:sz w:val="24"/>
          <w:szCs w:val="24"/>
        </w:rPr>
      </w:pPr>
      <w:r>
        <w:rPr>
          <w:rFonts w:hint="eastAsia" w:ascii="宋体" w:hAnsi="宋体" w:eastAsia="宋体" w:cs="宋体"/>
          <w:sz w:val="24"/>
          <w:szCs w:val="24"/>
        </w:rPr>
        <w:t>法定代表人或授权代理人（盖章或签字）</w:t>
      </w:r>
      <w:r>
        <w:rPr>
          <w:rFonts w:hint="eastAsia" w:ascii="宋体" w:hAnsi="宋体" w:eastAsia="宋体" w:cs="宋体"/>
          <w:sz w:val="24"/>
          <w:szCs w:val="24"/>
          <w:lang w:val="zh-CN"/>
        </w:rPr>
        <w:t>：</w:t>
      </w:r>
    </w:p>
    <w:p w14:paraId="1A67CA9B">
      <w:pPr>
        <w:keepNext w:val="0"/>
        <w:keepLines w:val="0"/>
        <w:pageBreakBefore w:val="0"/>
        <w:widowControl w:val="0"/>
        <w:kinsoku/>
        <w:wordWrap/>
        <w:overflowPunct/>
        <w:topLinePunct w:val="0"/>
        <w:autoSpaceDE/>
        <w:autoSpaceDN/>
        <w:bidi w:val="0"/>
        <w:adjustRightInd/>
        <w:snapToGrid/>
        <w:ind w:firstLine="5280" w:firstLineChars="2200"/>
        <w:textAlignment w:val="auto"/>
        <w:rPr>
          <w:rFonts w:hint="eastAsia" w:ascii="宋体" w:hAnsi="宋体" w:eastAsia="宋体" w:cs="宋体"/>
          <w:sz w:val="24"/>
          <w:szCs w:val="24"/>
        </w:rPr>
      </w:pPr>
    </w:p>
    <w:p w14:paraId="01A71075">
      <w:pPr>
        <w:keepNext w:val="0"/>
        <w:keepLines w:val="0"/>
        <w:pageBreakBefore w:val="0"/>
        <w:widowControl w:val="0"/>
        <w:kinsoku/>
        <w:wordWrap/>
        <w:overflowPunct/>
        <w:topLinePunct w:val="0"/>
        <w:autoSpaceDE/>
        <w:autoSpaceDN/>
        <w:bidi w:val="0"/>
        <w:adjustRightInd/>
        <w:snapToGrid/>
        <w:ind w:firstLine="4800" w:firstLineChars="200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4B4FCAC2">
      <w:pPr>
        <w:pStyle w:val="16"/>
        <w:shd w:val="clear" w:color="auto" w:fill="FFFFFF"/>
        <w:wordWrap w:val="0"/>
        <w:topLinePunct/>
        <w:spacing w:before="0" w:beforeAutospacing="0" w:after="0" w:afterAutospacing="0" w:line="360" w:lineRule="auto"/>
        <w:ind w:firstLine="482" w:firstLineChars="200"/>
        <w:jc w:val="both"/>
        <w:rPr>
          <w:rFonts w:hint="eastAsia" w:ascii="宋体" w:hAnsi="宋体" w:eastAsia="宋体" w:cs="宋体"/>
          <w:b/>
          <w:bCs/>
          <w:color w:val="000000"/>
          <w:sz w:val="24"/>
          <w:szCs w:val="24"/>
          <w:highlight w:val="none"/>
          <w:shd w:val="clear" w:color="auto" w:fill="FFFFFF"/>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1306D039">
      <w:pPr>
        <w:pStyle w:val="3"/>
        <w:bidi w:val="0"/>
        <w:jc w:val="center"/>
        <w:rPr>
          <w:rFonts w:hint="eastAsia"/>
          <w:highlight w:val="none"/>
          <w:lang w:val="en-US" w:eastAsia="zh-CN"/>
        </w:rPr>
      </w:pPr>
      <w:bookmarkStart w:id="27" w:name="_Toc21258"/>
      <w:bookmarkStart w:id="28" w:name="_Toc1469"/>
      <w:r>
        <w:rPr>
          <w:rFonts w:hint="eastAsia"/>
          <w:highlight w:val="none"/>
          <w:lang w:val="en-US" w:eastAsia="zh-CN"/>
        </w:rPr>
        <w:t>二、法定代表人身份证明</w:t>
      </w:r>
      <w:bookmarkEnd w:id="27"/>
      <w:bookmarkEnd w:id="28"/>
    </w:p>
    <w:p w14:paraId="3B88F8F2">
      <w:pPr>
        <w:tabs>
          <w:tab w:val="left" w:pos="1920"/>
        </w:tabs>
        <w:spacing w:line="500" w:lineRule="exact"/>
        <w:ind w:left="840"/>
        <w:rPr>
          <w:rFonts w:ascii="宋体" w:hAnsi="宋体" w:eastAsia="宋体" w:cs="Times New Roman"/>
          <w:b/>
          <w:sz w:val="28"/>
          <w:szCs w:val="28"/>
          <w:highlight w:val="none"/>
        </w:rPr>
      </w:pPr>
      <w:r>
        <w:rPr>
          <w:rFonts w:ascii="宋体" w:hAnsi="宋体" w:eastAsia="宋体" w:cs="Times New Roman"/>
          <w:b/>
          <w:sz w:val="28"/>
          <w:szCs w:val="28"/>
          <w:highlight w:val="none"/>
        </w:rPr>
        <w:tab/>
      </w:r>
    </w:p>
    <w:p w14:paraId="372899BC">
      <w:pPr>
        <w:spacing w:line="50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投标人（公司）名称：</w:t>
      </w:r>
      <w:r>
        <w:rPr>
          <w:rFonts w:hint="eastAsia" w:ascii="宋体" w:hAnsi="宋体" w:eastAsia="宋体" w:cs="Times New Roman"/>
          <w:sz w:val="24"/>
          <w:szCs w:val="28"/>
          <w:highlight w:val="none"/>
          <w:u w:val="single"/>
        </w:rPr>
        <w:t xml:space="preserve">                          </w:t>
      </w:r>
    </w:p>
    <w:p w14:paraId="4FE046BF">
      <w:pPr>
        <w:spacing w:line="500" w:lineRule="exact"/>
        <w:ind w:firstLine="480" w:firstLineChars="200"/>
        <w:rPr>
          <w:rFonts w:ascii="宋体" w:hAnsi="宋体" w:eastAsia="宋体" w:cs="Times New Roman"/>
          <w:sz w:val="24"/>
          <w:szCs w:val="28"/>
          <w:highlight w:val="none"/>
          <w:u w:val="single"/>
        </w:rPr>
      </w:pPr>
      <w:r>
        <w:rPr>
          <w:rFonts w:hint="eastAsia" w:ascii="宋体" w:hAnsi="宋体" w:eastAsia="宋体" w:cs="Times New Roman"/>
          <w:sz w:val="24"/>
          <w:szCs w:val="28"/>
          <w:highlight w:val="none"/>
        </w:rPr>
        <w:t>单位性质：</w:t>
      </w:r>
      <w:r>
        <w:rPr>
          <w:rFonts w:hint="eastAsia" w:ascii="宋体" w:hAnsi="宋体" w:eastAsia="宋体" w:cs="Times New Roman"/>
          <w:sz w:val="24"/>
          <w:szCs w:val="28"/>
          <w:highlight w:val="none"/>
          <w:u w:val="single"/>
        </w:rPr>
        <w:t xml:space="preserve">                                  </w:t>
      </w:r>
      <w:r>
        <w:rPr>
          <w:rFonts w:ascii="宋体" w:hAnsi="宋体" w:eastAsia="宋体" w:cs="Times New Roman"/>
          <w:sz w:val="24"/>
          <w:szCs w:val="28"/>
          <w:highlight w:val="none"/>
          <w:u w:val="single"/>
        </w:rPr>
        <w:t xml:space="preserve">  </w:t>
      </w:r>
    </w:p>
    <w:p w14:paraId="6AECBB72">
      <w:pPr>
        <w:spacing w:line="500" w:lineRule="exact"/>
        <w:ind w:firstLine="480" w:firstLineChars="200"/>
        <w:rPr>
          <w:rFonts w:ascii="宋体" w:hAnsi="宋体" w:eastAsia="宋体" w:cs="Times New Roman"/>
          <w:sz w:val="24"/>
          <w:szCs w:val="28"/>
          <w:highlight w:val="none"/>
          <w:u w:val="single"/>
        </w:rPr>
      </w:pPr>
      <w:r>
        <w:rPr>
          <w:rFonts w:hint="eastAsia" w:ascii="宋体" w:hAnsi="宋体" w:eastAsia="宋体" w:cs="Times New Roman"/>
          <w:sz w:val="24"/>
          <w:szCs w:val="28"/>
          <w:highlight w:val="none"/>
        </w:rPr>
        <w:t>公司地址：</w:t>
      </w:r>
      <w:r>
        <w:rPr>
          <w:rFonts w:hint="eastAsia" w:ascii="宋体" w:hAnsi="宋体" w:eastAsia="宋体" w:cs="Times New Roman"/>
          <w:sz w:val="24"/>
          <w:szCs w:val="28"/>
          <w:highlight w:val="none"/>
          <w:u w:val="single"/>
        </w:rPr>
        <w:t xml:space="preserve">                              </w:t>
      </w:r>
      <w:r>
        <w:rPr>
          <w:rFonts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u w:val="single"/>
        </w:rPr>
        <w:t xml:space="preserve"> </w:t>
      </w:r>
    </w:p>
    <w:p w14:paraId="676FA62E">
      <w:pPr>
        <w:spacing w:line="50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成立时间：</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年</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月</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日</w:t>
      </w:r>
    </w:p>
    <w:p w14:paraId="74842C7E">
      <w:pPr>
        <w:spacing w:line="500" w:lineRule="exact"/>
        <w:ind w:firstLine="480" w:firstLineChars="200"/>
        <w:rPr>
          <w:rFonts w:ascii="宋体" w:hAnsi="宋体" w:eastAsia="宋体" w:cs="Times New Roman"/>
          <w:sz w:val="24"/>
          <w:szCs w:val="28"/>
          <w:highlight w:val="none"/>
          <w:u w:val="single"/>
        </w:rPr>
      </w:pPr>
      <w:r>
        <w:rPr>
          <w:rFonts w:hint="eastAsia" w:ascii="宋体" w:hAnsi="宋体" w:eastAsia="宋体" w:cs="Times New Roman"/>
          <w:sz w:val="24"/>
          <w:szCs w:val="28"/>
          <w:highlight w:val="none"/>
        </w:rPr>
        <w:t>经营期限：</w:t>
      </w:r>
      <w:r>
        <w:rPr>
          <w:rFonts w:hint="eastAsia" w:ascii="宋体" w:hAnsi="宋体" w:eastAsia="宋体" w:cs="Times New Roman"/>
          <w:sz w:val="24"/>
          <w:szCs w:val="28"/>
          <w:highlight w:val="none"/>
          <w:u w:val="single"/>
        </w:rPr>
        <w:t xml:space="preserve">                                   </w:t>
      </w:r>
    </w:p>
    <w:p w14:paraId="7F2E7CA8">
      <w:pPr>
        <w:spacing w:line="500" w:lineRule="exact"/>
        <w:ind w:firstLine="480" w:firstLineChars="200"/>
        <w:rPr>
          <w:rFonts w:ascii="宋体" w:hAnsi="宋体" w:eastAsia="宋体" w:cs="Times New Roman"/>
          <w:sz w:val="24"/>
          <w:szCs w:val="28"/>
          <w:highlight w:val="none"/>
          <w:u w:val="single"/>
        </w:rPr>
      </w:pPr>
      <w:r>
        <w:rPr>
          <w:rFonts w:hint="eastAsia" w:ascii="宋体" w:hAnsi="宋体" w:eastAsia="宋体" w:cs="Times New Roman"/>
          <w:sz w:val="24"/>
          <w:szCs w:val="28"/>
          <w:highlight w:val="none"/>
        </w:rPr>
        <w:t>姓 名：</w:t>
      </w:r>
      <w:r>
        <w:rPr>
          <w:rFonts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性别：</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年龄：</w:t>
      </w:r>
      <w:r>
        <w:rPr>
          <w:rFonts w:hint="eastAsia" w:ascii="宋体" w:hAnsi="宋体" w:eastAsia="宋体" w:cs="Times New Roman"/>
          <w:sz w:val="24"/>
          <w:szCs w:val="28"/>
          <w:highlight w:val="none"/>
          <w:u w:val="single"/>
        </w:rPr>
        <w:t xml:space="preserve">     </w:t>
      </w:r>
    </w:p>
    <w:p w14:paraId="1C627AEB">
      <w:pPr>
        <w:spacing w:line="500" w:lineRule="exact"/>
        <w:ind w:firstLine="480" w:firstLineChars="200"/>
        <w:rPr>
          <w:rFonts w:ascii="宋体" w:hAnsi="宋体" w:eastAsia="宋体" w:cs="Times New Roman"/>
          <w:sz w:val="24"/>
          <w:szCs w:val="28"/>
          <w:highlight w:val="none"/>
          <w:u w:val="single"/>
        </w:rPr>
      </w:pPr>
      <w:r>
        <w:rPr>
          <w:rFonts w:hint="eastAsia" w:ascii="宋体" w:hAnsi="宋体" w:eastAsia="宋体" w:cs="Times New Roman"/>
          <w:sz w:val="24"/>
          <w:szCs w:val="28"/>
          <w:highlight w:val="none"/>
        </w:rPr>
        <w:t>职务：</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系</w:t>
      </w:r>
      <w:r>
        <w:rPr>
          <w:rFonts w:hint="eastAsia" w:ascii="宋体" w:hAnsi="宋体" w:eastAsia="宋体" w:cs="Times New Roman"/>
          <w:sz w:val="24"/>
          <w:szCs w:val="28"/>
          <w:highlight w:val="none"/>
          <w:u w:val="single"/>
        </w:rPr>
        <w:t xml:space="preserve">                     </w:t>
      </w:r>
      <w:r>
        <w:rPr>
          <w:rFonts w:hint="eastAsia" w:ascii="宋体" w:hAnsi="宋体" w:eastAsia="宋体" w:cs="Times New Roman"/>
          <w:sz w:val="24"/>
          <w:szCs w:val="28"/>
          <w:highlight w:val="none"/>
        </w:rPr>
        <w:t>（投标人名称）的法定代表人（</w:t>
      </w:r>
      <w:r>
        <w:rPr>
          <w:rFonts w:hint="eastAsia" w:ascii="宋体" w:hAnsi="宋体" w:cs="Times New Roman"/>
          <w:sz w:val="24"/>
          <w:szCs w:val="28"/>
          <w:highlight w:val="none"/>
          <w:lang w:val="en-US" w:eastAsia="zh-CN"/>
        </w:rPr>
        <w:t>或</w:t>
      </w:r>
      <w:r>
        <w:rPr>
          <w:rFonts w:hint="eastAsia" w:ascii="宋体" w:hAnsi="宋体" w:eastAsia="宋体" w:cs="Times New Roman"/>
          <w:sz w:val="24"/>
          <w:szCs w:val="28"/>
          <w:highlight w:val="none"/>
        </w:rPr>
        <w:t>负责人</w:t>
      </w:r>
      <w:r>
        <w:rPr>
          <w:rFonts w:ascii="宋体" w:hAnsi="宋体" w:eastAsia="宋体" w:cs="Times New Roman"/>
          <w:sz w:val="24"/>
          <w:szCs w:val="28"/>
          <w:highlight w:val="none"/>
        </w:rPr>
        <w:t>）</w:t>
      </w:r>
      <w:r>
        <w:rPr>
          <w:rFonts w:hint="eastAsia" w:ascii="宋体" w:hAnsi="宋体" w:eastAsia="宋体" w:cs="Times New Roman"/>
          <w:sz w:val="24"/>
          <w:szCs w:val="28"/>
          <w:highlight w:val="none"/>
        </w:rPr>
        <w:t>。</w:t>
      </w:r>
    </w:p>
    <w:p w14:paraId="1C9407CC">
      <w:pPr>
        <w:spacing w:line="500" w:lineRule="exact"/>
        <w:ind w:firstLine="480" w:firstLineChars="200"/>
        <w:rPr>
          <w:rFonts w:ascii="宋体" w:hAnsi="宋体" w:eastAsia="宋体" w:cs="Times New Roman"/>
          <w:sz w:val="24"/>
          <w:szCs w:val="28"/>
          <w:highlight w:val="none"/>
        </w:rPr>
      </w:pPr>
      <w:r>
        <w:rPr>
          <w:rFonts w:hint="eastAsia" w:ascii="宋体" w:hAnsi="宋体" w:eastAsia="宋体" w:cs="Times New Roman"/>
          <w:sz w:val="24"/>
          <w:szCs w:val="28"/>
          <w:highlight w:val="none"/>
        </w:rPr>
        <w:t>特此证明。</w:t>
      </w:r>
    </w:p>
    <w:p w14:paraId="7E3FDCFE">
      <w:pPr>
        <w:spacing w:line="500" w:lineRule="exact"/>
        <w:ind w:firstLine="482" w:firstLineChars="200"/>
        <w:rPr>
          <w:rFonts w:ascii="宋体" w:hAnsi="宋体" w:eastAsia="宋体" w:cs="Times New Roman"/>
          <w:b/>
          <w:sz w:val="24"/>
          <w:szCs w:val="28"/>
          <w:highlight w:val="none"/>
        </w:rPr>
      </w:pPr>
      <w:r>
        <w:rPr>
          <w:rFonts w:hint="eastAsia" w:ascii="宋体" w:hAnsi="宋体" w:eastAsia="宋体" w:cs="Times New Roman"/>
          <w:b/>
          <w:sz w:val="24"/>
          <w:szCs w:val="28"/>
          <w:highlight w:val="none"/>
        </w:rPr>
        <w:t>附：法定代表人（负责人</w:t>
      </w:r>
      <w:r>
        <w:rPr>
          <w:rFonts w:ascii="宋体" w:hAnsi="宋体" w:eastAsia="宋体" w:cs="Times New Roman"/>
          <w:b/>
          <w:sz w:val="24"/>
          <w:szCs w:val="28"/>
          <w:highlight w:val="none"/>
        </w:rPr>
        <w:t>）</w:t>
      </w:r>
      <w:r>
        <w:rPr>
          <w:rFonts w:hint="eastAsia" w:ascii="宋体" w:hAnsi="宋体" w:eastAsia="宋体" w:cs="Times New Roman"/>
          <w:b/>
          <w:sz w:val="24"/>
          <w:szCs w:val="28"/>
          <w:highlight w:val="none"/>
        </w:rPr>
        <w:t>身份证复印件加盖公章（正反面）格式如下。</w:t>
      </w:r>
    </w:p>
    <w:p w14:paraId="37000DF3">
      <w:pPr>
        <w:spacing w:line="500" w:lineRule="exact"/>
        <w:ind w:firstLine="480" w:firstLineChars="200"/>
        <w:rPr>
          <w:rFonts w:ascii="宋体" w:hAnsi="宋体" w:eastAsia="宋体" w:cs="Times New Roman"/>
          <w:sz w:val="24"/>
          <w:szCs w:val="28"/>
          <w:highlight w:val="none"/>
        </w:rPr>
      </w:pPr>
    </w:p>
    <w:p w14:paraId="31B41053">
      <w:pPr>
        <w:ind w:firstLine="784" w:firstLineChars="245"/>
        <w:rPr>
          <w:rFonts w:ascii="宋体" w:hAnsi="宋体" w:eastAsia="宋体" w:cs="Times New Roman"/>
          <w:b/>
          <w:i/>
          <w:color w:val="000000"/>
          <w:szCs w:val="21"/>
          <w:highlight w:val="none"/>
        </w:rPr>
      </w:pPr>
      <w:r>
        <w:rPr>
          <w:rFonts w:hint="eastAsia" w:ascii="仿宋_GB2312" w:eastAsia="仿宋_GB2312" w:cs="Times New Roman"/>
          <w:sz w:val="32"/>
          <w:szCs w:val="22"/>
          <w:highlight w:val="none"/>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33020</wp:posOffset>
                </wp:positionV>
                <wp:extent cx="2628900" cy="1584960"/>
                <wp:effectExtent l="4445" t="4445" r="14605" b="10795"/>
                <wp:wrapNone/>
                <wp:docPr id="17" name="圆角矩形 17"/>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a:effectLst/>
                      </wps:spPr>
                      <wps:txbx>
                        <w:txbxContent>
                          <w:p w14:paraId="72BA8332">
                            <w:pPr>
                              <w:rPr>
                                <w:rFonts w:eastAsia="宋体" w:cs="Times New Roman"/>
                                <w:szCs w:val="22"/>
                              </w:rPr>
                            </w:pPr>
                          </w:p>
                          <w:p w14:paraId="509E494C">
                            <w:pPr>
                              <w:rPr>
                                <w:rFonts w:eastAsia="宋体" w:cs="Times New Roman"/>
                                <w:szCs w:val="22"/>
                              </w:rPr>
                            </w:pPr>
                          </w:p>
                          <w:p w14:paraId="2116967D">
                            <w:pPr>
                              <w:rPr>
                                <w:rFonts w:eastAsia="宋体" w:cs="Times New Roman"/>
                                <w:szCs w:val="22"/>
                              </w:rPr>
                            </w:pPr>
                          </w:p>
                          <w:p w14:paraId="5DD5EE8E">
                            <w:pPr>
                              <w:jc w:val="center"/>
                              <w:rPr>
                                <w:rFonts w:eastAsia="宋体" w:cs="Times New Roman"/>
                                <w:b/>
                                <w:sz w:val="28"/>
                              </w:rPr>
                            </w:pPr>
                            <w:r>
                              <w:rPr>
                                <w:rFonts w:hint="eastAsia" w:eastAsia="宋体" w:cs="Times New Roman"/>
                                <w:b/>
                                <w:sz w:val="28"/>
                              </w:rPr>
                              <w:t>法</w:t>
                            </w:r>
                            <w:r>
                              <w:rPr>
                                <w:rFonts w:eastAsia="宋体" w:cs="Times New Roman"/>
                                <w:b/>
                                <w:sz w:val="28"/>
                              </w:rPr>
                              <w:t>定代表人居民身份证反面</w:t>
                            </w:r>
                          </w:p>
                          <w:p w14:paraId="57A11506">
                            <w:pPr>
                              <w:pStyle w:val="17"/>
                              <w:rPr>
                                <w:rFonts w:hint="eastAsia" w:ascii="Times New Roman" w:hAnsi="Times New Roman" w:eastAsia="宋体" w:cs="Times New Roman"/>
                                <w:b w:val="0"/>
                                <w:bCs w:val="0"/>
                                <w:kern w:val="2"/>
                                <w:sz w:val="21"/>
                                <w:szCs w:val="24"/>
                                <w:lang w:val="en-US" w:eastAsia="zh-CN" w:bidi="ar-SA"/>
                              </w:rPr>
                            </w:pP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52pt;margin-top:2.6pt;height:124.8pt;width:207pt;z-index:251660288;mso-width-relative:page;mso-height-relative:page;" filled="f" stroked="t" coordsize="21600,21600" arcsize="0.0764814814814815" o:gfxdata="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uoH9HaAAAACQEAAA8AAAAAAAAAAQAgAAAAIgAAAGRycy9kb3ducmV2LnhtbFBLAQIUABQAAAAI&#10;AIdO4kA6cyFBXQIAAIsEAAAOAAAAAAAAAAEAIAAAACkBAABkcnMvZTJvRG9jLnhtbFBLBQYAAAAA&#10;BgAGAFkBAAD4BQAAAAA=&#10;">
                <v:fill on="f" focussize="0,0"/>
                <v:stroke weight="0.25pt" color="#000000" joinstyle="round"/>
                <v:imagedata o:title=""/>
                <o:lock v:ext="edit" aspectratio="f"/>
                <v:textbox>
                  <w:txbxContent>
                    <w:p w14:paraId="72BA8332">
                      <w:pPr>
                        <w:rPr>
                          <w:rFonts w:eastAsia="宋体" w:cs="Times New Roman"/>
                          <w:szCs w:val="22"/>
                        </w:rPr>
                      </w:pPr>
                    </w:p>
                    <w:p w14:paraId="509E494C">
                      <w:pPr>
                        <w:rPr>
                          <w:rFonts w:eastAsia="宋体" w:cs="Times New Roman"/>
                          <w:szCs w:val="22"/>
                        </w:rPr>
                      </w:pPr>
                    </w:p>
                    <w:p w14:paraId="2116967D">
                      <w:pPr>
                        <w:rPr>
                          <w:rFonts w:eastAsia="宋体" w:cs="Times New Roman"/>
                          <w:szCs w:val="22"/>
                        </w:rPr>
                      </w:pPr>
                    </w:p>
                    <w:p w14:paraId="5DD5EE8E">
                      <w:pPr>
                        <w:jc w:val="center"/>
                        <w:rPr>
                          <w:rFonts w:eastAsia="宋体" w:cs="Times New Roman"/>
                          <w:b/>
                          <w:sz w:val="28"/>
                        </w:rPr>
                      </w:pPr>
                      <w:r>
                        <w:rPr>
                          <w:rFonts w:hint="eastAsia" w:eastAsia="宋体" w:cs="Times New Roman"/>
                          <w:b/>
                          <w:sz w:val="28"/>
                        </w:rPr>
                        <w:t>法</w:t>
                      </w:r>
                      <w:r>
                        <w:rPr>
                          <w:rFonts w:eastAsia="宋体" w:cs="Times New Roman"/>
                          <w:b/>
                          <w:sz w:val="28"/>
                        </w:rPr>
                        <w:t>定代表人居民身份证反面</w:t>
                      </w:r>
                    </w:p>
                    <w:p w14:paraId="57A11506">
                      <w:pPr>
                        <w:pStyle w:val="17"/>
                        <w:rPr>
                          <w:rFonts w:hint="eastAsia" w:ascii="Times New Roman" w:hAnsi="Times New Roman" w:eastAsia="宋体" w:cs="Times New Roman"/>
                          <w:b w:val="0"/>
                          <w:bCs w:val="0"/>
                          <w:kern w:val="2"/>
                          <w:sz w:val="21"/>
                          <w:szCs w:val="24"/>
                          <w:lang w:val="en-US" w:eastAsia="zh-CN" w:bidi="ar-SA"/>
                        </w:rPr>
                      </w:pPr>
                    </w:p>
                  </w:txbxContent>
                </v:textbox>
              </v:roundrect>
            </w:pict>
          </mc:Fallback>
        </mc:AlternateContent>
      </w:r>
      <w:r>
        <w:rPr>
          <w:rFonts w:hint="eastAsia" w:ascii="仿宋_GB2312" w:eastAsia="仿宋_GB2312" w:cs="Times New Roman"/>
          <w:sz w:val="32"/>
          <w:szCs w:val="22"/>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33020</wp:posOffset>
                </wp:positionV>
                <wp:extent cx="2628900" cy="1584960"/>
                <wp:effectExtent l="4445" t="4445" r="14605" b="10795"/>
                <wp:wrapNone/>
                <wp:docPr id="16" name="圆角矩形 16"/>
                <wp:cNvGraphicFramePr/>
                <a:graphic xmlns:a="http://schemas.openxmlformats.org/drawingml/2006/main">
                  <a:graphicData uri="http://schemas.microsoft.com/office/word/2010/wordprocessingShape">
                    <wps:wsp>
                      <wps:cNvSpPr>
                        <a:spLocks noChangeArrowheads="1"/>
                      </wps:cNvSpPr>
                      <wps:spPr bwMode="auto">
                        <a:xfrm>
                          <a:off x="0" y="0"/>
                          <a:ext cx="2628900" cy="1584960"/>
                        </a:xfrm>
                        <a:prstGeom prst="roundRect">
                          <a:avLst>
                            <a:gd name="adj" fmla="val 7648"/>
                          </a:avLst>
                        </a:prstGeom>
                        <a:noFill/>
                        <a:ln w="3175">
                          <a:solidFill>
                            <a:srgbClr val="000000"/>
                          </a:solidFill>
                          <a:round/>
                        </a:ln>
                        <a:effectLst/>
                      </wps:spPr>
                      <wps:txbx>
                        <w:txbxContent>
                          <w:p w14:paraId="17C40F3B">
                            <w:pPr>
                              <w:rPr>
                                <w:rFonts w:eastAsia="宋体" w:cs="Times New Roman"/>
                                <w:szCs w:val="22"/>
                              </w:rPr>
                            </w:pPr>
                          </w:p>
                          <w:p w14:paraId="5EFB24B6">
                            <w:pPr>
                              <w:rPr>
                                <w:rFonts w:eastAsia="宋体" w:cs="Times New Roman"/>
                                <w:szCs w:val="22"/>
                              </w:rPr>
                            </w:pPr>
                          </w:p>
                          <w:p w14:paraId="1A733273">
                            <w:pPr>
                              <w:rPr>
                                <w:rFonts w:eastAsia="宋体" w:cs="Times New Roman"/>
                                <w:szCs w:val="22"/>
                              </w:rPr>
                            </w:pPr>
                          </w:p>
                          <w:p w14:paraId="6CECCAC8">
                            <w:pPr>
                              <w:jc w:val="center"/>
                              <w:rPr>
                                <w:rFonts w:eastAsia="宋体" w:cs="Times New Roman"/>
                                <w:b/>
                                <w:sz w:val="28"/>
                              </w:rPr>
                            </w:pPr>
                            <w:r>
                              <w:rPr>
                                <w:rFonts w:hint="eastAsia" w:eastAsia="宋体" w:cs="Times New Roman"/>
                                <w:b/>
                                <w:sz w:val="28"/>
                              </w:rPr>
                              <w:t>法</w:t>
                            </w:r>
                            <w:r>
                              <w:rPr>
                                <w:rFonts w:eastAsia="宋体" w:cs="Times New Roman"/>
                                <w:b/>
                                <w:sz w:val="28"/>
                              </w:rPr>
                              <w:t>定代表人居民</w:t>
                            </w:r>
                            <w:r>
                              <w:rPr>
                                <w:rFonts w:hint="eastAsia" w:eastAsia="宋体" w:cs="Times New Roman"/>
                                <w:b/>
                                <w:sz w:val="28"/>
                              </w:rPr>
                              <w:t>身</w:t>
                            </w:r>
                            <w:r>
                              <w:rPr>
                                <w:rFonts w:eastAsia="宋体" w:cs="Times New Roman"/>
                                <w:b/>
                                <w:sz w:val="28"/>
                              </w:rPr>
                              <w:t>份证正面</w:t>
                            </w:r>
                          </w:p>
                          <w:p w14:paraId="21A35769">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05pt;margin-top:2.6pt;height:124.8pt;width:207pt;z-index:251659264;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Ep379kAAAAIAQAADwAAAAAAAAABACAAAAAiAAAAZHJzL2Rvd25yZXYueG1sUEsBAhQAFAAAAAgA&#10;h07iQHlFfpNdAgAAiwQAAA4AAAAAAAAAAQAgAAAAKAEAAGRycy9lMm9Eb2MueG1sUEsFBgAAAAAG&#10;AAYAWQEAAPcFAAAAAA==&#10;">
                <v:fill on="f" focussize="0,0"/>
                <v:stroke weight="0.25pt" color="#000000" joinstyle="round"/>
                <v:imagedata o:title=""/>
                <o:lock v:ext="edit" aspectratio="f"/>
                <v:textbox>
                  <w:txbxContent>
                    <w:p w14:paraId="17C40F3B">
                      <w:pPr>
                        <w:rPr>
                          <w:rFonts w:eastAsia="宋体" w:cs="Times New Roman"/>
                          <w:szCs w:val="22"/>
                        </w:rPr>
                      </w:pPr>
                    </w:p>
                    <w:p w14:paraId="5EFB24B6">
                      <w:pPr>
                        <w:rPr>
                          <w:rFonts w:eastAsia="宋体" w:cs="Times New Roman"/>
                          <w:szCs w:val="22"/>
                        </w:rPr>
                      </w:pPr>
                    </w:p>
                    <w:p w14:paraId="1A733273">
                      <w:pPr>
                        <w:rPr>
                          <w:rFonts w:eastAsia="宋体" w:cs="Times New Roman"/>
                          <w:szCs w:val="22"/>
                        </w:rPr>
                      </w:pPr>
                    </w:p>
                    <w:p w14:paraId="6CECCAC8">
                      <w:pPr>
                        <w:jc w:val="center"/>
                        <w:rPr>
                          <w:rFonts w:eastAsia="宋体" w:cs="Times New Roman"/>
                          <w:b/>
                          <w:sz w:val="28"/>
                        </w:rPr>
                      </w:pPr>
                      <w:r>
                        <w:rPr>
                          <w:rFonts w:hint="eastAsia" w:eastAsia="宋体" w:cs="Times New Roman"/>
                          <w:b/>
                          <w:sz w:val="28"/>
                        </w:rPr>
                        <w:t>法</w:t>
                      </w:r>
                      <w:r>
                        <w:rPr>
                          <w:rFonts w:eastAsia="宋体" w:cs="Times New Roman"/>
                          <w:b/>
                          <w:sz w:val="28"/>
                        </w:rPr>
                        <w:t>定代表人居民</w:t>
                      </w:r>
                      <w:r>
                        <w:rPr>
                          <w:rFonts w:hint="eastAsia" w:eastAsia="宋体" w:cs="Times New Roman"/>
                          <w:b/>
                          <w:sz w:val="28"/>
                        </w:rPr>
                        <w:t>身</w:t>
                      </w:r>
                      <w:r>
                        <w:rPr>
                          <w:rFonts w:eastAsia="宋体" w:cs="Times New Roman"/>
                          <w:b/>
                          <w:sz w:val="28"/>
                        </w:rPr>
                        <w:t>份证正面</w:t>
                      </w:r>
                    </w:p>
                    <w:p w14:paraId="21A35769">
                      <w:pPr>
                        <w:widowControl w:val="0"/>
                        <w:spacing w:after="120"/>
                        <w:ind w:left="420" w:leftChars="200" w:firstLine="420" w:firstLineChars="200"/>
                        <w:jc w:val="both"/>
                        <w:rPr>
                          <w:rFonts w:ascii="Times New Roman" w:hAnsi="Times New Roman" w:eastAsia="宋体" w:cs="Times New Roman"/>
                          <w:kern w:val="2"/>
                          <w:sz w:val="21"/>
                          <w:szCs w:val="24"/>
                          <w:lang w:val="en-US" w:eastAsia="zh-CN" w:bidi="ar-SA"/>
                        </w:rPr>
                      </w:pPr>
                    </w:p>
                  </w:txbxContent>
                </v:textbox>
              </v:roundrect>
            </w:pict>
          </mc:Fallback>
        </mc:AlternateContent>
      </w:r>
      <w:r>
        <w:rPr>
          <w:rFonts w:hint="eastAsia" w:ascii="宋体" w:hAnsi="宋体" w:eastAsia="宋体" w:cs="Times New Roman"/>
          <w:b/>
          <w:i/>
          <w:color w:val="000000"/>
          <w:szCs w:val="21"/>
          <w:highlight w:val="none"/>
        </w:rPr>
        <w:t xml:space="preserve">                           </w:t>
      </w:r>
    </w:p>
    <w:p w14:paraId="7ED2C597">
      <w:pPr>
        <w:ind w:firstLine="1068" w:firstLineChars="445"/>
        <w:rPr>
          <w:rFonts w:ascii="仿宋_GB2312" w:eastAsia="仿宋_GB2312" w:cs="Times New Roman"/>
          <w:sz w:val="24"/>
          <w:szCs w:val="22"/>
          <w:highlight w:val="none"/>
        </w:rPr>
      </w:pPr>
      <w:r>
        <w:rPr>
          <w:rFonts w:hint="eastAsia" w:ascii="仿宋_GB2312" w:eastAsia="仿宋_GB2312" w:cs="Times New Roman"/>
          <w:sz w:val="24"/>
          <w:szCs w:val="22"/>
          <w:highlight w:val="none"/>
        </w:rPr>
        <w:t xml:space="preserve"> </w:t>
      </w:r>
    </w:p>
    <w:p w14:paraId="31A0F5E3">
      <w:pPr>
        <w:ind w:firstLine="828" w:firstLineChars="345"/>
        <w:rPr>
          <w:rFonts w:ascii="仿宋_GB2312" w:eastAsia="仿宋_GB2312" w:cs="Times New Roman"/>
          <w:sz w:val="24"/>
          <w:szCs w:val="22"/>
          <w:highlight w:val="none"/>
        </w:rPr>
      </w:pPr>
    </w:p>
    <w:p w14:paraId="2726AE5B">
      <w:pPr>
        <w:ind w:firstLine="1188" w:firstLineChars="495"/>
        <w:rPr>
          <w:rFonts w:ascii="宋体" w:hAnsi="宋体" w:eastAsia="宋体" w:cs="Times New Roman"/>
          <w:b/>
          <w:sz w:val="24"/>
          <w:szCs w:val="22"/>
          <w:highlight w:val="none"/>
        </w:rPr>
      </w:pPr>
      <w:r>
        <w:rPr>
          <w:rFonts w:hint="eastAsia" w:ascii="宋体" w:hAnsi="宋体" w:eastAsia="宋体" w:cs="Times New Roman"/>
          <w:sz w:val="24"/>
          <w:szCs w:val="22"/>
          <w:highlight w:val="none"/>
        </w:rPr>
        <w:t xml:space="preserve">                            </w:t>
      </w:r>
    </w:p>
    <w:p w14:paraId="0C42B90A">
      <w:pPr>
        <w:spacing w:line="500" w:lineRule="exact"/>
        <w:ind w:firstLine="562" w:firstLineChars="200"/>
        <w:rPr>
          <w:rFonts w:ascii="宋体" w:hAnsi="宋体" w:eastAsia="宋体" w:cs="Times New Roman"/>
          <w:b/>
          <w:sz w:val="28"/>
          <w:szCs w:val="28"/>
          <w:highlight w:val="none"/>
        </w:rPr>
      </w:pPr>
    </w:p>
    <w:p w14:paraId="26717770">
      <w:pPr>
        <w:spacing w:line="500" w:lineRule="exact"/>
        <w:ind w:firstLine="560" w:firstLineChars="200"/>
        <w:jc w:val="right"/>
        <w:rPr>
          <w:rFonts w:ascii="宋体" w:hAnsi="宋体" w:eastAsia="宋体" w:cs="Times New Roman"/>
          <w:sz w:val="28"/>
          <w:szCs w:val="28"/>
          <w:highlight w:val="none"/>
        </w:rPr>
      </w:pPr>
    </w:p>
    <w:p w14:paraId="19FE459F">
      <w:pPr>
        <w:spacing w:line="500" w:lineRule="exact"/>
        <w:ind w:firstLine="560" w:firstLineChars="200"/>
        <w:jc w:val="right"/>
        <w:rPr>
          <w:rFonts w:ascii="宋体" w:hAnsi="宋体" w:eastAsia="宋体" w:cs="Times New Roman"/>
          <w:sz w:val="28"/>
          <w:szCs w:val="28"/>
          <w:highlight w:val="none"/>
        </w:rPr>
      </w:pPr>
    </w:p>
    <w:p w14:paraId="47C25758">
      <w:pPr>
        <w:wordWrap w:val="0"/>
        <w:spacing w:line="500" w:lineRule="exact"/>
        <w:ind w:right="374" w:firstLine="560" w:firstLineChars="200"/>
        <w:jc w:val="right"/>
        <w:rPr>
          <w:rFonts w:ascii="宋体" w:hAnsi="宋体" w:eastAsia="宋体" w:cs="Times New Roman"/>
          <w:sz w:val="28"/>
          <w:szCs w:val="28"/>
          <w:highlight w:val="none"/>
        </w:rPr>
      </w:pPr>
      <w:r>
        <w:rPr>
          <w:rFonts w:hint="eastAsia" w:ascii="宋体" w:hAnsi="宋体" w:eastAsia="宋体" w:cs="Times New Roman"/>
          <w:sz w:val="28"/>
          <w:szCs w:val="28"/>
          <w:highlight w:val="none"/>
        </w:rPr>
        <w:t xml:space="preserve">       </w:t>
      </w:r>
      <w:r>
        <w:rPr>
          <w:rFonts w:ascii="宋体" w:hAnsi="宋体" w:eastAsia="宋体" w:cs="Times New Roman"/>
          <w:sz w:val="28"/>
          <w:szCs w:val="28"/>
          <w:highlight w:val="none"/>
        </w:rPr>
        <w:t xml:space="preserve">      </w:t>
      </w:r>
    </w:p>
    <w:p w14:paraId="5E6F81D8">
      <w:pPr>
        <w:spacing w:line="500" w:lineRule="exact"/>
        <w:ind w:right="94" w:firstLine="560" w:firstLineChars="200"/>
        <w:jc w:val="right"/>
        <w:rPr>
          <w:rFonts w:ascii="宋体" w:hAnsi="宋体" w:eastAsia="宋体" w:cs="Times New Roman"/>
          <w:sz w:val="28"/>
          <w:szCs w:val="28"/>
          <w:highlight w:val="none"/>
        </w:rPr>
      </w:pP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lang w:val="en-US" w:eastAsia="zh-CN"/>
        </w:rPr>
        <w:t xml:space="preserve">   </w:t>
      </w:r>
      <w:r>
        <w:rPr>
          <w:rFonts w:hint="eastAsia" w:ascii="宋体" w:hAnsi="宋体" w:eastAsia="宋体" w:cs="Times New Roman"/>
          <w:sz w:val="28"/>
          <w:szCs w:val="28"/>
          <w:highlight w:val="none"/>
        </w:rPr>
        <w:t>投标人全称：</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w:t>
      </w:r>
      <w:r>
        <w:rPr>
          <w:rFonts w:hint="eastAsia"/>
          <w:sz w:val="24"/>
          <w:szCs w:val="32"/>
        </w:rPr>
        <w:t>加盖公章</w:t>
      </w:r>
      <w:r>
        <w:rPr>
          <w:rFonts w:hint="eastAsia" w:ascii="宋体" w:hAnsi="宋体" w:eastAsia="宋体" w:cs="Times New Roman"/>
          <w:sz w:val="28"/>
          <w:szCs w:val="28"/>
          <w:highlight w:val="none"/>
        </w:rPr>
        <w:t>）</w:t>
      </w:r>
    </w:p>
    <w:p w14:paraId="2D052E34">
      <w:pPr>
        <w:wordWrap w:val="0"/>
        <w:spacing w:line="500" w:lineRule="exact"/>
        <w:ind w:firstLine="560" w:firstLineChars="200"/>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 xml:space="preserve">                         </w:t>
      </w:r>
      <w:r>
        <w:rPr>
          <w:rFonts w:hint="eastAsia" w:ascii="宋体" w:hAnsi="宋体" w:eastAsia="宋体" w:cs="Times New Roman"/>
          <w:sz w:val="28"/>
          <w:szCs w:val="28"/>
          <w:highlight w:val="none"/>
        </w:rPr>
        <w:t>法定代表人：</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w:t>
      </w:r>
      <w:r>
        <w:rPr>
          <w:rFonts w:hint="eastAsia" w:ascii="宋体" w:hAnsi="宋体" w:eastAsia="宋体" w:cs="Times New Roman"/>
          <w:sz w:val="28"/>
          <w:szCs w:val="28"/>
          <w:highlight w:val="none"/>
        </w:rPr>
        <w:t>手书签名或盖名章）</w:t>
      </w:r>
    </w:p>
    <w:p w14:paraId="10B87358">
      <w:pPr>
        <w:wordWrap w:val="0"/>
        <w:spacing w:line="500" w:lineRule="exact"/>
        <w:ind w:firstLine="560" w:firstLineChars="200"/>
        <w:jc w:val="center"/>
        <w:rPr>
          <w:rFonts w:ascii="宋体" w:hAnsi="宋体" w:eastAsia="宋体" w:cs="Times New Roman"/>
          <w:sz w:val="28"/>
          <w:szCs w:val="28"/>
          <w:highlight w:val="none"/>
          <w:u w:val="single"/>
        </w:rPr>
      </w:pPr>
      <w:r>
        <w:rPr>
          <w:rFonts w:hint="eastAsia" w:ascii="宋体" w:hAnsi="宋体" w:eastAsia="宋体" w:cs="Times New Roman"/>
          <w:sz w:val="28"/>
          <w:szCs w:val="28"/>
          <w:highlight w:val="none"/>
          <w:lang w:val="en-US" w:eastAsia="zh-CN"/>
        </w:rPr>
        <w:t xml:space="preserve">                     </w:t>
      </w:r>
      <w:r>
        <w:rPr>
          <w:rFonts w:hint="eastAsia" w:ascii="宋体" w:hAnsi="宋体" w:eastAsia="宋体" w:cs="Times New Roman"/>
          <w:sz w:val="28"/>
          <w:szCs w:val="28"/>
          <w:highlight w:val="none"/>
        </w:rPr>
        <w:t>签</w:t>
      </w:r>
      <w:r>
        <w:rPr>
          <w:rFonts w:ascii="宋体" w:hAnsi="宋体" w:eastAsia="宋体" w:cs="Times New Roman"/>
          <w:sz w:val="28"/>
          <w:szCs w:val="28"/>
          <w:highlight w:val="none"/>
        </w:rPr>
        <w:t>署</w:t>
      </w:r>
      <w:r>
        <w:rPr>
          <w:rFonts w:hint="eastAsia" w:ascii="宋体" w:hAnsi="宋体" w:eastAsia="宋体" w:cs="Times New Roman"/>
          <w:sz w:val="28"/>
          <w:szCs w:val="28"/>
          <w:highlight w:val="none"/>
        </w:rPr>
        <w:t>日期：</w:t>
      </w:r>
      <w:r>
        <w:rPr>
          <w:rFonts w:hint="eastAsia" w:ascii="宋体" w:hAnsi="宋体" w:eastAsia="宋体" w:cs="Times New Roman"/>
          <w:sz w:val="28"/>
          <w:szCs w:val="28"/>
          <w:highlight w:val="none"/>
          <w:u w:val="single"/>
          <w:lang w:val="en-US" w:eastAsia="zh-CN"/>
        </w:rPr>
        <w:t xml:space="preserve">            </w:t>
      </w:r>
      <w:r>
        <w:rPr>
          <w:rFonts w:hint="eastAsia" w:ascii="宋体" w:hAnsi="宋体" w:eastAsia="宋体" w:cs="Times New Roman"/>
          <w:sz w:val="28"/>
          <w:szCs w:val="28"/>
          <w:highlight w:val="none"/>
          <w:u w:val="none"/>
        </w:rPr>
        <w:t>年</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none"/>
        </w:rPr>
        <w:t>月</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none"/>
        </w:rPr>
        <w:t>日</w:t>
      </w:r>
    </w:p>
    <w:p w14:paraId="3DB02137">
      <w:pPr>
        <w:pStyle w:val="3"/>
        <w:bidi w:val="0"/>
        <w:jc w:val="center"/>
        <w:rPr>
          <w:rFonts w:hint="eastAsia"/>
          <w:lang w:val="en-US" w:eastAsia="zh-CN"/>
        </w:rPr>
      </w:pPr>
    </w:p>
    <w:p w14:paraId="1D36C2F5">
      <w:pPr>
        <w:pStyle w:val="3"/>
        <w:bidi w:val="0"/>
        <w:jc w:val="center"/>
        <w:rPr>
          <w:rFonts w:hint="eastAsia"/>
          <w:lang w:val="en-US" w:eastAsia="zh-CN"/>
        </w:rPr>
      </w:pPr>
      <w:r>
        <w:rPr>
          <w:rFonts w:hint="eastAsia"/>
          <w:lang w:val="en-US" w:eastAsia="zh-CN"/>
        </w:rPr>
        <w:t>三、法定代表人授权书</w:t>
      </w:r>
    </w:p>
    <w:p w14:paraId="37F88B1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4"/>
          <w:szCs w:val="32"/>
        </w:rPr>
      </w:pPr>
      <w:r>
        <w:rPr>
          <w:rFonts w:hint="eastAsia"/>
          <w:sz w:val="24"/>
          <w:szCs w:val="32"/>
        </w:rPr>
        <w:t>（法定代表人投标的可不提供）</w:t>
      </w:r>
    </w:p>
    <w:p w14:paraId="0B984C71">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sz w:val="24"/>
          <w:szCs w:val="32"/>
        </w:rPr>
      </w:pPr>
    </w:p>
    <w:p w14:paraId="1ECEAD9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本授权书声明：注册于</w:t>
      </w:r>
      <w:r>
        <w:rPr>
          <w:rFonts w:hint="eastAsia"/>
          <w:sz w:val="24"/>
          <w:szCs w:val="32"/>
          <w:u w:val="single"/>
        </w:rPr>
        <w:t>（注册地点）</w:t>
      </w:r>
      <w:r>
        <w:rPr>
          <w:rFonts w:hint="eastAsia"/>
          <w:sz w:val="24"/>
          <w:szCs w:val="32"/>
        </w:rPr>
        <w:t>的</w:t>
      </w:r>
      <w:r>
        <w:rPr>
          <w:rFonts w:hint="eastAsia"/>
          <w:sz w:val="24"/>
          <w:szCs w:val="32"/>
          <w:u w:val="single"/>
        </w:rPr>
        <w:t>（投标人名称）</w:t>
      </w:r>
      <w:r>
        <w:rPr>
          <w:rFonts w:hint="eastAsia"/>
          <w:sz w:val="24"/>
          <w:szCs w:val="32"/>
        </w:rPr>
        <w:t>公司的</w:t>
      </w:r>
      <w:r>
        <w:rPr>
          <w:rFonts w:hint="eastAsia"/>
          <w:sz w:val="24"/>
          <w:szCs w:val="32"/>
          <w:u w:val="single"/>
        </w:rPr>
        <w:t>（投标人法定代表人姓名、职务）</w:t>
      </w:r>
      <w:r>
        <w:rPr>
          <w:rFonts w:hint="eastAsia"/>
          <w:sz w:val="24"/>
          <w:szCs w:val="32"/>
        </w:rPr>
        <w:t>代表本公司授权</w:t>
      </w:r>
      <w:r>
        <w:rPr>
          <w:rFonts w:hint="eastAsia"/>
          <w:sz w:val="24"/>
          <w:szCs w:val="32"/>
          <w:u w:val="single"/>
        </w:rPr>
        <w:t>（被授权人单位名称）</w:t>
      </w:r>
      <w:r>
        <w:rPr>
          <w:rFonts w:hint="eastAsia"/>
          <w:sz w:val="24"/>
          <w:szCs w:val="32"/>
        </w:rPr>
        <w:t>的</w:t>
      </w:r>
      <w:r>
        <w:rPr>
          <w:rFonts w:hint="eastAsia"/>
          <w:sz w:val="24"/>
          <w:szCs w:val="32"/>
          <w:u w:val="single"/>
          <w:lang w:eastAsia="zh-CN"/>
        </w:rPr>
        <w:t>（</w:t>
      </w:r>
      <w:r>
        <w:rPr>
          <w:rFonts w:hint="eastAsia"/>
          <w:sz w:val="24"/>
          <w:szCs w:val="32"/>
          <w:u w:val="single"/>
        </w:rPr>
        <w:t>被授权人姓名、职务</w:t>
      </w:r>
      <w:r>
        <w:rPr>
          <w:rFonts w:hint="eastAsia"/>
          <w:sz w:val="24"/>
          <w:szCs w:val="32"/>
          <w:u w:val="single"/>
          <w:lang w:eastAsia="zh-CN"/>
        </w:rPr>
        <w:t>）</w:t>
      </w:r>
      <w:r>
        <w:rPr>
          <w:rFonts w:hint="eastAsia"/>
          <w:sz w:val="24"/>
          <w:szCs w:val="32"/>
        </w:rPr>
        <w:t>为本公司的合法代理</w:t>
      </w:r>
      <w:r>
        <w:rPr>
          <w:rFonts w:hint="eastAsia"/>
          <w:color w:val="auto"/>
          <w:sz w:val="24"/>
          <w:szCs w:val="32"/>
          <w:highlight w:val="none"/>
        </w:rPr>
        <w:t>人，就</w:t>
      </w:r>
      <w:r>
        <w:rPr>
          <w:rFonts w:hint="eastAsia" w:ascii="Times New Roman" w:hAnsi="Times New Roman"/>
          <w:sz w:val="24"/>
          <w:szCs w:val="24"/>
          <w:u w:val="single"/>
          <w:lang w:val="en-US" w:eastAsia="zh-CN"/>
        </w:rPr>
        <w:t>2026年前郭县义务教育薄弱环节改善与能力提升—教学计算机采购项目</w:t>
      </w:r>
      <w:r>
        <w:rPr>
          <w:rFonts w:hint="eastAsia"/>
          <w:color w:val="auto"/>
          <w:sz w:val="24"/>
          <w:szCs w:val="32"/>
          <w:highlight w:val="none"/>
        </w:rPr>
        <w:t>（</w:t>
      </w:r>
      <w:r>
        <w:rPr>
          <w:rFonts w:hint="eastAsia"/>
          <w:color w:val="auto"/>
          <w:sz w:val="24"/>
          <w:szCs w:val="32"/>
          <w:highlight w:val="none"/>
          <w:lang w:val="en-US" w:eastAsia="zh-CN"/>
        </w:rPr>
        <w:t>项目编</w:t>
      </w:r>
      <w:r>
        <w:rPr>
          <w:rFonts w:hint="eastAsia"/>
          <w:color w:val="auto"/>
          <w:sz w:val="24"/>
          <w:szCs w:val="32"/>
          <w:highlight w:val="none"/>
        </w:rPr>
        <w:t>号</w:t>
      </w:r>
      <w:r>
        <w:rPr>
          <w:rFonts w:hint="eastAsia"/>
          <w:color w:val="auto"/>
          <w:sz w:val="24"/>
          <w:szCs w:val="32"/>
          <w:highlight w:val="none"/>
          <w:lang w:eastAsia="zh-CN"/>
        </w:rPr>
        <w:t>：</w:t>
      </w:r>
      <w:r>
        <w:rPr>
          <w:rFonts w:hint="eastAsia" w:ascii="Times New Roman" w:hAnsi="Times New Roman"/>
          <w:sz w:val="24"/>
          <w:szCs w:val="24"/>
          <w:u w:val="single"/>
          <w:lang w:val="en-US" w:eastAsia="zh-CN"/>
        </w:rPr>
        <w:t>采购计划-[2026]-00220-2026008</w:t>
      </w:r>
      <w:r>
        <w:rPr>
          <w:rFonts w:hint="eastAsia"/>
          <w:color w:val="auto"/>
          <w:sz w:val="24"/>
          <w:szCs w:val="32"/>
          <w:highlight w:val="none"/>
        </w:rPr>
        <w:t>的投标以及合同的谈判</w:t>
      </w:r>
      <w:r>
        <w:rPr>
          <w:rFonts w:hint="eastAsia"/>
          <w:sz w:val="24"/>
          <w:szCs w:val="32"/>
        </w:rPr>
        <w:t>、签约、执行、完成和保修等全权负责，以本公司名义处理一切与之有关的事务。代理人在投标、开标、评标、合同谈判和履行过程中所签署的一切文件和处理的与之有关的一切事务，我均予以承认。代理人无转委托权。</w:t>
      </w:r>
    </w:p>
    <w:p w14:paraId="22B0DB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r>
        <w:rPr>
          <w:rFonts w:hint="eastAsia"/>
          <w:sz w:val="24"/>
          <w:szCs w:val="32"/>
        </w:rPr>
        <w:t>本授权书于</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日签字生效，特此声明。</w:t>
      </w:r>
    </w:p>
    <w:p w14:paraId="5347A1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p>
    <w:p w14:paraId="2B61ABE2">
      <w:pPr>
        <w:keepNext w:val="0"/>
        <w:keepLines w:val="0"/>
        <w:pageBreakBefore w:val="0"/>
        <w:widowControl w:val="0"/>
        <w:kinsoku/>
        <w:wordWrap/>
        <w:overflowPunct/>
        <w:topLinePunct w:val="0"/>
        <w:autoSpaceDE/>
        <w:autoSpaceDN/>
        <w:bidi w:val="0"/>
        <w:adjustRightInd/>
        <w:snapToGrid/>
        <w:ind w:firstLine="5760" w:firstLineChars="2400"/>
        <w:jc w:val="both"/>
        <w:textAlignment w:val="auto"/>
        <w:rPr>
          <w:rFonts w:hint="default" w:eastAsiaTheme="minorEastAsia"/>
          <w:sz w:val="24"/>
          <w:szCs w:val="32"/>
          <w:u w:val="single"/>
          <w:lang w:val="en-US" w:eastAsia="zh-CN"/>
        </w:rPr>
      </w:pPr>
      <w:r>
        <w:rPr>
          <w:rFonts w:hint="eastAsia"/>
          <w:sz w:val="24"/>
          <w:szCs w:val="32"/>
        </w:rPr>
        <w:t>投标人名称（加盖公章）：</w:t>
      </w:r>
      <w:r>
        <w:rPr>
          <w:rFonts w:hint="eastAsia"/>
          <w:sz w:val="24"/>
          <w:szCs w:val="32"/>
          <w:lang w:val="en-US" w:eastAsia="zh-CN"/>
        </w:rPr>
        <w:t>__________</w:t>
      </w:r>
    </w:p>
    <w:p w14:paraId="37A5A9B7">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default" w:eastAsiaTheme="minorEastAsia"/>
          <w:sz w:val="24"/>
          <w:szCs w:val="32"/>
          <w:u w:val="single"/>
          <w:lang w:val="en-US" w:eastAsia="zh-CN"/>
        </w:rPr>
      </w:pPr>
      <w:r>
        <w:rPr>
          <w:rFonts w:hint="eastAsia"/>
          <w:sz w:val="24"/>
          <w:szCs w:val="32"/>
        </w:rPr>
        <w:t>授权人（法定代表人）签名：</w:t>
      </w:r>
      <w:r>
        <w:rPr>
          <w:rFonts w:hint="eastAsia"/>
          <w:sz w:val="24"/>
          <w:szCs w:val="32"/>
          <w:u w:val="none"/>
          <w:lang w:val="en-US" w:eastAsia="zh-CN"/>
        </w:rPr>
        <w:t>_______</w:t>
      </w:r>
    </w:p>
    <w:p w14:paraId="0C07E9DD">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default" w:eastAsiaTheme="minorEastAsia"/>
          <w:sz w:val="24"/>
          <w:szCs w:val="32"/>
          <w:lang w:val="en-US" w:eastAsia="zh-CN"/>
        </w:rPr>
      </w:pPr>
      <w:r>
        <w:rPr>
          <w:rFonts w:hint="eastAsia"/>
          <w:sz w:val="24"/>
          <w:szCs w:val="32"/>
        </w:rPr>
        <w:t>被授权人（代理人）签名：</w:t>
      </w:r>
      <w:r>
        <w:rPr>
          <w:rFonts w:hint="eastAsia"/>
          <w:sz w:val="24"/>
          <w:szCs w:val="32"/>
          <w:lang w:val="en-US" w:eastAsia="zh-CN"/>
        </w:rPr>
        <w:t xml:space="preserve">_________ </w:t>
      </w:r>
    </w:p>
    <w:p w14:paraId="1AB00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32"/>
        </w:rPr>
      </w:pPr>
    </w:p>
    <w:p w14:paraId="46606D89">
      <w:pPr>
        <w:bidi w:val="0"/>
        <w:rPr>
          <w:rFonts w:hint="eastAsia"/>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6CB3828C">
      <w:pPr>
        <w:pStyle w:val="3"/>
        <w:bidi w:val="0"/>
        <w:jc w:val="center"/>
        <w:rPr>
          <w:rFonts w:hint="eastAsia"/>
          <w:lang w:val="en-US" w:eastAsia="zh-CN"/>
        </w:rPr>
      </w:pPr>
      <w:r>
        <w:rPr>
          <w:rFonts w:hint="eastAsia"/>
          <w:lang w:val="en-US" w:eastAsia="zh-CN"/>
        </w:rPr>
        <w:t>四、投标人资格资信证明</w:t>
      </w:r>
    </w:p>
    <w:p w14:paraId="48A327D3">
      <w:pPr>
        <w:pStyle w:val="7"/>
        <w:bidi w:val="0"/>
        <w:jc w:val="center"/>
        <w:rPr>
          <w:rFonts w:hint="eastAsia" w:ascii="Arial" w:hAnsi="Arial" w:eastAsia="黑体" w:cstheme="minorBidi"/>
          <w:b w:val="0"/>
          <w:bCs/>
          <w:kern w:val="2"/>
          <w:sz w:val="24"/>
          <w:szCs w:val="24"/>
          <w:lang w:val="en-US" w:eastAsia="zh-CN" w:bidi="ar-SA"/>
        </w:rPr>
      </w:pPr>
      <w:r>
        <w:rPr>
          <w:rFonts w:hint="eastAsia" w:cstheme="minorBidi"/>
          <w:b w:val="0"/>
          <w:bCs/>
          <w:kern w:val="2"/>
          <w:sz w:val="24"/>
          <w:szCs w:val="24"/>
          <w:lang w:val="en-US" w:eastAsia="zh-CN" w:bidi="ar-SA"/>
        </w:rPr>
        <w:t>（一）</w:t>
      </w:r>
      <w:r>
        <w:rPr>
          <w:rFonts w:hint="eastAsia" w:ascii="Arial" w:hAnsi="Arial" w:eastAsia="黑体" w:cstheme="minorBidi"/>
          <w:b w:val="0"/>
          <w:bCs/>
          <w:kern w:val="2"/>
          <w:sz w:val="24"/>
          <w:szCs w:val="24"/>
          <w:lang w:val="en-US" w:eastAsia="zh-CN" w:bidi="ar-SA"/>
        </w:rPr>
        <w:t>投标人基本情况和资格声明</w:t>
      </w:r>
    </w:p>
    <w:p w14:paraId="047CF3D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1、供应商基本情况(文字描述：企业性质、发展历程、经营规模、服务理念、主营产品、技术力量等。图片描述：经营场所、主要产品、生产场所、工艺流程等。）</w:t>
      </w:r>
    </w:p>
    <w:p w14:paraId="271E816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2、供应商资格声明</w:t>
      </w:r>
      <w:r>
        <w:rPr>
          <w:rFonts w:hint="eastAsia" w:ascii="宋体" w:hAnsi="宋体" w:cs="Times New Roman"/>
          <w:sz w:val="24"/>
          <w:highlight w:val="none"/>
          <w:lang w:val="en-US" w:eastAsia="zh-CN"/>
        </w:rPr>
        <w:t>书</w:t>
      </w:r>
    </w:p>
    <w:p w14:paraId="46242A8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highlight w:val="none"/>
          <w:lang w:val="en-US" w:eastAsia="zh-CN"/>
        </w:rPr>
      </w:pPr>
      <w:r>
        <w:rPr>
          <w:rFonts w:hint="eastAsia" w:ascii="宋体" w:hAnsi="宋体"/>
          <w:sz w:val="24"/>
          <w:highlight w:val="none"/>
          <w:lang w:val="en-US" w:eastAsia="zh-CN"/>
        </w:rPr>
        <w:t xml:space="preserve">致前郭县政府采购中心： </w:t>
      </w:r>
    </w:p>
    <w:p w14:paraId="097416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按照《中华人民共和国政府采购法实施条例》第 17 条和你中心发布的</w:t>
      </w:r>
      <w:r>
        <w:rPr>
          <w:rFonts w:hint="eastAsia" w:ascii="宋体" w:hAnsi="宋体" w:eastAsia="宋体" w:cs="Times New Roman"/>
          <w:sz w:val="24"/>
          <w:u w:val="single"/>
          <w:lang w:val="en-US" w:eastAsia="zh-CN"/>
        </w:rPr>
        <w:t>（项目名称）</w:t>
      </w:r>
      <w:r>
        <w:rPr>
          <w:rFonts w:hint="eastAsia" w:ascii="宋体" w:hAnsi="宋体" w:eastAsia="宋体" w:cs="Times New Roman"/>
          <w:sz w:val="24"/>
          <w:lang w:val="en-US" w:eastAsia="zh-CN"/>
        </w:rPr>
        <w:t xml:space="preserve"> 的编号为</w:t>
      </w:r>
      <w:r>
        <w:rPr>
          <w:rFonts w:hint="eastAsia" w:ascii="宋体" w:hAnsi="宋体" w:eastAsia="宋体" w:cs="Times New Roman"/>
          <w:sz w:val="24"/>
          <w:u w:val="single"/>
          <w:lang w:val="en-US" w:eastAsia="zh-CN"/>
        </w:rPr>
        <w:t>（项目编号）</w:t>
      </w:r>
      <w:r>
        <w:rPr>
          <w:rFonts w:hint="eastAsia" w:ascii="宋体" w:hAnsi="宋体" w:eastAsia="宋体" w:cs="Times New Roman"/>
          <w:sz w:val="24"/>
          <w:lang w:val="en-US" w:eastAsia="zh-CN"/>
        </w:rPr>
        <w:t xml:space="preserve">招标文件的规定，我公司郑重声明如下： </w:t>
      </w:r>
    </w:p>
    <w:p w14:paraId="244F60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sz w:val="24"/>
          <w:lang w:val="en-US" w:eastAsia="zh-CN"/>
        </w:rPr>
      </w:pPr>
      <w:r>
        <w:rPr>
          <w:rFonts w:hint="eastAsia" w:ascii="宋体" w:hAnsi="宋体"/>
          <w:sz w:val="24"/>
          <w:lang w:val="en-US" w:eastAsia="zh-CN"/>
        </w:rPr>
        <w:t>（1）我公司是按照中华人民共和国法律在工商管理机关登记注册的企业法人，注册地点为</w:t>
      </w:r>
      <w:r>
        <w:rPr>
          <w:rFonts w:hint="eastAsia" w:ascii="宋体" w:hAnsi="宋体"/>
          <w:sz w:val="24"/>
          <w:u w:val="single"/>
          <w:lang w:val="en-US" w:eastAsia="zh-CN"/>
        </w:rPr>
        <w:t xml:space="preserve">      </w:t>
      </w:r>
      <w:r>
        <w:rPr>
          <w:rFonts w:hint="eastAsia" w:ascii="宋体" w:hAnsi="宋体"/>
          <w:sz w:val="24"/>
          <w:lang w:val="en-US" w:eastAsia="zh-CN"/>
        </w:rPr>
        <w:t>，公司全称为</w:t>
      </w:r>
      <w:r>
        <w:rPr>
          <w:rFonts w:hint="eastAsia" w:ascii="宋体" w:hAnsi="宋体"/>
          <w:sz w:val="24"/>
          <w:u w:val="single"/>
          <w:lang w:val="en-US" w:eastAsia="zh-CN"/>
        </w:rPr>
        <w:t xml:space="preserve">                 </w:t>
      </w:r>
      <w:r>
        <w:rPr>
          <w:rFonts w:hint="eastAsia" w:ascii="宋体" w:hAnsi="宋体"/>
          <w:sz w:val="24"/>
          <w:lang w:val="en-US" w:eastAsia="zh-CN"/>
        </w:rPr>
        <w:t>，法定代表人为</w:t>
      </w:r>
      <w:r>
        <w:rPr>
          <w:rFonts w:hint="eastAsia" w:ascii="宋体" w:hAnsi="宋体"/>
          <w:sz w:val="24"/>
          <w:u w:val="single"/>
          <w:lang w:val="en-US" w:eastAsia="zh-CN"/>
        </w:rPr>
        <w:t xml:space="preserve">          </w:t>
      </w:r>
      <w:r>
        <w:rPr>
          <w:rFonts w:hint="eastAsia" w:ascii="宋体" w:hAnsi="宋体"/>
          <w:sz w:val="24"/>
          <w:lang w:val="en-US" w:eastAsia="zh-CN"/>
        </w:rPr>
        <w:t>，</w:t>
      </w:r>
      <w:r>
        <w:rPr>
          <w:rFonts w:hint="eastAsia"/>
          <w:sz w:val="24"/>
          <w:szCs w:val="24"/>
        </w:rPr>
        <w:t>具有独立承担民事责任的能力。</w:t>
      </w:r>
      <w:r>
        <w:rPr>
          <w:rFonts w:hint="eastAsia" w:ascii="宋体" w:hAnsi="宋体"/>
          <w:sz w:val="24"/>
          <w:lang w:val="en-US" w:eastAsia="zh-CN"/>
        </w:rPr>
        <w:t xml:space="preserve"> </w:t>
      </w:r>
    </w:p>
    <w:p w14:paraId="7C5AFC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（2）我公司具有良好的商业信誉和健全的财务会计制度。 </w:t>
      </w:r>
    </w:p>
    <w:p w14:paraId="07B788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（3）我公司具有履行本项目采购合同所必需的设备和专业技术能力。 </w:t>
      </w:r>
    </w:p>
    <w:p w14:paraId="264E02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（4）我公司具有依法缴纳税收和社会保障资金的良好记录。 </w:t>
      </w:r>
    </w:p>
    <w:p w14:paraId="3DE0E44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（5）我公司在参与本次政府采购活动之前三年内，在经营活动中无重大违法记录。 </w:t>
      </w:r>
    </w:p>
    <w:p w14:paraId="0D8DC5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（6）我公司在参与本次政府采购活动时未受到任何地方政府采购部门作出的暂停参加政府采购活动的处罚。 </w:t>
      </w:r>
    </w:p>
    <w:p w14:paraId="1A0D42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我公司保证上述声明的事项都是真实的，如有虚假，我公司承担相应的法律责任，并承担因此给你中心以及本项目采购人所造成的损失。 </w:t>
      </w:r>
    </w:p>
    <w:p w14:paraId="7E7B462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 xml:space="preserve">我公司已经按照你中心招标文件的要求提交了所要求提交的能够证明上述声明事项真实性的全部文件材料，并保证随时按照你中心的要求提供能够证明上述声明事项真实性的任何有效文件。 </w:t>
      </w:r>
    </w:p>
    <w:p w14:paraId="448826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lang w:val="en-US" w:eastAsia="zh-CN"/>
        </w:rPr>
      </w:pPr>
    </w:p>
    <w:p w14:paraId="780A2381">
      <w:pPr>
        <w:pStyle w:val="19"/>
        <w:rPr>
          <w:rFonts w:hint="eastAsia"/>
          <w:lang w:val="en-US" w:eastAsia="zh-CN"/>
        </w:rPr>
      </w:pPr>
    </w:p>
    <w:p w14:paraId="4793D1B0">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hint="eastAsia" w:ascii="宋体" w:hAnsi="宋体"/>
          <w:sz w:val="24"/>
          <w:lang w:val="en-US" w:eastAsia="zh-CN"/>
        </w:rPr>
      </w:pPr>
    </w:p>
    <w:p w14:paraId="6AE62E6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sz w:val="24"/>
          <w:lang w:val="en-US" w:eastAsia="zh-CN"/>
        </w:rPr>
      </w:pPr>
      <w:r>
        <w:rPr>
          <w:rFonts w:hint="eastAsia" w:ascii="宋体" w:hAnsi="宋体"/>
          <w:sz w:val="24"/>
          <w:lang w:val="en-US" w:eastAsia="zh-CN"/>
        </w:rPr>
        <w:t>投标人全称并加盖单位公章：</w:t>
      </w:r>
    </w:p>
    <w:p w14:paraId="1F1E7C2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sz w:val="24"/>
          <w:lang w:val="en-US" w:eastAsia="zh-CN"/>
        </w:rPr>
      </w:pPr>
      <w:r>
        <w:rPr>
          <w:rFonts w:hint="eastAsia" w:ascii="宋体" w:hAnsi="宋体"/>
          <w:sz w:val="24"/>
          <w:lang w:val="en-US" w:eastAsia="zh-CN"/>
        </w:rPr>
        <w:t>日期：   年   月  日</w:t>
      </w:r>
    </w:p>
    <w:p w14:paraId="048F3FFB">
      <w:pPr>
        <w:pStyle w:val="25"/>
        <w:rPr>
          <w:rFonts w:hint="eastAsia"/>
          <w:lang w:eastAsia="zh-CN"/>
        </w:rPr>
      </w:pPr>
    </w:p>
    <w:p w14:paraId="34D93833">
      <w:pPr>
        <w:ind w:firstLine="562" w:firstLineChars="200"/>
        <w:jc w:val="center"/>
        <w:rPr>
          <w:rFonts w:hint="eastAsia" w:ascii="宋体" w:hAnsi="宋体"/>
          <w:b/>
          <w:bCs/>
          <w:sz w:val="28"/>
          <w:szCs w:val="28"/>
        </w:rPr>
      </w:pPr>
      <w:r>
        <w:rPr>
          <w:rFonts w:hint="eastAsia" w:ascii="宋体" w:hAnsi="宋体"/>
          <w:b/>
          <w:bCs/>
          <w:sz w:val="28"/>
          <w:szCs w:val="28"/>
          <w:lang w:eastAsia="zh-CN"/>
        </w:rPr>
        <w:t>（</w:t>
      </w:r>
      <w:r>
        <w:rPr>
          <w:rFonts w:hint="eastAsia" w:ascii="宋体" w:hAnsi="宋体"/>
          <w:b/>
          <w:bCs/>
          <w:sz w:val="28"/>
          <w:szCs w:val="28"/>
          <w:lang w:val="en-US" w:eastAsia="zh-CN"/>
        </w:rPr>
        <w:t>二</w:t>
      </w:r>
      <w:r>
        <w:rPr>
          <w:rFonts w:hint="eastAsia" w:ascii="宋体" w:hAnsi="宋体"/>
          <w:b/>
          <w:bCs/>
          <w:sz w:val="28"/>
          <w:szCs w:val="28"/>
          <w:lang w:eastAsia="zh-CN"/>
        </w:rPr>
        <w:t>）</w:t>
      </w:r>
      <w:r>
        <w:rPr>
          <w:rFonts w:hint="eastAsia" w:ascii="宋体" w:hAnsi="宋体"/>
          <w:b/>
          <w:bCs/>
          <w:sz w:val="28"/>
          <w:szCs w:val="28"/>
        </w:rPr>
        <w:t>资格证明文件</w:t>
      </w:r>
    </w:p>
    <w:p w14:paraId="28B5FF6B">
      <w:pPr>
        <w:bidi w:val="0"/>
        <w:ind w:firstLine="480" w:firstLineChars="200"/>
        <w:rPr>
          <w:rFonts w:hint="eastAsia"/>
          <w:highlight w:val="none"/>
          <w:lang w:val="zh-CN"/>
        </w:rPr>
      </w:pPr>
      <w:r>
        <w:rPr>
          <w:rFonts w:hint="eastAsia" w:ascii="宋体" w:hAnsi="宋体" w:eastAsia="宋体" w:cs="宋体"/>
          <w:sz w:val="24"/>
          <w:szCs w:val="24"/>
          <w:highlight w:val="none"/>
          <w:lang w:val="en-US" w:eastAsia="zh-CN"/>
        </w:rPr>
        <w:t>详见</w:t>
      </w:r>
      <w:r>
        <w:rPr>
          <w:rFonts w:hint="eastAsia" w:ascii="宋体" w:hAnsi="宋体" w:eastAsia="宋体" w:cs="宋体"/>
          <w:sz w:val="24"/>
          <w:szCs w:val="24"/>
          <w:highlight w:val="none"/>
          <w:lang w:val="zh-CN"/>
        </w:rPr>
        <w:t>“第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val="zh-CN"/>
        </w:rPr>
        <w:t>章 评标办法</w:t>
      </w:r>
      <w:r>
        <w:rPr>
          <w:rFonts w:hint="eastAsia" w:ascii="宋体" w:hAnsi="宋体" w:eastAsia="宋体" w:cs="宋体"/>
          <w:sz w:val="24"/>
          <w:szCs w:val="24"/>
          <w:highlight w:val="none"/>
          <w:lang w:val="en-US" w:eastAsia="zh-CN"/>
        </w:rPr>
        <w:t xml:space="preserve"> 二、</w:t>
      </w:r>
      <w:r>
        <w:rPr>
          <w:rFonts w:hint="eastAsia" w:ascii="宋体" w:hAnsi="宋体" w:eastAsia="宋体" w:cs="宋体"/>
          <w:sz w:val="24"/>
          <w:szCs w:val="24"/>
          <w:highlight w:val="none"/>
          <w:lang w:val="zh-CN"/>
        </w:rPr>
        <w:t>评审细则</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zh-CN"/>
        </w:rPr>
        <w:t>资格及符合性评审</w:t>
      </w:r>
      <w:r>
        <w:rPr>
          <w:rFonts w:hint="eastAsia" w:ascii="宋体" w:hAnsi="宋体" w:eastAsia="宋体" w:cs="宋体"/>
          <w:sz w:val="24"/>
          <w:szCs w:val="24"/>
          <w:highlight w:val="none"/>
          <w:lang w:val="zh-CN" w:eastAsia="zh-CN"/>
        </w:rPr>
        <w:t>（初步评审）”</w:t>
      </w:r>
    </w:p>
    <w:p w14:paraId="19615E3B">
      <w:pPr>
        <w:pStyle w:val="25"/>
        <w:rPr>
          <w:rFonts w:hint="eastAsia"/>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3DEE3F7D">
      <w:pPr>
        <w:pStyle w:val="25"/>
        <w:rPr>
          <w:rFonts w:hint="eastAsia"/>
          <w:lang w:eastAsia="zh-CN"/>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2052EB4B">
      <w:pPr>
        <w:pStyle w:val="3"/>
        <w:bidi w:val="0"/>
        <w:jc w:val="center"/>
        <w:rPr>
          <w:rFonts w:hint="eastAsia"/>
          <w:lang w:val="en-US" w:eastAsia="zh-CN"/>
        </w:rPr>
      </w:pPr>
      <w:r>
        <w:rPr>
          <w:rFonts w:hint="eastAsia"/>
          <w:lang w:val="en-US" w:eastAsia="zh-CN"/>
        </w:rPr>
        <w:t>五、开标一览表</w:t>
      </w:r>
    </w:p>
    <w:tbl>
      <w:tblPr>
        <w:tblStyle w:val="20"/>
        <w:tblW w:w="14520"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0"/>
      </w:tblGrid>
      <w:tr w14:paraId="6246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14520" w:type="dxa"/>
            <w:noWrap w:val="0"/>
            <w:vAlign w:val="center"/>
          </w:tcPr>
          <w:p w14:paraId="1CDDE87D">
            <w:pPr>
              <w:jc w:val="center"/>
              <w:rPr>
                <w:rFonts w:hint="eastAsia" w:ascii="新宋体" w:hAnsi="新宋体" w:eastAsia="新宋体"/>
                <w:color w:val="000000"/>
                <w:sz w:val="28"/>
                <w:szCs w:val="28"/>
                <w:highlight w:val="none"/>
              </w:rPr>
            </w:pPr>
            <w:r>
              <w:rPr>
                <w:rFonts w:hint="eastAsia" w:ascii="新宋体" w:hAnsi="新宋体" w:eastAsia="新宋体"/>
                <w:color w:val="000000"/>
                <w:sz w:val="28"/>
                <w:szCs w:val="28"/>
                <w:highlight w:val="none"/>
              </w:rPr>
              <w:t>按照本项目</w:t>
            </w:r>
            <w:r>
              <w:rPr>
                <w:rFonts w:hint="eastAsia" w:ascii="新宋体" w:hAnsi="新宋体" w:eastAsia="新宋体"/>
                <w:color w:val="000000"/>
                <w:sz w:val="28"/>
                <w:szCs w:val="28"/>
                <w:highlight w:val="none"/>
                <w:lang w:val="en-US" w:eastAsia="zh-CN"/>
              </w:rPr>
              <w:t>政采云</w:t>
            </w:r>
            <w:r>
              <w:rPr>
                <w:rFonts w:hint="eastAsia" w:ascii="新宋体" w:hAnsi="新宋体" w:eastAsia="新宋体"/>
                <w:color w:val="000000"/>
                <w:sz w:val="28"/>
                <w:szCs w:val="28"/>
                <w:highlight w:val="none"/>
              </w:rPr>
              <w:t>系统中所规</w:t>
            </w:r>
            <w:r>
              <w:rPr>
                <w:rFonts w:hint="eastAsia" w:ascii="新宋体" w:hAnsi="新宋体" w:eastAsia="新宋体"/>
                <w:color w:val="000000"/>
                <w:sz w:val="28"/>
                <w:szCs w:val="28"/>
                <w:highlight w:val="none"/>
                <w:lang w:eastAsia="zh-CN"/>
              </w:rPr>
              <w:t>定的</w:t>
            </w:r>
            <w:r>
              <w:rPr>
                <w:rFonts w:hint="eastAsia" w:ascii="新宋体" w:hAnsi="新宋体" w:eastAsia="新宋体"/>
                <w:color w:val="000000"/>
                <w:sz w:val="28"/>
                <w:szCs w:val="28"/>
                <w:highlight w:val="none"/>
              </w:rPr>
              <w:t>格式及要求进行填写</w:t>
            </w:r>
          </w:p>
        </w:tc>
      </w:tr>
    </w:tbl>
    <w:p w14:paraId="0019F81B">
      <w:pPr>
        <w:pStyle w:val="19"/>
        <w:rPr>
          <w:rFonts w:hint="eastAsia"/>
        </w:rPr>
      </w:pPr>
    </w:p>
    <w:p w14:paraId="2A0CDC7D">
      <w:pPr>
        <w:rPr>
          <w:rFonts w:hint="eastAsia"/>
        </w:rPr>
      </w:pPr>
    </w:p>
    <w:p w14:paraId="399758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1、投标报价包括完成本次</w:t>
      </w:r>
      <w:r>
        <w:rPr>
          <w:rFonts w:hint="eastAsia"/>
          <w:lang w:val="en-US" w:eastAsia="zh-CN"/>
        </w:rPr>
        <w:t>项目</w:t>
      </w:r>
      <w:r>
        <w:rPr>
          <w:rFonts w:hint="eastAsia"/>
        </w:rPr>
        <w:t>所需全部费用。</w:t>
      </w:r>
    </w:p>
    <w:p w14:paraId="28BF66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2、开标一览表中须填报所投报各包的投标报价的总价，无需填报每包中所涉及的具体单项价格。</w:t>
      </w:r>
    </w:p>
    <w:p w14:paraId="34A5ED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3、开标一览表</w:t>
      </w:r>
      <w:r>
        <w:rPr>
          <w:rFonts w:hint="eastAsia"/>
          <w:lang w:eastAsia="zh-CN"/>
        </w:rPr>
        <w:t>中的</w:t>
      </w:r>
      <w:r>
        <w:rPr>
          <w:rFonts w:hint="eastAsia"/>
        </w:rPr>
        <w:t>投标总价须与投标文件中投标报价明细表的投标总价保持一致，如出现不同，以开标一览表</w:t>
      </w:r>
      <w:r>
        <w:rPr>
          <w:rFonts w:hint="eastAsia"/>
          <w:lang w:eastAsia="zh-CN"/>
        </w:rPr>
        <w:t>中的</w:t>
      </w:r>
      <w:r>
        <w:rPr>
          <w:rFonts w:hint="eastAsia"/>
        </w:rPr>
        <w:t>价格为准。</w:t>
      </w:r>
    </w:p>
    <w:p w14:paraId="45C87822">
      <w:pPr>
        <w:pStyle w:val="25"/>
        <w:ind w:left="0" w:leftChars="0" w:firstLine="0" w:firstLineChars="0"/>
        <w:rPr>
          <w:rFonts w:hint="default"/>
          <w:lang w:val="en-US" w:eastAsia="zh-CN"/>
        </w:rPr>
        <w:sectPr>
          <w:headerReference r:id="rId17" w:type="default"/>
          <w:footerReference r:id="rId18" w:type="default"/>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460" w:charSpace="0"/>
        </w:sectPr>
      </w:pPr>
    </w:p>
    <w:p w14:paraId="41B5559F">
      <w:pPr>
        <w:pStyle w:val="3"/>
        <w:bidi w:val="0"/>
        <w:jc w:val="center"/>
        <w:rPr>
          <w:rFonts w:hint="default"/>
          <w:lang w:val="en-US" w:eastAsia="zh-CN"/>
        </w:rPr>
      </w:pPr>
      <w:r>
        <w:rPr>
          <w:rFonts w:hint="eastAsia"/>
          <w:lang w:val="en-US" w:eastAsia="zh-CN"/>
        </w:rPr>
        <w:t>六、投标报价明细表</w:t>
      </w:r>
    </w:p>
    <w:p w14:paraId="2C077F37">
      <w:pPr>
        <w:pStyle w:val="3"/>
        <w:numPr>
          <w:ilvl w:val="0"/>
          <w:numId w:val="0"/>
        </w:numPr>
        <w:bidi w:val="0"/>
        <w:jc w:val="both"/>
        <w:rPr>
          <w:rFonts w:hint="eastAsia" w:ascii="Times New Roman" w:hAnsi="Times New Roman"/>
          <w:b w:val="0"/>
          <w:bCs w:val="0"/>
          <w:sz w:val="24"/>
          <w:szCs w:val="24"/>
          <w:lang w:val="en-US" w:eastAsia="zh-CN"/>
        </w:rPr>
      </w:pPr>
      <w:bookmarkStart w:id="29" w:name="_Toc10278"/>
      <w:r>
        <w:rPr>
          <w:rFonts w:hint="eastAsia"/>
          <w:sz w:val="24"/>
          <w:szCs w:val="24"/>
        </w:rPr>
        <w:t>项目名称</w:t>
      </w:r>
      <w:r>
        <w:rPr>
          <w:rFonts w:hint="eastAsia"/>
          <w:b w:val="0"/>
          <w:bCs w:val="0"/>
          <w:sz w:val="24"/>
          <w:szCs w:val="24"/>
        </w:rPr>
        <w:t>：</w:t>
      </w:r>
      <w:r>
        <w:rPr>
          <w:rFonts w:hint="eastAsia" w:ascii="Times New Roman" w:hAnsi="Times New Roman"/>
          <w:sz w:val="24"/>
          <w:szCs w:val="24"/>
          <w:lang w:val="en-US" w:eastAsia="zh-CN"/>
        </w:rPr>
        <w:t>2026年前郭县义务教育薄弱环节改善与能力提升—教学计算机采购项目</w:t>
      </w:r>
    </w:p>
    <w:tbl>
      <w:tblPr>
        <w:tblStyle w:val="21"/>
        <w:tblpPr w:leftFromText="180" w:rightFromText="180" w:vertAnchor="text" w:horzAnchor="page" w:tblpX="1336" w:tblpY="4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705"/>
        <w:gridCol w:w="515"/>
        <w:gridCol w:w="554"/>
        <w:gridCol w:w="3226"/>
        <w:gridCol w:w="3120"/>
        <w:gridCol w:w="960"/>
        <w:gridCol w:w="1149"/>
        <w:gridCol w:w="846"/>
        <w:gridCol w:w="823"/>
        <w:gridCol w:w="994"/>
        <w:gridCol w:w="693"/>
      </w:tblGrid>
      <w:tr w14:paraId="5450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48EFF1A">
            <w:pPr>
              <w:jc w:val="both"/>
              <w:rPr>
                <w:rFonts w:hint="default"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序号</w:t>
            </w:r>
          </w:p>
        </w:tc>
        <w:tc>
          <w:tcPr>
            <w:tcW w:w="705" w:type="dxa"/>
          </w:tcPr>
          <w:p w14:paraId="34AA29D2">
            <w:pPr>
              <w:jc w:val="both"/>
              <w:rPr>
                <w:rFonts w:hint="eastAsia"/>
                <w:b/>
                <w:bCs/>
                <w:sz w:val="24"/>
                <w:szCs w:val="32"/>
                <w:vertAlign w:val="baseline"/>
                <w:lang w:val="en-US" w:eastAsia="zh-CN"/>
              </w:rPr>
            </w:pPr>
            <w:r>
              <w:rPr>
                <w:rFonts w:hint="eastAsia" w:asciiTheme="minorHAnsi" w:eastAsiaTheme="minorEastAsia"/>
                <w:b/>
                <w:bCs/>
                <w:sz w:val="24"/>
                <w:szCs w:val="32"/>
                <w:vertAlign w:val="baseline"/>
                <w:lang w:val="en-US" w:eastAsia="zh-CN"/>
              </w:rPr>
              <w:t>货物</w:t>
            </w:r>
          </w:p>
          <w:p w14:paraId="580D01E0">
            <w:pPr>
              <w:jc w:val="both"/>
              <w:rPr>
                <w:rFonts w:hint="eastAsia"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名称</w:t>
            </w:r>
          </w:p>
        </w:tc>
        <w:tc>
          <w:tcPr>
            <w:tcW w:w="515" w:type="dxa"/>
          </w:tcPr>
          <w:p w14:paraId="21E10D7B">
            <w:pPr>
              <w:jc w:val="both"/>
              <w:rPr>
                <w:rFonts w:hint="eastAsia"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品牌</w:t>
            </w:r>
          </w:p>
        </w:tc>
        <w:tc>
          <w:tcPr>
            <w:tcW w:w="554" w:type="dxa"/>
          </w:tcPr>
          <w:p w14:paraId="72BEFA45">
            <w:pPr>
              <w:jc w:val="both"/>
              <w:rPr>
                <w:rFonts w:hint="eastAsia"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型号</w:t>
            </w:r>
          </w:p>
        </w:tc>
        <w:tc>
          <w:tcPr>
            <w:tcW w:w="3226" w:type="dxa"/>
            <w:vAlign w:val="center"/>
          </w:tcPr>
          <w:p w14:paraId="32775BEB">
            <w:pPr>
              <w:jc w:val="center"/>
              <w:rPr>
                <w:rFonts w:hint="eastAsia"/>
                <w:b/>
                <w:bCs/>
                <w:sz w:val="24"/>
                <w:szCs w:val="32"/>
                <w:vertAlign w:val="baseline"/>
              </w:rPr>
            </w:pPr>
            <w:r>
              <w:rPr>
                <w:rFonts w:hint="eastAsia"/>
                <w:b/>
                <w:bCs/>
                <w:sz w:val="24"/>
                <w:szCs w:val="32"/>
                <w:vertAlign w:val="baseline"/>
              </w:rPr>
              <w:t>主要功能配置及技术指标要求</w:t>
            </w:r>
          </w:p>
        </w:tc>
        <w:tc>
          <w:tcPr>
            <w:tcW w:w="3120" w:type="dxa"/>
            <w:vAlign w:val="center"/>
          </w:tcPr>
          <w:p w14:paraId="4F68C4D8">
            <w:pPr>
              <w:jc w:val="center"/>
              <w:rPr>
                <w:rFonts w:hint="default" w:eastAsiaTheme="minorEastAsia"/>
                <w:b/>
                <w:bCs/>
                <w:sz w:val="24"/>
                <w:szCs w:val="32"/>
                <w:highlight w:val="yellow"/>
                <w:vertAlign w:val="baseline"/>
                <w:lang w:val="en-US" w:eastAsia="zh-CN"/>
              </w:rPr>
            </w:pPr>
            <w:r>
              <w:rPr>
                <w:rFonts w:hint="eastAsia" w:asciiTheme="minorHAnsi" w:eastAsiaTheme="minorEastAsia"/>
                <w:b/>
                <w:bCs/>
                <w:sz w:val="24"/>
                <w:szCs w:val="32"/>
                <w:highlight w:val="none"/>
                <w:vertAlign w:val="baseline"/>
                <w:lang w:val="en-US" w:eastAsia="zh-CN"/>
              </w:rPr>
              <w:t>功能配置和技术参数偏离情况</w:t>
            </w:r>
          </w:p>
        </w:tc>
        <w:tc>
          <w:tcPr>
            <w:tcW w:w="960" w:type="dxa"/>
          </w:tcPr>
          <w:p w14:paraId="0A9FF3F3">
            <w:pPr>
              <w:jc w:val="both"/>
              <w:rPr>
                <w:rFonts w:hint="eastAsia"/>
                <w:b/>
                <w:bCs/>
                <w:sz w:val="24"/>
                <w:szCs w:val="32"/>
                <w:vertAlign w:val="baseline"/>
              </w:rPr>
            </w:pPr>
            <w:r>
              <w:rPr>
                <w:rFonts w:hint="eastAsia"/>
                <w:b/>
                <w:bCs/>
                <w:sz w:val="24"/>
                <w:szCs w:val="32"/>
                <w:vertAlign w:val="baseline"/>
              </w:rPr>
              <w:t>原产地及制造厂商</w:t>
            </w:r>
          </w:p>
        </w:tc>
        <w:tc>
          <w:tcPr>
            <w:tcW w:w="1149" w:type="dxa"/>
          </w:tcPr>
          <w:p w14:paraId="4DF5157E">
            <w:pPr>
              <w:jc w:val="center"/>
              <w:rPr>
                <w:rFonts w:hint="eastAsia"/>
                <w:b/>
                <w:bCs/>
                <w:sz w:val="24"/>
                <w:szCs w:val="32"/>
                <w:vertAlign w:val="baseline"/>
                <w:lang w:val="en-US" w:eastAsia="zh-CN"/>
              </w:rPr>
            </w:pPr>
            <w:r>
              <w:rPr>
                <w:rFonts w:hint="eastAsia" w:asciiTheme="minorHAnsi" w:eastAsiaTheme="minorEastAsia"/>
                <w:b/>
                <w:bCs/>
                <w:sz w:val="24"/>
                <w:szCs w:val="32"/>
                <w:vertAlign w:val="baseline"/>
                <w:lang w:val="en-US" w:eastAsia="zh-CN"/>
              </w:rPr>
              <w:t>数量</w:t>
            </w:r>
          </w:p>
          <w:p w14:paraId="4BA5792E">
            <w:pPr>
              <w:jc w:val="both"/>
              <w:rPr>
                <w:rFonts w:hint="eastAsia"/>
                <w:b/>
                <w:bCs/>
                <w:sz w:val="24"/>
                <w:szCs w:val="32"/>
                <w:lang w:val="en-US" w:eastAsia="zh-CN"/>
              </w:rPr>
            </w:pPr>
            <w:r>
              <w:rPr>
                <w:rFonts w:hint="eastAsia" w:asciiTheme="minorHAnsi" w:eastAsiaTheme="minorEastAsia"/>
                <w:b/>
                <w:bCs/>
                <w:sz w:val="24"/>
                <w:szCs w:val="32"/>
                <w:vertAlign w:val="baseline"/>
                <w:lang w:val="en-US" w:eastAsia="zh-CN"/>
              </w:rPr>
              <w:t>（单位）</w:t>
            </w:r>
          </w:p>
        </w:tc>
        <w:tc>
          <w:tcPr>
            <w:tcW w:w="846" w:type="dxa"/>
          </w:tcPr>
          <w:p w14:paraId="7F469466">
            <w:pPr>
              <w:jc w:val="both"/>
              <w:rPr>
                <w:rFonts w:hint="default"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单价（元）</w:t>
            </w:r>
          </w:p>
        </w:tc>
        <w:tc>
          <w:tcPr>
            <w:tcW w:w="823" w:type="dxa"/>
          </w:tcPr>
          <w:p w14:paraId="70EC72C8">
            <w:pPr>
              <w:jc w:val="both"/>
              <w:rPr>
                <w:rFonts w:hint="eastAsia"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合计（元）</w:t>
            </w:r>
          </w:p>
        </w:tc>
        <w:tc>
          <w:tcPr>
            <w:tcW w:w="994" w:type="dxa"/>
          </w:tcPr>
          <w:p w14:paraId="519C3BD8">
            <w:pPr>
              <w:jc w:val="both"/>
              <w:rPr>
                <w:rFonts w:hint="eastAsia"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质保期</w:t>
            </w:r>
          </w:p>
        </w:tc>
        <w:tc>
          <w:tcPr>
            <w:tcW w:w="693" w:type="dxa"/>
          </w:tcPr>
          <w:p w14:paraId="3FB4550B">
            <w:pPr>
              <w:jc w:val="both"/>
              <w:rPr>
                <w:rFonts w:hint="eastAsia" w:eastAsiaTheme="minorEastAsia"/>
                <w:b/>
                <w:bCs/>
                <w:sz w:val="24"/>
                <w:szCs w:val="32"/>
                <w:vertAlign w:val="baseline"/>
                <w:lang w:val="en-US" w:eastAsia="zh-CN"/>
              </w:rPr>
            </w:pPr>
            <w:r>
              <w:rPr>
                <w:rFonts w:hint="eastAsia" w:asciiTheme="minorHAnsi" w:eastAsiaTheme="minorEastAsia"/>
                <w:b/>
                <w:bCs/>
                <w:sz w:val="24"/>
                <w:szCs w:val="32"/>
                <w:vertAlign w:val="baseline"/>
                <w:lang w:val="en-US" w:eastAsia="zh-CN"/>
              </w:rPr>
              <w:t>备注</w:t>
            </w:r>
          </w:p>
        </w:tc>
      </w:tr>
      <w:tr w14:paraId="41CA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5" w:type="dxa"/>
          </w:tcPr>
          <w:p w14:paraId="2083438F">
            <w:pPr>
              <w:rPr>
                <w:rFonts w:hint="eastAsia"/>
                <w:vertAlign w:val="baseline"/>
              </w:rPr>
            </w:pPr>
          </w:p>
        </w:tc>
        <w:tc>
          <w:tcPr>
            <w:tcW w:w="705" w:type="dxa"/>
          </w:tcPr>
          <w:p w14:paraId="65555982">
            <w:pPr>
              <w:rPr>
                <w:rFonts w:hint="eastAsia"/>
                <w:vertAlign w:val="baseline"/>
              </w:rPr>
            </w:pPr>
          </w:p>
        </w:tc>
        <w:tc>
          <w:tcPr>
            <w:tcW w:w="515" w:type="dxa"/>
          </w:tcPr>
          <w:p w14:paraId="34D3E5F5">
            <w:pPr>
              <w:rPr>
                <w:rFonts w:hint="eastAsia"/>
                <w:vertAlign w:val="baseline"/>
              </w:rPr>
            </w:pPr>
          </w:p>
        </w:tc>
        <w:tc>
          <w:tcPr>
            <w:tcW w:w="554" w:type="dxa"/>
          </w:tcPr>
          <w:p w14:paraId="208C5C76">
            <w:pPr>
              <w:rPr>
                <w:rFonts w:hint="eastAsia"/>
                <w:vertAlign w:val="baseline"/>
              </w:rPr>
            </w:pPr>
          </w:p>
        </w:tc>
        <w:tc>
          <w:tcPr>
            <w:tcW w:w="3226" w:type="dxa"/>
          </w:tcPr>
          <w:p w14:paraId="4B851E88">
            <w:pPr>
              <w:rPr>
                <w:rFonts w:hint="eastAsia"/>
                <w:vertAlign w:val="baseline"/>
              </w:rPr>
            </w:pPr>
          </w:p>
        </w:tc>
        <w:tc>
          <w:tcPr>
            <w:tcW w:w="3120" w:type="dxa"/>
          </w:tcPr>
          <w:p w14:paraId="40B41BEF">
            <w:pPr>
              <w:rPr>
                <w:rFonts w:hint="eastAsia"/>
                <w:vertAlign w:val="baseline"/>
              </w:rPr>
            </w:pPr>
          </w:p>
        </w:tc>
        <w:tc>
          <w:tcPr>
            <w:tcW w:w="960" w:type="dxa"/>
          </w:tcPr>
          <w:p w14:paraId="1314756F">
            <w:pPr>
              <w:rPr>
                <w:rFonts w:hint="eastAsia"/>
                <w:vertAlign w:val="baseline"/>
              </w:rPr>
            </w:pPr>
          </w:p>
        </w:tc>
        <w:tc>
          <w:tcPr>
            <w:tcW w:w="1149" w:type="dxa"/>
          </w:tcPr>
          <w:p w14:paraId="134BF1CF">
            <w:pPr>
              <w:rPr>
                <w:rFonts w:hint="eastAsia"/>
                <w:vertAlign w:val="baseline"/>
              </w:rPr>
            </w:pPr>
          </w:p>
        </w:tc>
        <w:tc>
          <w:tcPr>
            <w:tcW w:w="846" w:type="dxa"/>
          </w:tcPr>
          <w:p w14:paraId="41A644A5">
            <w:pPr>
              <w:rPr>
                <w:rFonts w:hint="eastAsia"/>
                <w:vertAlign w:val="baseline"/>
              </w:rPr>
            </w:pPr>
          </w:p>
        </w:tc>
        <w:tc>
          <w:tcPr>
            <w:tcW w:w="823" w:type="dxa"/>
          </w:tcPr>
          <w:p w14:paraId="3848D602">
            <w:pPr>
              <w:rPr>
                <w:rFonts w:hint="eastAsia"/>
                <w:vertAlign w:val="baseline"/>
              </w:rPr>
            </w:pPr>
          </w:p>
        </w:tc>
        <w:tc>
          <w:tcPr>
            <w:tcW w:w="994" w:type="dxa"/>
          </w:tcPr>
          <w:p w14:paraId="7D7933E3">
            <w:pPr>
              <w:rPr>
                <w:rFonts w:hint="eastAsia"/>
                <w:vertAlign w:val="baseline"/>
              </w:rPr>
            </w:pPr>
          </w:p>
        </w:tc>
        <w:tc>
          <w:tcPr>
            <w:tcW w:w="693" w:type="dxa"/>
          </w:tcPr>
          <w:p w14:paraId="62B3A642">
            <w:pPr>
              <w:rPr>
                <w:rFonts w:hint="eastAsia"/>
                <w:vertAlign w:val="baseline"/>
              </w:rPr>
            </w:pPr>
          </w:p>
        </w:tc>
      </w:tr>
      <w:tr w14:paraId="4277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5" w:type="dxa"/>
          </w:tcPr>
          <w:p w14:paraId="765EA3B7">
            <w:pPr>
              <w:rPr>
                <w:rFonts w:hint="eastAsia"/>
                <w:vertAlign w:val="baseline"/>
              </w:rPr>
            </w:pPr>
          </w:p>
        </w:tc>
        <w:tc>
          <w:tcPr>
            <w:tcW w:w="705" w:type="dxa"/>
          </w:tcPr>
          <w:p w14:paraId="53C98B74">
            <w:pPr>
              <w:rPr>
                <w:rFonts w:hint="eastAsia"/>
                <w:vertAlign w:val="baseline"/>
              </w:rPr>
            </w:pPr>
          </w:p>
        </w:tc>
        <w:tc>
          <w:tcPr>
            <w:tcW w:w="515" w:type="dxa"/>
          </w:tcPr>
          <w:p w14:paraId="379D66A9">
            <w:pPr>
              <w:rPr>
                <w:rFonts w:hint="eastAsia"/>
                <w:vertAlign w:val="baseline"/>
              </w:rPr>
            </w:pPr>
          </w:p>
        </w:tc>
        <w:tc>
          <w:tcPr>
            <w:tcW w:w="554" w:type="dxa"/>
          </w:tcPr>
          <w:p w14:paraId="080E6171">
            <w:pPr>
              <w:rPr>
                <w:rFonts w:hint="eastAsia"/>
                <w:vertAlign w:val="baseline"/>
              </w:rPr>
            </w:pPr>
          </w:p>
        </w:tc>
        <w:tc>
          <w:tcPr>
            <w:tcW w:w="3226" w:type="dxa"/>
          </w:tcPr>
          <w:p w14:paraId="114BB9DA">
            <w:pPr>
              <w:rPr>
                <w:rFonts w:hint="eastAsia"/>
                <w:vertAlign w:val="baseline"/>
              </w:rPr>
            </w:pPr>
          </w:p>
        </w:tc>
        <w:tc>
          <w:tcPr>
            <w:tcW w:w="3120" w:type="dxa"/>
          </w:tcPr>
          <w:p w14:paraId="19FF88EA">
            <w:pPr>
              <w:rPr>
                <w:rFonts w:hint="eastAsia"/>
                <w:vertAlign w:val="baseline"/>
              </w:rPr>
            </w:pPr>
          </w:p>
        </w:tc>
        <w:tc>
          <w:tcPr>
            <w:tcW w:w="960" w:type="dxa"/>
          </w:tcPr>
          <w:p w14:paraId="409BC68F">
            <w:pPr>
              <w:rPr>
                <w:rFonts w:hint="eastAsia"/>
                <w:vertAlign w:val="baseline"/>
              </w:rPr>
            </w:pPr>
          </w:p>
        </w:tc>
        <w:tc>
          <w:tcPr>
            <w:tcW w:w="1149" w:type="dxa"/>
          </w:tcPr>
          <w:p w14:paraId="2D93F1BE">
            <w:pPr>
              <w:rPr>
                <w:rFonts w:hint="eastAsia"/>
                <w:vertAlign w:val="baseline"/>
              </w:rPr>
            </w:pPr>
          </w:p>
        </w:tc>
        <w:tc>
          <w:tcPr>
            <w:tcW w:w="846" w:type="dxa"/>
          </w:tcPr>
          <w:p w14:paraId="5089D400">
            <w:pPr>
              <w:rPr>
                <w:rFonts w:hint="eastAsia"/>
                <w:vertAlign w:val="baseline"/>
              </w:rPr>
            </w:pPr>
          </w:p>
        </w:tc>
        <w:tc>
          <w:tcPr>
            <w:tcW w:w="823" w:type="dxa"/>
          </w:tcPr>
          <w:p w14:paraId="513FCD5F">
            <w:pPr>
              <w:rPr>
                <w:rFonts w:hint="eastAsia"/>
                <w:vertAlign w:val="baseline"/>
              </w:rPr>
            </w:pPr>
          </w:p>
        </w:tc>
        <w:tc>
          <w:tcPr>
            <w:tcW w:w="994" w:type="dxa"/>
          </w:tcPr>
          <w:p w14:paraId="690AE365">
            <w:pPr>
              <w:rPr>
                <w:rFonts w:hint="eastAsia"/>
                <w:vertAlign w:val="baseline"/>
              </w:rPr>
            </w:pPr>
          </w:p>
        </w:tc>
        <w:tc>
          <w:tcPr>
            <w:tcW w:w="693" w:type="dxa"/>
          </w:tcPr>
          <w:p w14:paraId="6370A228">
            <w:pPr>
              <w:rPr>
                <w:rFonts w:hint="eastAsia"/>
                <w:vertAlign w:val="baseline"/>
              </w:rPr>
            </w:pPr>
          </w:p>
        </w:tc>
      </w:tr>
      <w:tr w14:paraId="6F16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755" w:type="dxa"/>
            <w:gridSpan w:val="3"/>
            <w:vAlign w:val="center"/>
          </w:tcPr>
          <w:p w14:paraId="5FC4C681">
            <w:pPr>
              <w:jc w:val="center"/>
              <w:rPr>
                <w:rFonts w:hint="eastAsia"/>
                <w:sz w:val="24"/>
                <w:szCs w:val="24"/>
                <w:vertAlign w:val="baseline"/>
              </w:rPr>
            </w:pPr>
            <w:r>
              <w:rPr>
                <w:b/>
                <w:bCs/>
                <w:spacing w:val="12"/>
                <w:sz w:val="24"/>
                <w:szCs w:val="24"/>
              </w:rPr>
              <w:t>投标总</w:t>
            </w:r>
            <w:r>
              <w:rPr>
                <w:b/>
                <w:bCs/>
                <w:spacing w:val="-3"/>
                <w:sz w:val="24"/>
                <w:szCs w:val="24"/>
              </w:rPr>
              <w:t>价</w:t>
            </w:r>
          </w:p>
        </w:tc>
        <w:tc>
          <w:tcPr>
            <w:tcW w:w="12365" w:type="dxa"/>
            <w:gridSpan w:val="9"/>
            <w:vAlign w:val="center"/>
          </w:tcPr>
          <w:p w14:paraId="03B4DDD5">
            <w:pPr>
              <w:jc w:val="both"/>
              <w:rPr>
                <w:rFonts w:hint="eastAsia"/>
                <w:sz w:val="24"/>
                <w:szCs w:val="24"/>
                <w:vertAlign w:val="baseline"/>
              </w:rPr>
            </w:pPr>
            <w:r>
              <w:rPr>
                <w:b/>
                <w:bCs/>
                <w:spacing w:val="-7"/>
                <w:sz w:val="24"/>
                <w:szCs w:val="24"/>
                <w:shd w:val="clear" w:fill="FFFFFE"/>
              </w:rPr>
              <w:t>人民币（大写</w:t>
            </w:r>
            <w:r>
              <w:rPr>
                <w:b/>
                <w:bCs/>
                <w:spacing w:val="-59"/>
                <w:sz w:val="24"/>
                <w:szCs w:val="24"/>
                <w:shd w:val="clear" w:fill="FFFFFE"/>
              </w:rPr>
              <w:t>）：</w:t>
            </w:r>
            <w:r>
              <w:rPr>
                <w:spacing w:val="2"/>
                <w:sz w:val="24"/>
                <w:szCs w:val="24"/>
                <w:shd w:val="clear" w:fill="FFFFFE"/>
              </w:rPr>
              <w:t xml:space="preserve">                      </w:t>
            </w:r>
            <w:r>
              <w:rPr>
                <w:rFonts w:hint="eastAsia" w:asciiTheme="minorHAnsi" w:eastAsiaTheme="minorEastAsia"/>
                <w:spacing w:val="2"/>
                <w:sz w:val="24"/>
                <w:szCs w:val="24"/>
                <w:shd w:val="clear" w:fill="FFFFFE"/>
                <w:lang w:val="en-US" w:eastAsia="zh-CN"/>
              </w:rPr>
              <w:t xml:space="preserve">             </w:t>
            </w:r>
            <w:r>
              <w:rPr>
                <w:spacing w:val="1"/>
                <w:sz w:val="24"/>
                <w:szCs w:val="24"/>
                <w:shd w:val="clear" w:fill="FFFFFE"/>
              </w:rPr>
              <w:t xml:space="preserve">    </w:t>
            </w:r>
            <w:r>
              <w:rPr>
                <w:b/>
                <w:bCs/>
                <w:spacing w:val="-7"/>
                <w:sz w:val="24"/>
                <w:szCs w:val="24"/>
                <w:shd w:val="clear" w:fill="FFFFFE"/>
              </w:rPr>
              <w:t>小写：</w:t>
            </w:r>
          </w:p>
        </w:tc>
      </w:tr>
    </w:tbl>
    <w:p w14:paraId="2F4E69A8">
      <w:pPr>
        <w:bidi w:val="0"/>
        <w:rPr>
          <w:rFonts w:hint="eastAsia"/>
          <w:sz w:val="24"/>
          <w:szCs w:val="24"/>
        </w:rPr>
      </w:pPr>
    </w:p>
    <w:p w14:paraId="6C3F9B05">
      <w:pPr>
        <w:rPr>
          <w:rFonts w:hint="eastAsia"/>
          <w:sz w:val="24"/>
          <w:szCs w:val="24"/>
        </w:rPr>
      </w:pPr>
    </w:p>
    <w:p w14:paraId="152313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val="0"/>
          <w:sz w:val="24"/>
          <w:szCs w:val="24"/>
          <w:highlight w:val="none"/>
          <w:lang w:val="en-US"/>
        </w:rPr>
      </w:pPr>
      <w:r>
        <w:rPr>
          <w:rFonts w:hint="eastAsia" w:ascii="宋体" w:hAnsi="宋体" w:eastAsia="宋体" w:cs="宋体"/>
          <w:b w:val="0"/>
          <w:bCs w:val="0"/>
          <w:sz w:val="24"/>
          <w:szCs w:val="24"/>
          <w:highlight w:val="none"/>
          <w:lang w:val="en-US" w:eastAsia="zh-CN"/>
        </w:rPr>
        <w:t>注：</w:t>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投标人必须按“</w:t>
      </w:r>
      <w:r>
        <w:rPr>
          <w:rFonts w:hint="eastAsia" w:ascii="宋体" w:hAnsi="宋体" w:cs="宋体"/>
          <w:b w:val="0"/>
          <w:bCs w:val="0"/>
          <w:sz w:val="24"/>
          <w:szCs w:val="24"/>
          <w:highlight w:val="none"/>
          <w:lang w:eastAsia="zh-CN"/>
        </w:rPr>
        <w:t>投标报价明细表</w:t>
      </w:r>
      <w:r>
        <w:rPr>
          <w:rFonts w:hint="eastAsia" w:ascii="宋体" w:hAnsi="宋体" w:eastAsia="宋体" w:cs="宋体"/>
          <w:b w:val="0"/>
          <w:bCs w:val="0"/>
          <w:sz w:val="24"/>
          <w:szCs w:val="24"/>
          <w:highlight w:val="none"/>
        </w:rPr>
        <w:t>”的格式详细报出投标总价的各个组成部分的报价，</w:t>
      </w:r>
      <w:r>
        <w:rPr>
          <w:rFonts w:hint="eastAsia" w:ascii="宋体" w:hAnsi="宋体" w:cs="宋体"/>
          <w:b w:val="0"/>
          <w:bCs w:val="0"/>
          <w:sz w:val="24"/>
          <w:szCs w:val="24"/>
          <w:highlight w:val="none"/>
          <w:lang w:val="en-US" w:eastAsia="zh-CN"/>
        </w:rPr>
        <w:t>与完成本项有关的各种费用均应包含在总报价中，数量单位必须写明。</w:t>
      </w:r>
    </w:p>
    <w:p w14:paraId="2771F7C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eastAsia="zh-CN"/>
        </w:rPr>
        <w:t>“投标报价明细表”各分项报价合计应当与“</w:t>
      </w:r>
      <w:r>
        <w:rPr>
          <w:rFonts w:hint="eastAsia" w:ascii="宋体" w:hAnsi="宋体" w:cs="宋体"/>
          <w:b w:val="0"/>
          <w:bCs w:val="0"/>
          <w:sz w:val="24"/>
          <w:szCs w:val="24"/>
          <w:highlight w:val="none"/>
          <w:lang w:val="en-US" w:eastAsia="zh-CN"/>
        </w:rPr>
        <w:t>开标一览表</w:t>
      </w:r>
      <w:r>
        <w:rPr>
          <w:rFonts w:hint="eastAsia" w:ascii="宋体" w:hAnsi="宋体" w:cs="宋体"/>
          <w:b w:val="0"/>
          <w:bCs w:val="0"/>
          <w:sz w:val="24"/>
          <w:szCs w:val="24"/>
          <w:highlight w:val="none"/>
          <w:lang w:eastAsia="zh-CN"/>
        </w:rPr>
        <w:t>”投标总报价相等。</w:t>
      </w:r>
    </w:p>
    <w:p w14:paraId="276444D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cs="宋体"/>
          <w:b w:val="0"/>
          <w:bCs w:val="0"/>
          <w:sz w:val="24"/>
          <w:szCs w:val="24"/>
          <w:highlight w:val="none"/>
          <w:lang w:eastAsia="zh-CN"/>
        </w:rPr>
      </w:pPr>
      <w:r>
        <w:rPr>
          <w:rFonts w:hint="eastAsia" w:ascii="宋体" w:hAnsi="宋体" w:cs="宋体"/>
          <w:b w:val="0"/>
          <w:bCs w:val="0"/>
          <w:kern w:val="2"/>
          <w:sz w:val="24"/>
          <w:szCs w:val="24"/>
          <w:lang w:val="en-US" w:eastAsia="zh-CN" w:bidi="ar-SA"/>
        </w:rPr>
        <w:t>3.</w:t>
      </w:r>
      <w:r>
        <w:rPr>
          <w:rFonts w:hint="eastAsia" w:ascii="宋体" w:hAnsi="宋体" w:cs="宋体"/>
          <w:b w:val="0"/>
          <w:bCs w:val="0"/>
          <w:sz w:val="24"/>
          <w:szCs w:val="24"/>
          <w:highlight w:val="none"/>
          <w:lang w:val="en-US" w:eastAsia="zh-CN"/>
        </w:rPr>
        <w:t xml:space="preserve">所有投标货物均应标明品牌型号、详细功能配置、主要技术参数、功能配置及技术指标偏离情况、原产地及制造厂商等，凡未按要求填写的，均按无效投标处理。 </w:t>
      </w:r>
    </w:p>
    <w:p w14:paraId="7DECDC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投标人必须按此表格式中的对应栏目内容填写，若需增加栏目，请在栏目“</w:t>
      </w:r>
      <w:r>
        <w:rPr>
          <w:rFonts w:hint="eastAsia" w:ascii="宋体" w:hAnsi="宋体" w:eastAsia="宋体" w:cs="宋体"/>
          <w:b w:val="0"/>
          <w:bCs w:val="0"/>
          <w:sz w:val="24"/>
          <w:szCs w:val="24"/>
          <w:highlight w:val="none"/>
          <w:lang w:eastAsia="zh-CN"/>
        </w:rPr>
        <w:t>备注</w:t>
      </w:r>
      <w:r>
        <w:rPr>
          <w:rFonts w:hint="eastAsia" w:ascii="宋体" w:hAnsi="宋体" w:eastAsia="宋体" w:cs="宋体"/>
          <w:b w:val="0"/>
          <w:bCs w:val="0"/>
          <w:sz w:val="24"/>
          <w:szCs w:val="24"/>
          <w:highlight w:val="none"/>
        </w:rPr>
        <w:t>”中填写，并</w:t>
      </w:r>
      <w:r>
        <w:rPr>
          <w:rFonts w:hint="eastAsia" w:ascii="宋体" w:hAnsi="宋体" w:eastAsia="宋体" w:cs="宋体"/>
          <w:b w:val="0"/>
          <w:bCs w:val="0"/>
          <w:sz w:val="24"/>
          <w:szCs w:val="24"/>
          <w:highlight w:val="none"/>
          <w:lang w:eastAsia="zh-CN"/>
        </w:rPr>
        <w:t>做</w:t>
      </w:r>
      <w:r>
        <w:rPr>
          <w:rFonts w:hint="eastAsia" w:ascii="宋体" w:hAnsi="宋体" w:eastAsia="宋体" w:cs="宋体"/>
          <w:b w:val="0"/>
          <w:bCs w:val="0"/>
          <w:sz w:val="24"/>
          <w:szCs w:val="24"/>
          <w:highlight w:val="none"/>
        </w:rPr>
        <w:t>详细说明</w:t>
      </w:r>
      <w:r>
        <w:rPr>
          <w:rFonts w:hint="eastAsia" w:ascii="宋体" w:hAnsi="宋体" w:eastAsia="宋体" w:cs="宋体"/>
          <w:b w:val="0"/>
          <w:bCs w:val="0"/>
          <w:sz w:val="24"/>
          <w:szCs w:val="24"/>
          <w:highlight w:val="none"/>
          <w:lang w:eastAsia="zh-CN"/>
        </w:rPr>
        <w:t>。</w:t>
      </w:r>
    </w:p>
    <w:p w14:paraId="02A0C368">
      <w:pPr>
        <w:pStyle w:val="19"/>
        <w:rPr>
          <w:rFonts w:hint="eastAsia"/>
          <w:lang w:val="en-US" w:eastAsia="zh-CN"/>
        </w:rPr>
      </w:pPr>
    </w:p>
    <w:p w14:paraId="7BCD7B3F">
      <w:pPr>
        <w:spacing w:line="500" w:lineRule="exact"/>
        <w:ind w:firstLine="5880" w:firstLineChars="2100"/>
        <w:jc w:val="right"/>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投标人名称（加盖投标人公章）：</w:t>
      </w:r>
    </w:p>
    <w:p w14:paraId="6866713E">
      <w:pPr>
        <w:spacing w:line="500" w:lineRule="exact"/>
        <w:ind w:firstLine="5880" w:firstLineChars="2100"/>
        <w:jc w:val="right"/>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法定代表人或授权代理人（盖章或签字）：</w:t>
      </w:r>
    </w:p>
    <w:p w14:paraId="7B070DE6">
      <w:pPr>
        <w:spacing w:line="500" w:lineRule="exact"/>
        <w:ind w:firstLine="5880" w:firstLineChars="2100"/>
        <w:jc w:val="right"/>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日期：          年     月   日</w:t>
      </w:r>
    </w:p>
    <w:p w14:paraId="753B05D4">
      <w:pPr>
        <w:spacing w:line="500" w:lineRule="exact"/>
        <w:ind w:firstLine="4410" w:firstLineChars="2100"/>
        <w:jc w:val="right"/>
        <w:rPr>
          <w:rFonts w:ascii="宋体" w:hAnsi="宋体"/>
          <w:szCs w:val="21"/>
          <w:highlight w:val="none"/>
          <w:u w:val="single"/>
        </w:rPr>
        <w:sectPr>
          <w:pgSz w:w="16838" w:h="11906" w:orient="landscape"/>
          <w:pgMar w:top="1440" w:right="1080" w:bottom="1440" w:left="1080" w:header="851" w:footer="567" w:gutter="0"/>
          <w:pgBorders>
            <w:top w:val="none" w:sz="0" w:space="0"/>
            <w:left w:val="none" w:sz="0" w:space="0"/>
            <w:bottom w:val="none" w:sz="0" w:space="0"/>
            <w:right w:val="none" w:sz="0" w:space="0"/>
          </w:pgBorders>
          <w:pgNumType w:fmt="decimal"/>
          <w:cols w:space="720" w:num="1"/>
          <w:docGrid w:linePitch="312" w:charSpace="0"/>
        </w:sectPr>
      </w:pPr>
    </w:p>
    <w:p w14:paraId="055056A9">
      <w:pPr>
        <w:pageBreakBefore w:val="0"/>
        <w:kinsoku/>
        <w:overflowPunct/>
        <w:topLinePunct w:val="0"/>
        <w:bidi w:val="0"/>
        <w:spacing w:line="360" w:lineRule="auto"/>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七、类似项目业绩一览表</w:t>
      </w:r>
    </w:p>
    <w:p w14:paraId="6D625CAE">
      <w:pPr>
        <w:pageBreakBefore w:val="0"/>
        <w:kinsoku/>
        <w:overflowPunct/>
        <w:topLinePunct w:val="0"/>
        <w:autoSpaceDE w:val="0"/>
        <w:autoSpaceDN w:val="0"/>
        <w:bidi w:val="0"/>
        <w:adjustRightInd w:val="0"/>
        <w:spacing w:before="156" w:beforeLines="50" w:after="156" w:afterLines="50" w:line="360" w:lineRule="auto"/>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（如有</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需</w:t>
      </w:r>
      <w:r>
        <w:rPr>
          <w:rFonts w:hint="eastAsia" w:ascii="宋体" w:hAnsi="宋体" w:eastAsia="宋体" w:cs="宋体"/>
          <w:color w:val="auto"/>
          <w:kern w:val="0"/>
          <w:sz w:val="24"/>
        </w:rPr>
        <w:t>提供）</w:t>
      </w:r>
    </w:p>
    <w:p w14:paraId="54EA8BCC">
      <w:pPr>
        <w:pageBreakBefore w:val="0"/>
        <w:kinsoku/>
        <w:overflowPunct/>
        <w:topLinePunct w:val="0"/>
        <w:autoSpaceDE w:val="0"/>
        <w:autoSpaceDN w:val="0"/>
        <w:bidi w:val="0"/>
        <w:adjustRightInd w:val="0"/>
        <w:spacing w:before="156" w:beforeLines="50" w:after="156" w:afterLines="50"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33040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350FE62A">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1344" w:type="dxa"/>
            <w:noWrap w:val="0"/>
            <w:vAlign w:val="center"/>
          </w:tcPr>
          <w:p w14:paraId="59019CC3">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项目单位</w:t>
            </w:r>
          </w:p>
        </w:tc>
        <w:tc>
          <w:tcPr>
            <w:tcW w:w="2039" w:type="dxa"/>
            <w:noWrap w:val="0"/>
            <w:vAlign w:val="center"/>
          </w:tcPr>
          <w:p w14:paraId="23F9016A">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项目名称</w:t>
            </w:r>
          </w:p>
        </w:tc>
        <w:tc>
          <w:tcPr>
            <w:tcW w:w="878" w:type="dxa"/>
            <w:noWrap w:val="0"/>
            <w:vAlign w:val="center"/>
          </w:tcPr>
          <w:p w14:paraId="1E04F5BC">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合同总价</w:t>
            </w:r>
          </w:p>
        </w:tc>
        <w:tc>
          <w:tcPr>
            <w:tcW w:w="1370" w:type="dxa"/>
            <w:noWrap w:val="0"/>
            <w:vAlign w:val="center"/>
          </w:tcPr>
          <w:p w14:paraId="73F032CB">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项目起止时间</w:t>
            </w:r>
          </w:p>
        </w:tc>
        <w:tc>
          <w:tcPr>
            <w:tcW w:w="2190" w:type="dxa"/>
            <w:noWrap w:val="0"/>
            <w:vAlign w:val="center"/>
          </w:tcPr>
          <w:p w14:paraId="56F507D7">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项目单位</w:t>
            </w:r>
            <w:r>
              <w:rPr>
                <w:rFonts w:hint="eastAsia" w:ascii="宋体" w:hAnsi="宋体" w:eastAsia="宋体" w:cs="宋体"/>
                <w:color w:val="auto"/>
                <w:sz w:val="21"/>
                <w:szCs w:val="21"/>
              </w:rPr>
              <w:t xml:space="preserve">      </w:t>
            </w:r>
          </w:p>
          <w:p w14:paraId="7764F96B">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联系人电话</w:t>
            </w:r>
          </w:p>
        </w:tc>
        <w:tc>
          <w:tcPr>
            <w:tcW w:w="1011" w:type="dxa"/>
            <w:noWrap w:val="0"/>
            <w:vAlign w:val="center"/>
          </w:tcPr>
          <w:p w14:paraId="1B136544">
            <w:pPr>
              <w:pageBreakBefore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tc>
      </w:tr>
      <w:tr w14:paraId="7A112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35B62BC2">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44" w:type="dxa"/>
            <w:noWrap w:val="0"/>
            <w:vAlign w:val="center"/>
          </w:tcPr>
          <w:p w14:paraId="071B2888">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p>
        </w:tc>
        <w:tc>
          <w:tcPr>
            <w:tcW w:w="2039" w:type="dxa"/>
            <w:noWrap w:val="0"/>
            <w:vAlign w:val="top"/>
          </w:tcPr>
          <w:p w14:paraId="0BE381D3">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205DC563">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294CA198">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6B3A5965">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03FE91F2">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1BE26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761A246">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44" w:type="dxa"/>
            <w:noWrap w:val="0"/>
            <w:vAlign w:val="center"/>
          </w:tcPr>
          <w:p w14:paraId="14D89AE3">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p>
        </w:tc>
        <w:tc>
          <w:tcPr>
            <w:tcW w:w="2039" w:type="dxa"/>
            <w:noWrap w:val="0"/>
            <w:vAlign w:val="top"/>
          </w:tcPr>
          <w:p w14:paraId="15255260">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2C4C57A8">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584D1266">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1CBEB771">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4406BBAE">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2DC79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FC0ACB1">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44" w:type="dxa"/>
            <w:noWrap w:val="0"/>
            <w:vAlign w:val="center"/>
          </w:tcPr>
          <w:p w14:paraId="051A19BB">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p>
        </w:tc>
        <w:tc>
          <w:tcPr>
            <w:tcW w:w="2039" w:type="dxa"/>
            <w:noWrap w:val="0"/>
            <w:vAlign w:val="top"/>
          </w:tcPr>
          <w:p w14:paraId="74258A70">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33A0A291">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0063A084">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4F47F891">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7F00FFF9">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66A98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0BCEE7BE">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344" w:type="dxa"/>
            <w:noWrap w:val="0"/>
            <w:vAlign w:val="top"/>
          </w:tcPr>
          <w:p w14:paraId="1F8B34EF">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039" w:type="dxa"/>
            <w:noWrap w:val="0"/>
            <w:vAlign w:val="top"/>
          </w:tcPr>
          <w:p w14:paraId="71EF5704">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77A006D5">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3F64FB04">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0F5FF2F7">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752D1DEF">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44E9C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6F6AA3C">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344" w:type="dxa"/>
            <w:noWrap w:val="0"/>
            <w:vAlign w:val="top"/>
          </w:tcPr>
          <w:p w14:paraId="1049EAB0">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039" w:type="dxa"/>
            <w:noWrap w:val="0"/>
            <w:vAlign w:val="top"/>
          </w:tcPr>
          <w:p w14:paraId="29A3F3F7">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443EC230">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25BEA749">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28D1210D">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2996D00D">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3083F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53DFBB44">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344" w:type="dxa"/>
            <w:noWrap w:val="0"/>
            <w:vAlign w:val="top"/>
          </w:tcPr>
          <w:p w14:paraId="3619DDE3">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039" w:type="dxa"/>
            <w:noWrap w:val="0"/>
            <w:vAlign w:val="top"/>
          </w:tcPr>
          <w:p w14:paraId="1C72DD5F">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770F9DFF">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0629B3E9">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0B2D2A9E">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07208806">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1DAFB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32BB75FC">
            <w:pPr>
              <w:pStyle w:val="43"/>
              <w:pageBreakBefore w:val="0"/>
              <w:kinsoku/>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44" w:type="dxa"/>
            <w:noWrap w:val="0"/>
            <w:vAlign w:val="top"/>
          </w:tcPr>
          <w:p w14:paraId="435F2782">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039" w:type="dxa"/>
            <w:noWrap w:val="0"/>
            <w:vAlign w:val="top"/>
          </w:tcPr>
          <w:p w14:paraId="6C4D7BA8">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2F81A733">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0CD0ECFB">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58310AB9">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7950F25B">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r w14:paraId="1E20C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E40C44">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44" w:type="dxa"/>
            <w:noWrap w:val="0"/>
            <w:vAlign w:val="top"/>
          </w:tcPr>
          <w:p w14:paraId="58686DE6">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039" w:type="dxa"/>
            <w:noWrap w:val="0"/>
            <w:vAlign w:val="top"/>
          </w:tcPr>
          <w:p w14:paraId="4D406941">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878" w:type="dxa"/>
            <w:noWrap w:val="0"/>
            <w:vAlign w:val="top"/>
          </w:tcPr>
          <w:p w14:paraId="4D24796F">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370" w:type="dxa"/>
            <w:noWrap w:val="0"/>
            <w:vAlign w:val="top"/>
          </w:tcPr>
          <w:p w14:paraId="6AB2E658">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2190" w:type="dxa"/>
            <w:noWrap w:val="0"/>
            <w:vAlign w:val="top"/>
          </w:tcPr>
          <w:p w14:paraId="5C14F747">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c>
          <w:tcPr>
            <w:tcW w:w="1011" w:type="dxa"/>
            <w:noWrap w:val="0"/>
            <w:vAlign w:val="top"/>
          </w:tcPr>
          <w:p w14:paraId="29FB2B96">
            <w:pPr>
              <w:pStyle w:val="43"/>
              <w:pageBreakBefore w:val="0"/>
              <w:kinsoku/>
              <w:overflowPunct/>
              <w:topLinePunct w:val="0"/>
              <w:bidi w:val="0"/>
              <w:spacing w:line="360" w:lineRule="auto"/>
              <w:textAlignment w:val="auto"/>
              <w:rPr>
                <w:rFonts w:hint="eastAsia" w:ascii="宋体" w:hAnsi="宋体" w:eastAsia="宋体" w:cs="宋体"/>
                <w:color w:val="auto"/>
                <w:sz w:val="21"/>
                <w:szCs w:val="21"/>
              </w:rPr>
            </w:pPr>
          </w:p>
        </w:tc>
      </w:tr>
    </w:tbl>
    <w:p w14:paraId="71CF769C">
      <w:pPr>
        <w:pStyle w:val="43"/>
        <w:pageBreakBefore w:val="0"/>
        <w:tabs>
          <w:tab w:val="left" w:pos="1050"/>
          <w:tab w:val="left" w:pos="1838"/>
        </w:tabs>
        <w:kinsoku/>
        <w:overflowPunct/>
        <w:topLinePunct w:val="0"/>
        <w:bidi w:val="0"/>
        <w:spacing w:line="360" w:lineRule="auto"/>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应在本表后按照</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要求提供相关证明材料。</w:t>
      </w:r>
    </w:p>
    <w:p w14:paraId="2C29E5A2">
      <w:pPr>
        <w:pageBreakBefore w:val="0"/>
        <w:kinsoku/>
        <w:overflowPunct/>
        <w:topLinePunct w:val="0"/>
        <w:bidi w:val="0"/>
        <w:adjustRightInd w:val="0"/>
        <w:snapToGrid w:val="0"/>
        <w:spacing w:line="360" w:lineRule="auto"/>
        <w:ind w:firstLine="4200" w:firstLineChars="2000"/>
        <w:textAlignment w:val="auto"/>
        <w:rPr>
          <w:rFonts w:hint="eastAsia" w:ascii="宋体" w:hAnsi="宋体" w:eastAsia="宋体" w:cs="宋体"/>
          <w:color w:val="auto"/>
          <w:sz w:val="21"/>
          <w:szCs w:val="21"/>
          <w:lang w:eastAsia="zh-CN"/>
        </w:rPr>
      </w:pPr>
    </w:p>
    <w:p w14:paraId="148FB906">
      <w:pPr>
        <w:pageBreakBefore w:val="0"/>
        <w:kinsoku/>
        <w:overflowPunct/>
        <w:topLinePunct w:val="0"/>
        <w:bidi w:val="0"/>
        <w:adjustRightInd w:val="0"/>
        <w:snapToGrid w:val="0"/>
        <w:spacing w:line="360" w:lineRule="auto"/>
        <w:ind w:firstLine="4200" w:firstLineChars="2000"/>
        <w:textAlignment w:val="auto"/>
        <w:rPr>
          <w:rFonts w:hint="eastAsia" w:ascii="宋体" w:hAnsi="宋体" w:eastAsia="宋体" w:cs="宋体"/>
          <w:color w:val="auto"/>
          <w:sz w:val="21"/>
          <w:szCs w:val="21"/>
          <w:lang w:eastAsia="zh-CN"/>
        </w:rPr>
      </w:pPr>
    </w:p>
    <w:p w14:paraId="3CCE538E">
      <w:pPr>
        <w:pageBreakBefore w:val="0"/>
        <w:kinsoku/>
        <w:overflowPunct/>
        <w:topLinePunct w:val="0"/>
        <w:bidi w:val="0"/>
        <w:adjustRightInd w:val="0"/>
        <w:snapToGrid w:val="0"/>
        <w:spacing w:line="360" w:lineRule="auto"/>
        <w:ind w:firstLine="4200" w:firstLineChars="20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盖章</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p>
    <w:p w14:paraId="6E37E4AA">
      <w:pPr>
        <w:pageBreakBefore w:val="0"/>
        <w:kinsoku/>
        <w:overflowPunct/>
        <w:topLinePunct w:val="0"/>
        <w:bidi w:val="0"/>
        <w:adjustRightInd w:val="0"/>
        <w:snapToGrid w:val="0"/>
        <w:spacing w:line="360" w:lineRule="auto"/>
        <w:ind w:firstLine="4200" w:firstLineChars="200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法定代表人（单位负责人）</w:t>
      </w:r>
    </w:p>
    <w:p w14:paraId="0EF1B3A9">
      <w:pPr>
        <w:pageBreakBefore w:val="0"/>
        <w:kinsoku/>
        <w:overflowPunct/>
        <w:topLinePunct w:val="0"/>
        <w:bidi w:val="0"/>
        <w:adjustRightInd w:val="0"/>
        <w:snapToGrid w:val="0"/>
        <w:spacing w:line="360" w:lineRule="auto"/>
        <w:ind w:firstLine="4200" w:firstLineChars="200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或授权代表（</w:t>
      </w:r>
      <w:r>
        <w:rPr>
          <w:rFonts w:hint="eastAsia" w:ascii="宋体" w:hAnsi="宋体" w:eastAsia="宋体" w:cs="宋体"/>
          <w:snapToGrid w:val="0"/>
          <w:color w:val="auto"/>
          <w:kern w:val="0"/>
          <w:sz w:val="21"/>
          <w:szCs w:val="21"/>
          <w:lang w:eastAsia="zh-CN"/>
        </w:rPr>
        <w:t>签字或盖章</w:t>
      </w:r>
      <w:r>
        <w:rPr>
          <w:rFonts w:hint="eastAsia" w:ascii="宋体" w:hAnsi="宋体" w:eastAsia="宋体" w:cs="宋体"/>
          <w:snapToGrid w:val="0"/>
          <w:color w:val="auto"/>
          <w:kern w:val="0"/>
          <w:sz w:val="21"/>
          <w:szCs w:val="21"/>
        </w:rPr>
        <w:t>）</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p>
    <w:p w14:paraId="7353FD47">
      <w:pPr>
        <w:pageBreakBefore w:val="0"/>
        <w:kinsoku/>
        <w:overflowPunct/>
        <w:topLinePunct w:val="0"/>
        <w:bidi w:val="0"/>
        <w:adjustRightInd w:val="0"/>
        <w:snapToGrid w:val="0"/>
        <w:spacing w:line="360" w:lineRule="auto"/>
        <w:ind w:firstLine="4200" w:firstLineChars="2000"/>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rPr>
        <w:br w:type="page"/>
      </w:r>
    </w:p>
    <w:p w14:paraId="4A80E201">
      <w:pPr>
        <w:pStyle w:val="25"/>
        <w:rPr>
          <w:rFonts w:hint="eastAsia"/>
        </w:rPr>
      </w:pPr>
    </w:p>
    <w:p w14:paraId="719953FD">
      <w:pPr>
        <w:pStyle w:val="3"/>
        <w:bidi w:val="0"/>
        <w:jc w:val="center"/>
        <w:rPr>
          <w:rFonts w:hint="default"/>
          <w:lang w:val="en-US" w:eastAsia="zh-CN"/>
        </w:rPr>
      </w:pPr>
      <w:r>
        <w:rPr>
          <w:rFonts w:hint="eastAsia"/>
          <w:lang w:val="en-US" w:eastAsia="zh-CN"/>
        </w:rPr>
        <w:t>八、其他资料</w:t>
      </w:r>
    </w:p>
    <w:p w14:paraId="3A598DA6">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1.</w:t>
      </w:r>
      <w:r>
        <w:rPr>
          <w:sz w:val="24"/>
          <w:highlight w:val="none"/>
        </w:rPr>
        <w:t>招标文件</w:t>
      </w:r>
      <w:r>
        <w:rPr>
          <w:bCs/>
          <w:sz w:val="24"/>
          <w:highlight w:val="none"/>
        </w:rPr>
        <w:t>评分因素及评标标准中要求的证明材料</w:t>
      </w:r>
    </w:p>
    <w:p w14:paraId="382CD89D">
      <w:pPr>
        <w:ind w:firstLine="480" w:firstLineChars="200"/>
        <w:rPr>
          <w:rFonts w:hint="eastAsia" w:ascii="宋体" w:hAnsi="宋体" w:cs="宋体"/>
          <w:sz w:val="24"/>
          <w:highlight w:val="none"/>
        </w:rPr>
      </w:pPr>
      <w:r>
        <w:rPr>
          <w:rFonts w:hint="eastAsia"/>
          <w:sz w:val="24"/>
          <w:highlight w:val="none"/>
          <w:lang w:val="en-US" w:eastAsia="zh-CN"/>
        </w:rPr>
        <w:t>2.</w:t>
      </w:r>
      <w:r>
        <w:rPr>
          <w:rFonts w:hint="eastAsia" w:ascii="宋体" w:hAnsi="宋体" w:cs="宋体"/>
          <w:sz w:val="24"/>
          <w:highlight w:val="none"/>
        </w:rPr>
        <w:t>投标人认为需提供的其他</w:t>
      </w:r>
      <w:r>
        <w:rPr>
          <w:rFonts w:hint="eastAsia" w:ascii="宋体" w:hAnsi="宋体" w:cs="宋体"/>
          <w:sz w:val="24"/>
          <w:highlight w:val="none"/>
          <w:lang w:eastAsia="zh-CN"/>
        </w:rPr>
        <w:t>文件或</w:t>
      </w:r>
      <w:r>
        <w:rPr>
          <w:rFonts w:hint="eastAsia" w:ascii="宋体" w:hAnsi="宋体" w:cs="宋体"/>
          <w:sz w:val="24"/>
          <w:highlight w:val="none"/>
        </w:rPr>
        <w:t>资料</w:t>
      </w:r>
    </w:p>
    <w:p w14:paraId="4401FA5D">
      <w:pPr>
        <w:pStyle w:val="25"/>
        <w:rPr>
          <w:rFonts w:hint="eastAsia" w:ascii="宋体" w:hAnsi="宋体" w:cs="宋体"/>
          <w:sz w:val="24"/>
          <w:highlight w:val="none"/>
        </w:rPr>
        <w:sectPr>
          <w:footerReference r:id="rId19" w:type="default"/>
          <w:pgSz w:w="11906" w:h="16838"/>
          <w:pgMar w:top="1440" w:right="1080" w:bottom="1440" w:left="1080" w:header="851" w:footer="992" w:gutter="0"/>
          <w:pgNumType w:fmt="decimal"/>
          <w:cols w:space="0" w:num="1"/>
          <w:rtlGutter w:val="0"/>
          <w:docGrid w:type="lines" w:linePitch="460" w:charSpace="0"/>
        </w:sectPr>
      </w:pPr>
    </w:p>
    <w:p w14:paraId="1EADE0D5">
      <w:pPr>
        <w:pStyle w:val="6"/>
        <w:bidi w:val="0"/>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附件一</w:t>
      </w:r>
    </w:p>
    <w:p w14:paraId="43A3AB33">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中小企业声明函（货物）格式</w:t>
      </w:r>
    </w:p>
    <w:p w14:paraId="4ECFA8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3840" w:firstLineChars="1600"/>
        <w:jc w:val="both"/>
        <w:textAlignment w:val="auto"/>
        <w:rPr>
          <w:rFonts w:hint="default" w:ascii="黑体" w:hAnsi="黑体" w:eastAsia="黑体" w:cs="黑体"/>
          <w:sz w:val="32"/>
          <w:szCs w:val="32"/>
          <w:highlight w:val="none"/>
          <w:lang w:val="en-US" w:eastAsia="zh-CN"/>
        </w:rPr>
      </w:pPr>
      <w:r>
        <w:rPr>
          <w:rFonts w:hint="eastAsia" w:ascii="宋体" w:hAnsi="宋体" w:eastAsia="宋体" w:cs="Times New Roman"/>
          <w:sz w:val="24"/>
          <w:szCs w:val="24"/>
          <w:lang w:val="en-US" w:eastAsia="zh-CN"/>
        </w:rPr>
        <w:t>（如有请提供）</w:t>
      </w:r>
    </w:p>
    <w:p w14:paraId="674795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sz w:val="28"/>
          <w:szCs w:val="28"/>
        </w:rPr>
      </w:pPr>
    </w:p>
    <w:p w14:paraId="20BD4D0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rPr>
        <w:t>本公司（联合体）郑重声明，根据《政府采购促进中小企业发展管理办法》（财库﹝2020﹞46 号）的规定</w:t>
      </w:r>
      <w:r>
        <w:rPr>
          <w:rFonts w:hint="eastAsia" w:ascii="宋体" w:hAnsi="宋体" w:eastAsia="宋体" w:cs="Times New Roman"/>
          <w:sz w:val="24"/>
          <w:szCs w:val="24"/>
          <w:highlight w:val="none"/>
        </w:rPr>
        <w:t xml:space="preserve">，本公司 （联合体）参加 </w:t>
      </w:r>
      <w:r>
        <w:rPr>
          <w:rFonts w:hint="eastAsia" w:ascii="宋体" w:hAnsi="宋体" w:eastAsia="宋体" w:cs="Times New Roman"/>
          <w:sz w:val="24"/>
          <w:szCs w:val="24"/>
          <w:highlight w:val="none"/>
          <w:u w:val="single"/>
        </w:rPr>
        <w:t xml:space="preserve">（ 单 位 名 称 ） </w:t>
      </w:r>
      <w:r>
        <w:rPr>
          <w:rFonts w:hint="eastAsia" w:ascii="宋体" w:hAnsi="宋体" w:eastAsia="宋体" w:cs="Times New Roman"/>
          <w:sz w:val="24"/>
          <w:szCs w:val="24"/>
          <w:highlight w:val="none"/>
        </w:rPr>
        <w:t xml:space="preserve">的 </w:t>
      </w:r>
      <w:r>
        <w:rPr>
          <w:rFonts w:hint="eastAsia" w:ascii="宋体" w:hAnsi="宋体" w:eastAsia="宋体" w:cs="Times New Roman"/>
          <w:sz w:val="24"/>
          <w:szCs w:val="24"/>
          <w:highlight w:val="none"/>
          <w:u w:val="single"/>
        </w:rPr>
        <w:t>（ 项 目 名 称 ）</w:t>
      </w:r>
      <w:r>
        <w:rPr>
          <w:rFonts w:hint="eastAsia" w:ascii="宋体" w:hAnsi="宋体" w:eastAsia="宋体" w:cs="Times New Roman"/>
          <w:sz w:val="24"/>
          <w:szCs w:val="24"/>
          <w:highlight w:val="none"/>
        </w:rPr>
        <w:t xml:space="preserve"> 采购活动，提供的货物全部由符合政策要求的中小企业制造。相关企业 （含联合体中的中小企业、签订分包意向协议的中小企业） 的具体情况如下：</w:t>
      </w:r>
    </w:p>
    <w:p w14:paraId="44F1EB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sz w:val="24"/>
          <w:szCs w:val="24"/>
          <w:u w:val="singl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u w:val="single"/>
        </w:rPr>
        <w:t>（ 标 的 名 称 ）</w:t>
      </w:r>
      <w:r>
        <w:rPr>
          <w:rFonts w:hint="eastAsia" w:ascii="宋体" w:hAnsi="宋体" w:eastAsia="宋体" w:cs="Times New Roman"/>
          <w:sz w:val="24"/>
          <w:szCs w:val="24"/>
          <w:highlight w:val="none"/>
        </w:rPr>
        <w:t xml:space="preserve"> ，属于 </w:t>
      </w:r>
      <w:r>
        <w:rPr>
          <w:rFonts w:hint="eastAsia" w:ascii="宋体" w:hAnsi="宋体" w:eastAsia="宋体" w:cs="Times New Roman"/>
          <w:sz w:val="24"/>
          <w:szCs w:val="24"/>
          <w:highlight w:val="none"/>
          <w:u w:val="single"/>
        </w:rPr>
        <w:t xml:space="preserve">（ 采 购 文 件 中 </w:t>
      </w:r>
      <w:r>
        <w:rPr>
          <w:rFonts w:hint="eastAsia" w:ascii="宋体" w:hAnsi="宋体" w:eastAsia="宋体" w:cs="Times New Roman"/>
          <w:sz w:val="24"/>
          <w:szCs w:val="24"/>
          <w:u w:val="single"/>
        </w:rPr>
        <w:t>明 确 的 所 属 行 业 ） 行 业</w:t>
      </w:r>
      <w:r>
        <w:rPr>
          <w:rFonts w:hint="eastAsia" w:ascii="宋体" w:hAnsi="宋体" w:eastAsia="宋体" w:cs="Times New Roman"/>
          <w:sz w:val="24"/>
          <w:szCs w:val="24"/>
        </w:rPr>
        <w:t xml:space="preserve"> ；制造商为</w:t>
      </w:r>
      <w:r>
        <w:rPr>
          <w:rFonts w:hint="eastAsia" w:ascii="宋体" w:hAnsi="宋体" w:eastAsia="宋体" w:cs="Times New Roman"/>
          <w:sz w:val="24"/>
          <w:szCs w:val="24"/>
          <w:u w:val="single"/>
        </w:rPr>
        <w:t xml:space="preserve"> （ 企 业 名 称 ）</w:t>
      </w:r>
      <w:r>
        <w:rPr>
          <w:rFonts w:hint="eastAsia" w:ascii="宋体" w:hAnsi="宋体" w:eastAsia="宋体" w:cs="Times New Roman"/>
          <w:sz w:val="24"/>
          <w:szCs w:val="24"/>
        </w:rPr>
        <w:t xml:space="preserve"> ，从业人员</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人，营业收入为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万元，资产总额为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w:t>
      </w:r>
      <w:r>
        <w:rPr>
          <w:rFonts w:hint="eastAsia" w:ascii="宋体" w:hAnsi="宋体" w:eastAsia="宋体" w:cs="Times New Roman"/>
          <w:sz w:val="24"/>
          <w:szCs w:val="24"/>
          <w:vertAlign w:val="superscript"/>
          <w:lang w:val="en-US" w:eastAsia="zh-CN"/>
        </w:rPr>
        <w:t>1</w:t>
      </w:r>
      <w:r>
        <w:rPr>
          <w:rFonts w:hint="eastAsia" w:ascii="宋体" w:hAnsi="宋体" w:eastAsia="宋体" w:cs="Times New Roman"/>
          <w:sz w:val="24"/>
          <w:szCs w:val="24"/>
        </w:rPr>
        <w:t xml:space="preserve">，属于 </w:t>
      </w:r>
      <w:r>
        <w:rPr>
          <w:rFonts w:hint="eastAsia" w:ascii="宋体" w:hAnsi="宋体" w:eastAsia="宋体" w:cs="Times New Roman"/>
          <w:sz w:val="24"/>
          <w:szCs w:val="24"/>
          <w:u w:val="single"/>
        </w:rPr>
        <w:t xml:space="preserve">（ 中 型 企 业 、 小 型 企 业 、 微 型 企 业 ） ； </w:t>
      </w:r>
    </w:p>
    <w:p w14:paraId="799E0FB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2. </w:t>
      </w:r>
      <w:r>
        <w:rPr>
          <w:rFonts w:hint="eastAsia" w:ascii="宋体" w:hAnsi="宋体" w:eastAsia="宋体" w:cs="Times New Roman"/>
          <w:sz w:val="24"/>
          <w:szCs w:val="24"/>
          <w:u w:val="single"/>
        </w:rPr>
        <w:t xml:space="preserve">（ 标 的 名 称 ） </w:t>
      </w:r>
      <w:r>
        <w:rPr>
          <w:rFonts w:hint="eastAsia" w:ascii="宋体" w:hAnsi="宋体" w:eastAsia="宋体" w:cs="Times New Roman"/>
          <w:sz w:val="24"/>
          <w:szCs w:val="24"/>
        </w:rPr>
        <w:t xml:space="preserve">，属于 </w:t>
      </w:r>
      <w:r>
        <w:rPr>
          <w:rFonts w:hint="eastAsia" w:ascii="宋体" w:hAnsi="宋体" w:eastAsia="宋体" w:cs="Times New Roman"/>
          <w:sz w:val="24"/>
          <w:szCs w:val="24"/>
          <w:u w:val="single"/>
        </w:rPr>
        <w:t xml:space="preserve">（ 采 购 文 件 中 明 确 的 所 属 行 业 ） 行 业 </w:t>
      </w:r>
      <w:r>
        <w:rPr>
          <w:rFonts w:hint="eastAsia" w:ascii="宋体" w:hAnsi="宋体" w:eastAsia="宋体" w:cs="Times New Roman"/>
          <w:sz w:val="24"/>
          <w:szCs w:val="24"/>
        </w:rPr>
        <w:t>；制造商为</w:t>
      </w:r>
      <w:r>
        <w:rPr>
          <w:rFonts w:hint="eastAsia" w:ascii="宋体" w:hAnsi="宋体" w:eastAsia="宋体" w:cs="Times New Roman"/>
          <w:sz w:val="24"/>
          <w:szCs w:val="24"/>
          <w:u w:val="single"/>
        </w:rPr>
        <w:t xml:space="preserve"> （ 企 业 名 称 ）</w:t>
      </w:r>
      <w:r>
        <w:rPr>
          <w:rFonts w:hint="eastAsia" w:ascii="宋体" w:hAnsi="宋体" w:eastAsia="宋体" w:cs="Times New Roman"/>
          <w:sz w:val="24"/>
          <w:szCs w:val="24"/>
        </w:rPr>
        <w:t xml:space="preserve"> ，从业人员</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人，营业收入为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万元，资产总额为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万元，属于</w:t>
      </w:r>
      <w:r>
        <w:rPr>
          <w:rFonts w:hint="eastAsia" w:ascii="宋体" w:hAnsi="宋体" w:eastAsia="宋体" w:cs="Times New Roman"/>
          <w:sz w:val="24"/>
          <w:szCs w:val="24"/>
          <w:u w:val="single"/>
        </w:rPr>
        <w:t xml:space="preserve"> （ 中 型 企 业 、 小 型 企 业 、 微 型 企 业 ）</w:t>
      </w:r>
      <w:r>
        <w:rPr>
          <w:rFonts w:hint="eastAsia" w:ascii="宋体" w:hAnsi="宋体" w:eastAsia="宋体" w:cs="Times New Roman"/>
          <w:sz w:val="24"/>
          <w:szCs w:val="24"/>
        </w:rPr>
        <w:t xml:space="preserve"> ；</w:t>
      </w:r>
    </w:p>
    <w:p w14:paraId="22AC6D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 ……</w:t>
      </w:r>
    </w:p>
    <w:p w14:paraId="47A3FD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 以上企业，不属于大企业的分支机构，不存在控股股东为大企业的情形，也不存在与大企业的</w:t>
      </w:r>
      <w:r>
        <w:rPr>
          <w:rFonts w:hint="eastAsia" w:ascii="宋体" w:hAnsi="宋体" w:cs="Times New Roman"/>
          <w:sz w:val="24"/>
          <w:szCs w:val="24"/>
          <w:lang w:eastAsia="zh-CN"/>
        </w:rPr>
        <w:t>授权代理人</w:t>
      </w:r>
      <w:r>
        <w:rPr>
          <w:rFonts w:hint="eastAsia" w:ascii="宋体" w:hAnsi="宋体" w:eastAsia="宋体" w:cs="Times New Roman"/>
          <w:sz w:val="24"/>
          <w:szCs w:val="24"/>
        </w:rPr>
        <w:t>为同一人的情形。</w:t>
      </w:r>
    </w:p>
    <w:p w14:paraId="3DDED3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本企业对上述声明内容的真实性负责。如有虚假，将依法承担相应责任。 </w:t>
      </w:r>
    </w:p>
    <w:p w14:paraId="6DC01B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760" w:firstLineChars="1700"/>
        <w:textAlignment w:val="auto"/>
        <w:rPr>
          <w:rFonts w:hint="eastAsia" w:ascii="宋体" w:hAnsi="宋体" w:cs="Times New Roman"/>
          <w:sz w:val="28"/>
          <w:szCs w:val="28"/>
          <w:lang w:val="en-US" w:eastAsia="zh-CN"/>
        </w:rPr>
      </w:pPr>
    </w:p>
    <w:p w14:paraId="21FC98E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760" w:firstLineChars="1700"/>
        <w:textAlignment w:val="auto"/>
        <w:rPr>
          <w:rFonts w:hint="eastAsia" w:ascii="宋体" w:hAnsi="宋体" w:cs="Times New Roman"/>
          <w:sz w:val="28"/>
          <w:szCs w:val="28"/>
          <w:lang w:val="en-US" w:eastAsia="zh-CN"/>
        </w:rPr>
      </w:pPr>
    </w:p>
    <w:p w14:paraId="7BFFE6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760" w:firstLineChars="1700"/>
        <w:textAlignment w:val="auto"/>
        <w:rPr>
          <w:rFonts w:hint="eastAsia" w:ascii="宋体" w:hAnsi="宋体" w:cs="Times New Roman"/>
          <w:sz w:val="28"/>
          <w:szCs w:val="28"/>
          <w:lang w:val="en-US" w:eastAsia="zh-CN"/>
        </w:rPr>
      </w:pPr>
    </w:p>
    <w:p w14:paraId="59793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760" w:firstLineChars="1700"/>
        <w:textAlignment w:val="auto"/>
        <w:rPr>
          <w:rFonts w:hint="eastAsia" w:ascii="宋体" w:hAnsi="宋体" w:cs="Times New Roman"/>
          <w:sz w:val="28"/>
          <w:szCs w:val="28"/>
          <w:lang w:val="en-US" w:eastAsia="zh-CN"/>
        </w:rPr>
      </w:pPr>
    </w:p>
    <w:p w14:paraId="497D1929">
      <w:pPr>
        <w:keepNext w:val="0"/>
        <w:keepLines w:val="0"/>
        <w:widowControl/>
        <w:suppressLineNumbers w:val="0"/>
        <w:jc w:val="center"/>
        <w:rPr>
          <w:u w:val="single"/>
        </w:rPr>
      </w:pPr>
      <w:r>
        <w:rPr>
          <w:rFonts w:hint="eastAsia" w:ascii="宋体" w:hAnsi="宋体" w:eastAsia="宋体" w:cs="宋体"/>
          <w:color w:val="000000"/>
          <w:kern w:val="0"/>
          <w:sz w:val="24"/>
          <w:szCs w:val="24"/>
          <w:lang w:val="en-US" w:eastAsia="zh-CN" w:bidi="ar"/>
        </w:rPr>
        <w:t xml:space="preserve">                              企业名称（盖章）：</w:t>
      </w:r>
      <w:r>
        <w:rPr>
          <w:rFonts w:hint="eastAsia" w:ascii="Times New Roman" w:hAnsi="Times New Roman" w:eastAsia="宋体" w:cs="Times New Roman"/>
          <w:color w:val="000000"/>
          <w:kern w:val="0"/>
          <w:sz w:val="24"/>
          <w:szCs w:val="24"/>
          <w:u w:val="single"/>
          <w:lang w:val="en-US" w:eastAsia="zh-CN" w:bidi="ar"/>
        </w:rPr>
        <w:t xml:space="preserve">            </w:t>
      </w:r>
      <w:r>
        <w:rPr>
          <w:rFonts w:hint="default" w:ascii="Times New Roman" w:hAnsi="Times New Roman" w:eastAsia="宋体" w:cs="Times New Roman"/>
          <w:color w:val="000000"/>
          <w:kern w:val="0"/>
          <w:sz w:val="24"/>
          <w:szCs w:val="24"/>
          <w:u w:val="single"/>
          <w:lang w:val="en-US" w:eastAsia="zh-CN" w:bidi="ar"/>
        </w:rPr>
        <w:t xml:space="preserve"> </w:t>
      </w:r>
    </w:p>
    <w:p w14:paraId="752BF235">
      <w:pPr>
        <w:keepNext w:val="0"/>
        <w:keepLines w:val="0"/>
        <w:widowControl/>
        <w:suppressLineNumbers w:val="0"/>
        <w:jc w:val="center"/>
        <w:rPr>
          <w:rFonts w:hint="default" w:ascii="宋体" w:hAnsi="宋体" w:eastAsia="宋体" w:cs="宋体"/>
          <w:sz w:val="24"/>
          <w:szCs w:val="30"/>
          <w:highlight w:val="none"/>
          <w:u w:val="single"/>
          <w:lang w:val="en-US"/>
        </w:rPr>
      </w:pPr>
      <w:r>
        <w:rPr>
          <w:rFonts w:hint="eastAsia" w:ascii="宋体" w:hAnsi="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日 期：</w:t>
      </w:r>
      <w:r>
        <w:rPr>
          <w:rFonts w:hint="eastAsia" w:cs="Times New Roman"/>
          <w:color w:val="000000"/>
          <w:kern w:val="0"/>
          <w:sz w:val="24"/>
          <w:szCs w:val="24"/>
          <w:u w:val="single"/>
          <w:lang w:val="en-US" w:eastAsia="zh-CN" w:bidi="ar"/>
        </w:rPr>
        <w:t xml:space="preserve">                         </w:t>
      </w:r>
    </w:p>
    <w:p w14:paraId="1486C1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0"/>
          <w:highlight w:val="none"/>
        </w:rPr>
      </w:pPr>
    </w:p>
    <w:p w14:paraId="6D219D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30"/>
          <w:highlight w:val="none"/>
        </w:rPr>
      </w:pPr>
    </w:p>
    <w:p w14:paraId="5E2553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30"/>
          <w:highlight w:val="none"/>
        </w:rPr>
        <w:t>注：</w:t>
      </w:r>
      <w:r>
        <w:rPr>
          <w:rFonts w:hint="eastAsia" w:ascii="宋体" w:hAnsi="宋体" w:eastAsia="宋体" w:cs="宋体"/>
          <w:sz w:val="24"/>
          <w:szCs w:val="24"/>
          <w:highlight w:val="none"/>
        </w:rPr>
        <w:t>1、</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为</w:t>
      </w:r>
      <w:r>
        <w:rPr>
          <w:rFonts w:hint="eastAsia" w:ascii="宋体" w:hAnsi="宋体" w:eastAsia="宋体" w:cs="宋体"/>
          <w:color w:val="000000" w:themeColor="text1"/>
          <w:sz w:val="24"/>
          <w:szCs w:val="24"/>
          <w14:textFill>
            <w14:solidFill>
              <w14:schemeClr w14:val="tx1"/>
            </w14:solidFill>
          </w14:textFill>
        </w:rPr>
        <w:t>全部面向中小企业采购项目，投标人按采购文件格式要求填写中小企业声明函或监狱企业或残疾人福利性单位证明文件</w:t>
      </w:r>
      <w:r>
        <w:rPr>
          <w:rFonts w:hint="eastAsia" w:ascii="宋体" w:hAnsi="宋体" w:eastAsia="宋体" w:cs="宋体"/>
          <w:color w:val="000000" w:themeColor="text1"/>
          <w:sz w:val="24"/>
          <w:szCs w:val="24"/>
          <w:lang w:eastAsia="zh-CN"/>
          <w14:textFill>
            <w14:solidFill>
              <w14:schemeClr w14:val="tx1"/>
            </w14:solidFill>
          </w14:textFill>
        </w:rPr>
        <w:t>。中小企业所投产品非本企业生产，应提供产品制造企业为中小企业的声明函。</w:t>
      </w:r>
    </w:p>
    <w:p w14:paraId="18DD2E3A">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60" w:leftChars="0" w:firstLine="480" w:firstLineChars="0"/>
        <w:textAlignment w:val="auto"/>
        <w:rPr>
          <w:rFonts w:hint="eastAsia" w:ascii="黑体" w:hAnsi="黑体" w:eastAsia="黑体" w:cs="黑体"/>
          <w:sz w:val="32"/>
          <w:szCs w:val="32"/>
          <w:lang w:val="en-US" w:eastAsia="zh-CN"/>
        </w:rPr>
      </w:pPr>
      <w:r>
        <w:rPr>
          <w:rFonts w:hint="eastAsia" w:ascii="宋体" w:hAnsi="宋体" w:eastAsia="宋体" w:cs="宋体"/>
          <w:color w:val="000000" w:themeColor="text1"/>
          <w:sz w:val="24"/>
          <w:szCs w:val="24"/>
          <w14:textFill>
            <w14:solidFill>
              <w14:schemeClr w14:val="tx1"/>
            </w14:solidFill>
          </w14:textFill>
        </w:rPr>
        <w:t>从业人员、营业收入、资产总额填报上一年度数据，无上一年度数据的新成立企业可不</w:t>
      </w:r>
      <w:r>
        <w:rPr>
          <w:rFonts w:hint="eastAsia" w:ascii="宋体" w:hAnsi="宋体"/>
          <w:sz w:val="24"/>
          <w:szCs w:val="30"/>
          <w:highlight w:val="none"/>
        </w:rPr>
        <w:t>填报。</w:t>
      </w:r>
    </w:p>
    <w:p w14:paraId="6FC8E7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sz w:val="24"/>
          <w:szCs w:val="30"/>
          <w:highlight w:val="none"/>
        </w:rPr>
      </w:pPr>
    </w:p>
    <w:p w14:paraId="04BF0D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724377D">
      <w:pPr>
        <w:bidi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残疾人福利性单位声明函（非残疾人福利性单位不提供）</w:t>
      </w:r>
    </w:p>
    <w:p w14:paraId="639103E8">
      <w:pPr>
        <w:snapToGrid w:val="0"/>
        <w:spacing w:line="230" w:lineRule="auto"/>
        <w:ind w:firstLine="419"/>
        <w:jc w:val="center"/>
        <w:rPr>
          <w:rFonts w:ascii="宋体" w:hAnsi="宋体" w:eastAsia="宋体" w:cs="Times New Roman"/>
          <w:sz w:val="28"/>
          <w:szCs w:val="28"/>
        </w:rPr>
      </w:pPr>
    </w:p>
    <w:p w14:paraId="545CB4D4">
      <w:pPr>
        <w:snapToGrid w:val="0"/>
        <w:spacing w:line="230" w:lineRule="auto"/>
        <w:ind w:firstLine="419"/>
        <w:rPr>
          <w:rFonts w:ascii="宋体" w:hAnsi="宋体" w:eastAsia="宋体" w:cs="宋体"/>
          <w:kern w:val="0"/>
          <w:sz w:val="28"/>
          <w:szCs w:val="28"/>
        </w:rPr>
      </w:pPr>
    </w:p>
    <w:p w14:paraId="2970511F">
      <w:pPr>
        <w:snapToGrid w:val="0"/>
        <w:spacing w:line="48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w:t>
      </w:r>
      <w:r>
        <w:rPr>
          <w:rFonts w:hint="eastAsia" w:ascii="宋体" w:hAnsi="宋体" w:eastAsia="宋体" w:cs="宋体"/>
          <w:kern w:val="0"/>
          <w:sz w:val="24"/>
          <w:szCs w:val="24"/>
          <w:lang w:eastAsia="zh-CN"/>
        </w:rPr>
        <w:t>〔2017〕141号</w:t>
      </w:r>
      <w:r>
        <w:rPr>
          <w:rFonts w:hint="eastAsia" w:ascii="宋体" w:hAnsi="宋体" w:eastAsia="宋体" w:cs="宋体"/>
          <w:kern w:val="0"/>
          <w:sz w:val="24"/>
          <w:szCs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C676BF">
      <w:pPr>
        <w:snapToGrid w:val="0"/>
        <w:spacing w:line="48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14:paraId="2F8B100C">
      <w:pPr>
        <w:snapToGrid w:val="0"/>
        <w:spacing w:line="360" w:lineRule="auto"/>
        <w:ind w:firstLine="419"/>
        <w:rPr>
          <w:rFonts w:ascii="宋体" w:hAnsi="宋体" w:eastAsia="宋体" w:cs="宋体"/>
          <w:kern w:val="0"/>
          <w:sz w:val="28"/>
          <w:szCs w:val="28"/>
        </w:rPr>
      </w:pPr>
    </w:p>
    <w:p w14:paraId="38330A07">
      <w:pPr>
        <w:spacing w:line="500" w:lineRule="exact"/>
        <w:ind w:firstLine="3360" w:firstLineChars="1400"/>
        <w:jc w:val="left"/>
        <w:rPr>
          <w:rFonts w:ascii="宋体" w:eastAsia="宋体" w:cs="Times New Roman"/>
          <w:sz w:val="24"/>
          <w:szCs w:val="22"/>
        </w:rPr>
      </w:pPr>
      <w:r>
        <w:rPr>
          <w:rFonts w:hint="eastAsia" w:ascii="宋体" w:cs="Times New Roman"/>
          <w:sz w:val="24"/>
          <w:szCs w:val="22"/>
          <w:lang w:val="en-US" w:eastAsia="zh-CN"/>
        </w:rPr>
        <w:t>投标人全称</w:t>
      </w:r>
      <w:r>
        <w:rPr>
          <w:rFonts w:ascii="宋体" w:eastAsia="宋体" w:cs="Times New Roman"/>
          <w:sz w:val="24"/>
          <w:szCs w:val="22"/>
        </w:rPr>
        <w:t>：</w:t>
      </w:r>
      <w:r>
        <w:rPr>
          <w:rFonts w:hint="eastAsia" w:ascii="宋体" w:eastAsia="宋体" w:cs="Times New Roman"/>
          <w:sz w:val="24"/>
          <w:szCs w:val="22"/>
          <w:u w:val="single"/>
        </w:rPr>
        <w:t xml:space="preserve">                          </w:t>
      </w:r>
      <w:r>
        <w:rPr>
          <w:rFonts w:ascii="宋体" w:eastAsia="宋体" w:cs="Times New Roman"/>
          <w:sz w:val="24"/>
          <w:szCs w:val="22"/>
        </w:rPr>
        <w:t>（盖</w:t>
      </w:r>
      <w:r>
        <w:rPr>
          <w:rFonts w:hint="eastAsia" w:ascii="宋体" w:eastAsia="宋体" w:cs="Times New Roman"/>
          <w:sz w:val="24"/>
          <w:szCs w:val="22"/>
        </w:rPr>
        <w:t>单位</w:t>
      </w:r>
      <w:r>
        <w:rPr>
          <w:rFonts w:ascii="宋体" w:eastAsia="宋体" w:cs="Times New Roman"/>
          <w:sz w:val="24"/>
          <w:szCs w:val="22"/>
        </w:rPr>
        <w:t>公章）</w:t>
      </w:r>
    </w:p>
    <w:p w14:paraId="2423B8F3">
      <w:pPr>
        <w:spacing w:line="500" w:lineRule="exact"/>
        <w:ind w:firstLine="3360" w:firstLineChars="1400"/>
        <w:jc w:val="left"/>
        <w:rPr>
          <w:rFonts w:ascii="宋体" w:eastAsia="宋体" w:cs="Times New Roman"/>
          <w:sz w:val="24"/>
          <w:szCs w:val="22"/>
        </w:rPr>
      </w:pPr>
      <w:r>
        <w:rPr>
          <w:rFonts w:hint="eastAsia" w:ascii="宋体" w:eastAsia="宋体" w:cs="Times New Roman"/>
          <w:sz w:val="24"/>
          <w:szCs w:val="22"/>
        </w:rPr>
        <w:t>法定代表人或授权代</w:t>
      </w:r>
      <w:r>
        <w:rPr>
          <w:rFonts w:hint="eastAsia" w:ascii="宋体" w:cs="Times New Roman"/>
          <w:sz w:val="24"/>
          <w:szCs w:val="22"/>
          <w:lang w:val="en-US" w:eastAsia="zh-CN"/>
        </w:rPr>
        <w:t>理人</w:t>
      </w:r>
      <w:r>
        <w:rPr>
          <w:rFonts w:hint="eastAsia" w:ascii="宋体" w:eastAsia="宋体" w:cs="Times New Roman"/>
          <w:sz w:val="24"/>
          <w:szCs w:val="22"/>
        </w:rPr>
        <w:t>：</w:t>
      </w:r>
      <w:r>
        <w:rPr>
          <w:rFonts w:hint="eastAsia" w:ascii="宋体" w:eastAsia="宋体" w:cs="Times New Roman"/>
          <w:sz w:val="24"/>
          <w:szCs w:val="22"/>
          <w:u w:val="single"/>
        </w:rPr>
        <w:t>　　</w:t>
      </w:r>
      <w:r>
        <w:rPr>
          <w:rFonts w:ascii="宋体" w:eastAsia="宋体" w:cs="Times New Roman"/>
          <w:sz w:val="24"/>
          <w:szCs w:val="22"/>
          <w:u w:val="single"/>
        </w:rPr>
        <w:t>　　　　　</w:t>
      </w:r>
      <w:r>
        <w:rPr>
          <w:rFonts w:hint="eastAsia" w:ascii="宋体" w:eastAsia="宋体" w:cs="Times New Roman"/>
          <w:sz w:val="24"/>
          <w:szCs w:val="22"/>
        </w:rPr>
        <w:t>（签字）</w:t>
      </w:r>
    </w:p>
    <w:p w14:paraId="1DDB359A">
      <w:pPr>
        <w:spacing w:line="500" w:lineRule="exact"/>
        <w:ind w:firstLine="3360" w:firstLineChars="1400"/>
        <w:jc w:val="left"/>
        <w:rPr>
          <w:rFonts w:ascii="宋体" w:hAnsi="宋体" w:eastAsia="宋体" w:cs="Times New Roman"/>
          <w:sz w:val="28"/>
          <w:szCs w:val="28"/>
          <w:u w:val="single"/>
        </w:rPr>
      </w:pPr>
      <w:r>
        <w:rPr>
          <w:rFonts w:ascii="宋体" w:eastAsia="宋体" w:cs="Times New Roman"/>
          <w:sz w:val="24"/>
          <w:szCs w:val="22"/>
        </w:rPr>
        <w:t>日期：</w:t>
      </w:r>
      <w:r>
        <w:rPr>
          <w:rFonts w:hint="eastAsia" w:ascii="宋体" w:eastAsia="宋体" w:cs="Times New Roman"/>
          <w:sz w:val="24"/>
          <w:szCs w:val="22"/>
          <w:u w:val="single"/>
        </w:rPr>
        <w:t xml:space="preserve">                               </w:t>
      </w:r>
    </w:p>
    <w:p w14:paraId="1379839C">
      <w:pPr>
        <w:tabs>
          <w:tab w:val="left" w:pos="4858"/>
        </w:tabs>
        <w:snapToGrid w:val="0"/>
        <w:spacing w:line="360" w:lineRule="auto"/>
        <w:ind w:firstLine="419"/>
        <w:rPr>
          <w:rFonts w:ascii="宋体" w:hAnsi="宋体" w:eastAsia="宋体" w:cs="宋体"/>
          <w:kern w:val="0"/>
          <w:sz w:val="28"/>
          <w:szCs w:val="28"/>
        </w:rPr>
      </w:pPr>
    </w:p>
    <w:p w14:paraId="55D95B66">
      <w:pPr>
        <w:bidi w:val="0"/>
        <w:rPr>
          <w:rFonts w:hint="eastAsia" w:ascii="黑体" w:hAnsi="黑体" w:eastAsia="黑体" w:cs="黑体"/>
          <w:sz w:val="32"/>
          <w:szCs w:val="32"/>
          <w:lang w:val="en-US" w:eastAsia="zh-CN"/>
        </w:rPr>
      </w:pPr>
    </w:p>
    <w:p w14:paraId="2B06AA16">
      <w:pPr>
        <w:bidi w:val="0"/>
        <w:rPr>
          <w:rFonts w:hint="eastAsia" w:ascii="黑体" w:hAnsi="黑体" w:eastAsia="黑体" w:cs="黑体"/>
          <w:sz w:val="32"/>
          <w:szCs w:val="32"/>
          <w:lang w:val="en-US" w:eastAsia="zh-CN"/>
        </w:rPr>
      </w:pPr>
    </w:p>
    <w:p w14:paraId="680186E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AAB402C">
      <w:pPr>
        <w:bidi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省级以上监狱管理局、戒毒管理局（含新疆生产建设兵团）出具的属于监狱企业的证明文件（非监狱企业不提供</w:t>
      </w:r>
      <w:r>
        <w:rPr>
          <w:rFonts w:hint="eastAsia" w:ascii="黑体" w:hAnsi="黑体" w:eastAsia="黑体" w:cs="黑体"/>
          <w:sz w:val="32"/>
          <w:szCs w:val="32"/>
          <w:lang w:eastAsia="zh-CN"/>
        </w:rPr>
        <w:t>）</w:t>
      </w:r>
      <w:bookmarkEnd w:id="29"/>
    </w:p>
    <w:p w14:paraId="3DFADD14">
      <w:pPr>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14:paraId="113B3AB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0"/>
        <w:jc w:val="center"/>
        <w:rPr>
          <w:rFonts w:hint="eastAsia" w:ascii="宋体" w:hAnsi="宋体" w:eastAsia="宋体" w:cs="宋体"/>
          <w:i w:val="0"/>
          <w:iCs w:val="0"/>
          <w:caps w:val="0"/>
          <w:color w:val="333333"/>
          <w:spacing w:val="0"/>
          <w:sz w:val="25"/>
          <w:szCs w:val="25"/>
        </w:rPr>
      </w:pPr>
      <w:r>
        <w:rPr>
          <w:rFonts w:hint="eastAsia" w:ascii="黑体" w:hAnsi="黑体" w:eastAsia="黑体" w:cs="黑体"/>
          <w:sz w:val="32"/>
          <w:szCs w:val="32"/>
          <w:lang w:val="en-US" w:eastAsia="zh-CN"/>
        </w:rPr>
        <w:t>（四）关于符合本国产品标准的声明函</w:t>
      </w:r>
    </w:p>
    <w:p w14:paraId="35A0988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i w:val="0"/>
          <w:iCs w:val="0"/>
          <w:caps w:val="0"/>
          <w:color w:val="333333"/>
          <w:spacing w:val="0"/>
          <w:sz w:val="17"/>
          <w:szCs w:val="17"/>
        </w:rPr>
      </w:pPr>
    </w:p>
    <w:p w14:paraId="4C970D7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F740F1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206178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70E65E4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p w14:paraId="57817E8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本公司（单位）对上述声明内容的真实性负责。如有虚假，愿承担相应法律责任。</w:t>
      </w:r>
    </w:p>
    <w:p w14:paraId="259673D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公司（单位）名称（盖章）：      </w:t>
      </w:r>
    </w:p>
    <w:p w14:paraId="6AD551F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　　　　　年　　月　日    </w:t>
      </w:r>
    </w:p>
    <w:p w14:paraId="330A7F7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p>
    <w:p w14:paraId="646C1FA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p>
    <w:p w14:paraId="6CCA616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_____________________________</w:t>
      </w:r>
    </w:p>
    <w:p w14:paraId="155B04B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1.产品如有型号，请在“产品名称”栏一并填写。</w:t>
      </w:r>
    </w:p>
    <w:p w14:paraId="06ED05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2.生产厂名与厂址应与生产厂营业执照载明的相关信息保持一致。</w:t>
      </w:r>
    </w:p>
    <w:p w14:paraId="7E442E6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3.该产品的中国境内生产的组件成本占比相关要求实施前，“规定比例”栏可不填，下同。</w:t>
      </w:r>
    </w:p>
    <w:p w14:paraId="11B5D36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4.该产品的关键组件要求实施前，“关键组件”栏可不填，下同。</w:t>
      </w:r>
    </w:p>
    <w:p w14:paraId="6D4E6FA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42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5.该产品的关键工序要求实施前，“关键工序”栏可不填，下同。</w:t>
      </w:r>
    </w:p>
    <w:p w14:paraId="06AD1AD8">
      <w:pPr>
        <w:bidi w:val="0"/>
        <w:rPr>
          <w:rFonts w:hint="eastAsia" w:ascii="黑体" w:hAnsi="黑体" w:eastAsia="黑体" w:cs="黑体"/>
          <w:sz w:val="32"/>
          <w:szCs w:val="32"/>
          <w:lang w:eastAsia="zh-CN"/>
        </w:rPr>
      </w:pPr>
      <w:r>
        <w:rPr>
          <w:rFonts w:hint="eastAsia" w:ascii="宋体" w:hAnsi="宋体" w:eastAsia="宋体" w:cs="宋体"/>
          <w:kern w:val="0"/>
          <w:sz w:val="24"/>
          <w:szCs w:val="24"/>
          <w:lang w:val="en-US" w:eastAsia="zh-CN" w:bidi="ar-SA"/>
        </w:rPr>
        <w:br w:type="page"/>
      </w:r>
    </w:p>
    <w:sectPr>
      <w:headerReference r:id="rId20" w:type="default"/>
      <w:footerReference r:id="rId21" w:type="default"/>
      <w:pgSz w:w="11906" w:h="16838"/>
      <w:pgMar w:top="1440" w:right="1080" w:bottom="1440" w:left="1080" w:header="851" w:footer="992" w:gutter="0"/>
      <w:pgNumType w:fmt="decimal"/>
      <w:cols w:space="0" w:num="1"/>
      <w:rtlGutter w:val="0"/>
      <w:docGrid w:type="line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4E293">
    <w:pPr>
      <w:pStyle w:val="12"/>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2F94">
    <w:pPr>
      <w:pStyle w:val="9"/>
      <w:spacing w:line="229" w:lineRule="auto"/>
      <w:jc w:val="center"/>
      <w:rPr>
        <w:rFonts w:hint="default" w:eastAsiaTheme="minorEastAsia"/>
        <w:sz w:val="18"/>
        <w:szCs w:val="18"/>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A80F0">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11A80F0">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2BB6">
    <w:pPr>
      <w:pStyle w:val="12"/>
      <w:jc w:val="center"/>
      <w:rPr>
        <w:rFonts w:hint="default" w:eastAsiaTheme="minorEastAsia"/>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D560E">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7D560E">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2F689">
    <w:pPr>
      <w:pStyle w:val="12"/>
      <w:rPr>
        <w:rFonts w:hint="default" w:eastAsiaTheme="minorEastAsia"/>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D27DF">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1D27DF">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lang w:val="en-US" w:eastAsia="zh-CN"/>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2FF6">
    <w:pPr>
      <w:pStyle w:val="12"/>
      <w:jc w:val="center"/>
      <w:rPr>
        <w:rFonts w:hint="default" w:eastAsiaTheme="minorEastAsia"/>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0ABAC">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FA0ABAC">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C36E">
    <w:pPr>
      <w:pStyle w:val="12"/>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0616">
    <w:pPr>
      <w:pStyle w:val="12"/>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E9209">
                          <w:pPr>
                            <w:pStyle w:val="1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6EE9209">
                    <w:pPr>
                      <w:pStyle w:val="12"/>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B9B1">
    <w:pPr>
      <w:pStyle w:val="12"/>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1317B9">
                          <w:pPr>
                            <w:pStyle w:val="1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E1317B9">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8AC1">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4D5C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14D5C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08C3D">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085DA">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3085DA">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C36DA">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9CD6D">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69CD6D">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0735">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CEDDF">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3CCEDDF">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C08A">
    <w:pPr>
      <w:pStyle w:val="9"/>
      <w:spacing w:line="229" w:lineRule="auto"/>
      <w:ind w:left="6526"/>
      <w:rPr>
        <w:rFonts w:hint="default" w:eastAsiaTheme="minorEastAsia"/>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7464C">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417464C">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E90E">
    <w:pPr>
      <w:pStyle w:val="9"/>
      <w:spacing w:before="48" w:line="219" w:lineRule="auto"/>
      <w:ind w:left="27"/>
      <w:rPr>
        <w:rFonts w:hint="eastAsia" w:eastAsia="宋体"/>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A117">
    <w:pPr>
      <w:pStyle w:val="9"/>
      <w:spacing w:before="48" w:line="219" w:lineRule="auto"/>
      <w:ind w:left="27"/>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7BF6">
    <w:pPr>
      <w:pStyle w:val="9"/>
      <w:spacing w:line="240" w:lineRule="auto"/>
      <w:ind w:left="0"/>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2452">
    <w:pPr>
      <w:pStyle w:val="14"/>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1BCF">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B40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C125F"/>
    <w:multiLevelType w:val="singleLevel"/>
    <w:tmpl w:val="A57C125F"/>
    <w:lvl w:ilvl="0" w:tentative="0">
      <w:start w:val="1"/>
      <w:numFmt w:val="decimal"/>
      <w:pStyle w:val="8"/>
      <w:lvlText w:val="%1."/>
      <w:lvlJc w:val="left"/>
      <w:pPr>
        <w:tabs>
          <w:tab w:val="left" w:pos="360"/>
        </w:tabs>
        <w:ind w:left="360" w:hanging="360"/>
      </w:pPr>
    </w:lvl>
  </w:abstractNum>
  <w:abstractNum w:abstractNumId="1">
    <w:nsid w:val="D4B47AFD"/>
    <w:multiLevelType w:val="singleLevel"/>
    <w:tmpl w:val="D4B47AFD"/>
    <w:lvl w:ilvl="0" w:tentative="0">
      <w:start w:val="3"/>
      <w:numFmt w:val="decimal"/>
      <w:lvlText w:val="%1."/>
      <w:lvlJc w:val="left"/>
      <w:pPr>
        <w:tabs>
          <w:tab w:val="left" w:pos="312"/>
        </w:tabs>
      </w:pPr>
    </w:lvl>
  </w:abstractNum>
  <w:abstractNum w:abstractNumId="2">
    <w:nsid w:val="D7A5932A"/>
    <w:multiLevelType w:val="singleLevel"/>
    <w:tmpl w:val="D7A5932A"/>
    <w:lvl w:ilvl="0" w:tentative="0">
      <w:start w:val="1"/>
      <w:numFmt w:val="chineseCounting"/>
      <w:suff w:val="nothing"/>
      <w:lvlText w:val="（%1）"/>
      <w:lvlJc w:val="left"/>
      <w:rPr>
        <w:rFonts w:hint="eastAsia"/>
      </w:rPr>
    </w:lvl>
  </w:abstractNum>
  <w:abstractNum w:abstractNumId="3">
    <w:nsid w:val="E8A67870"/>
    <w:multiLevelType w:val="singleLevel"/>
    <w:tmpl w:val="E8A67870"/>
    <w:lvl w:ilvl="0" w:tentative="0">
      <w:start w:val="3"/>
      <w:numFmt w:val="chineseCounting"/>
      <w:suff w:val="nothing"/>
      <w:lvlText w:val="%1、"/>
      <w:lvlJc w:val="left"/>
      <w:rPr>
        <w:rFonts w:hint="eastAsia"/>
      </w:rPr>
    </w:lvl>
  </w:abstractNum>
  <w:abstractNum w:abstractNumId="4">
    <w:nsid w:val="0000000E"/>
    <w:multiLevelType w:val="multilevel"/>
    <w:tmpl w:val="0000000E"/>
    <w:lvl w:ilvl="0" w:tentative="0">
      <w:start w:val="1"/>
      <w:numFmt w:val="bullet"/>
      <w:pStyle w:val="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21E777E3"/>
    <w:multiLevelType w:val="singleLevel"/>
    <w:tmpl w:val="21E777E3"/>
    <w:lvl w:ilvl="0" w:tentative="0">
      <w:start w:val="2"/>
      <w:numFmt w:val="chineseCounting"/>
      <w:suff w:val="nothing"/>
      <w:lvlText w:val="（%1）"/>
      <w:lvlJc w:val="left"/>
      <w:rPr>
        <w:rFonts w:hint="eastAsia"/>
      </w:rPr>
    </w:lvl>
  </w:abstractNum>
  <w:abstractNum w:abstractNumId="6">
    <w:nsid w:val="2B3EAC1D"/>
    <w:multiLevelType w:val="singleLevel"/>
    <w:tmpl w:val="2B3EAC1D"/>
    <w:lvl w:ilvl="0" w:tentative="0">
      <w:start w:val="3"/>
      <w:numFmt w:val="chineseCounting"/>
      <w:suff w:val="space"/>
      <w:lvlText w:val="第%1章"/>
      <w:lvlJc w:val="left"/>
      <w:rPr>
        <w:rFonts w:hint="eastAsia"/>
      </w:rPr>
    </w:lvl>
  </w:abstractNum>
  <w:abstractNum w:abstractNumId="7">
    <w:nsid w:val="2E6D5892"/>
    <w:multiLevelType w:val="multilevel"/>
    <w:tmpl w:val="2E6D589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4980006"/>
    <w:multiLevelType w:val="singleLevel"/>
    <w:tmpl w:val="34980006"/>
    <w:lvl w:ilvl="0" w:tentative="0">
      <w:start w:val="6"/>
      <w:numFmt w:val="chineseCounting"/>
      <w:suff w:val="nothing"/>
      <w:lvlText w:val="（%1）"/>
      <w:lvlJc w:val="left"/>
      <w:rPr>
        <w:rFonts w:hint="eastAsia"/>
      </w:rPr>
    </w:lvl>
  </w:abstractNum>
  <w:abstractNum w:abstractNumId="9">
    <w:nsid w:val="3C0178DD"/>
    <w:multiLevelType w:val="singleLevel"/>
    <w:tmpl w:val="3C0178DD"/>
    <w:lvl w:ilvl="0" w:tentative="0">
      <w:start w:val="2"/>
      <w:numFmt w:val="decimal"/>
      <w:suff w:val="nothing"/>
      <w:lvlText w:val="%1、"/>
      <w:lvlJc w:val="left"/>
      <w:pPr>
        <w:ind w:left="-60"/>
      </w:pPr>
      <w:rPr>
        <w:rFonts w:hint="default" w:ascii="宋体" w:hAnsi="宋体" w:eastAsia="宋体" w:cs="宋体"/>
        <w:sz w:val="24"/>
        <w:szCs w:val="24"/>
      </w:rPr>
    </w:lvl>
  </w:abstractNum>
  <w:abstractNum w:abstractNumId="10">
    <w:nsid w:val="5E163C57"/>
    <w:multiLevelType w:val="singleLevel"/>
    <w:tmpl w:val="5E163C57"/>
    <w:lvl w:ilvl="0" w:tentative="0">
      <w:start w:val="1"/>
      <w:numFmt w:val="chineseCounting"/>
      <w:suff w:val="space"/>
      <w:lvlText w:val="第%1部分"/>
      <w:lvlJc w:val="left"/>
      <w:rPr>
        <w:rFonts w:hint="eastAsia"/>
      </w:rPr>
    </w:lvl>
  </w:abstractNum>
  <w:num w:numId="1">
    <w:abstractNumId w:val="0"/>
  </w:num>
  <w:num w:numId="2">
    <w:abstractNumId w:val="4"/>
  </w:num>
  <w:num w:numId="3">
    <w:abstractNumId w:val="1"/>
  </w:num>
  <w:num w:numId="4">
    <w:abstractNumId w:val="6"/>
  </w:num>
  <w:num w:numId="5">
    <w:abstractNumId w:val="10"/>
  </w:num>
  <w:num w:numId="6">
    <w:abstractNumId w:val="3"/>
  </w:num>
  <w:num w:numId="7">
    <w:abstractNumId w:val="8"/>
  </w:num>
  <w:num w:numId="8">
    <w:abstractNumId w:val="5"/>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41793"/>
    <w:rsid w:val="00AF1302"/>
    <w:rsid w:val="00B80ABA"/>
    <w:rsid w:val="01311D17"/>
    <w:rsid w:val="01C0753F"/>
    <w:rsid w:val="02251150"/>
    <w:rsid w:val="02325913"/>
    <w:rsid w:val="02327F93"/>
    <w:rsid w:val="033C0E47"/>
    <w:rsid w:val="03B40949"/>
    <w:rsid w:val="03E65C04"/>
    <w:rsid w:val="046B5540"/>
    <w:rsid w:val="04B073F7"/>
    <w:rsid w:val="04B70854"/>
    <w:rsid w:val="04BF588C"/>
    <w:rsid w:val="051B4D2D"/>
    <w:rsid w:val="0548762F"/>
    <w:rsid w:val="056E4C96"/>
    <w:rsid w:val="058D14E6"/>
    <w:rsid w:val="05E70385"/>
    <w:rsid w:val="065D535C"/>
    <w:rsid w:val="06A94D84"/>
    <w:rsid w:val="06DB3A69"/>
    <w:rsid w:val="0708351A"/>
    <w:rsid w:val="075D7F93"/>
    <w:rsid w:val="075E313A"/>
    <w:rsid w:val="08040C81"/>
    <w:rsid w:val="083B16CD"/>
    <w:rsid w:val="087B405D"/>
    <w:rsid w:val="08950BEB"/>
    <w:rsid w:val="08D54A04"/>
    <w:rsid w:val="08F74F57"/>
    <w:rsid w:val="09302789"/>
    <w:rsid w:val="09320A66"/>
    <w:rsid w:val="09AD42D5"/>
    <w:rsid w:val="0A514B12"/>
    <w:rsid w:val="0A6274AF"/>
    <w:rsid w:val="0A6F1B02"/>
    <w:rsid w:val="0A951B0C"/>
    <w:rsid w:val="0AC736EC"/>
    <w:rsid w:val="0B0264D2"/>
    <w:rsid w:val="0B701CD3"/>
    <w:rsid w:val="0BAA5D2C"/>
    <w:rsid w:val="0BC83278"/>
    <w:rsid w:val="0C027923"/>
    <w:rsid w:val="0C645302"/>
    <w:rsid w:val="0C7D0506"/>
    <w:rsid w:val="0C9D235E"/>
    <w:rsid w:val="0D5E5D06"/>
    <w:rsid w:val="0D892BBA"/>
    <w:rsid w:val="0D8B78A1"/>
    <w:rsid w:val="0D9301F9"/>
    <w:rsid w:val="0DA73361"/>
    <w:rsid w:val="0DBF0971"/>
    <w:rsid w:val="0DE1181F"/>
    <w:rsid w:val="0E0A127B"/>
    <w:rsid w:val="0E0F1632"/>
    <w:rsid w:val="0E2F75DE"/>
    <w:rsid w:val="0E3C339E"/>
    <w:rsid w:val="0EBA63D8"/>
    <w:rsid w:val="0ED61E61"/>
    <w:rsid w:val="0EF477B8"/>
    <w:rsid w:val="0F3330FE"/>
    <w:rsid w:val="0F5177B8"/>
    <w:rsid w:val="0FAD4E25"/>
    <w:rsid w:val="0FAE09D7"/>
    <w:rsid w:val="0FB33E5B"/>
    <w:rsid w:val="0FEF0BE3"/>
    <w:rsid w:val="104301EB"/>
    <w:rsid w:val="10525FBD"/>
    <w:rsid w:val="105D523A"/>
    <w:rsid w:val="106F2C99"/>
    <w:rsid w:val="10986CD2"/>
    <w:rsid w:val="10993435"/>
    <w:rsid w:val="11406647"/>
    <w:rsid w:val="1144541B"/>
    <w:rsid w:val="11976FCC"/>
    <w:rsid w:val="11A074D0"/>
    <w:rsid w:val="11CC15E8"/>
    <w:rsid w:val="11F34DC7"/>
    <w:rsid w:val="11FE5946"/>
    <w:rsid w:val="126006AE"/>
    <w:rsid w:val="12767A99"/>
    <w:rsid w:val="13596EAB"/>
    <w:rsid w:val="137943F0"/>
    <w:rsid w:val="138819DA"/>
    <w:rsid w:val="138E4DA7"/>
    <w:rsid w:val="14CF6D94"/>
    <w:rsid w:val="14E1184E"/>
    <w:rsid w:val="14E96F1B"/>
    <w:rsid w:val="15085E10"/>
    <w:rsid w:val="150A2B53"/>
    <w:rsid w:val="152029C3"/>
    <w:rsid w:val="15475B55"/>
    <w:rsid w:val="156E5E33"/>
    <w:rsid w:val="158029B8"/>
    <w:rsid w:val="158D16D2"/>
    <w:rsid w:val="16111CBF"/>
    <w:rsid w:val="16A469D8"/>
    <w:rsid w:val="16BC0089"/>
    <w:rsid w:val="176D73C9"/>
    <w:rsid w:val="17836BED"/>
    <w:rsid w:val="17863BF3"/>
    <w:rsid w:val="17D22517"/>
    <w:rsid w:val="185F1FF0"/>
    <w:rsid w:val="193C7053"/>
    <w:rsid w:val="19661867"/>
    <w:rsid w:val="19771B7E"/>
    <w:rsid w:val="198033E4"/>
    <w:rsid w:val="1991178C"/>
    <w:rsid w:val="199C1D9C"/>
    <w:rsid w:val="1A206975"/>
    <w:rsid w:val="1A4626D7"/>
    <w:rsid w:val="1A824F3A"/>
    <w:rsid w:val="1AB04E2D"/>
    <w:rsid w:val="1BAB66FB"/>
    <w:rsid w:val="1BBB0703"/>
    <w:rsid w:val="1C330A4C"/>
    <w:rsid w:val="1C4A5F2B"/>
    <w:rsid w:val="1C596C3B"/>
    <w:rsid w:val="1C6C4192"/>
    <w:rsid w:val="1D5C1A72"/>
    <w:rsid w:val="1D626B1F"/>
    <w:rsid w:val="1D74205C"/>
    <w:rsid w:val="1D930B2E"/>
    <w:rsid w:val="1DD72230"/>
    <w:rsid w:val="1DFB74DD"/>
    <w:rsid w:val="1E036392"/>
    <w:rsid w:val="1E684081"/>
    <w:rsid w:val="1E780B2E"/>
    <w:rsid w:val="1E796654"/>
    <w:rsid w:val="1E935967"/>
    <w:rsid w:val="1EAF500A"/>
    <w:rsid w:val="1EF550AA"/>
    <w:rsid w:val="1EFA416B"/>
    <w:rsid w:val="1F3C0DB3"/>
    <w:rsid w:val="20193933"/>
    <w:rsid w:val="20267FF6"/>
    <w:rsid w:val="20A53730"/>
    <w:rsid w:val="20C65066"/>
    <w:rsid w:val="211865F8"/>
    <w:rsid w:val="212033D0"/>
    <w:rsid w:val="218A7094"/>
    <w:rsid w:val="219A3FB0"/>
    <w:rsid w:val="22174B15"/>
    <w:rsid w:val="22855306"/>
    <w:rsid w:val="22F10EAE"/>
    <w:rsid w:val="244A3FA3"/>
    <w:rsid w:val="248D4F84"/>
    <w:rsid w:val="24E44670"/>
    <w:rsid w:val="24FE21EF"/>
    <w:rsid w:val="25802233"/>
    <w:rsid w:val="25937D6F"/>
    <w:rsid w:val="25BB5C64"/>
    <w:rsid w:val="25F0544D"/>
    <w:rsid w:val="25F64472"/>
    <w:rsid w:val="26063C58"/>
    <w:rsid w:val="2625637B"/>
    <w:rsid w:val="264A744F"/>
    <w:rsid w:val="2661634B"/>
    <w:rsid w:val="267F4FC0"/>
    <w:rsid w:val="26881B2A"/>
    <w:rsid w:val="26E479C8"/>
    <w:rsid w:val="27005865"/>
    <w:rsid w:val="279664C8"/>
    <w:rsid w:val="27977369"/>
    <w:rsid w:val="27C2242C"/>
    <w:rsid w:val="28341F69"/>
    <w:rsid w:val="284D6B87"/>
    <w:rsid w:val="28F04D60"/>
    <w:rsid w:val="294C32E2"/>
    <w:rsid w:val="295D729E"/>
    <w:rsid w:val="29A53BD5"/>
    <w:rsid w:val="29B919C2"/>
    <w:rsid w:val="2A077209"/>
    <w:rsid w:val="2AB86417"/>
    <w:rsid w:val="2AC375D4"/>
    <w:rsid w:val="2AD76BDC"/>
    <w:rsid w:val="2AFE685E"/>
    <w:rsid w:val="2B534060"/>
    <w:rsid w:val="2C513230"/>
    <w:rsid w:val="2C7F3E66"/>
    <w:rsid w:val="2C972AC7"/>
    <w:rsid w:val="2CD86C3B"/>
    <w:rsid w:val="2CF8788B"/>
    <w:rsid w:val="2D08068E"/>
    <w:rsid w:val="2D46629B"/>
    <w:rsid w:val="2D7B23E8"/>
    <w:rsid w:val="2E310CF9"/>
    <w:rsid w:val="2EFB6EB3"/>
    <w:rsid w:val="2F080DDB"/>
    <w:rsid w:val="2F2A5E74"/>
    <w:rsid w:val="2F803CE6"/>
    <w:rsid w:val="2F8D3DE5"/>
    <w:rsid w:val="2FC516F9"/>
    <w:rsid w:val="2FD53980"/>
    <w:rsid w:val="30036ACC"/>
    <w:rsid w:val="30D15875"/>
    <w:rsid w:val="316F017B"/>
    <w:rsid w:val="3179279B"/>
    <w:rsid w:val="31ED5D31"/>
    <w:rsid w:val="31FE0EF2"/>
    <w:rsid w:val="32267A6D"/>
    <w:rsid w:val="3276694F"/>
    <w:rsid w:val="32A3678D"/>
    <w:rsid w:val="32A45C76"/>
    <w:rsid w:val="33373D6F"/>
    <w:rsid w:val="337D5AB4"/>
    <w:rsid w:val="33B22CAA"/>
    <w:rsid w:val="33E97E17"/>
    <w:rsid w:val="34313801"/>
    <w:rsid w:val="3478202F"/>
    <w:rsid w:val="34AF4725"/>
    <w:rsid w:val="34FB2229"/>
    <w:rsid w:val="350D601C"/>
    <w:rsid w:val="35111E8D"/>
    <w:rsid w:val="352549E8"/>
    <w:rsid w:val="35470E02"/>
    <w:rsid w:val="35546B2F"/>
    <w:rsid w:val="36241145"/>
    <w:rsid w:val="366F23BE"/>
    <w:rsid w:val="369C3EB5"/>
    <w:rsid w:val="36AC3612"/>
    <w:rsid w:val="36E55E1E"/>
    <w:rsid w:val="371C0798"/>
    <w:rsid w:val="376E43E1"/>
    <w:rsid w:val="377D0435"/>
    <w:rsid w:val="37BC51C9"/>
    <w:rsid w:val="37C64260"/>
    <w:rsid w:val="37E76B1F"/>
    <w:rsid w:val="38216F32"/>
    <w:rsid w:val="385A5F14"/>
    <w:rsid w:val="388C30C6"/>
    <w:rsid w:val="393D67A4"/>
    <w:rsid w:val="39412182"/>
    <w:rsid w:val="39581830"/>
    <w:rsid w:val="396B1563"/>
    <w:rsid w:val="39AD4EB7"/>
    <w:rsid w:val="39BC2B0E"/>
    <w:rsid w:val="39DA4E22"/>
    <w:rsid w:val="39F3020A"/>
    <w:rsid w:val="3A6A62B8"/>
    <w:rsid w:val="3A77515E"/>
    <w:rsid w:val="3ABE56C2"/>
    <w:rsid w:val="3AC0143A"/>
    <w:rsid w:val="3B516536"/>
    <w:rsid w:val="3B6F39E6"/>
    <w:rsid w:val="3B7F4E52"/>
    <w:rsid w:val="3BCB0097"/>
    <w:rsid w:val="3BCF26D5"/>
    <w:rsid w:val="3C130856"/>
    <w:rsid w:val="3C8C2109"/>
    <w:rsid w:val="3C9A33CF"/>
    <w:rsid w:val="3CAD59EE"/>
    <w:rsid w:val="3CC602B2"/>
    <w:rsid w:val="3CE82ECA"/>
    <w:rsid w:val="3CF873C3"/>
    <w:rsid w:val="3D1B53C1"/>
    <w:rsid w:val="3D881438"/>
    <w:rsid w:val="3E1E56B6"/>
    <w:rsid w:val="3E647289"/>
    <w:rsid w:val="3E767F89"/>
    <w:rsid w:val="3E8A5EF5"/>
    <w:rsid w:val="3E9926CE"/>
    <w:rsid w:val="3EBB3083"/>
    <w:rsid w:val="3EED5649"/>
    <w:rsid w:val="3EEE3354"/>
    <w:rsid w:val="3F0E7B3C"/>
    <w:rsid w:val="3F147FA7"/>
    <w:rsid w:val="3F402B4A"/>
    <w:rsid w:val="3F880F92"/>
    <w:rsid w:val="3FA4757D"/>
    <w:rsid w:val="3FD11010"/>
    <w:rsid w:val="404E0A08"/>
    <w:rsid w:val="40513E02"/>
    <w:rsid w:val="406E6983"/>
    <w:rsid w:val="40844CB8"/>
    <w:rsid w:val="40994C08"/>
    <w:rsid w:val="40C33A32"/>
    <w:rsid w:val="40D60CD4"/>
    <w:rsid w:val="40E666D6"/>
    <w:rsid w:val="40E83499"/>
    <w:rsid w:val="41115DF2"/>
    <w:rsid w:val="411532F9"/>
    <w:rsid w:val="419E1DAA"/>
    <w:rsid w:val="42244A89"/>
    <w:rsid w:val="42245AE5"/>
    <w:rsid w:val="4253798E"/>
    <w:rsid w:val="434353C7"/>
    <w:rsid w:val="43A25D12"/>
    <w:rsid w:val="43EE0D41"/>
    <w:rsid w:val="440C75E1"/>
    <w:rsid w:val="44AA58B3"/>
    <w:rsid w:val="44F72DB5"/>
    <w:rsid w:val="44FC5765"/>
    <w:rsid w:val="451A3E3D"/>
    <w:rsid w:val="454456EB"/>
    <w:rsid w:val="45AD3D25"/>
    <w:rsid w:val="45B222C8"/>
    <w:rsid w:val="45BF4D04"/>
    <w:rsid w:val="461A4C03"/>
    <w:rsid w:val="461E170B"/>
    <w:rsid w:val="4680230D"/>
    <w:rsid w:val="46AC1F74"/>
    <w:rsid w:val="46EF571E"/>
    <w:rsid w:val="470E5CA3"/>
    <w:rsid w:val="475A6773"/>
    <w:rsid w:val="47617B01"/>
    <w:rsid w:val="47971775"/>
    <w:rsid w:val="47B937DD"/>
    <w:rsid w:val="48241D13"/>
    <w:rsid w:val="482963CC"/>
    <w:rsid w:val="484415AB"/>
    <w:rsid w:val="48AE5CCA"/>
    <w:rsid w:val="48C04CFB"/>
    <w:rsid w:val="48C70A78"/>
    <w:rsid w:val="48DA5DBD"/>
    <w:rsid w:val="48F47D20"/>
    <w:rsid w:val="492722D8"/>
    <w:rsid w:val="49276B29"/>
    <w:rsid w:val="495B0491"/>
    <w:rsid w:val="495F669C"/>
    <w:rsid w:val="49A26776"/>
    <w:rsid w:val="49B16203"/>
    <w:rsid w:val="4A7F37E7"/>
    <w:rsid w:val="4A933FA2"/>
    <w:rsid w:val="4B095826"/>
    <w:rsid w:val="4B46773A"/>
    <w:rsid w:val="4B58121B"/>
    <w:rsid w:val="4BD06085"/>
    <w:rsid w:val="4C2B4E0D"/>
    <w:rsid w:val="4C3752D5"/>
    <w:rsid w:val="4C5F10AF"/>
    <w:rsid w:val="4C690F25"/>
    <w:rsid w:val="4CAC7A71"/>
    <w:rsid w:val="4CB9412E"/>
    <w:rsid w:val="4CBA03DF"/>
    <w:rsid w:val="4CCC2AA1"/>
    <w:rsid w:val="4D1B3617"/>
    <w:rsid w:val="4D2543F3"/>
    <w:rsid w:val="4D2D77B9"/>
    <w:rsid w:val="4D5F39A7"/>
    <w:rsid w:val="4D5F4AE3"/>
    <w:rsid w:val="4D634C6F"/>
    <w:rsid w:val="4D8D4BF9"/>
    <w:rsid w:val="4DC94652"/>
    <w:rsid w:val="4DEB6377"/>
    <w:rsid w:val="4E38634E"/>
    <w:rsid w:val="4E760336"/>
    <w:rsid w:val="4ECA3C30"/>
    <w:rsid w:val="4EE7471F"/>
    <w:rsid w:val="4F09007C"/>
    <w:rsid w:val="4F32292B"/>
    <w:rsid w:val="4F9F7D1D"/>
    <w:rsid w:val="4FCB6964"/>
    <w:rsid w:val="4FE6006B"/>
    <w:rsid w:val="4FE65048"/>
    <w:rsid w:val="501469A5"/>
    <w:rsid w:val="50720FD1"/>
    <w:rsid w:val="50AC2F04"/>
    <w:rsid w:val="50C11611"/>
    <w:rsid w:val="50D64562"/>
    <w:rsid w:val="50DA7848"/>
    <w:rsid w:val="510D4856"/>
    <w:rsid w:val="51851541"/>
    <w:rsid w:val="51B8783B"/>
    <w:rsid w:val="51E47CAD"/>
    <w:rsid w:val="520254C7"/>
    <w:rsid w:val="524D7600"/>
    <w:rsid w:val="52CB2066"/>
    <w:rsid w:val="531A4A3E"/>
    <w:rsid w:val="531E0D47"/>
    <w:rsid w:val="532C2B8D"/>
    <w:rsid w:val="5359386A"/>
    <w:rsid w:val="5376752B"/>
    <w:rsid w:val="53883286"/>
    <w:rsid w:val="53BB67EB"/>
    <w:rsid w:val="54444A33"/>
    <w:rsid w:val="544E0E36"/>
    <w:rsid w:val="54985596"/>
    <w:rsid w:val="56871A17"/>
    <w:rsid w:val="571D0B6B"/>
    <w:rsid w:val="576573E0"/>
    <w:rsid w:val="58D92B58"/>
    <w:rsid w:val="592171A5"/>
    <w:rsid w:val="599E6993"/>
    <w:rsid w:val="59C16067"/>
    <w:rsid w:val="59E3160A"/>
    <w:rsid w:val="5A2A3C66"/>
    <w:rsid w:val="5A6279C1"/>
    <w:rsid w:val="5B6634E0"/>
    <w:rsid w:val="5C274050"/>
    <w:rsid w:val="5C412842"/>
    <w:rsid w:val="5C642D9E"/>
    <w:rsid w:val="5C700A30"/>
    <w:rsid w:val="5C7207E3"/>
    <w:rsid w:val="5CB20421"/>
    <w:rsid w:val="5D7F7E98"/>
    <w:rsid w:val="5DAD7A63"/>
    <w:rsid w:val="5DC037D1"/>
    <w:rsid w:val="5DF748C4"/>
    <w:rsid w:val="5E4473C0"/>
    <w:rsid w:val="5E4A390B"/>
    <w:rsid w:val="5E5E4943"/>
    <w:rsid w:val="5ECC7AFE"/>
    <w:rsid w:val="5F223BC2"/>
    <w:rsid w:val="5F265202"/>
    <w:rsid w:val="5F681F1D"/>
    <w:rsid w:val="5FA82319"/>
    <w:rsid w:val="5FBA4B28"/>
    <w:rsid w:val="5FF748EF"/>
    <w:rsid w:val="60127CE4"/>
    <w:rsid w:val="602F593A"/>
    <w:rsid w:val="607D270E"/>
    <w:rsid w:val="608963C4"/>
    <w:rsid w:val="60F11A9E"/>
    <w:rsid w:val="618D60F0"/>
    <w:rsid w:val="61A82AA5"/>
    <w:rsid w:val="61DA0784"/>
    <w:rsid w:val="62371795"/>
    <w:rsid w:val="628F4866"/>
    <w:rsid w:val="629244AA"/>
    <w:rsid w:val="62D14FEA"/>
    <w:rsid w:val="63224D28"/>
    <w:rsid w:val="63520F1A"/>
    <w:rsid w:val="63A86D8C"/>
    <w:rsid w:val="63D47B81"/>
    <w:rsid w:val="640A4D80"/>
    <w:rsid w:val="641E704E"/>
    <w:rsid w:val="642D549C"/>
    <w:rsid w:val="644717AE"/>
    <w:rsid w:val="64682077"/>
    <w:rsid w:val="647A1DAB"/>
    <w:rsid w:val="64D4770D"/>
    <w:rsid w:val="64D91F61"/>
    <w:rsid w:val="651A5A67"/>
    <w:rsid w:val="65915CB3"/>
    <w:rsid w:val="661C67E7"/>
    <w:rsid w:val="66A80E51"/>
    <w:rsid w:val="66B71094"/>
    <w:rsid w:val="66D012F6"/>
    <w:rsid w:val="66D80856"/>
    <w:rsid w:val="66DF67AD"/>
    <w:rsid w:val="66FC2448"/>
    <w:rsid w:val="67DC5256"/>
    <w:rsid w:val="67FC3283"/>
    <w:rsid w:val="68945B31"/>
    <w:rsid w:val="68B91D64"/>
    <w:rsid w:val="69136A00"/>
    <w:rsid w:val="692A1FF1"/>
    <w:rsid w:val="69714EEF"/>
    <w:rsid w:val="6A3C0286"/>
    <w:rsid w:val="6A670A9A"/>
    <w:rsid w:val="6A6E78BD"/>
    <w:rsid w:val="6AA61E14"/>
    <w:rsid w:val="6B120F8F"/>
    <w:rsid w:val="6B9876E6"/>
    <w:rsid w:val="6BA86DB0"/>
    <w:rsid w:val="6BE87193"/>
    <w:rsid w:val="6BF00E57"/>
    <w:rsid w:val="6BF84629"/>
    <w:rsid w:val="6C022256"/>
    <w:rsid w:val="6C1653E3"/>
    <w:rsid w:val="6C256AA0"/>
    <w:rsid w:val="6C2C4D3D"/>
    <w:rsid w:val="6C4038DA"/>
    <w:rsid w:val="6C551A8A"/>
    <w:rsid w:val="6C974E1B"/>
    <w:rsid w:val="6CAB3449"/>
    <w:rsid w:val="6CC369E5"/>
    <w:rsid w:val="6CE51FB7"/>
    <w:rsid w:val="6D390A55"/>
    <w:rsid w:val="6D617FAC"/>
    <w:rsid w:val="6D994382"/>
    <w:rsid w:val="6DA27E2E"/>
    <w:rsid w:val="6E585FED"/>
    <w:rsid w:val="6E982293"/>
    <w:rsid w:val="6F421950"/>
    <w:rsid w:val="6F641307"/>
    <w:rsid w:val="6F6F69B0"/>
    <w:rsid w:val="6F854184"/>
    <w:rsid w:val="6F8A3A5A"/>
    <w:rsid w:val="6FC767EC"/>
    <w:rsid w:val="6FED3784"/>
    <w:rsid w:val="706C7393"/>
    <w:rsid w:val="70903082"/>
    <w:rsid w:val="712612F0"/>
    <w:rsid w:val="715471F1"/>
    <w:rsid w:val="725825E1"/>
    <w:rsid w:val="72D134DE"/>
    <w:rsid w:val="74062216"/>
    <w:rsid w:val="74322E3B"/>
    <w:rsid w:val="745259E7"/>
    <w:rsid w:val="74CF6FAB"/>
    <w:rsid w:val="74F00593"/>
    <w:rsid w:val="75091676"/>
    <w:rsid w:val="752031DA"/>
    <w:rsid w:val="75C66AF3"/>
    <w:rsid w:val="75D57F4E"/>
    <w:rsid w:val="763B3A90"/>
    <w:rsid w:val="7652787A"/>
    <w:rsid w:val="778564C3"/>
    <w:rsid w:val="77882D05"/>
    <w:rsid w:val="77AE3B8F"/>
    <w:rsid w:val="77B7489D"/>
    <w:rsid w:val="77BF2801"/>
    <w:rsid w:val="77DE1DAF"/>
    <w:rsid w:val="780C209B"/>
    <w:rsid w:val="78232A2D"/>
    <w:rsid w:val="783D765C"/>
    <w:rsid w:val="78882890"/>
    <w:rsid w:val="79222CE5"/>
    <w:rsid w:val="79312F28"/>
    <w:rsid w:val="79942D72"/>
    <w:rsid w:val="79D93511"/>
    <w:rsid w:val="7A342CD0"/>
    <w:rsid w:val="7A903103"/>
    <w:rsid w:val="7B3220BE"/>
    <w:rsid w:val="7B566455"/>
    <w:rsid w:val="7C320365"/>
    <w:rsid w:val="7CB5141A"/>
    <w:rsid w:val="7CEE7D6F"/>
    <w:rsid w:val="7CF82162"/>
    <w:rsid w:val="7CFB7AD5"/>
    <w:rsid w:val="7DA27169"/>
    <w:rsid w:val="7DEB0C75"/>
    <w:rsid w:val="7DF46620"/>
    <w:rsid w:val="7E14306B"/>
    <w:rsid w:val="7E3226E9"/>
    <w:rsid w:val="7E430455"/>
    <w:rsid w:val="7EE051D4"/>
    <w:rsid w:val="7F3428B4"/>
    <w:rsid w:val="7FCC5758"/>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8">
    <w:name w:val="List Number"/>
    <w:basedOn w:val="1"/>
    <w:qFormat/>
    <w:uiPriority w:val="0"/>
    <w:pPr>
      <w:numPr>
        <w:ilvl w:val="0"/>
        <w:numId w:val="1"/>
      </w:numPr>
    </w:pPr>
  </w:style>
  <w:style w:type="paragraph" w:styleId="9">
    <w:name w:val="Body Text"/>
    <w:basedOn w:val="1"/>
    <w:unhideWhenUsed/>
    <w:qFormat/>
    <w:uiPriority w:val="99"/>
    <w:pPr>
      <w:spacing w:after="120"/>
    </w:pPr>
  </w:style>
  <w:style w:type="paragraph" w:styleId="10">
    <w:name w:val="Body Text Indent"/>
    <w:basedOn w:val="1"/>
    <w:qFormat/>
    <w:uiPriority w:val="0"/>
    <w:pPr>
      <w:spacing w:after="120"/>
      <w:ind w:left="420" w:leftChars="200"/>
    </w:pPr>
    <w:rPr>
      <w:rFonts w:ascii="Calibri" w:hAnsi="Calibri" w:eastAsia="宋体" w:cs="Times New Roman"/>
    </w:rPr>
  </w:style>
  <w:style w:type="paragraph" w:styleId="11">
    <w:name w:val="Plain Text"/>
    <w:basedOn w:val="1"/>
    <w:qFormat/>
    <w:uiPriority w:val="0"/>
    <w:rPr>
      <w:rFonts w:ascii="宋体" w:hAnsi="Courier New" w:eastAsia="宋体"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99"/>
    <w:pPr>
      <w:widowControl/>
      <w:pBdr>
        <w:bottom w:val="single" w:color="auto" w:sz="6" w:space="1"/>
      </w:pBdr>
      <w:tabs>
        <w:tab w:val="center" w:pos="4153"/>
        <w:tab w:val="right" w:pos="8306"/>
      </w:tabs>
      <w:snapToGrid w:val="0"/>
      <w:jc w:val="center"/>
    </w:pPr>
    <w:rPr>
      <w:rFonts w:eastAsia="宋体"/>
      <w:b/>
      <w:sz w:val="18"/>
    </w:rPr>
  </w:style>
  <w:style w:type="paragraph" w:styleId="15">
    <w:name w:val="toc 1"/>
    <w:basedOn w:val="1"/>
    <w:next w:val="1"/>
    <w:semiHidden/>
    <w:qFormat/>
    <w:uiPriority w:val="99"/>
  </w:style>
  <w:style w:type="paragraph" w:styleId="16">
    <w:name w:val="Normal (Web)"/>
    <w:basedOn w:val="1"/>
    <w:unhideWhenUsed/>
    <w:qFormat/>
    <w:uiPriority w:val="99"/>
    <w:pPr>
      <w:widowControl/>
      <w:spacing w:before="100" w:beforeAutospacing="1" w:after="100" w:afterAutospacing="1"/>
      <w:jc w:val="left"/>
    </w:pPr>
    <w:rPr>
      <w:rFonts w:ascii="??" w:hAnsi="??" w:cs="宋体"/>
      <w:kern w:val="0"/>
      <w:sz w:val="24"/>
      <w:szCs w:val="24"/>
    </w:rPr>
  </w:style>
  <w:style w:type="paragraph" w:styleId="17">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w:basedOn w:val="9"/>
    <w:next w:val="1"/>
    <w:unhideWhenUsed/>
    <w:qFormat/>
    <w:uiPriority w:val="0"/>
    <w:pPr>
      <w:ind w:firstLine="420" w:firstLineChars="100"/>
    </w:pPr>
  </w:style>
  <w:style w:type="paragraph" w:styleId="19">
    <w:name w:val="Body Text First Indent 2"/>
    <w:basedOn w:val="10"/>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0"/>
    <w:rPr>
      <w:i/>
      <w:iCs/>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Style1"/>
    <w:basedOn w:val="1"/>
    <w:next w:val="27"/>
    <w:qFormat/>
    <w:uiPriority w:val="0"/>
    <w:pPr>
      <w:widowControl/>
      <w:tabs>
        <w:tab w:val="left" w:pos="-720"/>
      </w:tabs>
      <w:spacing w:after="120"/>
    </w:pPr>
    <w:rPr>
      <w:spacing w:val="-3"/>
      <w:kern w:val="0"/>
      <w:szCs w:val="20"/>
      <w:lang w:val="en-AU" w:eastAsia="en-US"/>
    </w:rPr>
  </w:style>
  <w:style w:type="paragraph" w:customStyle="1" w:styleId="27">
    <w:name w:val="*正文"/>
    <w:basedOn w:val="1"/>
    <w:qFormat/>
    <w:uiPriority w:val="0"/>
    <w:pPr>
      <w:keepNext/>
      <w:keepLines/>
      <w:spacing w:line="360" w:lineRule="auto"/>
      <w:ind w:firstLine="200" w:firstLineChars="200"/>
    </w:pPr>
    <w:rPr>
      <w:rFonts w:ascii="宋体" w:hAnsi="宋体"/>
    </w:rPr>
  </w:style>
  <w:style w:type="paragraph" w:customStyle="1" w:styleId="28">
    <w:name w:val="TOC 标题1"/>
    <w:basedOn w:val="2"/>
    <w:next w:val="1"/>
    <w:qFormat/>
    <w:uiPriority w:val="39"/>
    <w:pPr>
      <w:tabs>
        <w:tab w:val="left" w:pos="1800"/>
      </w:tabs>
      <w:spacing w:before="480" w:line="276" w:lineRule="auto"/>
      <w:outlineLvl w:val="9"/>
    </w:pPr>
    <w:rPr>
      <w:rFonts w:ascii="仿宋" w:hAnsi="仿宋" w:eastAsia="仿宋"/>
      <w:color w:val="000000"/>
      <w:kern w:val="0"/>
      <w:sz w:val="32"/>
      <w:szCs w:val="32"/>
    </w:rPr>
  </w:style>
  <w:style w:type="paragraph" w:customStyle="1" w:styleId="29">
    <w:name w:val="表格文字"/>
    <w:basedOn w:val="1"/>
    <w:qFormat/>
    <w:uiPriority w:val="0"/>
    <w:pPr>
      <w:spacing w:before="25" w:after="25"/>
    </w:pPr>
    <w:rPr>
      <w:bCs/>
      <w:spacing w:val="10"/>
      <w:szCs w:val="20"/>
    </w:rPr>
  </w:style>
  <w:style w:type="paragraph" w:customStyle="1" w:styleId="30">
    <w:name w:val="样式3"/>
    <w:basedOn w:val="1"/>
    <w:next w:val="1"/>
    <w:link w:val="31"/>
    <w:qFormat/>
    <w:uiPriority w:val="0"/>
    <w:pPr>
      <w:keepNext/>
      <w:keepLines/>
      <w:spacing w:before="340" w:after="330" w:line="360" w:lineRule="auto"/>
      <w:jc w:val="center"/>
      <w:outlineLvl w:val="0"/>
    </w:pPr>
    <w:rPr>
      <w:rFonts w:hint="eastAsia"/>
      <w:b/>
      <w:bCs/>
      <w:kern w:val="44"/>
      <w:sz w:val="44"/>
      <w:szCs w:val="44"/>
    </w:rPr>
  </w:style>
  <w:style w:type="character" w:customStyle="1" w:styleId="31">
    <w:name w:val="样式3 Char"/>
    <w:link w:val="30"/>
    <w:qFormat/>
    <w:uiPriority w:val="0"/>
    <w:rPr>
      <w:rFonts w:hint="eastAsia"/>
      <w:b/>
      <w:bCs/>
      <w:kern w:val="44"/>
      <w:sz w:val="44"/>
      <w:szCs w:val="44"/>
    </w:rPr>
  </w:style>
  <w:style w:type="character" w:customStyle="1" w:styleId="32">
    <w:name w:val="font21"/>
    <w:basedOn w:val="22"/>
    <w:qFormat/>
    <w:uiPriority w:val="0"/>
    <w:rPr>
      <w:rFonts w:hint="eastAsia" w:ascii="宋体" w:hAnsi="宋体" w:eastAsia="宋体" w:cs="宋体"/>
      <w:b/>
      <w:bCs/>
      <w:color w:val="000000"/>
      <w:sz w:val="24"/>
      <w:szCs w:val="24"/>
      <w:u w:val="none"/>
    </w:rPr>
  </w:style>
  <w:style w:type="character" w:customStyle="1" w:styleId="33">
    <w:name w:val="标题 2 Char"/>
    <w:basedOn w:val="22"/>
    <w:link w:val="3"/>
    <w:qFormat/>
    <w:uiPriority w:val="99"/>
    <w:rPr>
      <w:rFonts w:ascii="Arial" w:hAnsi="Arial" w:eastAsia="黑体"/>
      <w:b/>
      <w:sz w:val="32"/>
    </w:rPr>
  </w:style>
  <w:style w:type="character" w:customStyle="1" w:styleId="34">
    <w:name w:val="font01"/>
    <w:basedOn w:val="22"/>
    <w:qFormat/>
    <w:uiPriority w:val="0"/>
    <w:rPr>
      <w:rFonts w:hint="eastAsia" w:ascii="宋体" w:hAnsi="宋体" w:eastAsia="宋体" w:cs="宋体"/>
      <w:color w:val="000000"/>
      <w:sz w:val="22"/>
      <w:szCs w:val="22"/>
      <w:u w:val="none"/>
    </w:rPr>
  </w:style>
  <w:style w:type="paragraph" w:customStyle="1" w:styleId="35">
    <w:name w:val="Normal_0"/>
    <w:next w:val="3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TOC 1"/>
    <w:basedOn w:val="35"/>
    <w:next w:val="35"/>
    <w:qFormat/>
    <w:uiPriority w:val="39"/>
    <w:pPr>
      <w:tabs>
        <w:tab w:val="left" w:pos="1260"/>
        <w:tab w:val="left" w:pos="1685"/>
        <w:tab w:val="right" w:leader="dot" w:pos="8400"/>
      </w:tabs>
      <w:spacing w:line="320" w:lineRule="exact"/>
      <w:ind w:firstLine="280" w:firstLineChars="100"/>
    </w:p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列出段落1"/>
    <w:basedOn w:val="1"/>
    <w:qFormat/>
    <w:uiPriority w:val="0"/>
    <w:pPr>
      <w:ind w:firstLine="420" w:firstLineChars="200"/>
    </w:p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样式1"/>
    <w:basedOn w:val="1"/>
    <w:qFormat/>
    <w:uiPriority w:val="0"/>
    <w:pPr>
      <w:spacing w:before="120" w:beforeLines="0" w:after="120" w:afterLines="0" w:line="300" w:lineRule="auto"/>
    </w:pPr>
    <w:rPr>
      <w:rFonts w:ascii="宋体" w:hAnsi="宋体"/>
      <w:b/>
      <w:sz w:val="24"/>
      <w:szCs w:val="20"/>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_0_0_2"/>
    <w:qFormat/>
    <w:uiPriority w:val="0"/>
    <w:pPr>
      <w:snapToGrid/>
    </w:pPr>
    <w:rPr>
      <w:rFonts w:hint="default" w:ascii="Times New Roman" w:hAnsi="Times New Roman" w:eastAsia="Times New Roman" w:cs="Times New Roman"/>
      <w:sz w:val="24"/>
      <w:szCs w:val="24"/>
      <w:lang w:val="en-US" w:eastAsia="zh-CN" w:bidi="ar-SA"/>
    </w:rPr>
  </w:style>
  <w:style w:type="paragraph" w:customStyle="1" w:styleId="45">
    <w:name w:val="Table Paragraph"/>
    <w:basedOn w:val="1"/>
    <w:qFormat/>
    <w:uiPriority w:val="1"/>
    <w:rPr>
      <w:rFonts w:ascii="宋体" w:hAnsi="宋体" w:eastAsia="宋体" w:cs="宋体"/>
      <w:lang w:val="zh-CN" w:eastAsia="zh-CN" w:bidi="zh-CN"/>
    </w:rPr>
  </w:style>
  <w:style w:type="paragraph" w:customStyle="1" w:styleId="46">
    <w:name w:val="W表格文字"/>
    <w:basedOn w:val="1"/>
    <w:qFormat/>
    <w:uiPriority w:val="0"/>
    <w:pPr>
      <w:widowControl/>
      <w:spacing w:line="0" w:lineRule="atLeast"/>
      <w:jc w:val="center"/>
    </w:pPr>
    <w:rPr>
      <w:kern w:val="0"/>
      <w:sz w:val="21"/>
      <w:szCs w:val="20"/>
    </w:rPr>
  </w:style>
  <w:style w:type="paragraph" w:styleId="47">
    <w:name w:val="List Paragraph"/>
    <w:basedOn w:val="1"/>
    <w:qFormat/>
    <w:uiPriority w:val="34"/>
    <w:pPr>
      <w:ind w:firstLine="420" w:firstLineChars="200"/>
    </w:p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首行缩进"/>
    <w:basedOn w:val="1"/>
    <w:qFormat/>
    <w:uiPriority w:val="0"/>
    <w:pPr>
      <w:numPr>
        <w:ilvl w:val="0"/>
        <w:numId w:val="2"/>
      </w:numPr>
      <w:spacing w:line="360" w:lineRule="auto"/>
    </w:pPr>
    <w:rPr>
      <w:rFonts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7952</Words>
  <Characters>8787</Characters>
  <Lines>1</Lines>
  <Paragraphs>1</Paragraphs>
  <TotalTime>3</TotalTime>
  <ScaleCrop>false</ScaleCrop>
  <LinksUpToDate>false</LinksUpToDate>
  <CharactersWithSpaces>9531</CharactersWithSpaces>
  <Application>WPS Office_12.1.0.26885_F1E327BC-269C-435d-A152-05C5408002CA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2025-02-27T06:29:00Z</dcterms:created>
  <dc:creator>南笙p0</dc:creator>
  <cp:lastModifiedBy>赵媛媛.</cp:lastModifiedBy>
  <cp:lastPrinted>2026-06-12T01:01:00Z</cp:lastPrinted>
  <dcterms:modified xsi:type="dcterms:W3CDTF">2026-07-21T03:42:08Z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2052-12.1.0.26885</vt:lpwstr>
  </property>
  <property fmtid="{D5CDD505-2E9C-101B-9397-08002B2CF9AE}" pid="3" name="ICV">
    <vt:lpwstr>7E8DB217C75949ACAED3AC612F5B93B2_13</vt:lpwstr>
  </property>
  <property fmtid="{D5CDD505-2E9C-101B-9397-08002B2CF9AE}" pid="4" name="KSOTemplateDocerSaveRecord">
    <vt:lpwstr>eyJoZGlkIjoiMzI5MzQ4NGNkNzAyOTc5ZDBiMzk0ZTA1YjdiNzEzODgiLCJ1c2VySWQiOiIyMDczMzIxOTkifQ==</vt:lpwstr>
  </property>
</Properties>
</file>