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版本号：N510184202600012820260625001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2026年树德崇州中学项目-办公电脑采购项目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N5101842026000128</w:t>
      </w:r>
    </w:p>
    <w:p>
      <w:pPr>
        <w:pStyle w:val="null3"/>
        <w:jc w:val="left"/>
        <w:outlineLvl w:val="2"/>
      </w:pPr>
      <w:r>
        <w:rPr>
          <w:rFonts w:ascii="仿宋_GB2312" w:hAnsi="仿宋_GB2312" w:cs="仿宋_GB2312" w:eastAsia="仿宋_GB2312"/>
          <w:sz w:val="28"/>
          <w:b/>
        </w:rPr>
        <w:t>崇州市教育事业保障服务中心（崇州市学生资助管理中心）</w:t>
      </w:r>
    </w:p>
    <w:p>
      <w:pPr>
        <w:pStyle w:val="null3"/>
        <w:jc w:val="center"/>
        <w:outlineLvl w:val="2"/>
      </w:pPr>
      <w:r>
        <w:rPr>
          <w:rFonts w:ascii="仿宋_GB2312" w:hAnsi="仿宋_GB2312" w:cs="仿宋_GB2312" w:eastAsia="仿宋_GB2312"/>
          <w:sz w:val="28"/>
          <w:b/>
        </w:rPr>
        <w:t>崇州市政府采购中心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崇州市政府采购中心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崇州市教育事业保障服务中心（崇州市学生资助管理中心）</w:t>
      </w:r>
      <w:r>
        <w:rPr>
          <w:rFonts w:ascii="仿宋_GB2312" w:hAnsi="仿宋_GB2312" w:cs="仿宋_GB2312" w:eastAsia="仿宋_GB2312"/>
        </w:rPr>
        <w:t xml:space="preserve"> 委托，拟对 </w:t>
      </w:r>
      <w:r>
        <w:rPr>
          <w:rFonts w:ascii="仿宋_GB2312" w:hAnsi="仿宋_GB2312" w:cs="仿宋_GB2312" w:eastAsia="仿宋_GB2312"/>
        </w:rPr>
        <w:t>2026年树德崇州中学项目-办公电脑采购项目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成都市崇州市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N5101842026000128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2026年树德崇州中学项目-办公电脑采购项目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采购一批办公电脑</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崇州市教育事业保障服务中心（崇州市学生资助管理中心）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崇州市崇阳街道崇庆中路148号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028-82158809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崇州市政府采购中心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崇州市崇阳街道蜀州北路261号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611230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马颖</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028-82200188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采购包1：1,288,895.00元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履约保证金：为合同金额的5.0%。</w:t>
              <w:br/>
              <w:t>交款方式：银行转账，支票/汇票/本票，保函/保险。</w:t>
              <w:br/>
              <w:t>缴纳时间：合同签订前。</w:t>
              <w:br/>
              <w:t>退还时间：全部货物履约验收合格质保期满后10日内无息退回。不予退还的情形：1、出现虚假响应等违法违规行为；2、货物未按照采购文件和响应文件要求全部响应。（若出现重大影响，采购人保留法律追述权利和经济索偿权利。）</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崇州市教育事业保障服务中心（崇州市学生资助管理中心）</w:t>
      </w:r>
      <w:r>
        <w:rPr>
          <w:rFonts w:ascii="仿宋_GB2312" w:hAnsi="仿宋_GB2312" w:cs="仿宋_GB2312" w:eastAsia="仿宋_GB2312"/>
        </w:rPr>
        <w:t xml:space="preserve"> 和 </w:t>
      </w:r>
      <w:r>
        <w:rPr>
          <w:rFonts w:ascii="仿宋_GB2312" w:hAnsi="仿宋_GB2312" w:cs="仿宋_GB2312" w:eastAsia="仿宋_GB2312"/>
        </w:rPr>
        <w:t>崇州市政府采购中心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崇州市教育事业保障服务中心（崇州市学生资助管理中心）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崇州市政府采购中心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验收条件说明： 货物交货完成后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采购文件和合同约定全部事项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采购文件和合同约定全部事项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成交供应商与采购人应参照《财政部关于进一步加强政府采购需求和履约验收管理的指导意见》 (财库〔2016〕205 号)以及采购人验收相关要求执行。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崇州市教育事业保障服务中心（崇州市学生资助管理中心）</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崇州市政府采购中心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崇州市政府采购中心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联系人：吴鹏</w:t>
      </w:r>
    </w:p>
    <w:p>
      <w:pPr>
        <w:pStyle w:val="null3"/>
        <w:jc w:val="left"/>
      </w:pPr>
      <w:r>
        <w:rPr>
          <w:rFonts w:ascii="仿宋_GB2312" w:hAnsi="仿宋_GB2312" w:cs="仿宋_GB2312" w:eastAsia="仿宋_GB2312"/>
        </w:rPr>
        <w:t>联系电话：028-82158809</w:t>
      </w:r>
    </w:p>
    <w:p>
      <w:pPr>
        <w:pStyle w:val="null3"/>
        <w:jc w:val="left"/>
      </w:pPr>
      <w:r>
        <w:rPr>
          <w:rFonts w:ascii="仿宋_GB2312" w:hAnsi="仿宋_GB2312" w:cs="仿宋_GB2312" w:eastAsia="仿宋_GB2312"/>
        </w:rPr>
        <w:t>地址：崇州市崇阳街道崇庆中路148号</w:t>
      </w:r>
    </w:p>
    <w:p>
      <w:pPr>
        <w:pStyle w:val="null3"/>
        <w:jc w:val="left"/>
      </w:pPr>
      <w:r>
        <w:rPr>
          <w:rFonts w:ascii="仿宋_GB2312" w:hAnsi="仿宋_GB2312" w:cs="仿宋_GB2312" w:eastAsia="仿宋_GB2312"/>
        </w:rPr>
        <w:t>邮编：611230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联系人：马颖</w:t>
      </w:r>
    </w:p>
    <w:p>
      <w:pPr>
        <w:pStyle w:val="null3"/>
        <w:jc w:val="left"/>
      </w:pPr>
      <w:r>
        <w:rPr>
          <w:rFonts w:ascii="仿宋_GB2312" w:hAnsi="仿宋_GB2312" w:cs="仿宋_GB2312" w:eastAsia="仿宋_GB2312"/>
        </w:rPr>
        <w:t>联系电话：028-82200188</w:t>
      </w:r>
    </w:p>
    <w:p>
      <w:pPr>
        <w:pStyle w:val="null3"/>
        <w:jc w:val="left"/>
      </w:pPr>
      <w:r>
        <w:rPr>
          <w:rFonts w:ascii="仿宋_GB2312" w:hAnsi="仿宋_GB2312" w:cs="仿宋_GB2312" w:eastAsia="仿宋_GB2312"/>
        </w:rPr>
        <w:t>地址：崇州市崇阳街道蜀州北路261号</w:t>
      </w:r>
    </w:p>
    <w:p>
      <w:pPr>
        <w:pStyle w:val="null3"/>
        <w:jc w:val="left"/>
      </w:pPr>
      <w:r>
        <w:rPr>
          <w:rFonts w:ascii="仿宋_GB2312" w:hAnsi="仿宋_GB2312" w:cs="仿宋_GB2312" w:eastAsia="仿宋_GB2312"/>
        </w:rPr>
        <w:t>邮编：611230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1,288,895.00</w:t>
      </w:r>
    </w:p>
    <w:p>
      <w:pPr>
        <w:pStyle w:val="null3"/>
        <w:jc w:val="left"/>
      </w:pPr>
      <w:r>
        <w:rPr>
          <w:rFonts w:ascii="仿宋_GB2312" w:hAnsi="仿宋_GB2312" w:cs="仿宋_GB2312" w:eastAsia="仿宋_GB2312"/>
        </w:rPr>
        <w:t>采购包最高限价（元）: 1,288,895.00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便携式计算机</w:t>
            </w:r>
          </w:p>
        </w:tc>
        <w:tc>
          <w:tcPr>
            <w:tcW w:type="dxa" w:w="821"/>
          </w:tcPr>
          <w:p>
            <w:pPr>
              <w:pStyle w:val="null3"/>
              <w:jc w:val="right"/>
            </w:pPr>
            <w:r>
              <w:rPr>
                <w:rFonts w:ascii="仿宋_GB2312" w:hAnsi="仿宋_GB2312" w:cs="仿宋_GB2312" w:eastAsia="仿宋_GB2312"/>
              </w:rPr>
              <w:t>185.00（项）</w:t>
            </w:r>
          </w:p>
        </w:tc>
        <w:tc>
          <w:tcPr>
            <w:tcW w:type="dxa" w:w="821"/>
          </w:tcPr>
          <w:p>
            <w:pPr>
              <w:pStyle w:val="null3"/>
              <w:jc w:val="right"/>
            </w:pPr>
            <w:r>
              <w:rPr>
                <w:rFonts w:ascii="仿宋_GB2312" w:hAnsi="仿宋_GB2312" w:cs="仿宋_GB2312" w:eastAsia="仿宋_GB2312"/>
              </w:rPr>
              <w:t>1,288,895.00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便携式计算机</w:t>
            </w:r>
          </w:p>
        </w:tc>
        <w:tc>
          <w:tcPr>
            <w:tcW w:type="dxa" w:w="1138"/>
          </w:tcPr>
          <w:p>
            <w:pPr>
              <w:pStyle w:val="null3"/>
              <w:jc w:val="center"/>
            </w:pPr>
            <w:r>
              <w:rPr>
                <w:rFonts w:ascii="仿宋_GB2312" w:hAnsi="仿宋_GB2312" w:cs="仿宋_GB2312" w:eastAsia="仿宋_GB2312"/>
              </w:rPr>
              <w:t>185.00（项）</w:t>
            </w:r>
          </w:p>
        </w:tc>
        <w:tc>
          <w:tcPr>
            <w:tcW w:type="dxa" w:w="1365"/>
          </w:tcPr>
          <w:p>
            <w:pPr>
              <w:pStyle w:val="null3"/>
              <w:jc w:val="center"/>
            </w:pPr>
            <w:r>
              <w:rPr>
                <w:rFonts w:ascii="仿宋_GB2312" w:hAnsi="仿宋_GB2312" w:cs="仿宋_GB2312" w:eastAsia="仿宋_GB2312"/>
              </w:rPr>
              <w:t>1,288,895.00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供应商必须在报价明细表中载明进口或国产、数量、单价、品牌、规格型号、制造商名称。</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便携式计算机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便携式计算机（品目：A02010108，依据标准：GB28380）</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便携式计算机</w:t>
            </w:r>
          </w:p>
        </w:tc>
        <w:tc>
          <w:tcPr>
            <w:tcW w:type="dxa" w:w="2492"/>
          </w:tcPr>
          <w:p>
            <w:pPr>
              <w:pStyle w:val="null3"/>
              <w:jc w:val="left"/>
            </w:pPr>
            <w:r>
              <w:rPr>
                <w:rFonts w:ascii="仿宋_GB2312" w:hAnsi="仿宋_GB2312" w:cs="仿宋_GB2312" w:eastAsia="仿宋_GB2312"/>
              </w:rPr>
              <w:t>便携式计算机（品目：A02010108，依据标准：HJ2536）</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标的名称：便携式计算机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1"/>
                <w:color w:val="000000"/>
              </w:rPr>
              <w:t>(1)CPU核数≥14，线程数≥18，最大频率≥4.5GHz，缓存≥18MB。</w:t>
            </w:r>
            <w:r>
              <w:br/>
            </w:r>
            <w:r>
              <w:rPr>
                <w:rFonts w:ascii="仿宋_GB2312" w:hAnsi="仿宋_GB2312" w:cs="仿宋_GB2312" w:eastAsia="仿宋_GB2312"/>
                <w:sz w:val="21"/>
                <w:color w:val="000000"/>
              </w:rPr>
              <w:t>(2)配置容量≥16GB，支持DDR5 6400及以上内存类型，内存通道数≥2，最大支持≥64G DDR4内存。</w:t>
            </w:r>
            <w:r>
              <w:br/>
            </w:r>
            <w:r>
              <w:rPr>
                <w:rFonts w:ascii="仿宋_GB2312" w:hAnsi="仿宋_GB2312" w:cs="仿宋_GB2312" w:eastAsia="仿宋_GB2312"/>
                <w:sz w:val="21"/>
                <w:color w:val="000000"/>
              </w:rPr>
              <w:t>(3)提供固态硬盘数量≥1个；固态存储容量≥512GB；固态存储形态为NVME；固态硬盘从上电到进入数据读写状态的时间不超过2s；固态硬盘数据读写速度等级≥5级（依据 SJ/T 11654-2016）；固态硬盘的平均无故障时间（MTBF）的m1值≥10000h；固态硬盘其他要求符合SJ/T 11654-2016 相关规定。</w:t>
            </w:r>
            <w:r>
              <w:br/>
            </w:r>
            <w:r>
              <w:rPr>
                <w:rFonts w:ascii="仿宋_GB2312" w:hAnsi="仿宋_GB2312" w:cs="仿宋_GB2312" w:eastAsia="仿宋_GB2312"/>
                <w:sz w:val="21"/>
                <w:color w:val="000000"/>
              </w:rPr>
              <w:t>(4)显示终端尺寸≥14英寸，分辨率≥1920×1200，刷新率≥120Hz，响应时间≤10ms，显示比例为16:9或16:10，支持防蓝光模式，对比度≥500：1，开合机械寿命应能承受至少15000次的显示屏开合，机械转轴的扭力应保持初始状态下扭力的75%以上，屏幕可180度开合。</w:t>
            </w:r>
            <w:r>
              <w:br/>
            </w:r>
            <w:r>
              <w:rPr>
                <w:rFonts w:ascii="仿宋_GB2312" w:hAnsi="仿宋_GB2312" w:cs="仿宋_GB2312" w:eastAsia="仿宋_GB2312"/>
                <w:sz w:val="21"/>
                <w:color w:val="000000"/>
              </w:rPr>
              <w:t>(5)USB接口≥3个，Type-C接口≥3个；HDMI接口≥1个。</w:t>
            </w:r>
            <w:r>
              <w:br/>
            </w:r>
            <w:r>
              <w:rPr>
                <w:rFonts w:ascii="仿宋_GB2312" w:hAnsi="仿宋_GB2312" w:cs="仿宋_GB2312" w:eastAsia="仿宋_GB2312"/>
                <w:sz w:val="21"/>
                <w:color w:val="000000"/>
              </w:rPr>
              <w:t>(6)电池额定能量≥65Wh；电池充放电次数≥500 次（常温下500次充放电后电池容量≥原始容量的80%）。</w:t>
            </w:r>
            <w:r>
              <w:br/>
            </w:r>
            <w:r>
              <w:rPr>
                <w:rFonts w:ascii="仿宋_GB2312" w:hAnsi="仿宋_GB2312" w:cs="仿宋_GB2312" w:eastAsia="仿宋_GB2312"/>
                <w:sz w:val="21"/>
                <w:color w:val="000000"/>
              </w:rPr>
              <w:t>(7)摄像头≥1个，摄像头像数≥100万；配指纹识别，开关机和指纹设备二合一。</w:t>
            </w:r>
            <w:r>
              <w:br/>
            </w:r>
            <w:r>
              <w:rPr>
                <w:rFonts w:ascii="仿宋_GB2312" w:hAnsi="仿宋_GB2312" w:cs="仿宋_GB2312" w:eastAsia="仿宋_GB2312"/>
                <w:sz w:val="21"/>
                <w:color w:val="000000"/>
              </w:rPr>
              <w:t>(8)整机重量≤1.4KG,厚度≤16.5mm。（说明：投标人在投标文件中提供整机重量与厚度的彩页证明材料）</w:t>
            </w:r>
            <w:r>
              <w:br/>
            </w:r>
            <w:r>
              <w:rPr>
                <w:rFonts w:ascii="仿宋_GB2312" w:hAnsi="仿宋_GB2312" w:cs="仿宋_GB2312" w:eastAsia="仿宋_GB2312"/>
                <w:sz w:val="21"/>
                <w:color w:val="000000"/>
              </w:rPr>
              <w:t>(9)预装正版操作系统；符合《财政部工业和信息化部关于印发&lt;操作系统政府采购需求标准（2023 年版）&gt;的通知》（财库〔2023〕34号）的附件“操作系统政府采购需求标准（2023年版）”，操作系统安全级别达到中国信息安全测评中心《安全可靠测评产品名录》Ⅱ级。（说明：投标人在投标文件中提供中国信息安全测评中心官网查询截图）</w:t>
            </w:r>
            <w:r>
              <w:br/>
            </w:r>
            <w:r>
              <w:rPr>
                <w:rFonts w:ascii="仿宋_GB2312" w:hAnsi="仿宋_GB2312" w:cs="仿宋_GB2312" w:eastAsia="仿宋_GB2312"/>
                <w:sz w:val="21"/>
                <w:color w:val="000000"/>
              </w:rPr>
              <w:t>(10)电磁兼容性要求的抗扰度符合GB/T 9254.2-2021的规定。（</w:t>
            </w:r>
            <w:r>
              <w:rPr>
                <w:rFonts w:ascii="仿宋_GB2312" w:hAnsi="仿宋_GB2312" w:cs="仿宋_GB2312" w:eastAsia="仿宋_GB2312"/>
                <w:sz w:val="21"/>
                <w:color w:val="000000"/>
              </w:rPr>
              <w:t>投标人提供承诺函，格式自拟，成交后项目签订合同前向采购人提供国家认可的第三方检测机构出具的带</w:t>
            </w:r>
            <w:r>
              <w:rPr>
                <w:rFonts w:ascii="仿宋_GB2312" w:hAnsi="仿宋_GB2312" w:cs="仿宋_GB2312" w:eastAsia="仿宋_GB2312"/>
                <w:sz w:val="21"/>
                <w:color w:val="000000"/>
              </w:rPr>
              <w:t>CMA标识的检测报告</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(11)整机平均无故障时间MTBF(m1)≥120万小时。（投标人提供承诺函，格式自拟，成交后项目签订合同前向采购人提供国家认可的第三方检测机构出具的带CMA标识的检测报告）</w:t>
            </w:r>
            <w:r>
              <w:br/>
            </w:r>
            <w:r>
              <w:rPr>
                <w:rFonts w:ascii="仿宋_GB2312" w:hAnsi="仿宋_GB2312" w:cs="仿宋_GB2312" w:eastAsia="仿宋_GB2312"/>
                <w:sz w:val="21"/>
                <w:color w:val="000000"/>
              </w:rPr>
              <w:t>(12)投标人所投产品应满足财库〔2023〕30 号《关于印发《便携式计算机政府采购需求标准（2023 年版）》的通知》中全部加*指标要求（第189项“安全要求”“关键部件安全要求”除外）。（</w:t>
            </w:r>
            <w:r>
              <w:rPr>
                <w:rFonts w:ascii="仿宋_GB2312" w:hAnsi="仿宋_GB2312" w:cs="仿宋_GB2312" w:eastAsia="仿宋_GB2312"/>
                <w:sz w:val="21"/>
                <w:color w:val="000000"/>
              </w:rPr>
              <w:t>投标人提供承诺函，格式自拟</w:t>
            </w:r>
            <w:r>
              <w:rPr>
                <w:rFonts w:ascii="仿宋_GB2312" w:hAnsi="仿宋_GB2312" w:cs="仿宋_GB2312" w:eastAsia="仿宋_GB2312"/>
                <w:sz w:val="21"/>
                <w:color w:val="000000"/>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1、交货完成验收合格供应商提交支付申请时需提供合法有效发票及收费票据后，达到付款条件起15日内，支付合同总金额的100.00%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成交供应商与采购人应参照《财政部关于进一步加强政府采购需求和履约验收管理的指导意见》（财库〔2016〕205号）文件的规定的要求进行验收。须符合国家有关规定、采购文件的质量要求和技术指标、成交人的响应文件及承诺以及合同条款。</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（1）质保期为自本合同所列的全部货物验收合格采购人签字之日起三年。（2）中标人必须提供良好的技术支持。对反映的问题在 4 个小时之内能得到及时响应，在远程不能解决问题的情况下，中标人或设备供应商必须确保在12 小时之内赶到现场。（3）中标人必须提出质保期内的维修、维护内容及服务方式、范围（产品、技术、模块、部件）。（4）质保期内，中标人负责对其提供的设备进行现场维修，本项目的报价包括质保期的任何费用（如部件费、材 料费、人工费、差旅费等）。（5）中标人必须承诺质保期满后，继续向我方提供设备维修、技术支持、备品备件、有偿升级等服务，只收材料成本费。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违约责任和解决争议的方法等适用《中华人民 共和国民 法典》和采购文件约定。</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第三章加★号的实质性要求</w:t>
            </w:r>
          </w:p>
        </w:tc>
        <w:tc>
          <w:tcPr>
            <w:tcW w:type="dxa" w:w="3322"/>
          </w:tcPr>
          <w:p>
            <w:pPr>
              <w:pStyle w:val="null3"/>
              <w:jc w:val="left"/>
            </w:pPr>
            <w:r>
              <w:rPr>
                <w:rFonts w:ascii="仿宋_GB2312" w:hAnsi="仿宋_GB2312" w:cs="仿宋_GB2312" w:eastAsia="仿宋_GB2312"/>
              </w:rPr>
              <w:t>响应文件完全响应第三章加★号的实质性要求。</w:t>
            </w:r>
          </w:p>
        </w:tc>
        <w:tc>
          <w:tcPr>
            <w:tcW w:type="dxa" w:w="1661"/>
          </w:tcPr>
          <w:p>
            <w:pPr>
              <w:pStyle w:val="null3"/>
              <w:jc w:val="left"/>
            </w:pPr>
            <w:r>
              <w:rPr>
                <w:rFonts w:ascii="仿宋_GB2312" w:hAnsi="仿宋_GB2312" w:cs="仿宋_GB2312" w:eastAsia="仿宋_GB2312"/>
              </w:rPr>
              <w:t>产品技术参数响应表,服务应答表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报价</w:t>
            </w:r>
          </w:p>
        </w:tc>
        <w:tc>
          <w:tcPr>
            <w:tcW w:type="dxa" w:w="3322"/>
          </w:tcPr>
          <w:p>
            <w:pPr>
              <w:pStyle w:val="null3"/>
              <w:jc w:val="left"/>
            </w:pPr>
            <w:r>
              <w:rPr>
                <w:rFonts w:ascii="仿宋_GB2312" w:hAnsi="仿宋_GB2312" w:cs="仿宋_GB2312" w:eastAsia="仿宋_GB2312"/>
              </w:rPr>
              <w:t>1.报价唯一（说明：响应文件报价出现前后不一致的，按照采购文件第4章评标办法规定予以修正，修正后的报价经供应商通过项目电子化交易系统进行确认，并加盖供应商（法定名称）电子印章，供应商未在规定时间内确认的，其响应无效。询价小组不得未经要求供应商确认，直接将供应商响应文件作无效处理。） 2.未超过采购文件规定的最高限价； 3.报价应包含本次采购要求的所有货物及服务的费用。</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产品技术参数响应表</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