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版本号：N510112202600013020260626001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2026年桌面云采购项目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N5101122026000130</w:t>
      </w:r>
    </w:p>
    <w:p>
      <w:pPr>
        <w:pStyle w:val="null3"/>
        <w:jc w:val="left"/>
        <w:outlineLvl w:val="2"/>
      </w:pPr>
      <w:r>
        <w:rPr>
          <w:rFonts w:ascii="仿宋_GB2312" w:hAnsi="仿宋_GB2312" w:cs="仿宋_GB2312" w:eastAsia="仿宋_GB2312"/>
          <w:sz w:val="28"/>
          <w:b/>
        </w:rPr>
        <w:t>成都市龙泉驿区中医医院</w:t>
      </w:r>
    </w:p>
    <w:p>
      <w:pPr>
        <w:pStyle w:val="null3"/>
        <w:jc w:val="center"/>
        <w:outlineLvl w:val="2"/>
      </w:pPr>
      <w:r>
        <w:rPr>
          <w:rFonts w:ascii="仿宋_GB2312" w:hAnsi="仿宋_GB2312" w:cs="仿宋_GB2312" w:eastAsia="仿宋_GB2312"/>
          <w:sz w:val="28"/>
          <w:b/>
        </w:rPr>
        <w:t>四川中慈工程项目管理有限公司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四川中慈工程项目管理有限公司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成都市龙泉驿区中医医院</w:t>
      </w:r>
      <w:r>
        <w:rPr>
          <w:rFonts w:ascii="仿宋_GB2312" w:hAnsi="仿宋_GB2312" w:cs="仿宋_GB2312" w:eastAsia="仿宋_GB2312"/>
        </w:rPr>
        <w:t xml:space="preserve"> 委托，拟对 </w:t>
      </w:r>
      <w:r>
        <w:rPr>
          <w:rFonts w:ascii="仿宋_GB2312" w:hAnsi="仿宋_GB2312" w:cs="仿宋_GB2312" w:eastAsia="仿宋_GB2312"/>
        </w:rPr>
        <w:t>2026年桌面云采购项目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N5101122026000130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2026年桌面云采购项目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2026年桌面云采购项目，本次采购共分1个包。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成都市龙泉驿区中医医院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成都市龙泉驿区青台山路222号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董老师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028-60659207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四川中慈工程项目管理有限公司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四川省成都市龙泉驿区东安街道桃都大道中段888号1栋5单元17层01号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028-61001962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采购包1：372,000.00元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代理服务费收费标准：依照成本加合理利润的原则，以中标金额作为计算基数×1.5%后下浮5%计取。账户名称：四川中慈工程项目管理有限公司 账 号：650703710 开 户 行：中国民生银行股份有限公司成都经济技术开发区支行</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成都市龙泉驿区中医医院</w:t>
      </w:r>
      <w:r>
        <w:rPr>
          <w:rFonts w:ascii="仿宋_GB2312" w:hAnsi="仿宋_GB2312" w:cs="仿宋_GB2312" w:eastAsia="仿宋_GB2312"/>
        </w:rPr>
        <w:t xml:space="preserve"> 和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成都市龙泉驿区中医医院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四川中慈工程项目管理有限公司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按照本项目采购文件中“技术要求”及中标人投标文件进行验收。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按照本项目采购文件中“服务要求、其他要求”及中标人投标文件进行验收。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供应商提供的货物与招标文件的要求以及投标文件的响应内容相符，在合同约定时间内完成相关货物交付。货物交付完成后由采购人负责，根据采购项目具体情况自行组织验收；成立验收小组，根据项目实际情况制定验收方案，出具验收报告。验收不合格则责令整改，若整改3次不合格采购人有权解除合同或不予支付相关费用，而不承担任何违约责任。</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成都市龙泉驿区中医医院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联系电话：028-61001962</w:t>
      </w:r>
    </w:p>
    <w:p>
      <w:pPr>
        <w:pStyle w:val="null3"/>
        <w:jc w:val="left"/>
      </w:pPr>
      <w:r>
        <w:rPr>
          <w:rFonts w:ascii="仿宋_GB2312" w:hAnsi="仿宋_GB2312" w:cs="仿宋_GB2312" w:eastAsia="仿宋_GB2312"/>
        </w:rPr>
        <w:t>地址：四川省成都市龙泉驿区东安街道桃都大道中段888号1栋5单元17层01号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372,000.00</w:t>
      </w:r>
    </w:p>
    <w:p>
      <w:pPr>
        <w:pStyle w:val="null3"/>
        <w:jc w:val="left"/>
      </w:pPr>
      <w:r>
        <w:rPr>
          <w:rFonts w:ascii="仿宋_GB2312" w:hAnsi="仿宋_GB2312" w:cs="仿宋_GB2312" w:eastAsia="仿宋_GB2312"/>
        </w:rPr>
        <w:t>采购包最高限价（元）: 372,000.00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A02019900 其他信息化设备</w:t>
            </w:r>
          </w:p>
        </w:tc>
        <w:tc>
          <w:tcPr>
            <w:tcW w:type="dxa" w:w="821"/>
          </w:tcPr>
          <w:p>
            <w:pPr>
              <w:pStyle w:val="null3"/>
              <w:jc w:val="left"/>
            </w:pPr>
            <w:r>
              <w:rPr>
                <w:rFonts w:ascii="仿宋_GB2312" w:hAnsi="仿宋_GB2312" w:cs="仿宋_GB2312" w:eastAsia="仿宋_GB2312"/>
              </w:rPr>
              <w:t>桌面云</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372,000.00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桌面云</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372,000.00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A02019900 其他信息化设备</w:t>
            </w:r>
          </w:p>
        </w:tc>
        <w:tc>
          <w:tcPr>
            <w:tcW w:type="dxa" w:w="2492"/>
          </w:tcPr>
          <w:p>
            <w:pPr>
              <w:pStyle w:val="null3"/>
              <w:jc w:val="left"/>
            </w:pPr>
            <w:r>
              <w:rPr>
                <w:rFonts w:ascii="仿宋_GB2312" w:hAnsi="仿宋_GB2312" w:cs="仿宋_GB2312" w:eastAsia="仿宋_GB2312"/>
              </w:rPr>
              <w:t>桌面云</w:t>
            </w:r>
          </w:p>
        </w:tc>
        <w:tc>
          <w:tcPr>
            <w:tcW w:type="dxa" w:w="2492"/>
          </w:tcPr>
          <w:p>
            <w:pPr>
              <w:pStyle w:val="null3"/>
              <w:jc w:val="left"/>
            </w:pPr>
            <w:r>
              <w:rPr>
                <w:rFonts w:ascii="仿宋_GB2312" w:hAnsi="仿宋_GB2312" w:cs="仿宋_GB2312" w:eastAsia="仿宋_GB2312"/>
              </w:rPr>
              <w:t>桌面云软件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标的名称：桌面云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技术要求和商务要求</w:t>
            </w:r>
          </w:p>
        </w:tc>
        <w:tc>
          <w:tcPr>
            <w:tcW w:type="dxa" w:w="5814"/>
          </w:tcPr>
          <w:p>
            <w:pPr>
              <w:pStyle w:val="null3"/>
              <w:jc w:val="both"/>
            </w:pPr>
            <w:r>
              <w:rPr>
                <w:rFonts w:ascii="仿宋_GB2312" w:hAnsi="仿宋_GB2312" w:cs="仿宋_GB2312" w:eastAsia="仿宋_GB2312"/>
                <w:sz w:val="20"/>
              </w:rPr>
              <w:t>★</w:t>
            </w: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779"/>
              <w:gridCol w:w="3084"/>
              <w:gridCol w:w="779"/>
              <w:gridCol w:w="779"/>
              <w:gridCol w:w="1547"/>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0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标的名称</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桌面云资源管理终端</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桌面云瘦终端</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桌面云软件</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软件和信息技术服务业</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仲裁</w:t>
                  </w:r>
                  <w:r>
                    <w:rPr>
                      <w:rFonts w:ascii="仿宋_GB2312" w:hAnsi="仿宋_GB2312" w:cs="仿宋_GB2312" w:eastAsia="仿宋_GB2312"/>
                      <w:sz w:val="20"/>
                    </w:rPr>
                    <w:t>终端</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0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桌面云专用数据交换系统</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软件和信息技术服务业</w:t>
                  </w:r>
                </w:p>
              </w:tc>
            </w:tr>
          </w:tbl>
          <w:p>
            <w:pPr>
              <w:pStyle w:val="null3"/>
              <w:jc w:val="left"/>
            </w:pPr>
            <w:r>
              <w:rPr>
                <w:rFonts w:ascii="仿宋_GB2312" w:hAnsi="仿宋_GB2312" w:cs="仿宋_GB2312" w:eastAsia="仿宋_GB2312"/>
              </w:rPr>
              <w:t>二、技术参数要求</w:t>
            </w:r>
          </w:p>
          <w:tbl>
            <w:tblPr>
              <w:tblBorders>
                <w:top w:val="none" w:color="000000" w:sz="4"/>
                <w:left w:val="none" w:color="000000" w:sz="4"/>
                <w:bottom w:val="none" w:color="000000" w:sz="4"/>
                <w:right w:val="none" w:color="000000" w:sz="4"/>
                <w:insideH w:val="none"/>
                <w:insideV w:val="none"/>
              </w:tblBorders>
            </w:tblPr>
            <w:tblGrid>
              <w:gridCol w:w="491"/>
              <w:gridCol w:w="759"/>
              <w:gridCol w:w="3345"/>
              <w:gridCol w:w="491"/>
              <w:gridCol w:w="491"/>
            </w:tblGrid>
            <w:tr>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标的名称</w:t>
                  </w:r>
                </w:p>
              </w:tc>
              <w:tc>
                <w:tcPr>
                  <w:tcW w:type="dxa" w:w="33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技术要求</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桌面云资源管理终端</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1．★配置2颗CPU，每颗CPU：核数≥16核，主频≥2.8Ghz；配置内存≥256G；配置硬盘≥2*240G SSD、≥2*960G SSD、≥4*8T HDD；配置接口：千兆电口≥4个、10G SPF+万兆光口≥4个；配置冗余电源。</w:t>
                  </w:r>
                </w:p>
                <w:p>
                  <w:pPr>
                    <w:pStyle w:val="null3"/>
                    <w:jc w:val="left"/>
                  </w:pPr>
                  <w:r>
                    <w:rPr>
                      <w:rFonts w:ascii="仿宋_GB2312" w:hAnsi="仿宋_GB2312" w:cs="仿宋_GB2312" w:eastAsia="仿宋_GB2312"/>
                      <w:sz w:val="20"/>
                    </w:rPr>
                    <w:t>2．★桌面云资源管理终端配置对应的计算虚拟化、存储虚拟化软件授权。</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桌面云瘦终端</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1.★CPU≥4核、主频≥2.0Ghz、内存≥2G、存储≥8G、USB接口≥6个、HDMI≥1个、VGA≥1个、千兆电口≥2个，与桌面云软件、桌面云资源管理终端同一品牌。</w:t>
                  </w:r>
                </w:p>
                <w:p>
                  <w:pPr>
                    <w:pStyle w:val="null3"/>
                    <w:jc w:val="left"/>
                  </w:pPr>
                  <w:r>
                    <w:rPr>
                      <w:rFonts w:ascii="仿宋_GB2312" w:hAnsi="仿宋_GB2312" w:cs="仿宋_GB2312" w:eastAsia="仿宋_GB2312"/>
                      <w:sz w:val="20"/>
                    </w:rPr>
                    <w:t>2.管理方式需要为云桌面虚拟机和瘦终端统一管理。</w:t>
                  </w:r>
                </w:p>
                <w:p>
                  <w:pPr>
                    <w:pStyle w:val="null3"/>
                    <w:jc w:val="left"/>
                  </w:pPr>
                  <w:r>
                    <w:rPr>
                      <w:rFonts w:ascii="仿宋_GB2312" w:hAnsi="仿宋_GB2312" w:cs="仿宋_GB2312" w:eastAsia="仿宋_GB2312"/>
                      <w:sz w:val="20"/>
                    </w:rPr>
                    <w:t>3.★为保证扩容之后集群统一纳管的兼容性，要求本次所投桌面云瘦终端能够接入至医院现有桌面云平台（深信服桌面云平台v5.0）统一管理，实现瘦终端的批量开关机、重启操作。（提供承诺函并加盖投标人公章，承诺函内容须体现投标人负责承担相关厂商协调义务及可能涉及的一切对接费用，并在项目实施前定制开发实现）。</w:t>
                  </w:r>
                </w:p>
                <w:p>
                  <w:pPr>
                    <w:pStyle w:val="null3"/>
                    <w:jc w:val="left"/>
                  </w:pPr>
                  <w:r>
                    <w:rPr>
                      <w:rFonts w:ascii="仿宋_GB2312" w:hAnsi="仿宋_GB2312" w:cs="仿宋_GB2312" w:eastAsia="仿宋_GB2312"/>
                      <w:sz w:val="20"/>
                    </w:rPr>
                    <w:t>4.★投标人中标后签订合同前按采购人要求进行现场功能性演示，所投设备需满足招标人医疗业务系统(HIS、电子病历、集成平台)正常使用。（提供承诺函</w:t>
                  </w:r>
                  <w:r>
                    <w:rPr>
                      <w:rFonts w:ascii="仿宋_GB2312" w:hAnsi="仿宋_GB2312" w:cs="仿宋_GB2312" w:eastAsia="仿宋_GB2312"/>
                      <w:sz w:val="20"/>
                    </w:rPr>
                    <w:t>加盖投标人公章</w:t>
                  </w:r>
                  <w:r>
                    <w:rPr>
                      <w:rFonts w:ascii="仿宋_GB2312" w:hAnsi="仿宋_GB2312" w:cs="仿宋_GB2312" w:eastAsia="仿宋_GB2312"/>
                      <w:sz w:val="20"/>
                    </w:rPr>
                    <w:t>，格式自拟）</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60</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桌面云软件</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1.★本项目要求提供≥60个接入授权。</w:t>
                  </w:r>
                </w:p>
                <w:p>
                  <w:pPr>
                    <w:pStyle w:val="null3"/>
                    <w:jc w:val="left"/>
                  </w:pPr>
                  <w:r>
                    <w:rPr>
                      <w:rFonts w:ascii="仿宋_GB2312" w:hAnsi="仿宋_GB2312" w:cs="仿宋_GB2312" w:eastAsia="仿宋_GB2312"/>
                      <w:sz w:val="20"/>
                    </w:rPr>
                    <w:t>2.管理端采用BS架构，所有组件完全集成化，镜像能够在后台一键导入完成部署，提升上线效率。</w:t>
                  </w:r>
                </w:p>
                <w:p>
                  <w:pPr>
                    <w:pStyle w:val="null3"/>
                    <w:jc w:val="left"/>
                  </w:pPr>
                  <w:r>
                    <w:rPr>
                      <w:rFonts w:ascii="仿宋_GB2312" w:hAnsi="仿宋_GB2312" w:cs="仿宋_GB2312" w:eastAsia="仿宋_GB2312"/>
                      <w:sz w:val="20"/>
                    </w:rPr>
                    <w:t>3.★为保证扩容之后集群统一纳管的兼容性，要求本次所投桌面云软件须与采购人现有桌面云平台（深信服桌面云平台v5.0）无缝对接使用（提供承诺函</w:t>
                  </w:r>
                  <w:r>
                    <w:rPr>
                      <w:rFonts w:ascii="仿宋_GB2312" w:hAnsi="仿宋_GB2312" w:cs="仿宋_GB2312" w:eastAsia="仿宋_GB2312"/>
                      <w:sz w:val="20"/>
                    </w:rPr>
                    <w:t>加盖投标人公章</w:t>
                  </w:r>
                  <w:r>
                    <w:rPr>
                      <w:rFonts w:ascii="仿宋_GB2312" w:hAnsi="仿宋_GB2312" w:cs="仿宋_GB2312" w:eastAsia="仿宋_GB2312"/>
                      <w:sz w:val="20"/>
                    </w:rPr>
                    <w:t>，内容须体现投标人负责承担相关厂商协调义务及可能涉及的一切对接费用，并在项目实施前定制开发实现）。</w:t>
                  </w:r>
                </w:p>
                <w:p>
                  <w:pPr>
                    <w:pStyle w:val="null3"/>
                    <w:jc w:val="left"/>
                  </w:pPr>
                  <w:r>
                    <w:rPr>
                      <w:rFonts w:ascii="仿宋_GB2312" w:hAnsi="仿宋_GB2312" w:cs="仿宋_GB2312" w:eastAsia="仿宋_GB2312"/>
                      <w:sz w:val="20"/>
                    </w:rPr>
                    <w:t>4.支持分布式虚拟交换机功能，通过分布式虚拟交换机对虚拟集群环境进行统一的网络管理。</w:t>
                  </w:r>
                </w:p>
                <w:p>
                  <w:pPr>
                    <w:pStyle w:val="null3"/>
                    <w:jc w:val="left"/>
                  </w:pPr>
                  <w:r>
                    <w:rPr>
                      <w:rFonts w:ascii="仿宋_GB2312" w:hAnsi="仿宋_GB2312" w:cs="仿宋_GB2312" w:eastAsia="仿宋_GB2312"/>
                      <w:sz w:val="20"/>
                    </w:rPr>
                    <w:t>5.分布式防火墙基于虚拟机进行3-4层安全防护，以虚拟机为单位的安全策略部署，即使改变虚拟机的IP地址信息，安全策略依然生效。</w:t>
                  </w:r>
                </w:p>
                <w:p>
                  <w:pPr>
                    <w:pStyle w:val="null3"/>
                    <w:jc w:val="left"/>
                  </w:pPr>
                  <w:r>
                    <w:rPr>
                      <w:rFonts w:ascii="仿宋_GB2312" w:hAnsi="仿宋_GB2312" w:cs="仿宋_GB2312" w:eastAsia="仿宋_GB2312"/>
                      <w:sz w:val="20"/>
                    </w:rPr>
                    <w:t>6.分布式防火墙提供实时拦截日志显示，支持“数据直通ByPass”功能。</w:t>
                  </w:r>
                </w:p>
                <w:p>
                  <w:pPr>
                    <w:pStyle w:val="null3"/>
                    <w:jc w:val="left"/>
                  </w:pPr>
                  <w:r>
                    <w:rPr>
                      <w:rFonts w:ascii="仿宋_GB2312" w:hAnsi="仿宋_GB2312" w:cs="仿宋_GB2312" w:eastAsia="仿宋_GB2312"/>
                      <w:sz w:val="20"/>
                    </w:rPr>
                    <w:t>7.▲为保证用户账号安全，具备账号安全保护相关能力，如支持多种认证方式随需组合等（提供国家版权局颁发的“账号安全保护”或“账号安全”的软件著作权证书复印件</w:t>
                  </w:r>
                  <w:r>
                    <w:rPr>
                      <w:rFonts w:ascii="仿宋_GB2312" w:hAnsi="仿宋_GB2312" w:cs="仿宋_GB2312" w:eastAsia="仿宋_GB2312"/>
                      <w:sz w:val="20"/>
                    </w:rPr>
                    <w:t>或扫描件</w:t>
                  </w:r>
                  <w:r>
                    <w:rPr>
                      <w:rFonts w:ascii="仿宋_GB2312" w:hAnsi="仿宋_GB2312" w:cs="仿宋_GB2312" w:eastAsia="仿宋_GB2312"/>
                      <w:sz w:val="20"/>
                    </w:rPr>
                    <w:t>，并加盖投标人公章</w:t>
                  </w:r>
                  <w:r>
                    <w:rPr>
                      <w:rFonts w:ascii="仿宋_GB2312" w:hAnsi="仿宋_GB2312" w:cs="仿宋_GB2312" w:eastAsia="仿宋_GB2312"/>
                      <w:sz w:val="20"/>
                    </w:rPr>
                    <w:t>，证书名称可与前述名称不一致，但需经评标委员会认定具备同等功能方可视为满足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8.桌面控制器内置DHCP功能，部署时无需额外搭建DHCP服务器，可实现终端和虚拟机IP的动态分配。</w:t>
                  </w:r>
                </w:p>
                <w:p>
                  <w:pPr>
                    <w:pStyle w:val="null3"/>
                    <w:jc w:val="left"/>
                  </w:pPr>
                  <w:r>
                    <w:rPr>
                      <w:rFonts w:ascii="仿宋_GB2312" w:hAnsi="仿宋_GB2312" w:cs="仿宋_GB2312" w:eastAsia="仿宋_GB2312"/>
                      <w:sz w:val="20"/>
                    </w:rPr>
                    <w:t>9.管理平台具有对资源池中CPU、网络、磁盘使用率等指标进行实时的数据统计，并支持针对用户使用的CPU、内存和存储维度的资源进行计算，并提供报表功能。</w:t>
                  </w:r>
                </w:p>
                <w:p>
                  <w:pPr>
                    <w:pStyle w:val="null3"/>
                    <w:jc w:val="left"/>
                  </w:pPr>
                  <w:r>
                    <w:rPr>
                      <w:rFonts w:ascii="仿宋_GB2312" w:hAnsi="仿宋_GB2312" w:cs="仿宋_GB2312" w:eastAsia="仿宋_GB2312"/>
                      <w:sz w:val="20"/>
                    </w:rPr>
                    <w:t>10.管理平台提供操作审计功能，支持平台所有用户各项操作记录的检索。</w:t>
                  </w:r>
                </w:p>
                <w:p>
                  <w:pPr>
                    <w:pStyle w:val="null3"/>
                    <w:jc w:val="left"/>
                  </w:pPr>
                  <w:r>
                    <w:rPr>
                      <w:rFonts w:ascii="仿宋_GB2312" w:hAnsi="仿宋_GB2312" w:cs="仿宋_GB2312" w:eastAsia="仿宋_GB2312"/>
                      <w:sz w:val="20"/>
                    </w:rPr>
                    <w:t>11.管理平台内置一键健康巡检功能，支持对虚拟化软件平台的使用状态和平台系统配置等维度对系统运行情况进行巡检，针对巡检问题平台可自动给出优化建议。</w:t>
                  </w:r>
                </w:p>
                <w:p>
                  <w:pPr>
                    <w:pStyle w:val="null3"/>
                    <w:jc w:val="left"/>
                  </w:pPr>
                  <w:r>
                    <w:rPr>
                      <w:rFonts w:ascii="仿宋_GB2312" w:hAnsi="仿宋_GB2312" w:cs="仿宋_GB2312" w:eastAsia="仿宋_GB2312"/>
                      <w:sz w:val="20"/>
                    </w:rPr>
                    <w:t>12.▲具备第三方设备的接入或对接能力，支持接入采购人现有第三方打印机、PC等设备（提供国家版权局颁发的“第三方设备接入”或“第三方接入”的软件著作权证书复印件</w:t>
                  </w:r>
                  <w:r>
                    <w:rPr>
                      <w:rFonts w:ascii="仿宋_GB2312" w:hAnsi="仿宋_GB2312" w:cs="仿宋_GB2312" w:eastAsia="仿宋_GB2312"/>
                      <w:sz w:val="20"/>
                    </w:rPr>
                    <w:t>或扫描件</w:t>
                  </w:r>
                  <w:r>
                    <w:rPr>
                      <w:rFonts w:ascii="仿宋_GB2312" w:hAnsi="仿宋_GB2312" w:cs="仿宋_GB2312" w:eastAsia="仿宋_GB2312"/>
                      <w:sz w:val="20"/>
                    </w:rPr>
                    <w:t>，并加盖投标人公章</w:t>
                  </w:r>
                  <w:r>
                    <w:rPr>
                      <w:rFonts w:ascii="仿宋_GB2312" w:hAnsi="仿宋_GB2312" w:cs="仿宋_GB2312" w:eastAsia="仿宋_GB2312"/>
                      <w:sz w:val="20"/>
                    </w:rPr>
                    <w:t>，证书名称可与前述名称不一致，但需经评标委员会认定具备同等功能方可视为满足</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13.支持实时监控并分析桌面云平台使用情况，自动侦测并发现虚拟机卡慢问题，并提供优化解决方案。</w:t>
                  </w:r>
                </w:p>
                <w:p>
                  <w:pPr>
                    <w:pStyle w:val="null3"/>
                    <w:jc w:val="left"/>
                  </w:pPr>
                  <w:r>
                    <w:rPr>
                      <w:rFonts w:ascii="仿宋_GB2312" w:hAnsi="仿宋_GB2312" w:cs="仿宋_GB2312" w:eastAsia="仿宋_GB2312"/>
                      <w:sz w:val="20"/>
                    </w:rPr>
                    <w:t>14.▲支持文件导出内容审计，开启文件安全导出后，虚拟机通过剪切板、PC设备和USB设备外发文件的操作将被禁止，用户可以使用虚拟机内部的文件导出工具实现文件外发，所有外发的文件内容都可以加密备份到数据中心，以备后续审计使用，可疑的导出行为会产生告警。（提供经国家认可的第三方机构出具的检测报告</w:t>
                  </w:r>
                  <w:r>
                    <w:rPr>
                      <w:rFonts w:ascii="仿宋_GB2312" w:hAnsi="仿宋_GB2312" w:cs="仿宋_GB2312" w:eastAsia="仿宋_GB2312"/>
                      <w:sz w:val="20"/>
                    </w:rPr>
                    <w:t>复印件或扫描件</w:t>
                  </w:r>
                  <w:r>
                    <w:rPr>
                      <w:rFonts w:ascii="仿宋_GB2312" w:hAnsi="仿宋_GB2312" w:cs="仿宋_GB2312" w:eastAsia="仿宋_GB2312"/>
                      <w:sz w:val="20"/>
                    </w:rPr>
                    <w:t>，并加盖投标人公章）</w:t>
                  </w:r>
                </w:p>
                <w:p>
                  <w:pPr>
                    <w:pStyle w:val="null3"/>
                    <w:jc w:val="left"/>
                  </w:pPr>
                  <w:r>
                    <w:rPr>
                      <w:rFonts w:ascii="仿宋_GB2312" w:hAnsi="仿宋_GB2312" w:cs="仿宋_GB2312" w:eastAsia="仿宋_GB2312"/>
                      <w:sz w:val="20"/>
                    </w:rPr>
                    <w:t>15.支持配置是否允许显示本地桌面和是否允许安装应用、支持配置是否允许新的云终端接入或者接入需要密码。</w:t>
                  </w:r>
                </w:p>
                <w:p>
                  <w:pPr>
                    <w:pStyle w:val="null3"/>
                    <w:jc w:val="left"/>
                  </w:pPr>
                  <w:r>
                    <w:rPr>
                      <w:rFonts w:ascii="仿宋_GB2312" w:hAnsi="仿宋_GB2312" w:cs="仿宋_GB2312" w:eastAsia="仿宋_GB2312"/>
                      <w:sz w:val="20"/>
                    </w:rPr>
                    <w:t>16.支持自助快照恢复，用户可以通过导航条按钮自助进行系统盘快照还原操作，支持安卓瘦终端、PC客户端。</w:t>
                  </w:r>
                </w:p>
                <w:p>
                  <w:pPr>
                    <w:pStyle w:val="null3"/>
                    <w:jc w:val="left"/>
                  </w:pPr>
                  <w:r>
                    <w:rPr>
                      <w:rFonts w:ascii="仿宋_GB2312" w:hAnsi="仿宋_GB2312" w:cs="仿宋_GB2312" w:eastAsia="仿宋_GB2312"/>
                      <w:sz w:val="20"/>
                    </w:rPr>
                    <w:t>17.支持虚拟门户，不同用户通过不同地址接入虚拟桌面，支持互联网访问场景，可以指定特定账号在外网环境下访问桌面云，而其他用户只能在内网环境下访问。</w:t>
                  </w:r>
                </w:p>
                <w:p>
                  <w:pPr>
                    <w:pStyle w:val="null3"/>
                    <w:jc w:val="left"/>
                  </w:pPr>
                  <w:r>
                    <w:rPr>
                      <w:rFonts w:ascii="仿宋_GB2312" w:hAnsi="仿宋_GB2312" w:cs="仿宋_GB2312" w:eastAsia="仿宋_GB2312"/>
                      <w:sz w:val="20"/>
                    </w:rPr>
                    <w:t>18.▲支持预测系统可新增虚拟机数量和虚拟机配置（提供经国家认可的第三方机构出具的检测报告</w:t>
                  </w:r>
                  <w:r>
                    <w:rPr>
                      <w:rFonts w:ascii="仿宋_GB2312" w:hAnsi="仿宋_GB2312" w:cs="仿宋_GB2312" w:eastAsia="仿宋_GB2312"/>
                      <w:sz w:val="20"/>
                    </w:rPr>
                    <w:t>复印件或扫描件</w:t>
                  </w:r>
                  <w:r>
                    <w:rPr>
                      <w:rFonts w:ascii="仿宋_GB2312" w:hAnsi="仿宋_GB2312" w:cs="仿宋_GB2312" w:eastAsia="仿宋_GB2312"/>
                      <w:sz w:val="20"/>
                    </w:rPr>
                    <w:t>，并加盖投标人公章）。</w:t>
                  </w:r>
                </w:p>
                <w:p>
                  <w:pPr>
                    <w:pStyle w:val="null3"/>
                    <w:jc w:val="left"/>
                  </w:pPr>
                  <w:r>
                    <w:rPr>
                      <w:rFonts w:ascii="仿宋_GB2312" w:hAnsi="仿宋_GB2312" w:cs="仿宋_GB2312" w:eastAsia="仿宋_GB2312"/>
                      <w:sz w:val="20"/>
                    </w:rPr>
                    <w:t>19.支持虚拟机回收站功能，避免误操作导致虚拟机数据丢失，当虚拟机删除后，会自动进入回收站，支持恢复到原位置，可设置回收站自动清理时长。</w:t>
                  </w:r>
                </w:p>
                <w:p>
                  <w:pPr>
                    <w:pStyle w:val="null3"/>
                    <w:jc w:val="left"/>
                  </w:pPr>
                  <w:r>
                    <w:rPr>
                      <w:rFonts w:ascii="仿宋_GB2312" w:hAnsi="仿宋_GB2312" w:cs="仿宋_GB2312" w:eastAsia="仿宋_GB2312"/>
                      <w:sz w:val="20"/>
                    </w:rPr>
                    <w:t>20.▲具备应用知识图谱分析与排查功能，支持在应用层面对虚拟桌面进行排障指导，并提出相应处置建议（提供经国家认可的第三方机构出具的检测报告</w:t>
                  </w:r>
                  <w:r>
                    <w:rPr>
                      <w:rFonts w:ascii="仿宋_GB2312" w:hAnsi="仿宋_GB2312" w:cs="仿宋_GB2312" w:eastAsia="仿宋_GB2312"/>
                      <w:sz w:val="20"/>
                    </w:rPr>
                    <w:t>复印件或扫描件</w:t>
                  </w:r>
                  <w:r>
                    <w:rPr>
                      <w:rFonts w:ascii="仿宋_GB2312" w:hAnsi="仿宋_GB2312" w:cs="仿宋_GB2312" w:eastAsia="仿宋_GB2312"/>
                      <w:sz w:val="20"/>
                    </w:rPr>
                    <w:t>，并加盖投标人公章）。</w:t>
                  </w:r>
                </w:p>
                <w:p>
                  <w:pPr>
                    <w:pStyle w:val="null3"/>
                    <w:jc w:val="left"/>
                  </w:pPr>
                  <w:r>
                    <w:rPr>
                      <w:rFonts w:ascii="仿宋_GB2312" w:hAnsi="仿宋_GB2312" w:cs="仿宋_GB2312" w:eastAsia="仿宋_GB2312"/>
                      <w:sz w:val="20"/>
                    </w:rPr>
                    <w:t>21.保障不同场景的数据使用，支持U盘、PC本地桌面到虚拟桌面这2种情况的双向拷贝管控，可控制U盘的只读和读写权限，可控制本地桌面和虚拟桌面双向拷贝、单向拷贝。</w:t>
                  </w:r>
                </w:p>
                <w:p>
                  <w:pPr>
                    <w:pStyle w:val="null3"/>
                    <w:jc w:val="left"/>
                  </w:pPr>
                  <w:r>
                    <w:rPr>
                      <w:rFonts w:ascii="仿宋_GB2312" w:hAnsi="仿宋_GB2312" w:cs="仿宋_GB2312" w:eastAsia="仿宋_GB2312"/>
                      <w:sz w:val="20"/>
                    </w:rPr>
                    <w:t>22.支持USB黑白名单技术，能够识别不同类型的外设（包括高拍仪、摄像头、USB光驱、认证key），并设置放通或者限制策略，提高管控力度和安全性。</w:t>
                  </w:r>
                </w:p>
                <w:p>
                  <w:pPr>
                    <w:pStyle w:val="null3"/>
                    <w:jc w:val="left"/>
                  </w:pPr>
                  <w:r>
                    <w:rPr>
                      <w:rFonts w:ascii="仿宋_GB2312" w:hAnsi="仿宋_GB2312" w:cs="仿宋_GB2312" w:eastAsia="仿宋_GB2312"/>
                      <w:sz w:val="20"/>
                    </w:rPr>
                    <w:t>23.支持桌面虚拟机的全盘加密处理。</w:t>
                  </w:r>
                </w:p>
                <w:p>
                  <w:pPr>
                    <w:pStyle w:val="null3"/>
                    <w:jc w:val="left"/>
                  </w:pPr>
                  <w:r>
                    <w:rPr>
                      <w:rFonts w:ascii="仿宋_GB2312" w:hAnsi="仿宋_GB2312" w:cs="仿宋_GB2312" w:eastAsia="仿宋_GB2312"/>
                      <w:sz w:val="20"/>
                    </w:rPr>
                    <w:t>24.支持应用分发，实现应用软件、驱动程序增量式更新，更新后不会重置用户的个人配置，包括打印机配置、输入法习惯。</w:t>
                  </w:r>
                </w:p>
                <w:p>
                  <w:pPr>
                    <w:pStyle w:val="null3"/>
                    <w:jc w:val="left"/>
                  </w:pPr>
                  <w:r>
                    <w:rPr>
                      <w:rFonts w:ascii="仿宋_GB2312" w:hAnsi="仿宋_GB2312" w:cs="仿宋_GB2312" w:eastAsia="仿宋_GB2312"/>
                      <w:sz w:val="20"/>
                    </w:rPr>
                    <w:t>25.管理平台远程协助桌面云终端支持直接接入和授权接入两种方式，即管理平台可以设置远程桌面云终端时是否需要用户同意。</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仲裁</w:t>
                  </w:r>
                  <w:r>
                    <w:rPr>
                      <w:rFonts w:ascii="仿宋_GB2312" w:hAnsi="仿宋_GB2312" w:cs="仿宋_GB2312" w:eastAsia="仿宋_GB2312"/>
                      <w:sz w:val="20"/>
                    </w:rPr>
                    <w:t>终端</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1、★CPU≥4核，内存≥16GB，硬盘≥64GB，千兆电口≥1个。</w:t>
                  </w:r>
                </w:p>
                <w:p>
                  <w:pPr>
                    <w:pStyle w:val="null3"/>
                    <w:jc w:val="left"/>
                  </w:pPr>
                  <w:r>
                    <w:rPr>
                      <w:rFonts w:ascii="仿宋_GB2312" w:hAnsi="仿宋_GB2312" w:cs="仿宋_GB2312" w:eastAsia="仿宋_GB2312"/>
                      <w:sz w:val="20"/>
                    </w:rPr>
                    <w:t>2、★预装仲裁软件。</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r>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桌面云专用数据交换系统</w:t>
                  </w:r>
                </w:p>
              </w:tc>
              <w:tc>
                <w:tcPr>
                  <w:tcW w:type="dxa" w:w="33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1、★接口：≥12个万兆光口，≥12个千兆电口。</w:t>
                  </w:r>
                </w:p>
                <w:p>
                  <w:pPr>
                    <w:pStyle w:val="null3"/>
                    <w:jc w:val="left"/>
                  </w:pPr>
                  <w:r>
                    <w:rPr>
                      <w:rFonts w:ascii="仿宋_GB2312" w:hAnsi="仿宋_GB2312" w:cs="仿宋_GB2312" w:eastAsia="仿宋_GB2312"/>
                      <w:sz w:val="20"/>
                    </w:rPr>
                    <w:t>2、★交换容量：≥2.4Tbps，包转发率：≥780Mpps。</w:t>
                  </w:r>
                </w:p>
                <w:p>
                  <w:pPr>
                    <w:pStyle w:val="null3"/>
                    <w:jc w:val="left"/>
                  </w:pPr>
                  <w:r>
                    <w:rPr>
                      <w:rFonts w:ascii="仿宋_GB2312" w:hAnsi="仿宋_GB2312" w:cs="仿宋_GB2312" w:eastAsia="仿宋_GB2312"/>
                      <w:sz w:val="20"/>
                    </w:rPr>
                    <w:t>3、支持智能交换机和普通交换机两种工作模式，可以根据不同的组网需要，随时在控制器平台灵活的进行SDN功能模式切换。</w:t>
                  </w:r>
                </w:p>
                <w:p>
                  <w:pPr>
                    <w:pStyle w:val="null3"/>
                    <w:jc w:val="left"/>
                  </w:pPr>
                  <w:r>
                    <w:rPr>
                      <w:rFonts w:ascii="仿宋_GB2312" w:hAnsi="仿宋_GB2312" w:cs="仿宋_GB2312" w:eastAsia="仿宋_GB2312"/>
                      <w:sz w:val="20"/>
                    </w:rPr>
                    <w:t>4、支持防网关ARP欺骗，支持端口保护、隔离、防止ARP泛洪攻击功能。</w:t>
                  </w:r>
                </w:p>
                <w:p>
                  <w:pPr>
                    <w:pStyle w:val="null3"/>
                    <w:jc w:val="left"/>
                  </w:pPr>
                  <w:r>
                    <w:rPr>
                      <w:rFonts w:ascii="仿宋_GB2312" w:hAnsi="仿宋_GB2312" w:cs="仿宋_GB2312" w:eastAsia="仿宋_GB2312"/>
                      <w:sz w:val="20"/>
                    </w:rPr>
                    <w:t>5、提供至少三年的交换机的备件更换、返厂寄修服务。</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r>
          </w:tbl>
          <w:p>
            <w:pPr>
              <w:pStyle w:val="null3"/>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before="105" w:after="105"/>
              <w:jc w:val="both"/>
            </w:pPr>
            <w:r>
              <w:rPr>
                <w:rFonts w:ascii="仿宋_GB2312" w:hAnsi="仿宋_GB2312" w:cs="仿宋_GB2312" w:eastAsia="仿宋_GB2312"/>
                <w:sz w:val="20"/>
              </w:rPr>
              <w:t>1、中标人须提供全新的货物（含零部件、配件等），表面无划伤、无碰撞痕迹，且权属清楚，不得侵害他人的知识产权。</w:t>
            </w:r>
          </w:p>
          <w:p>
            <w:pPr>
              <w:pStyle w:val="null3"/>
              <w:spacing w:before="105" w:after="105"/>
              <w:jc w:val="both"/>
            </w:pPr>
            <w:r>
              <w:rPr>
                <w:rFonts w:ascii="仿宋_GB2312" w:hAnsi="仿宋_GB2312" w:cs="仿宋_GB2312" w:eastAsia="仿宋_GB2312"/>
                <w:sz w:val="20"/>
              </w:rPr>
              <w:t>2、货物制造质量出现问题，中标人应负责三包（包修、包换、包退），费用由中标人负担，采购人有权实地了解和检查中标人的货物质量和供货进度。</w:t>
            </w:r>
          </w:p>
          <w:p>
            <w:pPr>
              <w:pStyle w:val="null3"/>
              <w:spacing w:before="105" w:after="105"/>
              <w:jc w:val="both"/>
            </w:pPr>
            <w:r>
              <w:rPr>
                <w:rFonts w:ascii="仿宋_GB2312" w:hAnsi="仿宋_GB2312" w:cs="仿宋_GB2312" w:eastAsia="仿宋_GB2312"/>
                <w:sz w:val="20"/>
              </w:rPr>
              <w:t>3、货到现场后交付采购人使用前由于中标人运输、装卸、保管不当造成的质量问题，采购人不负责修理，费用由中标人负担。</w:t>
            </w:r>
          </w:p>
          <w:p>
            <w:pPr>
              <w:pStyle w:val="null3"/>
              <w:spacing w:before="105" w:after="105"/>
              <w:jc w:val="both"/>
            </w:pPr>
            <w:r>
              <w:rPr>
                <w:rFonts w:ascii="仿宋_GB2312" w:hAnsi="仿宋_GB2312" w:cs="仿宋_GB2312" w:eastAsia="仿宋_GB2312"/>
                <w:sz w:val="20"/>
              </w:rPr>
              <w:t>4、售后服务要求：</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1）备件送达期限：在设备的使用寿命期内，中标人应保证不超过7天。</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2）质保期：3年，从验收合格之日起算。质保期后，中标人应向用户提供及时优质的、价优的技术服务和备品备件供应。</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3）在质保期内由中标人负责保修，排除故障，无偿提供非操作不当造成的部件、配件的更换，因操作不当或外部原因损坏，造成部件的更换，应由采购人承担有关费用。质保期内，所有维修服务均为上门服务，由此产生的费用均不再收取。</w:t>
            </w:r>
          </w:p>
          <w:p>
            <w:pPr>
              <w:pStyle w:val="null3"/>
              <w:spacing w:before="105" w:after="105"/>
              <w:jc w:val="both"/>
            </w:pPr>
            <w:r>
              <w:rPr>
                <w:rFonts w:ascii="仿宋_GB2312" w:hAnsi="仿宋_GB2312" w:cs="仿宋_GB2312" w:eastAsia="仿宋_GB2312"/>
                <w:sz w:val="20"/>
              </w:rPr>
              <w:t>（</w:t>
            </w:r>
            <w:r>
              <w:rPr>
                <w:rFonts w:ascii="仿宋_GB2312" w:hAnsi="仿宋_GB2312" w:cs="仿宋_GB2312" w:eastAsia="仿宋_GB2312"/>
                <w:sz w:val="20"/>
              </w:rPr>
              <w:t>4）质保期内出现质量问题，中标人须提供7×24小时热线服务和现场支持服务，在接到通知后30分钟电话响应，2小时内响应到场，24小时内完成维修或更换，并承担修理调换的费用；如货物经中标人3次维修仍不能达到本项目约定的质量标准，视作投标人未能按时交货，采购人有权退货并追究投标人的违约责任。超过质保期后维修只收取零配件成本费。</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自合同签订之日起40天内完成货物安装、调试并验收合格</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成都市龙泉驿区中医医院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1、合同签订后，达到付款条件起10日内，支付合同总金额的40.00%</w:t>
            </w:r>
          </w:p>
          <w:p>
            <w:pPr>
              <w:pStyle w:val="null3"/>
              <w:jc w:val="left"/>
            </w:pPr>
            <w:r>
              <w:rPr>
                <w:rFonts w:ascii="仿宋_GB2312" w:hAnsi="仿宋_GB2312" w:cs="仿宋_GB2312" w:eastAsia="仿宋_GB2312"/>
              </w:rPr>
              <w:t>2、货物安装调试完成，经采购人验收合格后，达到付款条件起10日内，支付合同总金额的60.00%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采购人成立验收小组，由中标人发起书面验收申请，根据招标文件、投标文件约定的质量标准及服务标准进行验收，验收合格的采购人出具验收合格意见，并按合同约定进行付款。</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质保期：3年，从验收合格之日起算。质保期后，中标人应向用户提供及时优质的、价优的技术服务和备品备件供应。</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（一）甲方违约责任 （1）甲方无正当理由拒收货物的，甲方应偿付合同总价百分之二十的违约金；（2）甲方逾期支付货款的，乙方应给予90个工作日的宽限期，宽限期届满后仍未支付货款的，甲方除应及时付足货款外，应向乙方偿付欠款总额万分之贰/天的违约金；逾期付款超过30天的，乙方有权终止合同；（3）甲方偿付的违约金不足以弥补乙方损失的，还应按乙方损失尚未弥补的部分，支付赔偿金给乙方。 （二）乙方违约责任 （1）乙方交付的货物质量不符合合同规定的，乙方应向甲方支付合同总价的百分之二十的违约金，并须在合同规定的交货时间内更换合格的货物给甲方，否则，视作乙方不能交付货物而违约，按本条本款下述第“（2）”项规定由乙方偿付违约赔偿金给甲方。（2）乙方不能交付货物或逾期交付货物而违约的，除应及时交足货物外，应向甲方偿付逾期交货部分货款总额的万分之贰/天的违约金；逾期交货超过30天，甲方有权终止合同，乙方则应按合同总价的百分之二十的款额向甲方偿付赔偿金，并须全额退还甲方已经付给乙方的货款及其利息。（3）乙方货物经甲方送交具有法定资格条件的质量技术监督机构检测后，如检测结果认定货物质量不符合本合同规定标准的，则视为乙方没有按时交货而违约，乙方须在30天内无条件更换合格的货物，如逾期不能更换合格的货物，甲方有权终止本合同，乙方应另付合同总价的百分之二十的赔偿金给甲方。（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二十向甲方支付违约金并赔偿因此给甲方造成的一切损失。（5）乙方偿付的违约金不足以弥补甲方损失的，还应按甲方损失尚未弥补的部分，支付赔偿金给甲方。 （三）解决争议的方法 1、因货物的质量问题发生争议，由质量技术监督部门或其指定的质量鉴定机构进行质量鉴定，鉴定费用由乙方垫付。货物符合标准的，鉴定费由甲方承担；货物不符合质量标准的，鉴定费由乙方承担。 2、合同履行期间,若双方发生争议，可协商或由有关部门调解解决，协商或调解不成的，由当事人依法向甲方所在地人民法院提请诉讼维护其合法权益。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1、供应商需针对本项目提供项目实施方案（至少包含：①实施人员安排；②实施进度保障措施（含进度安排及控制措施、质量控制措施）；③安装调试计划；④项目重难点分析及应急事件处置措施。 2、供应商需针对本项目提供售后服务方案（至少包含：①售后服务范围及标准；②培训方案（含培训计划、培训内容）；③故障处理及技术支持方案；④售后服务质量保障方案。 3、投标人需提供履约能力证明。 4、因系统固化格式原因，投标人提供中小企业声明函时，需按采购文件第三章3.2技术要求中“一，采购清单”中的标的名称及所属行业进行填写，否则将不予认定。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一年内，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符合采购文件实质性要求</w:t>
            </w:r>
          </w:p>
        </w:tc>
        <w:tc>
          <w:tcPr>
            <w:tcW w:type="dxa" w:w="3322"/>
          </w:tcPr>
          <w:p>
            <w:pPr>
              <w:pStyle w:val="null3"/>
              <w:jc w:val="left"/>
            </w:pPr>
            <w:r>
              <w:rPr>
                <w:rFonts w:ascii="仿宋_GB2312" w:hAnsi="仿宋_GB2312" w:cs="仿宋_GB2312" w:eastAsia="仿宋_GB2312"/>
              </w:rPr>
              <w:t>对采购文件第三章3.2技术要求、3.3服务要求中实质性条款进行逐条响应（采购文件有要求提供证明材料的应按要求进行提供）。</w:t>
            </w:r>
          </w:p>
        </w:tc>
        <w:tc>
          <w:tcPr>
            <w:tcW w:type="dxa" w:w="1661"/>
          </w:tcPr>
          <w:p>
            <w:pPr>
              <w:pStyle w:val="null3"/>
              <w:jc w:val="left"/>
            </w:pPr>
            <w:r>
              <w:rPr>
                <w:rFonts w:ascii="仿宋_GB2312" w:hAnsi="仿宋_GB2312" w:cs="仿宋_GB2312" w:eastAsia="仿宋_GB2312"/>
              </w:rPr>
              <w:t>产品技术参数响应表,服务应答表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完全符合招标文件第三章3.2技术要求且没有负偏离的得42分； 1、投标人针对 标记“▲”项 技术参数条款的响应得分规则如下： 标记“▲”项 技术参数条款响应得分=（投标人满足标记“▲”项 技术参数条款的数量÷ 标记“▲”项技术参数条款的总数量）×25分。 2、投标人针对招标文件一般性技术参数条款的响应得分规则如下： 一般性技术参数条款响应得分=（投标人满足一般性技术参数条款的数量÷一般性技术参数条款的总数量）×17分。 （一般性技术参数条款指未标注“▲”或“★”的条款（以招标文件技术参数中的“1、2、3......”标识为一项，如有次级序号的，则以最低次级的序号为准，如“1.1”“1.2”或“1.1.1”“1.1.2”或“1）”“2）”……，以此类推； ）。 备注： ①得分保留小数点后两位数，四舍五入。 ②带“★”标记项为实质性要求（不允许有负偏离）不计入本项计分。 ③针对标记“▲”项技术参数条款的技术响应：应提供厂家彩页资料或说明书或检测报告或重要功能截图复印件并加盖供应商公章，如无佐证材料的，不予认定，视为不满足；（招标文件有具体要求证明材料的，以招标文件要求的为准。）。 ④针对一般性技术参数条款的技术响应：如果对技术支撑材料有要求，应按要求提供并加盖投标人公章，未作材料要求的逐条响应，否则对应技术参数条款将视为不满足。</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方案包含但不限于：①实施人员安排；②实施进度保障措施（含进度安排及控制措施、质量控制措施）；③安装调试计划；④项目重难点分析及应急事件处置措施，以上4项内容（以序号①②③...为项数）完整得12分，每有一项内容缺项的扣3分，每项内容中存在不足或不符合项目实际需求每一处扣1.5分，扣完为止。 备注：内容存在错误或不符合项目实际需求是指: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项目售后服务方案进行综合评审，方案包含但不限于：①售后服务范围及标准；②培训方案（含培训计划、培训内容）；③故障处理及技术支持方案；④售后服务质量保障方案，以上4项内容（以序号①②③...为项数）完整得12分，每有一项内容缺项的扣3分，每项内容中存在不足或不符合项目实际需求每一处扣1.5分，扣完为止。 备注：内容存在不足或不符合项目实际需求是指: 项目信息错误、方案内容脱离项目实际情况、引用的法律法规规范、标准或其他规范性文件错误、套用其他项目方案、地点区域错误、照搬采购文件且未作出进一步细化的任意一种情形。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供应商每具有1个类似项目业绩得2分，本项最多得4分。 注：提供合同或中标（成交）通知书等相关证明复印件，并加盖供应商单位公章，否则相应得分项不得分。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