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3C5CF">
      <w:pPr>
        <w:spacing w:line="360" w:lineRule="auto"/>
        <w:jc w:val="center"/>
        <w:rPr>
          <w:rFonts w:hint="eastAsia" w:ascii="宋体" w:hAnsi="宋体" w:eastAsia="宋体" w:cs="宋体"/>
          <w:b/>
          <w:color w:val="auto"/>
          <w:sz w:val="24"/>
          <w:lang w:val="en-US" w:eastAsia="zh-CN"/>
        </w:rPr>
      </w:pPr>
    </w:p>
    <w:p w14:paraId="3E86BA65">
      <w:pPr>
        <w:adjustRightInd/>
        <w:spacing w:line="360" w:lineRule="auto"/>
        <w:jc w:val="center"/>
        <w:rPr>
          <w:rFonts w:ascii="宋体" w:hAnsi="宋体" w:cs="宋体"/>
          <w:b/>
          <w:color w:val="auto"/>
          <w:sz w:val="44"/>
          <w:szCs w:val="44"/>
        </w:rPr>
      </w:pPr>
    </w:p>
    <w:p w14:paraId="4876991F">
      <w:pPr>
        <w:spacing w:line="360" w:lineRule="auto"/>
        <w:jc w:val="center"/>
        <w:rPr>
          <w:rFonts w:ascii="宋体" w:hAnsi="宋体" w:cs="宋体"/>
          <w:b/>
          <w:color w:val="auto"/>
          <w:sz w:val="44"/>
          <w:szCs w:val="44"/>
        </w:rPr>
      </w:pPr>
    </w:p>
    <w:p w14:paraId="786E5749">
      <w:pPr>
        <w:adjustRightInd/>
        <w:spacing w:line="360" w:lineRule="auto"/>
        <w:jc w:val="center"/>
        <w:rPr>
          <w:rFonts w:ascii="宋体" w:hAnsi="宋体" w:cs="宋体"/>
          <w:b/>
          <w:color w:val="auto"/>
          <w:sz w:val="48"/>
          <w:szCs w:val="48"/>
        </w:rPr>
      </w:pPr>
    </w:p>
    <w:p w14:paraId="2454AA6E">
      <w:pPr>
        <w:adjustRightInd/>
        <w:spacing w:line="360" w:lineRule="auto"/>
        <w:jc w:val="center"/>
        <w:rPr>
          <w:rFonts w:hint="eastAsia" w:ascii="宋体" w:hAnsi="宋体" w:cs="宋体"/>
          <w:color w:val="auto"/>
          <w:sz w:val="48"/>
          <w:szCs w:val="48"/>
          <w:lang w:val="en-US" w:eastAsia="zh-CN"/>
        </w:rPr>
      </w:pPr>
      <w:r>
        <w:rPr>
          <w:rFonts w:hint="eastAsia" w:ascii="宋体" w:hAnsi="宋体" w:cs="宋体"/>
          <w:color w:val="auto"/>
          <w:sz w:val="48"/>
          <w:szCs w:val="48"/>
          <w:lang w:val="en-US" w:eastAsia="zh-CN"/>
        </w:rPr>
        <w:t>2026年洞头区教育局下属学校</w:t>
      </w:r>
    </w:p>
    <w:p w14:paraId="2E4D178C">
      <w:pPr>
        <w:adjustRightInd/>
        <w:spacing w:line="360" w:lineRule="auto"/>
        <w:jc w:val="center"/>
        <w:rPr>
          <w:rFonts w:hint="eastAsia" w:ascii="宋体" w:hAnsi="宋体" w:cs="宋体"/>
          <w:color w:val="auto"/>
          <w:sz w:val="48"/>
          <w:szCs w:val="48"/>
          <w:lang w:val="en-US" w:eastAsia="zh-CN"/>
        </w:rPr>
      </w:pPr>
      <w:r>
        <w:rPr>
          <w:rFonts w:hint="eastAsia" w:ascii="宋体" w:hAnsi="宋体" w:cs="宋体"/>
          <w:color w:val="auto"/>
          <w:sz w:val="48"/>
          <w:szCs w:val="48"/>
          <w:lang w:val="en-US" w:eastAsia="zh-CN"/>
        </w:rPr>
        <w:t>台式计算机采购项目</w:t>
      </w:r>
    </w:p>
    <w:p w14:paraId="76EDB096">
      <w:pPr>
        <w:adjustRightInd/>
        <w:spacing w:line="360" w:lineRule="auto"/>
        <w:jc w:val="center"/>
        <w:rPr>
          <w:rFonts w:hint="eastAsia" w:ascii="宋体" w:hAnsi="宋体" w:cs="宋体"/>
          <w:color w:val="auto"/>
          <w:sz w:val="48"/>
          <w:szCs w:val="48"/>
        </w:rPr>
      </w:pPr>
      <w:r>
        <w:rPr>
          <w:rFonts w:hint="eastAsia" w:ascii="宋体" w:hAnsi="宋体" w:cs="宋体"/>
          <w:color w:val="auto"/>
          <w:sz w:val="48"/>
          <w:szCs w:val="48"/>
        </w:rPr>
        <w:t>招标文件</w:t>
      </w:r>
    </w:p>
    <w:p w14:paraId="56A83EE8">
      <w:pPr>
        <w:adjustRightInd/>
        <w:spacing w:line="360" w:lineRule="auto"/>
        <w:jc w:val="center"/>
        <w:rPr>
          <w:rFonts w:hint="eastAsia" w:ascii="宋体" w:hAnsi="宋体" w:cs="宋体"/>
          <w:color w:val="auto"/>
          <w:sz w:val="48"/>
          <w:szCs w:val="48"/>
        </w:rPr>
      </w:pPr>
      <w:r>
        <w:rPr>
          <w:rFonts w:hint="eastAsia" w:ascii="宋体" w:hAnsi="宋体" w:cs="宋体"/>
          <w:color w:val="auto"/>
          <w:sz w:val="48"/>
          <w:szCs w:val="48"/>
          <w:lang w:val="en-US" w:eastAsia="zh-CN"/>
        </w:rPr>
        <w:t>公开招标</w:t>
      </w:r>
    </w:p>
    <w:p w14:paraId="24CA59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360" w:rightChars="0" w:firstLine="1200" w:firstLineChars="400"/>
        <w:rPr>
          <w:rFonts w:hint="eastAsia" w:ascii="宋体" w:hAnsi="宋体" w:eastAsia="宋体" w:cs="宋体"/>
          <w:color w:val="auto"/>
          <w:sz w:val="28"/>
          <w:szCs w:val="20"/>
          <w:lang w:val="en-US" w:eastAsia="zh-CN"/>
        </w:rPr>
      </w:pPr>
      <w:r>
        <w:rPr>
          <w:rFonts w:hint="eastAsia" w:ascii="宋体" w:hAnsi="宋体" w:cs="宋体"/>
          <w:color w:val="auto"/>
          <w:sz w:val="30"/>
          <w:szCs w:val="30"/>
          <w:lang w:val="en-US" w:eastAsia="zh-CN"/>
        </w:rPr>
        <w:t xml:space="preserve">        </w:t>
      </w:r>
      <w:r>
        <w:rPr>
          <w:rFonts w:hint="eastAsia" w:ascii="宋体" w:hAnsi="宋体" w:cs="宋体"/>
          <w:color w:val="auto"/>
          <w:sz w:val="44"/>
          <w:szCs w:val="44"/>
        </w:rPr>
        <w:t>编号:DTCG20260618035</w:t>
      </w:r>
      <w:r>
        <w:rPr>
          <w:rFonts w:hint="eastAsia" w:ascii="宋体" w:hAnsi="宋体" w:cs="宋体"/>
          <w:color w:val="auto"/>
          <w:sz w:val="44"/>
          <w:szCs w:val="44"/>
          <w:lang w:val="en-US" w:eastAsia="zh-CN"/>
        </w:rPr>
        <w:t xml:space="preserve"> </w:t>
      </w:r>
    </w:p>
    <w:p w14:paraId="2CE3C7E2">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23FFDE6E">
      <w:pPr>
        <w:spacing w:line="360" w:lineRule="auto"/>
        <w:rPr>
          <w:rFonts w:ascii="宋体" w:hAnsi="宋体" w:cs="宋体"/>
          <w:color w:val="auto"/>
          <w:sz w:val="32"/>
          <w:szCs w:val="32"/>
        </w:rPr>
      </w:pPr>
    </w:p>
    <w:p w14:paraId="17470191">
      <w:pPr>
        <w:pStyle w:val="47"/>
        <w:jc w:val="both"/>
        <w:rPr>
          <w:color w:val="auto"/>
        </w:rPr>
      </w:pPr>
    </w:p>
    <w:p w14:paraId="6A3D237D">
      <w:pPr>
        <w:rPr>
          <w:color w:val="auto"/>
        </w:rPr>
      </w:pPr>
    </w:p>
    <w:p w14:paraId="3FE42777">
      <w:pPr>
        <w:pStyle w:val="23"/>
        <w:rPr>
          <w:color w:val="auto"/>
        </w:rPr>
      </w:pPr>
    </w:p>
    <w:p w14:paraId="7B39E2B0">
      <w:pPr>
        <w:spacing w:line="360" w:lineRule="auto"/>
        <w:jc w:val="center"/>
        <w:rPr>
          <w:rFonts w:hint="default" w:ascii="宋体" w:hAnsi="宋体" w:eastAsia="宋体" w:cs="宋体"/>
          <w:bCs/>
          <w:color w:val="auto"/>
          <w:sz w:val="32"/>
          <w:szCs w:val="32"/>
          <w:lang w:val="en-US"/>
        </w:rPr>
      </w:pPr>
      <w:r>
        <w:rPr>
          <w:rFonts w:hint="eastAsia" w:ascii="宋体" w:hAnsi="宋体" w:cs="宋体"/>
          <w:b w:val="0"/>
          <w:bCs/>
          <w:color w:val="auto"/>
          <w:sz w:val="30"/>
          <w:szCs w:val="30"/>
          <w:lang w:val="en-US" w:eastAsia="zh-CN"/>
        </w:rPr>
        <w:t>采购人：温州市洞头区教育局</w:t>
      </w:r>
      <w:r>
        <w:rPr>
          <w:rFonts w:hint="eastAsia" w:ascii="宋体" w:hAnsi="宋体" w:cs="宋体"/>
          <w:b w:val="0"/>
          <w:bCs/>
          <w:color w:val="auto"/>
          <w:sz w:val="30"/>
          <w:szCs w:val="30"/>
          <w:lang w:val="en-US" w:eastAsia="zh-CN"/>
        </w:rPr>
        <w:br w:type="textWrapping"/>
      </w:r>
      <w:r>
        <w:rPr>
          <w:rFonts w:hint="eastAsia" w:ascii="宋体" w:hAnsi="宋体" w:cs="宋体"/>
          <w:b w:val="0"/>
          <w:bCs/>
          <w:color w:val="auto"/>
          <w:sz w:val="30"/>
          <w:szCs w:val="30"/>
          <w:lang w:val="en-US" w:eastAsia="zh-CN"/>
        </w:rPr>
        <w:t>代理机构：</w:t>
      </w:r>
      <w:r>
        <w:rPr>
          <w:rFonts w:hint="eastAsia" w:ascii="宋体" w:hAnsi="宋体" w:eastAsia="宋体" w:cs="宋体"/>
          <w:b w:val="0"/>
          <w:bCs/>
          <w:color w:val="auto"/>
          <w:sz w:val="30"/>
          <w:szCs w:val="30"/>
        </w:rPr>
        <w:t>温州市</w:t>
      </w:r>
      <w:r>
        <w:rPr>
          <w:rFonts w:hint="eastAsia" w:ascii="宋体" w:hAnsi="宋体" w:cs="宋体"/>
          <w:b w:val="0"/>
          <w:bCs/>
          <w:color w:val="auto"/>
          <w:sz w:val="30"/>
          <w:szCs w:val="30"/>
          <w:lang w:val="en-US" w:eastAsia="zh-CN"/>
        </w:rPr>
        <w:t>洞头区政务服务中心</w:t>
      </w:r>
    </w:p>
    <w:p w14:paraId="0D79E085">
      <w:pPr>
        <w:snapToGrid w:val="0"/>
        <w:spacing w:line="360" w:lineRule="auto"/>
        <w:jc w:val="center"/>
        <w:rPr>
          <w:rFonts w:hint="eastAsia" w:ascii="宋体" w:hAnsi="宋体" w:cs="宋体"/>
          <w:bCs/>
          <w:color w:val="auto"/>
          <w:sz w:val="32"/>
          <w:szCs w:val="32"/>
        </w:rPr>
      </w:pPr>
      <w:r>
        <w:rPr>
          <w:rFonts w:hint="eastAsia" w:ascii="宋体" w:hAnsi="宋体" w:cs="宋体"/>
          <w:bCs/>
          <w:color w:val="auto"/>
          <w:sz w:val="32"/>
          <w:szCs w:val="32"/>
        </w:rPr>
        <w:t>二〇</w:t>
      </w:r>
      <w:r>
        <w:rPr>
          <w:rFonts w:hint="eastAsia" w:ascii="宋体" w:hAnsi="宋体" w:cs="宋体"/>
          <w:bCs/>
          <w:color w:val="auto"/>
          <w:sz w:val="32"/>
          <w:szCs w:val="32"/>
          <w:lang w:val="en-US" w:eastAsia="zh-CN"/>
        </w:rPr>
        <w:t>二六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十八</w:t>
      </w:r>
      <w:r>
        <w:rPr>
          <w:rFonts w:hint="eastAsia" w:ascii="宋体" w:hAnsi="宋体" w:cs="宋体"/>
          <w:bCs/>
          <w:color w:val="auto"/>
          <w:sz w:val="32"/>
          <w:szCs w:val="32"/>
        </w:rPr>
        <w:t>日</w:t>
      </w:r>
    </w:p>
    <w:p w14:paraId="49105777">
      <w:pPr>
        <w:spacing w:line="360" w:lineRule="auto"/>
        <w:jc w:val="center"/>
        <w:rPr>
          <w:rFonts w:ascii="宋体" w:hAnsi="宋体" w:cs="宋体"/>
          <w:color w:val="auto"/>
          <w:sz w:val="24"/>
        </w:rPr>
      </w:pPr>
      <w:r>
        <w:rPr>
          <w:rFonts w:hint="eastAsia" w:ascii="宋体" w:hAnsi="宋体" w:cs="宋体"/>
          <w:color w:val="auto"/>
          <w:sz w:val="24"/>
        </w:rPr>
        <w:br w:type="page"/>
      </w:r>
      <w:bookmarkStart w:id="0" w:name="_Hlt67893495"/>
      <w:bookmarkEnd w:id="0"/>
    </w:p>
    <w:p w14:paraId="6A3E53D1">
      <w:pPr>
        <w:pStyle w:val="635"/>
        <w:rPr>
          <w:color w:val="auto"/>
        </w:rPr>
      </w:pPr>
    </w:p>
    <w:p w14:paraId="62B0649A">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5EEEA08F">
      <w:pPr>
        <w:spacing w:line="360" w:lineRule="auto"/>
        <w:rPr>
          <w:rFonts w:ascii="宋体" w:hAnsi="宋体" w:cs="宋体"/>
          <w:color w:val="auto"/>
          <w:sz w:val="32"/>
          <w:szCs w:val="32"/>
        </w:rPr>
      </w:pPr>
    </w:p>
    <w:p w14:paraId="7D0B8FFC">
      <w:pPr>
        <w:spacing w:line="360" w:lineRule="auto"/>
        <w:rPr>
          <w:rFonts w:ascii="宋体" w:hAnsi="宋体" w:cs="宋体"/>
          <w:color w:val="auto"/>
          <w:sz w:val="32"/>
          <w:szCs w:val="32"/>
        </w:rPr>
      </w:pPr>
    </w:p>
    <w:p w14:paraId="0A82E546">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第一部分      招标公告</w:t>
      </w:r>
    </w:p>
    <w:p w14:paraId="3CD4DDE7">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第二部分      投标人须知</w:t>
      </w:r>
    </w:p>
    <w:p w14:paraId="52C5558D">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第三部分      采购需求</w:t>
      </w:r>
    </w:p>
    <w:p w14:paraId="33DCC3F6">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第四部分      评标办法</w:t>
      </w:r>
    </w:p>
    <w:p w14:paraId="10289412">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第五部分      拟签订的合同文本</w:t>
      </w:r>
    </w:p>
    <w:p w14:paraId="0B322A97">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第六部分      应提交的有关格式范例</w:t>
      </w:r>
    </w:p>
    <w:p w14:paraId="0C35AEB1">
      <w:pPr>
        <w:spacing w:line="360" w:lineRule="auto"/>
        <w:ind w:firstLine="549" w:firstLineChars="229"/>
        <w:rPr>
          <w:rFonts w:ascii="宋体" w:hAnsi="宋体" w:cs="宋体"/>
          <w:color w:val="auto"/>
          <w:sz w:val="24"/>
        </w:rPr>
      </w:pPr>
      <w:bookmarkStart w:id="1" w:name="_Hlt91233176"/>
      <w:bookmarkEnd w:id="1"/>
      <w:bookmarkStart w:id="2" w:name="_Toc91899869"/>
    </w:p>
    <w:p w14:paraId="735EE0B6">
      <w:pPr>
        <w:spacing w:line="360" w:lineRule="auto"/>
        <w:ind w:firstLine="549" w:firstLineChars="229"/>
        <w:rPr>
          <w:rFonts w:ascii="宋体" w:hAnsi="宋体" w:cs="宋体"/>
          <w:color w:val="auto"/>
          <w:sz w:val="24"/>
        </w:rPr>
      </w:pPr>
    </w:p>
    <w:p w14:paraId="67A12C8F">
      <w:pPr>
        <w:spacing w:line="560" w:lineRule="exact"/>
        <w:ind w:left="567" w:leftChars="270" w:right="565" w:rightChars="269" w:firstLine="424" w:firstLineChars="202"/>
        <w:rPr>
          <w:rFonts w:hint="eastAsia" w:ascii="楷体" w:hAnsi="楷体" w:eastAsia="楷体"/>
          <w:bCs/>
          <w:color w:val="auto"/>
          <w:szCs w:val="21"/>
          <w:u w:val="single"/>
        </w:rPr>
      </w:pPr>
    </w:p>
    <w:p w14:paraId="692C8EDE">
      <w:pPr>
        <w:spacing w:line="560" w:lineRule="exact"/>
        <w:ind w:left="567" w:leftChars="270" w:right="565" w:rightChars="269" w:firstLine="424" w:firstLineChars="202"/>
        <w:rPr>
          <w:rFonts w:hint="eastAsia" w:ascii="楷体" w:hAnsi="楷体" w:eastAsia="楷体"/>
          <w:bCs/>
          <w:color w:val="auto"/>
          <w:szCs w:val="21"/>
          <w:u w:val="single"/>
        </w:rPr>
      </w:pPr>
    </w:p>
    <w:p w14:paraId="17E694D8">
      <w:pPr>
        <w:spacing w:line="560" w:lineRule="exact"/>
        <w:ind w:left="567" w:leftChars="270" w:right="565" w:rightChars="269" w:firstLine="424" w:firstLineChars="202"/>
        <w:rPr>
          <w:rFonts w:ascii="宋体" w:hAnsi="宋体"/>
          <w:b/>
          <w:bCs/>
          <w:color w:val="auto"/>
          <w:szCs w:val="21"/>
        </w:rPr>
      </w:pPr>
      <w:r>
        <w:rPr>
          <w:rFonts w:hint="eastAsia" w:ascii="楷体" w:hAnsi="楷体" w:eastAsia="楷体"/>
          <w:bCs/>
          <w:color w:val="auto"/>
          <w:szCs w:val="21"/>
          <w:u w:val="single"/>
        </w:rPr>
        <w:t>注：▲</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中标“▲”且加下划线部分，为</w:t>
      </w:r>
      <w:r>
        <w:rPr>
          <w:rFonts w:hint="eastAsia" w:ascii="楷体" w:hAnsi="楷体" w:eastAsia="楷体"/>
          <w:bCs/>
          <w:color w:val="auto"/>
          <w:szCs w:val="21"/>
          <w:u w:val="single"/>
          <w:lang w:val="en-US" w:eastAsia="zh-CN"/>
        </w:rPr>
        <w:t>招标</w:t>
      </w:r>
      <w:r>
        <w:rPr>
          <w:rFonts w:hint="eastAsia" w:ascii="楷体" w:hAnsi="楷体" w:eastAsia="楷体"/>
          <w:bCs/>
          <w:color w:val="auto"/>
          <w:szCs w:val="21"/>
          <w:u w:val="single"/>
        </w:rPr>
        <w:t>的实质性要求，着重提醒各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必须响应。各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必须认真阅读和理解</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中的每一个条款及要求，因误读</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而造成的后果，采购人及采</w:t>
      </w:r>
      <w:r>
        <w:rPr>
          <w:rFonts w:hint="eastAsia" w:ascii="楷体" w:hAnsi="楷体" w:eastAsia="楷体"/>
          <w:bCs/>
          <w:color w:val="auto"/>
          <w:szCs w:val="21"/>
          <w:u w:val="single"/>
          <w:lang w:val="en-US" w:eastAsia="zh-CN"/>
        </w:rPr>
        <w:t>购代理</w:t>
      </w:r>
      <w:r>
        <w:rPr>
          <w:rFonts w:hint="eastAsia" w:ascii="楷体" w:hAnsi="楷体" w:eastAsia="楷体"/>
          <w:bCs/>
          <w:color w:val="auto"/>
          <w:szCs w:val="21"/>
          <w:u w:val="single"/>
        </w:rPr>
        <w:t>机构概不负责。</w:t>
      </w:r>
    </w:p>
    <w:p w14:paraId="09D8F441">
      <w:pPr>
        <w:spacing w:line="360" w:lineRule="auto"/>
        <w:ind w:firstLine="549" w:firstLineChars="229"/>
        <w:rPr>
          <w:rFonts w:ascii="宋体" w:hAnsi="宋体" w:cs="宋体"/>
          <w:color w:val="auto"/>
          <w:sz w:val="24"/>
        </w:rPr>
      </w:pPr>
    </w:p>
    <w:p w14:paraId="38A41C42">
      <w:pPr>
        <w:spacing w:line="360" w:lineRule="auto"/>
        <w:ind w:firstLine="549" w:firstLineChars="229"/>
        <w:rPr>
          <w:rFonts w:ascii="宋体" w:hAnsi="宋体" w:cs="宋体"/>
          <w:color w:val="auto"/>
          <w:sz w:val="24"/>
        </w:rPr>
      </w:pPr>
    </w:p>
    <w:p w14:paraId="60A698A1">
      <w:pPr>
        <w:spacing w:line="360" w:lineRule="auto"/>
        <w:ind w:firstLine="549" w:firstLineChars="229"/>
        <w:rPr>
          <w:rFonts w:ascii="宋体" w:hAnsi="宋体" w:cs="宋体"/>
          <w:color w:val="auto"/>
          <w:sz w:val="24"/>
        </w:rPr>
      </w:pPr>
    </w:p>
    <w:p w14:paraId="676B6ED7">
      <w:pPr>
        <w:spacing w:line="360" w:lineRule="auto"/>
        <w:ind w:firstLine="549" w:firstLineChars="229"/>
        <w:rPr>
          <w:rFonts w:ascii="宋体" w:hAnsi="宋体" w:cs="宋体"/>
          <w:color w:val="auto"/>
          <w:sz w:val="24"/>
        </w:rPr>
      </w:pPr>
    </w:p>
    <w:p w14:paraId="440F5F5C">
      <w:pPr>
        <w:spacing w:line="360" w:lineRule="auto"/>
        <w:ind w:firstLine="549" w:firstLineChars="229"/>
        <w:rPr>
          <w:rFonts w:ascii="宋体" w:hAnsi="宋体" w:cs="宋体"/>
          <w:color w:val="auto"/>
          <w:sz w:val="24"/>
        </w:rPr>
      </w:pPr>
    </w:p>
    <w:bookmarkEnd w:id="2"/>
    <w:p w14:paraId="32A0E6DA">
      <w:pPr>
        <w:rPr>
          <w:rFonts w:hint="eastAsia" w:ascii="宋体" w:hAnsi="宋体" w:cs="宋体"/>
          <w:b/>
          <w:color w:val="auto"/>
          <w:sz w:val="36"/>
          <w:szCs w:val="20"/>
        </w:rPr>
      </w:pPr>
      <w:bookmarkStart w:id="3" w:name="_Hlt74729822"/>
      <w:bookmarkEnd w:id="3"/>
      <w:bookmarkStart w:id="4" w:name="_Hlt74707423"/>
      <w:bookmarkEnd w:id="4"/>
      <w:bookmarkStart w:id="5" w:name="_Hlt74728647"/>
      <w:bookmarkEnd w:id="5"/>
      <w:bookmarkStart w:id="6" w:name="_Hlt74649545"/>
      <w:bookmarkEnd w:id="6"/>
      <w:bookmarkStart w:id="7" w:name="第二部分"/>
      <w:bookmarkStart w:id="8" w:name="_Toc91899870"/>
      <w:bookmarkStart w:id="9" w:name="_Toc91899871"/>
      <w:r>
        <w:rPr>
          <w:rFonts w:hint="eastAsia" w:ascii="宋体" w:hAnsi="宋体" w:cs="宋体"/>
          <w:b/>
          <w:color w:val="auto"/>
          <w:sz w:val="36"/>
          <w:szCs w:val="20"/>
        </w:rPr>
        <w:br w:type="page"/>
      </w:r>
    </w:p>
    <w:p w14:paraId="37637E36">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第一部分 招标公告</w:t>
      </w:r>
    </w:p>
    <w:p w14:paraId="14D93FD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52DE99F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2026年洞头区教育局下属学校台式计算机采购项目</w:t>
      </w:r>
      <w:r>
        <w:rPr>
          <w:rFonts w:hint="eastAsia" w:ascii="宋体" w:hAnsi="宋体" w:cs="宋体"/>
          <w:color w:val="auto"/>
          <w:sz w:val="24"/>
        </w:rPr>
        <w:t>招标项目的潜在投标人应在政采云平台（</w:t>
      </w:r>
      <w:r>
        <w:rPr>
          <w:rFonts w:hint="eastAsia" w:ascii="宋体" w:hAnsi="宋体" w:cs="宋体"/>
          <w:color w:val="auto"/>
          <w:sz w:val="24"/>
        </w:rPr>
        <w:fldChar w:fldCharType="begin"/>
      </w:r>
      <w:r>
        <w:rPr>
          <w:rFonts w:hint="eastAsia" w:ascii="宋体" w:hAnsi="宋体" w:cs="宋体"/>
          <w:color w:val="auto"/>
          <w:sz w:val="24"/>
        </w:rPr>
        <w:instrText xml:space="preserve"> HYPERLINK "https://www.zcygov.cn/）获取（下载）招标文件，并于202%20年%20月%20日%20点%20分00秒" </w:instrText>
      </w:r>
      <w:r>
        <w:rPr>
          <w:rFonts w:hint="eastAsia" w:ascii="宋体" w:hAnsi="宋体" w:cs="宋体"/>
          <w:color w:val="auto"/>
          <w:sz w:val="24"/>
        </w:rPr>
        <w:fldChar w:fldCharType="separate"/>
      </w:r>
      <w:r>
        <w:rPr>
          <w:rFonts w:hint="eastAsia" w:ascii="宋体" w:hAnsi="宋体" w:cs="宋体"/>
          <w:color w:val="auto"/>
          <w:sz w:val="24"/>
        </w:rPr>
        <w:t>https://www.zcygov.cn/）获取（下载）招标文件，并于</w:t>
      </w:r>
      <w:r>
        <w:rPr>
          <w:rFonts w:hint="default" w:ascii="宋体" w:hAnsi="宋体" w:cs="宋体"/>
          <w:color w:val="auto"/>
          <w:sz w:val="24"/>
          <w:highlight w:val="none"/>
          <w:lang w:val="en"/>
        </w:rPr>
        <w:t xml:space="preserve"> </w:t>
      </w:r>
      <w:r>
        <w:rPr>
          <w:rFonts w:hint="eastAsia" w:ascii="宋体" w:hAnsi="宋体" w:cs="宋体"/>
          <w:color w:val="auto"/>
          <w:sz w:val="24"/>
          <w:highlight w:val="none"/>
          <w:lang w:val="en"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en" w:eastAsia="zh-CN"/>
        </w:rPr>
        <w:t>年</w:t>
      </w:r>
      <w:r>
        <w:rPr>
          <w:rFonts w:hint="eastAsia" w:ascii="宋体" w:hAnsi="宋体" w:cs="宋体"/>
          <w:color w:val="auto"/>
          <w:sz w:val="24"/>
          <w:highlight w:val="none"/>
          <w:u w:val="single"/>
          <w:lang w:val="en-US" w:eastAsia="zh-CN"/>
        </w:rPr>
        <w:t xml:space="preserve"> 07 </w:t>
      </w:r>
      <w:r>
        <w:rPr>
          <w:rFonts w:hint="eastAsia" w:ascii="宋体" w:hAnsi="宋体" w:cs="宋体"/>
          <w:color w:val="auto"/>
          <w:sz w:val="24"/>
          <w:highlight w:val="none"/>
          <w:lang w:val="en" w:eastAsia="zh-CN"/>
        </w:rPr>
        <w:t>月</w:t>
      </w:r>
      <w:r>
        <w:rPr>
          <w:rFonts w:hint="eastAsia" w:ascii="宋体" w:hAnsi="宋体" w:cs="宋体"/>
          <w:color w:val="auto"/>
          <w:sz w:val="24"/>
          <w:highlight w:val="none"/>
          <w:u w:val="single"/>
          <w:lang w:val="en-US" w:eastAsia="zh-CN"/>
        </w:rPr>
        <w:t xml:space="preserve"> 09 </w:t>
      </w:r>
      <w:r>
        <w:rPr>
          <w:rFonts w:hint="eastAsia" w:ascii="宋体" w:hAnsi="宋体" w:cs="宋体"/>
          <w:color w:val="auto"/>
          <w:sz w:val="24"/>
          <w:highlight w:val="none"/>
          <w:lang w:val="en" w:eastAsia="zh-CN"/>
        </w:rPr>
        <w:t>日</w:t>
      </w:r>
      <w:r>
        <w:rPr>
          <w:rFonts w:hint="default" w:ascii="宋体" w:hAnsi="宋体" w:cs="宋体"/>
          <w:color w:val="auto"/>
          <w:sz w:val="24"/>
          <w:lang w:val="en"/>
        </w:rPr>
        <w:t xml:space="preserve"> 9点0</w:t>
      </w:r>
      <w:r>
        <w:rPr>
          <w:rFonts w:hint="eastAsia" w:ascii="宋体" w:hAnsi="宋体" w:cs="宋体"/>
          <w:color w:val="auto"/>
          <w:sz w:val="24"/>
          <w:lang w:val="en-US" w:eastAsia="zh-CN"/>
        </w:rPr>
        <w:t>0</w:t>
      </w:r>
      <w:r>
        <w:rPr>
          <w:rFonts w:hint="default" w:ascii="宋体" w:hAnsi="宋体" w:cs="宋体"/>
          <w:color w:val="auto"/>
          <w:sz w:val="24"/>
          <w:lang w:val="en"/>
        </w:rPr>
        <w:t xml:space="preserve"> 分</w:t>
      </w:r>
      <w:r>
        <w:rPr>
          <w:rFonts w:hint="eastAsia" w:ascii="宋体" w:hAnsi="宋体" w:cs="宋体"/>
          <w:color w:val="auto"/>
          <w:sz w:val="24"/>
        </w:rPr>
        <w:t>00秒</w:t>
      </w:r>
      <w:r>
        <w:rPr>
          <w:rFonts w:hint="eastAsia" w:ascii="宋体" w:hAnsi="宋体" w:cs="宋体"/>
          <w:color w:val="auto"/>
          <w:sz w:val="24"/>
        </w:rPr>
        <w:fldChar w:fldCharType="end"/>
      </w:r>
      <w:r>
        <w:rPr>
          <w:rFonts w:hint="eastAsia" w:ascii="宋体" w:hAnsi="宋体" w:cs="宋体"/>
          <w:color w:val="auto"/>
          <w:sz w:val="24"/>
        </w:rPr>
        <w:t>（北京时间）前递交（上传）投标文件。</w:t>
      </w:r>
    </w:p>
    <w:p w14:paraId="2ABF36B8">
      <w:pPr>
        <w:spacing w:line="360" w:lineRule="auto"/>
        <w:rPr>
          <w:rFonts w:ascii="宋体" w:hAnsi="宋体" w:cs="宋体"/>
          <w:b/>
          <w:color w:val="auto"/>
          <w:sz w:val="24"/>
        </w:rPr>
      </w:pPr>
      <w:r>
        <w:rPr>
          <w:rFonts w:hint="eastAsia" w:ascii="宋体" w:hAnsi="宋体" w:cs="宋体"/>
          <w:b/>
          <w:color w:val="auto"/>
          <w:sz w:val="24"/>
        </w:rPr>
        <w:t xml:space="preserve">一、项目基本情况                </w:t>
      </w:r>
      <w:r>
        <w:rPr>
          <w:rFonts w:hint="eastAsia" w:ascii="宋体" w:hAnsi="宋体" w:cs="宋体"/>
          <w:b/>
          <w:color w:val="auto"/>
          <w:sz w:val="24"/>
          <w:lang w:val="en-US" w:eastAsia="zh-CN"/>
        </w:rPr>
        <w:t xml:space="preserve">      </w:t>
      </w:r>
      <w:r>
        <w:rPr>
          <w:rFonts w:hint="eastAsia" w:ascii="宋体" w:hAnsi="宋体" w:cs="宋体"/>
          <w:b/>
          <w:color w:val="auto"/>
          <w:sz w:val="24"/>
        </w:rPr>
        <w:t xml:space="preserve">                           </w:t>
      </w:r>
    </w:p>
    <w:p w14:paraId="403DC3E5">
      <w:pPr>
        <w:spacing w:line="360" w:lineRule="auto"/>
        <w:rPr>
          <w:rFonts w:hint="default" w:ascii="宋体" w:hAnsi="宋体" w:eastAsia="宋体" w:cs="宋体"/>
          <w:b w:val="0"/>
          <w:bCs/>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rPr>
        <w:t>330305263030010000014-DTCG20260618035</w:t>
      </w:r>
    </w:p>
    <w:p w14:paraId="2F2C19E0">
      <w:pPr>
        <w:spacing w:line="360" w:lineRule="auto"/>
        <w:ind w:firstLine="482" w:firstLineChars="200"/>
        <w:rPr>
          <w:rFonts w:hint="eastAsia" w:ascii="宋体" w:hAnsi="宋体" w:eastAsia="宋体" w:cs="宋体"/>
          <w:color w:val="auto"/>
          <w:sz w:val="24"/>
          <w:lang w:val="en" w:eastAsia="zh-CN"/>
        </w:rPr>
      </w:pPr>
      <w:r>
        <w:rPr>
          <w:rFonts w:hint="eastAsia" w:ascii="宋体" w:hAnsi="宋体" w:cs="宋体"/>
          <w:b/>
          <w:color w:val="auto"/>
          <w:sz w:val="24"/>
        </w:rPr>
        <w:t>项目名称：</w:t>
      </w:r>
      <w:r>
        <w:rPr>
          <w:rFonts w:hint="eastAsia" w:ascii="宋体" w:hAnsi="宋体" w:cs="宋体"/>
          <w:b w:val="0"/>
          <w:bCs/>
          <w:color w:val="auto"/>
          <w:sz w:val="24"/>
        </w:rPr>
        <w:t>2026年洞头区教育局下属学校台式计算机采购项目</w:t>
      </w:r>
    </w:p>
    <w:p w14:paraId="7EF1313A">
      <w:pPr>
        <w:spacing w:line="360" w:lineRule="auto"/>
        <w:ind w:firstLine="482" w:firstLineChars="200"/>
        <w:rPr>
          <w:rFonts w:hint="eastAsia" w:ascii="宋体" w:hAnsi="宋体" w:eastAsia="宋体" w:cs="宋体"/>
          <w:color w:val="auto"/>
          <w:sz w:val="24"/>
          <w:lang w:val="en-US" w:eastAsia="zh-CN"/>
        </w:rPr>
      </w:pPr>
      <w:r>
        <w:rPr>
          <w:rFonts w:hint="eastAsia" w:ascii="宋体" w:hAnsi="宋体" w:cs="宋体"/>
          <w:b/>
          <w:color w:val="auto"/>
          <w:sz w:val="24"/>
        </w:rPr>
        <w:t>预算金额（元）：</w:t>
      </w:r>
      <w:r>
        <w:rPr>
          <w:rFonts w:hint="eastAsia" w:ascii="宋体" w:hAnsi="宋体" w:cs="宋体"/>
          <w:b w:val="0"/>
          <w:bCs/>
          <w:color w:val="auto"/>
          <w:kern w:val="0"/>
          <w:sz w:val="24"/>
          <w:highlight w:val="none"/>
          <w:lang w:val="en-US" w:eastAsia="zh-CN"/>
        </w:rPr>
        <w:t>830000.00</w:t>
      </w:r>
    </w:p>
    <w:p w14:paraId="541CF6EC">
      <w:pPr>
        <w:spacing w:line="360" w:lineRule="auto"/>
        <w:ind w:firstLine="480"/>
        <w:rPr>
          <w:rFonts w:hint="default" w:ascii="宋体" w:hAnsi="宋体" w:eastAsia="宋体" w:cs="宋体"/>
          <w:color w:val="auto"/>
          <w:sz w:val="24"/>
          <w:lang w:val="en-US" w:eastAsia="zh-CN"/>
        </w:rPr>
      </w:pPr>
      <w:r>
        <w:rPr>
          <w:rFonts w:hint="eastAsia" w:ascii="宋体" w:hAnsi="宋体" w:cs="宋体"/>
          <w:b/>
          <w:color w:val="auto"/>
          <w:sz w:val="24"/>
        </w:rPr>
        <w:t>最高限价（元）：</w:t>
      </w:r>
      <w:r>
        <w:rPr>
          <w:rFonts w:hint="eastAsia" w:ascii="宋体" w:hAnsi="宋体" w:cs="宋体"/>
          <w:b w:val="0"/>
          <w:bCs/>
          <w:color w:val="auto"/>
          <w:kern w:val="0"/>
          <w:sz w:val="24"/>
          <w:highlight w:val="none"/>
          <w:lang w:val="en-US" w:eastAsia="zh-CN"/>
        </w:rPr>
        <w:t>830000.00</w:t>
      </w:r>
    </w:p>
    <w:p w14:paraId="3877851D">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采购需求：</w:t>
      </w:r>
    </w:p>
    <w:p w14:paraId="2372E08B">
      <w:pPr>
        <w:spacing w:line="360" w:lineRule="auto"/>
        <w:ind w:firstLine="480" w:firstLineChars="200"/>
        <w:rPr>
          <w:rFonts w:hint="eastAsia" w:ascii="宋体" w:hAnsi="宋体" w:eastAsia="宋体" w:cs="宋体"/>
          <w:b w:val="0"/>
          <w:bCs/>
          <w:color w:val="auto"/>
          <w:sz w:val="24"/>
          <w:u w:val="none"/>
          <w:lang w:val="en-US" w:eastAsia="zh-CN"/>
        </w:rPr>
      </w:pPr>
      <w:r>
        <w:rPr>
          <w:rFonts w:hint="eastAsia" w:ascii="宋体" w:hAnsi="宋体" w:eastAsia="宋体" w:cs="宋体"/>
          <w:b w:val="0"/>
          <w:bCs/>
          <w:color w:val="auto"/>
          <w:sz w:val="24"/>
          <w:lang w:val="en-US" w:eastAsia="zh-CN"/>
        </w:rPr>
        <w:t>标项名称: </w:t>
      </w:r>
      <w:r>
        <w:rPr>
          <w:rFonts w:hint="eastAsia" w:ascii="宋体" w:hAnsi="宋体" w:cs="宋体"/>
          <w:color w:val="auto"/>
          <w:sz w:val="24"/>
          <w:u w:val="none"/>
        </w:rPr>
        <w:t>2026年洞头区教育局下属学校台式计算机采购项目</w:t>
      </w:r>
    </w:p>
    <w:p w14:paraId="0173206C">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数量: </w:t>
      </w:r>
      <w:r>
        <w:rPr>
          <w:rFonts w:hint="eastAsia" w:ascii="宋体" w:hAnsi="宋体" w:cs="宋体"/>
          <w:b w:val="0"/>
          <w:bCs/>
          <w:color w:val="auto"/>
          <w:sz w:val="24"/>
          <w:lang w:val="en-US" w:eastAsia="zh-CN"/>
        </w:rPr>
        <w:t>1批</w:t>
      </w:r>
    </w:p>
    <w:p w14:paraId="02D5BC02">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 xml:space="preserve">预算金额（元）: </w:t>
      </w:r>
      <w:r>
        <w:rPr>
          <w:rFonts w:hint="eastAsia" w:ascii="宋体" w:hAnsi="宋体" w:cs="宋体"/>
          <w:b w:val="0"/>
          <w:bCs/>
          <w:color w:val="auto"/>
          <w:kern w:val="0"/>
          <w:sz w:val="24"/>
          <w:highlight w:val="none"/>
          <w:lang w:val="en-US" w:eastAsia="zh-CN"/>
        </w:rPr>
        <w:t>830000.00</w:t>
      </w:r>
    </w:p>
    <w:p w14:paraId="4D83ACF7">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简要规格描述或项目基本概况介绍、用途：本项目为</w:t>
      </w:r>
      <w:r>
        <w:rPr>
          <w:rFonts w:hint="eastAsia" w:ascii="宋体" w:hAnsi="宋体" w:cs="宋体"/>
          <w:b w:val="0"/>
          <w:bCs/>
          <w:color w:val="auto"/>
          <w:sz w:val="24"/>
          <w:highlight w:val="none"/>
          <w:lang w:val="en-US" w:eastAsia="zh-CN"/>
        </w:rPr>
        <w:t>非</w:t>
      </w:r>
      <w:r>
        <w:rPr>
          <w:rFonts w:hint="eastAsia" w:ascii="宋体" w:hAnsi="宋体" w:eastAsia="宋体" w:cs="宋体"/>
          <w:b w:val="0"/>
          <w:bCs/>
          <w:color w:val="auto"/>
          <w:sz w:val="24"/>
          <w:highlight w:val="none"/>
          <w:lang w:val="en-US" w:eastAsia="zh-CN"/>
        </w:rPr>
        <w:t>预留份额</w:t>
      </w:r>
      <w:r>
        <w:rPr>
          <w:rFonts w:hint="eastAsia" w:ascii="宋体" w:hAnsi="宋体" w:eastAsia="宋体" w:cs="宋体"/>
          <w:b w:val="0"/>
          <w:bCs/>
          <w:color w:val="auto"/>
          <w:sz w:val="24"/>
          <w:lang w:val="en-US" w:eastAsia="zh-CN"/>
        </w:rPr>
        <w:t>的采购项目，属于</w:t>
      </w:r>
      <w:r>
        <w:rPr>
          <w:rFonts w:hint="eastAsia" w:ascii="宋体" w:hAnsi="宋体" w:eastAsia="宋体" w:cs="宋体"/>
          <w:b w:val="0"/>
          <w:bCs/>
          <w:color w:val="auto"/>
          <w:sz w:val="24"/>
          <w:u w:val="single"/>
          <w:lang w:val="en-US" w:eastAsia="zh-CN"/>
        </w:rPr>
        <w:t xml:space="preserve">       </w:t>
      </w:r>
      <w:r>
        <w:rPr>
          <w:rFonts w:hint="eastAsia" w:ascii="宋体" w:hAnsi="宋体" w:cs="宋体"/>
          <w:b w:val="0"/>
          <w:bCs/>
          <w:color w:val="auto"/>
          <w:sz w:val="24"/>
          <w:u w:val="single"/>
          <w:lang w:val="en-US" w:eastAsia="zh-CN"/>
        </w:rPr>
        <w:t>工业</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lang w:val="en-US" w:eastAsia="zh-CN"/>
        </w:rPr>
        <w:t>行业。本项目采购</w:t>
      </w:r>
      <w:r>
        <w:rPr>
          <w:rFonts w:hint="eastAsia" w:ascii="宋体" w:hAnsi="宋体" w:eastAsia="宋体" w:cs="宋体"/>
          <w:b w:val="0"/>
          <w:bCs/>
          <w:color w:val="auto"/>
          <w:sz w:val="24"/>
          <w:u w:val="single"/>
          <w:lang w:val="en-US" w:eastAsia="zh-CN"/>
        </w:rPr>
        <w:t xml:space="preserve"> </w:t>
      </w:r>
      <w:r>
        <w:rPr>
          <w:rFonts w:hint="eastAsia" w:ascii="宋体" w:hAnsi="宋体" w:cs="宋体"/>
          <w:b w:val="0"/>
          <w:bCs/>
          <w:color w:val="auto"/>
          <w:sz w:val="24"/>
          <w:u w:val="single"/>
          <w:lang w:val="en-US" w:eastAsia="zh-CN"/>
        </w:rPr>
        <w:t>学生机房电脑1、学生机房电脑2、教师办公电脑</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lang w:val="en-US" w:eastAsia="zh-CN"/>
        </w:rPr>
        <w:t>。具体以招标文件第三部分采购需求为准，供应商可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w:t>
      </w:r>
      <w:r>
        <w:rPr>
          <w:rFonts w:hint="eastAsia" w:ascii="宋体" w:hAnsi="宋体" w:cs="宋体"/>
          <w:color w:val="auto"/>
          <w:sz w:val="24"/>
          <w:highlight w:val="none"/>
          <w:lang w:eastAsia="zh-CN"/>
        </w:rPr>
        <w:t>在线</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"https://www.zcygov.cn/）获取（下载）招标文件，并于202%20年%20月%20日%20点%20分00秒"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获取（下载）招标文件</w:t>
      </w:r>
      <w:r>
        <w:rPr>
          <w:rFonts w:hint="eastAsia" w:ascii="宋体" w:hAnsi="宋体" w:cs="宋体"/>
          <w:color w:val="auto"/>
          <w:sz w:val="24"/>
          <w:highlight w:val="none"/>
        </w:rPr>
        <w:fldChar w:fldCharType="end"/>
      </w:r>
      <w:r>
        <w:rPr>
          <w:rFonts w:hint="eastAsia" w:ascii="宋体" w:hAnsi="宋体" w:eastAsia="宋体" w:cs="宋体"/>
          <w:b w:val="0"/>
          <w:bCs/>
          <w:color w:val="auto"/>
          <w:sz w:val="24"/>
          <w:lang w:val="en-US" w:eastAsia="zh-CN"/>
        </w:rPr>
        <w:t>查看采购需求。</w:t>
      </w:r>
    </w:p>
    <w:p w14:paraId="0DAB3BB2">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备注：/ </w:t>
      </w:r>
    </w:p>
    <w:p w14:paraId="37602022">
      <w:pPr>
        <w:spacing w:line="360" w:lineRule="auto"/>
        <w:ind w:firstLine="482" w:firstLineChars="200"/>
        <w:rPr>
          <w:rFonts w:hint="eastAsia" w:ascii="宋体" w:hAnsi="宋体" w:eastAsia="宋体" w:cs="宋体"/>
          <w:b w:val="0"/>
          <w:bCs/>
          <w:color w:val="auto"/>
          <w:sz w:val="24"/>
          <w:lang w:val="en-US" w:eastAsia="zh-CN"/>
        </w:rPr>
      </w:pPr>
      <w:r>
        <w:rPr>
          <w:rFonts w:hint="eastAsia" w:ascii="宋体" w:hAnsi="宋体" w:eastAsia="宋体" w:cs="宋体"/>
          <w:b/>
          <w:bCs w:val="0"/>
          <w:color w:val="auto"/>
          <w:sz w:val="24"/>
          <w:lang w:val="en-US" w:eastAsia="zh-CN"/>
        </w:rPr>
        <w:t>合同履约期限：</w:t>
      </w:r>
      <w:r>
        <w:rPr>
          <w:rFonts w:hint="eastAsia" w:ascii="宋体" w:hAnsi="宋体" w:eastAsia="宋体" w:cs="宋体"/>
          <w:b w:val="0"/>
          <w:bCs/>
          <w:color w:val="auto"/>
          <w:sz w:val="24"/>
          <w:lang w:val="en-US" w:eastAsia="zh-CN"/>
        </w:rPr>
        <w:t>详见采购需求。</w:t>
      </w:r>
    </w:p>
    <w:p w14:paraId="6D0D50EC">
      <w:pPr>
        <w:pStyle w:val="5"/>
        <w:spacing w:line="360" w:lineRule="auto"/>
        <w:ind w:firstLine="480"/>
        <w:rPr>
          <w:rFonts w:hAnsi="宋体" w:cs="宋体"/>
          <w:b/>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r>
        <w:rPr>
          <w:rFonts w:hint="eastAsia" w:ascii="宋体" w:hAnsi="宋体" w:eastAsia="宋体" w:cs="宋体"/>
          <w:snapToGrid/>
          <w:color w:val="auto"/>
          <w:kern w:val="2"/>
          <w:sz w:val="24"/>
          <w:szCs w:val="24"/>
          <w:highlight w:val="none"/>
          <w:lang w:val="en-US" w:eastAsia="zh-CN" w:bidi="ar-SA"/>
        </w:rPr>
        <w:t xml:space="preserve"> </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是；</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否。</w:t>
      </w:r>
    </w:p>
    <w:p w14:paraId="70C80BFE">
      <w:pPr>
        <w:spacing w:line="360" w:lineRule="auto"/>
        <w:rPr>
          <w:rFonts w:ascii="宋体" w:hAnsi="宋体" w:cs="宋体"/>
          <w:b/>
          <w:color w:val="auto"/>
          <w:sz w:val="24"/>
        </w:rPr>
      </w:pPr>
      <w:r>
        <w:rPr>
          <w:rFonts w:hint="eastAsia" w:ascii="宋体" w:hAnsi="宋体" w:cs="宋体"/>
          <w:b/>
          <w:color w:val="auto"/>
          <w:sz w:val="24"/>
        </w:rPr>
        <w:t>二、申请人的资格要求：</w:t>
      </w:r>
    </w:p>
    <w:p w14:paraId="2B5F3A69">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3AA3D6C">
      <w:pPr>
        <w:spacing w:line="360" w:lineRule="auto"/>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 xml:space="preserve">    </w:t>
      </w: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w:t>
      </w:r>
    </w:p>
    <w:p w14:paraId="705A529D">
      <w:pPr>
        <w:spacing w:line="360" w:lineRule="auto"/>
        <w:ind w:firstLine="240" w:firstLineChars="100"/>
        <w:rPr>
          <w:rFonts w:hint="eastAsia"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w:t>
      </w:r>
    </w:p>
    <w:p w14:paraId="05DED64E">
      <w:pPr>
        <w:spacing w:line="360" w:lineRule="auto"/>
        <w:ind w:firstLine="480"/>
        <w:rPr>
          <w:rFonts w:hint="eastAsia" w:ascii="宋体" w:hAnsi="宋体" w:eastAsia="宋体" w:cs="宋体"/>
          <w:snapToGrid w:val="0"/>
          <w:color w:val="auto"/>
          <w:kern w:val="28"/>
          <w:sz w:val="24"/>
          <w:szCs w:val="20"/>
          <w:highlight w:val="yellow"/>
        </w:rPr>
      </w:pPr>
      <w:r>
        <w:rPr>
          <w:rFonts w:hint="eastAsia" w:ascii="宋体" w:hAnsi="宋体" w:eastAsia="宋体" w:cs="宋体"/>
          <w:snapToGrid w:val="0"/>
          <w:color w:val="auto"/>
          <w:kern w:val="28"/>
          <w:sz w:val="24"/>
          <w:szCs w:val="20"/>
          <w:highlight w:val="none"/>
          <w:lang w:val="en-US" w:eastAsia="zh-CN"/>
        </w:rPr>
        <w:t>3.</w:t>
      </w:r>
      <w:r>
        <w:rPr>
          <w:rFonts w:hint="eastAsia" w:ascii="宋体" w:hAnsi="宋体" w:eastAsia="宋体" w:cs="宋体"/>
          <w:snapToGrid w:val="0"/>
          <w:color w:val="auto"/>
          <w:kern w:val="28"/>
          <w:sz w:val="24"/>
          <w:szCs w:val="20"/>
          <w:highlight w:val="none"/>
        </w:rPr>
        <w:t>落实政府采购政策需满足的资格要求：</w:t>
      </w:r>
    </w:p>
    <w:p w14:paraId="6243BD72">
      <w:pPr>
        <w:spacing w:line="360" w:lineRule="auto"/>
        <w:rPr>
          <w:rFonts w:hint="eastAsia"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val="0"/>
          <w:color w:val="auto"/>
          <w:kern w:val="28"/>
          <w:sz w:val="24"/>
          <w:szCs w:val="20"/>
        </w:rPr>
        <w:t>无；</w:t>
      </w:r>
      <w:r>
        <w:rPr>
          <w:rFonts w:hint="eastAsia" w:ascii="宋体" w:hAnsi="宋体" w:eastAsia="宋体" w:cs="宋体"/>
          <w:snapToGrid w:val="0"/>
          <w:color w:val="auto"/>
          <w:kern w:val="28"/>
          <w:sz w:val="24"/>
          <w:szCs w:val="20"/>
        </w:rPr>
        <w:br w:type="textWrapping"/>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专门面向中小企业</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cs="宋体"/>
          <w:color w:val="auto"/>
          <w:sz w:val="24"/>
          <w:lang w:eastAsia="zh-CN"/>
        </w:rPr>
        <w:t>货物</w:t>
      </w:r>
      <w:r>
        <w:rPr>
          <w:rFonts w:hint="eastAsia" w:ascii="宋体" w:hAnsi="宋体" w:cs="宋体"/>
          <w:color w:val="auto"/>
          <w:sz w:val="24"/>
        </w:rPr>
        <w:t>全部由符合政策要求的中小微企业</w:t>
      </w:r>
      <w:r>
        <w:rPr>
          <w:rFonts w:hint="eastAsia" w:cs="宋体"/>
          <w:color w:val="auto"/>
          <w:sz w:val="24"/>
          <w:lang w:eastAsia="zh-CN"/>
        </w:rPr>
        <w:t>制造</w:t>
      </w:r>
      <w:r>
        <w:rPr>
          <w:rFonts w:hint="eastAsia" w:ascii="宋体" w:hAnsi="宋体" w:cs="宋体"/>
          <w:color w:val="auto"/>
          <w:sz w:val="24"/>
        </w:rPr>
        <w:t>，按要求提供中小企业声明函；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cs="宋体"/>
          <w:color w:val="auto"/>
          <w:sz w:val="24"/>
          <w:lang w:eastAsia="zh-CN"/>
        </w:rPr>
        <w:t>货物</w:t>
      </w:r>
      <w:r>
        <w:rPr>
          <w:rFonts w:hint="eastAsia" w:ascii="宋体" w:hAnsi="宋体" w:cs="宋体"/>
          <w:color w:val="auto"/>
          <w:sz w:val="24"/>
        </w:rPr>
        <w:t>全部由符合政策要求的小微企业</w:t>
      </w:r>
      <w:r>
        <w:rPr>
          <w:rFonts w:hint="eastAsia" w:cs="宋体"/>
          <w:color w:val="auto"/>
          <w:sz w:val="24"/>
          <w:lang w:eastAsia="zh-CN"/>
        </w:rPr>
        <w:t>制造</w:t>
      </w:r>
      <w:r>
        <w:rPr>
          <w:rFonts w:hint="eastAsia" w:ascii="宋体" w:hAnsi="宋体" w:cs="宋体"/>
          <w:color w:val="auto"/>
          <w:sz w:val="24"/>
        </w:rPr>
        <w:t>，按要求提供中小企业声明函；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供应商应以联合体形式参加，并按要求提供联合协议和中小企业声明函，联合协议中，中小企业合同金额应当达到</w:t>
      </w:r>
      <w:r>
        <w:rPr>
          <w:rFonts w:hint="eastAsia"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%;如果供应商提供的所有标的均由中小企业制造、承建或承接，并相应达到了前述比例要求，无需再与其他中小企业组成联合体参加政府采购活动，按要求提供中小企业声明函；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lang w:val="en-US" w:eastAsia="zh-CN"/>
        </w:rPr>
        <w:t>供</w:t>
      </w:r>
      <w:r>
        <w:rPr>
          <w:rFonts w:hint="eastAsia" w:ascii="宋体" w:hAnsi="宋体" w:cs="宋体"/>
          <w:color w:val="auto"/>
          <w:sz w:val="24"/>
        </w:rPr>
        <w:t>应商</w:t>
      </w:r>
      <w:r>
        <w:rPr>
          <w:rFonts w:hint="eastAsia" w:ascii="宋体" w:hAnsi="宋体" w:cs="宋体"/>
          <w:color w:val="auto"/>
          <w:sz w:val="24"/>
          <w:lang w:val="en-US" w:eastAsia="zh-CN"/>
        </w:rPr>
        <w:t>以</w:t>
      </w:r>
      <w:r>
        <w:rPr>
          <w:rFonts w:hint="eastAsia" w:ascii="宋体" w:hAnsi="宋体" w:cs="宋体"/>
          <w:color w:val="auto"/>
          <w:sz w:val="24"/>
        </w:rPr>
        <w:t>合同分包形式参加，并按要求提供分包意向协议和中小企业声明函，分包意向协议中，中小企业合同金额应当达到</w:t>
      </w:r>
      <w:r>
        <w:rPr>
          <w:rFonts w:hint="eastAsia" w:ascii="宋体" w:hAnsi="宋体" w:cs="宋体"/>
          <w:color w:val="auto"/>
          <w:sz w:val="24"/>
          <w:u w:val="single"/>
          <w:lang w:val="en-US" w:eastAsia="zh-CN"/>
        </w:rPr>
        <w:t xml:space="preserve"> </w:t>
      </w:r>
      <w:r>
        <w:rPr>
          <w:rFonts w:hint="eastAsia" w:cs="宋体"/>
          <w:color w:val="auto"/>
          <w:sz w:val="24"/>
          <w:u w:val="single"/>
          <w:lang w:val="en-US" w:eastAsia="zh-CN"/>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;如果供应商提供的所有标的均由中小企业制造、承建或承接，并相应达到了前述比例要求，无需再向中小企业分包，按要求提供中小企业声明函；</w:t>
      </w:r>
    </w:p>
    <w:p w14:paraId="3E33D511">
      <w:pPr>
        <w:pStyle w:val="25"/>
        <w:ind w:left="0" w:leftChars="0"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.本项目的特定资格要求：</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w:t>
      </w:r>
    </w:p>
    <w:p w14:paraId="634C4473">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3B258D2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highlight w:val="none"/>
          <w:u w:val="none"/>
          <w:lang w:val="en" w:eastAsia="zh-CN"/>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lang w:val="en" w:eastAsia="zh-CN"/>
        </w:rPr>
        <w:t>年</w:t>
      </w:r>
      <w:r>
        <w:rPr>
          <w:rFonts w:hint="eastAsia" w:ascii="宋体" w:hAnsi="宋体" w:cs="宋体"/>
          <w:color w:val="auto"/>
          <w:sz w:val="24"/>
          <w:highlight w:val="none"/>
          <w:u w:val="single"/>
          <w:lang w:val="en-US" w:eastAsia="zh-CN"/>
        </w:rPr>
        <w:t xml:space="preserve"> 07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 09 </w:t>
      </w:r>
      <w:r>
        <w:rPr>
          <w:rFonts w:hint="eastAsia" w:ascii="宋体" w:hAnsi="宋体" w:cs="宋体"/>
          <w:color w:val="auto"/>
          <w:sz w:val="24"/>
          <w:highlight w:val="none"/>
          <w:u w:val="none"/>
          <w:lang w:val="en"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B1A1F8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794B04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B11A0D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669E007">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848915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none"/>
          <w:lang w:val="en" w:eastAsia="zh-CN"/>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lang w:val="en" w:eastAsia="zh-CN"/>
        </w:rPr>
        <w:t>年</w:t>
      </w:r>
      <w:r>
        <w:rPr>
          <w:rFonts w:hint="eastAsia" w:ascii="宋体" w:hAnsi="宋体" w:cs="宋体"/>
          <w:color w:val="auto"/>
          <w:sz w:val="24"/>
          <w:highlight w:val="none"/>
          <w:u w:val="single"/>
          <w:lang w:val="en-US" w:eastAsia="zh-CN"/>
        </w:rPr>
        <w:t xml:space="preserve"> 07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 09 </w:t>
      </w:r>
      <w:r>
        <w:rPr>
          <w:rFonts w:hint="eastAsia" w:ascii="宋体" w:hAnsi="宋体" w:cs="宋体"/>
          <w:color w:val="auto"/>
          <w:sz w:val="24"/>
          <w:highlight w:val="none"/>
          <w:u w:val="none"/>
          <w:lang w:val="en" w:eastAsia="zh-CN"/>
        </w:rPr>
        <w:t>日</w:t>
      </w:r>
      <w:r>
        <w:rPr>
          <w:rFonts w:hint="default" w:ascii="宋体" w:hAnsi="宋体" w:cs="宋体"/>
          <w:color w:val="auto"/>
          <w:sz w:val="24"/>
          <w:highlight w:val="none"/>
          <w:u w:val="none"/>
          <w:lang w:val="en"/>
        </w:rPr>
        <w:t>9点0</w:t>
      </w:r>
      <w:r>
        <w:rPr>
          <w:rFonts w:hint="eastAsia" w:ascii="宋体" w:hAnsi="宋体" w:cs="宋体"/>
          <w:color w:val="auto"/>
          <w:sz w:val="24"/>
          <w:highlight w:val="none"/>
          <w:u w:val="none"/>
          <w:lang w:val="en-US" w:eastAsia="zh-CN"/>
        </w:rPr>
        <w:t>0</w:t>
      </w:r>
      <w:r>
        <w:rPr>
          <w:rFonts w:hint="default" w:ascii="宋体" w:hAnsi="宋体" w:cs="宋体"/>
          <w:color w:val="auto"/>
          <w:sz w:val="24"/>
          <w:highlight w:val="none"/>
          <w:u w:val="none"/>
          <w:lang w:val="en"/>
        </w:rPr>
        <w:t xml:space="preserve"> 分</w:t>
      </w:r>
      <w:r>
        <w:rPr>
          <w:rFonts w:hint="eastAsia" w:ascii="宋体" w:hAnsi="宋体" w:cs="宋体"/>
          <w:color w:val="auto"/>
          <w:sz w:val="24"/>
          <w:highlight w:val="none"/>
          <w:u w:val="none"/>
        </w:rPr>
        <w:t>00秒</w:t>
      </w:r>
      <w:r>
        <w:rPr>
          <w:rFonts w:hint="eastAsia" w:ascii="宋体" w:hAnsi="宋体" w:cs="宋体"/>
          <w:color w:val="auto"/>
          <w:sz w:val="24"/>
          <w:highlight w:val="none"/>
        </w:rPr>
        <w:t>（北京时间）</w:t>
      </w:r>
    </w:p>
    <w:p w14:paraId="217500E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政采云平台（https://www.zcygov.cn/）</w:t>
      </w:r>
    </w:p>
    <w:p w14:paraId="7FF125AC">
      <w:pPr>
        <w:spacing w:line="360" w:lineRule="auto"/>
        <w:ind w:firstLine="482" w:firstLineChars="200"/>
        <w:rPr>
          <w:rFonts w:ascii="宋体" w:hAnsi="宋体" w:cs="宋体"/>
          <w:bCs/>
          <w:color w:val="auto"/>
          <w:sz w:val="24"/>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none"/>
          <w:lang w:val="en" w:eastAsia="zh-CN"/>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lang w:val="en" w:eastAsia="zh-CN"/>
        </w:rPr>
        <w:t>年</w:t>
      </w:r>
      <w:r>
        <w:rPr>
          <w:rFonts w:hint="eastAsia" w:ascii="宋体" w:hAnsi="宋体" w:cs="宋体"/>
          <w:color w:val="auto"/>
          <w:sz w:val="24"/>
          <w:highlight w:val="none"/>
          <w:u w:val="single"/>
          <w:lang w:val="en-US" w:eastAsia="zh-CN"/>
        </w:rPr>
        <w:t xml:space="preserve"> 07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 09 </w:t>
      </w:r>
      <w:r>
        <w:rPr>
          <w:rFonts w:hint="eastAsia" w:ascii="宋体" w:hAnsi="宋体" w:cs="宋体"/>
          <w:color w:val="auto"/>
          <w:sz w:val="24"/>
          <w:highlight w:val="none"/>
          <w:u w:val="none"/>
          <w:lang w:val="en" w:eastAsia="zh-CN"/>
        </w:rPr>
        <w:t>日</w:t>
      </w:r>
      <w:r>
        <w:rPr>
          <w:rFonts w:hint="default" w:ascii="宋体" w:hAnsi="宋体" w:cs="宋体"/>
          <w:color w:val="auto"/>
          <w:sz w:val="24"/>
          <w:u w:val="none"/>
          <w:lang w:val="en"/>
        </w:rPr>
        <w:t>9点0</w:t>
      </w:r>
      <w:r>
        <w:rPr>
          <w:rFonts w:hint="eastAsia" w:ascii="宋体" w:hAnsi="宋体" w:cs="宋体"/>
          <w:color w:val="auto"/>
          <w:sz w:val="24"/>
          <w:u w:val="none"/>
          <w:lang w:val="en-US" w:eastAsia="zh-CN"/>
        </w:rPr>
        <w:t>0</w:t>
      </w:r>
      <w:r>
        <w:rPr>
          <w:rFonts w:hint="default" w:ascii="宋体" w:hAnsi="宋体" w:cs="宋体"/>
          <w:color w:val="auto"/>
          <w:sz w:val="24"/>
          <w:u w:val="none"/>
          <w:lang w:val="en"/>
        </w:rPr>
        <w:t xml:space="preserve"> 分</w:t>
      </w:r>
      <w:r>
        <w:rPr>
          <w:rFonts w:hint="eastAsia" w:ascii="宋体" w:hAnsi="宋体" w:cs="宋体"/>
          <w:color w:val="auto"/>
          <w:sz w:val="24"/>
          <w:u w:val="none"/>
        </w:rPr>
        <w:t>00秒</w:t>
      </w:r>
      <w:r>
        <w:rPr>
          <w:rFonts w:hint="eastAsia" w:ascii="宋体" w:hAnsi="宋体" w:cs="宋体"/>
          <w:bCs/>
          <w:color w:val="auto"/>
          <w:sz w:val="24"/>
          <w:u w:val="none"/>
        </w:rPr>
        <w:t xml:space="preserve">  </w:t>
      </w:r>
    </w:p>
    <w:p w14:paraId="6CD19A79">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00978061">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7D2E1DB6">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192084B8">
      <w:pPr>
        <w:spacing w:line="360" w:lineRule="auto"/>
        <w:rPr>
          <w:rFonts w:ascii="宋体" w:hAnsi="宋体" w:cs="宋体"/>
          <w:b/>
          <w:color w:val="auto"/>
          <w:sz w:val="24"/>
        </w:rPr>
      </w:pPr>
      <w:r>
        <w:rPr>
          <w:rFonts w:hint="eastAsia" w:ascii="宋体" w:hAnsi="宋体" w:cs="宋体"/>
          <w:b/>
          <w:color w:val="auto"/>
          <w:sz w:val="24"/>
        </w:rPr>
        <w:t>六、其他补充事宜</w:t>
      </w:r>
    </w:p>
    <w:p w14:paraId="1D69B61A">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rPr>
        <w:t xml:space="preserve"> 1.</w:t>
      </w:r>
      <w:r>
        <w:rPr>
          <w:rFonts w:ascii="宋体" w:hAnsi="宋体" w:eastAsia="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《国务院办公厅关于在政府采购中实施</w:t>
      </w:r>
      <w:r>
        <w:rPr>
          <w:rFonts w:hint="eastAsia" w:ascii="宋体" w:hAnsi="宋体" w:eastAsia="宋体" w:cs="宋体"/>
          <w:color w:val="auto"/>
          <w:sz w:val="24"/>
          <w:highlight w:val="none"/>
          <w:u w:val="single"/>
          <w:lang w:eastAsia="zh-CN"/>
        </w:rPr>
        <w:t>本国产品</w:t>
      </w:r>
      <w:r>
        <w:rPr>
          <w:rFonts w:hint="eastAsia" w:ascii="宋体" w:hAnsi="宋体" w:eastAsia="宋体" w:cs="宋体"/>
          <w:color w:val="auto"/>
          <w:sz w:val="24"/>
          <w:highlight w:val="none"/>
          <w:lang w:eastAsia="zh-CN"/>
        </w:rPr>
        <w:t>标准及相关政策的通知》（</w:t>
      </w:r>
      <w:r>
        <w:rPr>
          <w:rFonts w:hint="eastAsia" w:ascii="宋体" w:hAnsi="宋体" w:eastAsia="宋体" w:cs="宋体"/>
          <w:color w:val="auto"/>
          <w:sz w:val="24"/>
          <w:highlight w:val="none"/>
        </w:rPr>
        <w:t>国办发〔2025〕34号</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已分别于2022年1月29日、2022年2月1日</w:t>
      </w:r>
      <w:r>
        <w:rPr>
          <w:rFonts w:hint="eastAsia" w:ascii="宋体" w:hAnsi="宋体" w:cs="宋体"/>
          <w:color w:val="auto"/>
          <w:sz w:val="24"/>
          <w:highlight w:val="none"/>
          <w:lang w:eastAsia="zh-CN"/>
        </w:rPr>
        <w:t>、</w:t>
      </w:r>
      <w:r>
        <w:rPr>
          <w:rFonts w:ascii="宋体" w:hAnsi="宋体" w:eastAsia="宋体" w:cs="宋体"/>
          <w:color w:val="auto"/>
          <w:sz w:val="24"/>
          <w:highlight w:val="none"/>
        </w:rPr>
        <w:t>2022年7月1日</w:t>
      </w:r>
      <w:r>
        <w:rPr>
          <w:rFonts w:hint="eastAsia" w:ascii="宋体" w:hAnsi="宋体" w:cs="宋体"/>
          <w:color w:val="auto"/>
          <w:sz w:val="24"/>
          <w:highlight w:val="none"/>
          <w:lang w:eastAsia="zh-CN"/>
        </w:rPr>
        <w:t>和</w:t>
      </w:r>
      <w:r>
        <w:rPr>
          <w:rFonts w:hint="eastAsia" w:ascii="宋体" w:hAnsi="宋体" w:cs="宋体"/>
          <w:color w:val="auto"/>
          <w:sz w:val="24"/>
          <w:highlight w:val="none"/>
          <w:lang w:val="en-US" w:eastAsia="zh-CN"/>
        </w:rPr>
        <w:t>2026年1月1日</w:t>
      </w:r>
      <w:r>
        <w:rPr>
          <w:rFonts w:ascii="宋体" w:hAnsi="宋体" w:eastAsia="宋体" w:cs="宋体"/>
          <w:color w:val="auto"/>
          <w:sz w:val="24"/>
          <w:highlight w:val="none"/>
        </w:rPr>
        <w:t>开始实施，此前有关规定与上述文件内容不一致的，按上述文件要求执行</w:t>
      </w:r>
      <w:r>
        <w:rPr>
          <w:rFonts w:hint="eastAsia" w:ascii="宋体" w:hAnsi="宋体" w:eastAsia="宋体" w:cs="宋体"/>
          <w:color w:val="auto"/>
          <w:sz w:val="24"/>
          <w:highlight w:val="none"/>
        </w:rPr>
        <w:t>。</w:t>
      </w:r>
    </w:p>
    <w:p w14:paraId="2E87CEB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highlight w:val="none"/>
        </w:rPr>
        <w:t xml:space="preserve"> 2.</w:t>
      </w:r>
      <w:r>
        <w:rPr>
          <w:rFonts w:ascii="宋体" w:hAnsi="宋体" w:eastAsia="宋体" w:cs="宋体"/>
          <w:color w:val="auto"/>
          <w:sz w:val="24"/>
          <w:highlight w:val="none"/>
          <w:lang w:val="en-US" w:eastAsia="zh-CN"/>
        </w:rPr>
        <w:t>根据《浙江省财政厅关于进一步促进政府采购公平竞争打造最优营商环境的通知》（浙财采</w:t>
      </w:r>
      <w:r>
        <w:rPr>
          <w:rFonts w:hint="eastAsia" w:ascii="宋体" w:hAnsi="宋体" w:cs="宋体"/>
          <w:color w:val="auto"/>
          <w:sz w:val="24"/>
          <w:highlight w:val="none"/>
          <w:lang w:val="en-US" w:eastAsia="zh-CN"/>
        </w:rPr>
        <w:t>监</w:t>
      </w:r>
      <w:r>
        <w:rPr>
          <w:rFonts w:ascii="宋体" w:hAnsi="宋体" w:eastAsia="宋体" w:cs="宋体"/>
          <w:color w:val="auto"/>
          <w:sz w:val="24"/>
          <w:highlight w:val="none"/>
          <w:lang w:val="en-US" w:eastAsia="zh-CN"/>
        </w:rPr>
        <w:t>（2021）22号）文件关于“健全行政裁决机制”要求，鼓励供应商在线提起询问，路径为</w:t>
      </w:r>
      <w:r>
        <w:rPr>
          <w:rFonts w:hint="eastAsia" w:ascii="宋体" w:hAnsi="宋体" w:cs="宋体"/>
          <w:color w:val="auto"/>
          <w:sz w:val="24"/>
          <w:highlight w:val="none"/>
          <w:lang w:val="en-US" w:eastAsia="zh-CN"/>
        </w:rPr>
        <w:t>：</w:t>
      </w:r>
      <w:r>
        <w:rPr>
          <w:rFonts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ascii="宋体" w:hAnsi="宋体" w:eastAsia="宋体" w:cs="宋体"/>
          <w:color w:val="auto"/>
          <w:sz w:val="24"/>
          <w:highlight w:val="none"/>
          <w:lang w:val="en-US" w:eastAsia="zh-CN"/>
        </w:rPr>
        <w:t>-项目采购-询问质疑投诉-询问列表</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鼓励供应商在线提起质疑，路径为：政采云</w:t>
      </w:r>
      <w:r>
        <w:rPr>
          <w:rFonts w:hint="eastAsia" w:ascii="宋体" w:hAnsi="宋体" w:cs="宋体"/>
          <w:color w:val="auto"/>
          <w:sz w:val="24"/>
          <w:highlight w:val="none"/>
          <w:lang w:val="en-US" w:eastAsia="zh-CN"/>
        </w:rPr>
        <w:t>平台</w:t>
      </w:r>
      <w:r>
        <w:rPr>
          <w:rFonts w:hint="default" w:ascii="宋体" w:hAnsi="宋体" w:eastAsia="宋体" w:cs="宋体"/>
          <w:color w:val="auto"/>
          <w:sz w:val="24"/>
          <w:highlight w:val="none"/>
          <w:lang w:val="en-US" w:eastAsia="zh-CN"/>
        </w:rPr>
        <w:t>-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 xml:space="preserve">    3.供应商认为采购文件使自己的权益受到损害的，可以自获取采购文件</w:t>
      </w:r>
      <w:r>
        <w:rPr>
          <w:rFonts w:hint="eastAsia" w:ascii="宋体" w:hAnsi="宋体" w:cs="宋体"/>
          <w:color w:val="auto"/>
          <w:sz w:val="24"/>
          <w:lang w:val="en-US" w:eastAsia="zh-CN"/>
        </w:rPr>
        <w:t>之日或者采购公告期限届满之日（公告期限届满后获取采购文件的，以公告期限届满之日为准）起7个工作日内，</w:t>
      </w:r>
      <w:r>
        <w:rPr>
          <w:rFonts w:hint="eastAsia" w:ascii="宋体" w:hAnsi="宋体" w:cs="宋体"/>
          <w:sz w:val="24"/>
        </w:rPr>
        <w:t>以</w:t>
      </w:r>
      <w:r>
        <w:rPr>
          <w:rFonts w:hint="eastAsia" w:ascii="宋体" w:hAnsi="宋体" w:cs="宋体"/>
          <w:sz w:val="24"/>
          <w:highlight w:val="none"/>
        </w:rPr>
        <w:t>书面形式</w:t>
      </w:r>
      <w:r>
        <w:rPr>
          <w:rFonts w:hint="eastAsia" w:ascii="宋体" w:hAnsi="宋体" w:cs="宋体"/>
          <w:sz w:val="24"/>
        </w:rPr>
        <w:t>向采购人提出质疑。质疑供应商对采购人的答复不满意或者采购人未在规定的时间内作出答复的，</w:t>
      </w:r>
      <w:r>
        <w:rPr>
          <w:rFonts w:hint="eastAsia" w:ascii="宋体" w:hAnsi="宋体" w:cs="宋体"/>
          <w:color w:val="auto"/>
          <w:sz w:val="24"/>
          <w:lang w:val="en-US" w:eastAsia="zh-CN"/>
        </w:rPr>
        <w:t>可以在答复期满后十五个工作日内向同级政府采购监督管理部门投诉。质疑函范本、投诉书范本请到浙江政府采购网下载专区下载。</w:t>
      </w:r>
    </w:p>
    <w:p w14:paraId="32ADFD6D">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.其他事项：（1）需要落实的政府采购政策：包括节约资源、保护环境、支持创新、促进中小企业发展</w:t>
      </w:r>
      <w:r>
        <w:rPr>
          <w:rFonts w:hint="eastAsia" w:ascii="宋体" w:hAnsi="宋体" w:cs="宋体"/>
          <w:color w:val="auto"/>
          <w:sz w:val="24"/>
          <w:lang w:eastAsia="zh-CN"/>
        </w:rPr>
        <w:t>、实施本国产品标准</w:t>
      </w:r>
      <w:r>
        <w:rPr>
          <w:rFonts w:hint="eastAsia" w:ascii="宋体" w:hAnsi="宋体" w:cs="宋体"/>
          <w:color w:val="auto"/>
          <w:sz w:val="24"/>
        </w:rPr>
        <w:t>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lang w:eastAsia="zh-CN"/>
        </w:rPr>
        <w:t>采购代理机构</w:t>
      </w:r>
      <w:r>
        <w:rPr>
          <w:rFonts w:hint="eastAsia" w:ascii="宋体" w:hAnsi="宋体" w:cs="宋体"/>
          <w:color w:val="auto"/>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w:t>
      </w:r>
      <w:r>
        <w:rPr>
          <w:rFonts w:hint="eastAsia" w:ascii="宋体" w:hAnsi="宋体" w:cs="宋体"/>
          <w:color w:val="auto"/>
          <w:sz w:val="24"/>
          <w:lang w:val="en-US" w:eastAsia="zh-CN"/>
        </w:rPr>
        <w:t>7</w:t>
      </w:r>
      <w:r>
        <w:rPr>
          <w:rFonts w:hint="eastAsia" w:ascii="宋体" w:hAnsi="宋体" w:cs="宋体"/>
          <w:color w:val="auto"/>
          <w:sz w:val="24"/>
        </w:rPr>
        <w:t>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4B0DB67">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14CC56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32E9CF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名  称：温州市洞头区教育局</w:t>
      </w:r>
    </w:p>
    <w:p w14:paraId="3593A89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地  址：洞头区北岙街道人民路11号      </w:t>
      </w:r>
    </w:p>
    <w:p w14:paraId="11B12FA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项目联系人（询问）：姚老师 </w:t>
      </w:r>
    </w:p>
    <w:p w14:paraId="163E61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项目联系方式（询问）：13282462233</w:t>
      </w:r>
    </w:p>
    <w:p w14:paraId="2BD64B7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质疑联系人：郭老师 </w:t>
      </w:r>
    </w:p>
    <w:p w14:paraId="2AE55B60">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质疑联系方式：13968902536</w:t>
      </w:r>
    </w:p>
    <w:p w14:paraId="521966ED">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77DB1FB9">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温州市洞头区政务服务中心</w:t>
      </w:r>
    </w:p>
    <w:p w14:paraId="51E87D69">
      <w:pPr>
        <w:spacing w:line="360" w:lineRule="auto"/>
        <w:ind w:firstLine="480"/>
        <w:rPr>
          <w:rFonts w:ascii="宋体" w:hAnsi="宋体" w:cs="宋体"/>
          <w:color w:val="auto"/>
          <w:sz w:val="24"/>
        </w:rPr>
      </w:pPr>
      <w:r>
        <w:rPr>
          <w:rFonts w:hint="eastAsia" w:ascii="宋体" w:hAnsi="宋体" w:cs="宋体"/>
          <w:color w:val="auto"/>
          <w:sz w:val="24"/>
        </w:rPr>
        <w:t>地  址：</w:t>
      </w:r>
      <w:r>
        <w:rPr>
          <w:rFonts w:hint="eastAsia" w:ascii="宋体" w:hAnsi="宋体" w:cs="仿宋"/>
          <w:color w:val="auto"/>
          <w:sz w:val="24"/>
          <w:lang w:eastAsia="zh-CN"/>
        </w:rPr>
        <w:t>温州市洞头区海兴路136号</w:t>
      </w:r>
      <w:r>
        <w:rPr>
          <w:rFonts w:hint="eastAsia" w:ascii="宋体" w:hAnsi="宋体" w:cs="宋体"/>
          <w:color w:val="auto"/>
          <w:sz w:val="24"/>
        </w:rPr>
        <w:t xml:space="preserve">         </w:t>
      </w:r>
    </w:p>
    <w:p w14:paraId="5F32EE2B">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项目联系人（询问）：</w:t>
      </w:r>
      <w:r>
        <w:rPr>
          <w:rFonts w:hint="eastAsia" w:ascii="宋体" w:hAnsi="宋体" w:cs="宋体"/>
          <w:color w:val="auto"/>
          <w:sz w:val="24"/>
          <w:lang w:eastAsia="zh-CN"/>
        </w:rPr>
        <w:t>张工</w:t>
      </w:r>
      <w:r>
        <w:rPr>
          <w:rFonts w:hint="eastAsia" w:ascii="宋体" w:hAnsi="宋体" w:cs="宋体"/>
          <w:color w:val="auto"/>
          <w:sz w:val="24"/>
        </w:rPr>
        <w:t xml:space="preserve">  </w:t>
      </w:r>
    </w:p>
    <w:p w14:paraId="6D1543B9">
      <w:pPr>
        <w:spacing w:line="360" w:lineRule="auto"/>
        <w:rPr>
          <w:rFonts w:hint="default" w:ascii="宋体" w:hAnsi="宋体" w:cs="宋体"/>
          <w:color w:val="auto"/>
          <w:sz w:val="24"/>
          <w:lang w:val="en-US"/>
        </w:rPr>
      </w:pPr>
      <w:r>
        <w:rPr>
          <w:rFonts w:hint="eastAsia" w:ascii="宋体" w:hAnsi="宋体" w:cs="宋体"/>
          <w:color w:val="auto"/>
          <w:sz w:val="24"/>
        </w:rPr>
        <w:t xml:space="preserve">    项目联系方式（询问）：</w:t>
      </w:r>
      <w:r>
        <w:rPr>
          <w:rFonts w:hint="eastAsia" w:ascii="宋体" w:hAnsi="宋体" w:cs="仿宋"/>
          <w:color w:val="auto"/>
          <w:sz w:val="24"/>
          <w:lang w:val="en-US" w:eastAsia="zh-CN"/>
        </w:rPr>
        <w:t>0577-63383908</w:t>
      </w:r>
    </w:p>
    <w:p w14:paraId="7F21ECAB">
      <w:pPr>
        <w:spacing w:line="360" w:lineRule="auto"/>
        <w:ind w:firstLine="480"/>
        <w:rPr>
          <w:rFonts w:ascii="宋体" w:hAnsi="宋体" w:cs="宋体"/>
          <w:color w:val="auto"/>
          <w:sz w:val="24"/>
        </w:rPr>
      </w:pPr>
      <w:r>
        <w:rPr>
          <w:rFonts w:hint="eastAsia" w:ascii="宋体" w:hAnsi="宋体" w:cs="宋体"/>
          <w:color w:val="auto"/>
          <w:sz w:val="24"/>
        </w:rPr>
        <w:t>质疑联系人：</w:t>
      </w:r>
      <w:r>
        <w:rPr>
          <w:rFonts w:hint="eastAsia" w:ascii="宋体" w:hAnsi="宋体" w:cs="宋体"/>
          <w:color w:val="auto"/>
          <w:sz w:val="24"/>
          <w:lang w:eastAsia="zh-CN"/>
        </w:rPr>
        <w:t>庄工</w:t>
      </w:r>
      <w:r>
        <w:rPr>
          <w:rFonts w:hint="eastAsia" w:ascii="宋体" w:hAnsi="宋体" w:cs="宋体"/>
          <w:color w:val="auto"/>
          <w:sz w:val="24"/>
        </w:rPr>
        <w:t xml:space="preserve">    </w:t>
      </w:r>
    </w:p>
    <w:p w14:paraId="0B2E4E9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rPr>
        <w:t xml:space="preserve">    质疑联系方式：</w:t>
      </w:r>
      <w:r>
        <w:rPr>
          <w:rFonts w:hint="eastAsia" w:ascii="宋体" w:hAnsi="宋体" w:cs="仿宋"/>
          <w:color w:val="auto"/>
          <w:sz w:val="24"/>
          <w:lang w:val="en-US" w:eastAsia="zh-CN"/>
        </w:rPr>
        <w:t>0577-59386892</w:t>
      </w:r>
    </w:p>
    <w:p w14:paraId="454A9BF3">
      <w:pPr>
        <w:spacing w:line="360" w:lineRule="auto"/>
        <w:ind w:firstLine="480"/>
        <w:rPr>
          <w:rFonts w:ascii="宋体" w:hAnsi="宋体" w:cs="仿宋"/>
          <w:color w:val="auto"/>
          <w:sz w:val="24"/>
        </w:rPr>
      </w:pPr>
      <w:r>
        <w:rPr>
          <w:rFonts w:hint="eastAsia" w:ascii="宋体" w:hAnsi="宋体" w:cs="仿宋"/>
          <w:color w:val="auto"/>
          <w:sz w:val="24"/>
        </w:rPr>
        <w:t>3.同级政府采购监督管理部门</w:t>
      </w:r>
    </w:p>
    <w:p w14:paraId="7D3A8C05">
      <w:pPr>
        <w:spacing w:line="360" w:lineRule="auto"/>
        <w:ind w:firstLine="480"/>
        <w:rPr>
          <w:rFonts w:hint="eastAsia" w:ascii="宋体" w:hAnsi="宋体" w:eastAsia="宋体" w:cs="宋体"/>
          <w:color w:val="000000"/>
          <w:sz w:val="24"/>
          <w:lang w:eastAsia="zh-CN"/>
        </w:rPr>
      </w:pPr>
      <w:r>
        <w:rPr>
          <w:rFonts w:hint="eastAsia" w:ascii="宋体" w:hAnsi="宋体" w:cs="宋体"/>
          <w:color w:val="000000"/>
          <w:sz w:val="24"/>
        </w:rPr>
        <w:t>名</w:t>
      </w:r>
      <w:r>
        <w:rPr>
          <w:rFonts w:hint="eastAsia" w:ascii="宋体" w:hAnsi="宋体" w:cs="宋体"/>
          <w:color w:val="000000"/>
          <w:sz w:val="24"/>
          <w:lang w:val="en-US" w:eastAsia="zh-CN"/>
        </w:rPr>
        <w:t xml:space="preserve">  </w:t>
      </w:r>
      <w:r>
        <w:rPr>
          <w:rFonts w:hint="eastAsia" w:ascii="宋体" w:hAnsi="宋体" w:cs="宋体"/>
          <w:color w:val="000000"/>
          <w:sz w:val="24"/>
        </w:rPr>
        <w:t>称：温州市财政局（浙江省政府采购行政裁决服务中心（温州）</w:t>
      </w:r>
      <w:r>
        <w:rPr>
          <w:rFonts w:hint="eastAsia" w:ascii="宋体" w:hAnsi="宋体" w:cs="宋体"/>
          <w:color w:val="000000"/>
          <w:sz w:val="24"/>
          <w:lang w:eastAsia="zh-CN"/>
        </w:rPr>
        <w:t>）</w:t>
      </w:r>
    </w:p>
    <w:p w14:paraId="692BEFCF">
      <w:pPr>
        <w:spacing w:line="360" w:lineRule="auto"/>
        <w:ind w:firstLine="480"/>
        <w:rPr>
          <w:rFonts w:hint="eastAsia" w:ascii="宋体" w:hAnsi="宋体" w:cs="宋体"/>
          <w:color w:val="000000"/>
          <w:sz w:val="24"/>
        </w:rPr>
      </w:pPr>
      <w:r>
        <w:rPr>
          <w:rFonts w:hint="eastAsia" w:ascii="宋体" w:hAnsi="宋体" w:cs="宋体"/>
          <w:color w:val="000000"/>
          <w:sz w:val="24"/>
        </w:rPr>
        <w:t>地</w:t>
      </w:r>
      <w:r>
        <w:rPr>
          <w:rFonts w:hint="eastAsia" w:ascii="宋体" w:hAnsi="宋体" w:cs="宋体"/>
          <w:color w:val="000000"/>
          <w:sz w:val="24"/>
          <w:lang w:val="en-US" w:eastAsia="zh-CN"/>
        </w:rPr>
        <w:t xml:space="preserve">  </w:t>
      </w:r>
      <w:r>
        <w:rPr>
          <w:rFonts w:hint="eastAsia" w:ascii="宋体" w:hAnsi="宋体" w:cs="宋体"/>
          <w:color w:val="000000"/>
          <w:sz w:val="24"/>
        </w:rPr>
        <w:t>址：温州市鹿城区滨江街道瓯江路展银大厦1606室</w:t>
      </w:r>
    </w:p>
    <w:p w14:paraId="46FA4698">
      <w:pPr>
        <w:spacing w:line="360" w:lineRule="auto"/>
        <w:ind w:firstLine="480"/>
        <w:rPr>
          <w:rFonts w:hint="eastAsia" w:ascii="宋体" w:hAnsi="宋体" w:cs="宋体"/>
          <w:color w:val="000000"/>
          <w:sz w:val="24"/>
        </w:rPr>
      </w:pPr>
      <w:r>
        <w:rPr>
          <w:rFonts w:hint="eastAsia" w:ascii="宋体" w:hAnsi="宋体" w:cs="宋体"/>
          <w:color w:val="000000"/>
          <w:sz w:val="24"/>
        </w:rPr>
        <w:t>联系人：李老师、王老师</w:t>
      </w:r>
    </w:p>
    <w:p w14:paraId="19D5BC58">
      <w:pPr>
        <w:spacing w:line="360" w:lineRule="auto"/>
        <w:ind w:firstLine="480"/>
        <w:rPr>
          <w:rFonts w:hint="eastAsia"/>
        </w:rPr>
      </w:pPr>
      <w:r>
        <w:rPr>
          <w:rFonts w:hint="eastAsia" w:ascii="宋体" w:hAnsi="宋体" w:cs="宋体"/>
          <w:color w:val="000000"/>
          <w:sz w:val="24"/>
        </w:rPr>
        <w:t>监督投诉电话：0577-85501561，0577-85501562</w:t>
      </w:r>
    </w:p>
    <w:p w14:paraId="7BF804AB">
      <w:pPr>
        <w:spacing w:line="360" w:lineRule="auto"/>
        <w:ind w:firstLine="480" w:firstLineChars="200"/>
        <w:rPr>
          <w:rFonts w:hint="eastAsia" w:ascii="宋体" w:hAnsi="宋体" w:cs="宋体"/>
          <w:color w:val="auto"/>
          <w:sz w:val="24"/>
        </w:rPr>
      </w:pPr>
    </w:p>
    <w:p w14:paraId="67114CFC">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若对项目采购电子交易系统操作有疑问，可登录政采云（https://www.zcygov.cn/），点击右侧咨询小采，获取采小蜜智能服务管家帮助，或拨打政采云服务热线95763获取热线服务帮助。</w:t>
      </w:r>
    </w:p>
    <w:p w14:paraId="072398CF">
      <w:pPr>
        <w:spacing w:line="360" w:lineRule="auto"/>
        <w:ind w:firstLine="480" w:firstLineChars="200"/>
        <w:rPr>
          <w:rFonts w:ascii="宋体" w:hAnsi="宋体" w:cs="宋体"/>
          <w:color w:val="auto"/>
          <w:sz w:val="24"/>
        </w:rPr>
      </w:pPr>
      <w:r>
        <w:rPr>
          <w:rFonts w:hint="eastAsia" w:ascii="宋体" w:hAnsi="宋体" w:cs="宋体"/>
          <w:color w:val="auto"/>
          <w:sz w:val="24"/>
        </w:rPr>
        <w:t>CA问题联系电话（人工）：汇信CA 400-888-4636；天谷CA 400-087-8198。</w:t>
      </w:r>
    </w:p>
    <w:p w14:paraId="66589616">
      <w:pPr>
        <w:widowControl/>
        <w:adjustRightInd/>
        <w:jc w:val="left"/>
        <w:rPr>
          <w:rFonts w:ascii="宋体" w:hAnsi="宋体" w:cs="宋体"/>
          <w:b/>
          <w:color w:val="auto"/>
          <w:sz w:val="36"/>
          <w:szCs w:val="20"/>
        </w:rPr>
      </w:pPr>
      <w:r>
        <w:rPr>
          <w:rFonts w:ascii="宋体" w:hAnsi="宋体" w:cs="宋体"/>
          <w:b/>
          <w:color w:val="auto"/>
          <w:sz w:val="36"/>
          <w:szCs w:val="20"/>
        </w:rPr>
        <w:br w:type="page"/>
      </w:r>
    </w:p>
    <w:p w14:paraId="0E30314F">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7"/>
      <w:r>
        <w:rPr>
          <w:rFonts w:hint="eastAsia" w:ascii="宋体" w:hAnsi="宋体" w:cs="宋体"/>
          <w:b/>
          <w:color w:val="auto"/>
          <w:sz w:val="36"/>
          <w:szCs w:val="20"/>
        </w:rPr>
        <w:t xml:space="preserve"> 投标人须知</w:t>
      </w:r>
      <w:bookmarkEnd w:id="8"/>
    </w:p>
    <w:p w14:paraId="04A474E1">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前附表</w:t>
      </w:r>
    </w:p>
    <w:tbl>
      <w:tblPr>
        <w:tblStyle w:val="62"/>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56"/>
        <w:gridCol w:w="2070"/>
        <w:gridCol w:w="6395"/>
      </w:tblGrid>
      <w:tr w14:paraId="683A9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360" w:type="pct"/>
            <w:tcBorders>
              <w:top w:val="single" w:color="auto" w:sz="4" w:space="0"/>
              <w:left w:val="single" w:color="auto" w:sz="4" w:space="0"/>
              <w:bottom w:val="single" w:color="auto" w:sz="4" w:space="0"/>
              <w:right w:val="single" w:color="auto" w:sz="4" w:space="0"/>
            </w:tcBorders>
          </w:tcPr>
          <w:p w14:paraId="51C2DF02">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134" w:type="pct"/>
            <w:tcBorders>
              <w:top w:val="single" w:color="000000" w:sz="8" w:space="0"/>
              <w:left w:val="single" w:color="auto" w:sz="4" w:space="0"/>
              <w:bottom w:val="single" w:color="000000" w:sz="8" w:space="0"/>
              <w:right w:val="single" w:color="000000" w:sz="8" w:space="0"/>
            </w:tcBorders>
            <w:vAlign w:val="center"/>
          </w:tcPr>
          <w:p w14:paraId="4893136B">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3504" w:type="pct"/>
            <w:tcBorders>
              <w:top w:val="single" w:color="000000" w:sz="8" w:space="0"/>
              <w:left w:val="single" w:color="000000" w:sz="2" w:space="0"/>
              <w:bottom w:val="single" w:color="000000" w:sz="8" w:space="0"/>
              <w:right w:val="single" w:color="000000" w:sz="8" w:space="0"/>
            </w:tcBorders>
            <w:vAlign w:val="center"/>
          </w:tcPr>
          <w:p w14:paraId="4F333227">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099AD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360" w:type="pct"/>
            <w:tcBorders>
              <w:top w:val="single" w:color="auto" w:sz="4" w:space="0"/>
              <w:left w:val="single" w:color="auto" w:sz="4" w:space="0"/>
              <w:bottom w:val="single" w:color="auto" w:sz="4" w:space="0"/>
              <w:right w:val="single" w:color="auto" w:sz="4" w:space="0"/>
            </w:tcBorders>
            <w:vAlign w:val="center"/>
          </w:tcPr>
          <w:p w14:paraId="4D61AA23">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134" w:type="pct"/>
            <w:tcBorders>
              <w:top w:val="single" w:color="000000" w:sz="8" w:space="0"/>
              <w:left w:val="single" w:color="auto" w:sz="4" w:space="0"/>
              <w:bottom w:val="single" w:color="000000" w:sz="8" w:space="0"/>
              <w:right w:val="single" w:color="000000" w:sz="8" w:space="0"/>
            </w:tcBorders>
            <w:vAlign w:val="center"/>
          </w:tcPr>
          <w:p w14:paraId="49C9774A">
            <w:pPr>
              <w:snapToGrid w:val="0"/>
              <w:spacing w:line="360" w:lineRule="auto"/>
              <w:jc w:val="center"/>
              <w:rPr>
                <w:rFonts w:ascii="宋体" w:hAnsi="宋体" w:cs="宋体"/>
                <w:b/>
                <w:color w:val="auto"/>
                <w:sz w:val="24"/>
              </w:rPr>
            </w:pPr>
            <w:r>
              <w:rPr>
                <w:rFonts w:hint="eastAsia" w:ascii="宋体" w:hAnsi="宋体" w:eastAsia="宋体" w:cs="宋体"/>
                <w:b/>
                <w:color w:val="auto"/>
                <w:sz w:val="24"/>
              </w:rPr>
              <w:t>项目属性</w:t>
            </w:r>
          </w:p>
        </w:tc>
        <w:tc>
          <w:tcPr>
            <w:tcW w:w="3504" w:type="pct"/>
            <w:tcBorders>
              <w:top w:val="single" w:color="000000" w:sz="8" w:space="0"/>
              <w:left w:val="single" w:color="000000" w:sz="2" w:space="0"/>
              <w:bottom w:val="single" w:color="000000" w:sz="8" w:space="0"/>
              <w:right w:val="single" w:color="000000" w:sz="8" w:space="0"/>
            </w:tcBorders>
            <w:vAlign w:val="center"/>
          </w:tcPr>
          <w:p w14:paraId="5A68ECFE">
            <w:pPr>
              <w:spacing w:line="360" w:lineRule="auto"/>
              <w:rPr>
                <w:rFonts w:hint="eastAsia" w:ascii="宋体" w:hAnsi="宋体" w:cs="宋体"/>
                <w:color w:val="auto"/>
                <w:sz w:val="24"/>
              </w:rPr>
            </w:pPr>
            <w:r>
              <w:rPr>
                <w:rFonts w:hint="eastAsia" w:ascii="宋体" w:hAnsi="宋体" w:cs="宋体"/>
                <w:color w:val="auto"/>
                <w:sz w:val="24"/>
              </w:rPr>
              <w:t>货物类，单一产品或</w:t>
            </w:r>
            <w:r>
              <w:rPr>
                <w:rFonts w:hint="eastAsia" w:ascii="宋体" w:hAnsi="宋体" w:cs="宋体"/>
                <w:color w:val="auto"/>
                <w:kern w:val="0"/>
                <w:sz w:val="24"/>
              </w:rPr>
              <w:t>核心产品为：</w:t>
            </w:r>
            <w:r>
              <w:rPr>
                <w:rFonts w:hint="eastAsia" w:ascii="宋体" w:hAnsi="宋体" w:cs="宋体"/>
                <w:color w:val="auto"/>
                <w:sz w:val="24"/>
                <w:u w:val="single"/>
              </w:rPr>
              <w:t xml:space="preserve"> </w:t>
            </w:r>
            <w:r>
              <w:rPr>
                <w:rFonts w:hint="eastAsia" w:ascii="宋体" w:hAnsi="宋体" w:cs="仿宋"/>
                <w:color w:val="auto"/>
                <w:kern w:val="0"/>
                <w:sz w:val="24"/>
                <w:u w:val="single"/>
                <w:lang w:val="en-US" w:eastAsia="zh-CN"/>
              </w:rPr>
              <w:t>详见采购需求</w:t>
            </w:r>
            <w:r>
              <w:rPr>
                <w:rFonts w:hint="eastAsia" w:ascii="宋体" w:hAnsi="宋体" w:cs="宋体"/>
                <w:color w:val="auto"/>
                <w:sz w:val="24"/>
                <w:u w:val="single"/>
              </w:rPr>
              <w:t xml:space="preserve">  </w:t>
            </w:r>
            <w:r>
              <w:rPr>
                <w:rFonts w:hint="eastAsia" w:ascii="宋体" w:hAnsi="宋体" w:cs="宋体"/>
                <w:color w:val="auto"/>
                <w:sz w:val="24"/>
              </w:rPr>
              <w:t>。</w:t>
            </w:r>
          </w:p>
          <w:p w14:paraId="307B931F">
            <w:pPr>
              <w:spacing w:line="360" w:lineRule="auto"/>
              <w:rPr>
                <w:rFonts w:ascii="宋体" w:hAnsi="宋体" w:cs="宋体"/>
                <w:color w:val="auto"/>
                <w:sz w:val="24"/>
              </w:rPr>
            </w:pPr>
            <w:r>
              <w:rPr>
                <w:rFonts w:hint="eastAsia" w:ascii="宋体" w:hAnsi="宋体" w:cs="宋体"/>
                <w:color w:val="auto"/>
                <w:sz w:val="24"/>
                <w:highlight w:val="none"/>
              </w:rPr>
              <w:t>本项目</w:t>
            </w:r>
            <w:r>
              <w:rPr>
                <w:rFonts w:hint="eastAsia" w:ascii="宋体" w:hAnsi="宋体" w:cs="宋体"/>
                <w:color w:val="auto"/>
                <w:sz w:val="24"/>
                <w:highlight w:val="none"/>
                <w:u w:val="single"/>
                <w:lang w:val="en-US" w:eastAsia="zh-CN"/>
              </w:rPr>
              <w:t>非</w:t>
            </w:r>
            <w:r>
              <w:rPr>
                <w:rFonts w:hint="eastAsia" w:ascii="宋体" w:hAnsi="宋体" w:cs="宋体"/>
                <w:color w:val="auto"/>
                <w:sz w:val="24"/>
                <w:highlight w:val="none"/>
              </w:rPr>
              <w:t>预留份额采购项目</w:t>
            </w:r>
          </w:p>
        </w:tc>
      </w:tr>
      <w:tr w14:paraId="236AD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360" w:type="pct"/>
            <w:tcBorders>
              <w:top w:val="single" w:color="auto" w:sz="4" w:space="0"/>
              <w:left w:val="single" w:color="auto" w:sz="4" w:space="0"/>
              <w:bottom w:val="single" w:color="auto" w:sz="4" w:space="0"/>
              <w:right w:val="single" w:color="auto" w:sz="4" w:space="0"/>
            </w:tcBorders>
            <w:vAlign w:val="center"/>
          </w:tcPr>
          <w:p w14:paraId="1104AE32">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34" w:type="pct"/>
            <w:tcBorders>
              <w:top w:val="single" w:color="000000" w:sz="8" w:space="0"/>
              <w:left w:val="single" w:color="auto" w:sz="4" w:space="0"/>
              <w:bottom w:val="single" w:color="000000" w:sz="8" w:space="0"/>
              <w:right w:val="single" w:color="000000" w:sz="8" w:space="0"/>
            </w:tcBorders>
            <w:vAlign w:val="center"/>
          </w:tcPr>
          <w:p w14:paraId="5F536603">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3504" w:type="pct"/>
            <w:tcBorders>
              <w:top w:val="single" w:color="000000" w:sz="8" w:space="0"/>
              <w:left w:val="single" w:color="000000" w:sz="2" w:space="0"/>
              <w:bottom w:val="single" w:color="000000" w:sz="8" w:space="0"/>
              <w:right w:val="single" w:color="000000" w:sz="8" w:space="0"/>
            </w:tcBorders>
            <w:vAlign w:val="center"/>
          </w:tcPr>
          <w:p w14:paraId="136140D1">
            <w:pPr>
              <w:snapToGrid w:val="0"/>
              <w:spacing w:line="360" w:lineRule="auto"/>
              <w:rPr>
                <w:color w:val="auto"/>
              </w:rPr>
            </w:pPr>
            <w:r>
              <w:rPr>
                <w:rFonts w:hint="eastAsia"/>
                <w:color w:val="auto"/>
              </w:rPr>
              <w:t>（1）</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val="en-US" w:eastAsia="zh-CN"/>
              </w:rPr>
              <w:t>台式计算机</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rPr>
              <w:t>行业；</w:t>
            </w:r>
          </w:p>
          <w:p w14:paraId="55192722">
            <w:pPr>
              <w:rPr>
                <w:color w:val="auto"/>
                <w:lang w:val="en-US"/>
              </w:rPr>
            </w:pPr>
            <w:r>
              <w:rPr>
                <w:rFonts w:hint="eastAsia" w:ascii="宋体" w:hAnsi="宋体"/>
                <w:color w:val="auto"/>
                <w:sz w:val="24"/>
                <w:highlight w:val="none"/>
              </w:rPr>
              <w:t>中小企业的划分标准依据《关于印发中小企业划型标准规定的通知》（工信部联企业〔2011〕300号）文件执行</w:t>
            </w:r>
          </w:p>
        </w:tc>
      </w:tr>
      <w:tr w14:paraId="30FC7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9" w:hRule="atLeast"/>
        </w:trPr>
        <w:tc>
          <w:tcPr>
            <w:tcW w:w="360" w:type="pct"/>
            <w:tcBorders>
              <w:top w:val="single" w:color="auto" w:sz="4" w:space="0"/>
              <w:left w:val="single" w:color="auto" w:sz="4" w:space="0"/>
              <w:bottom w:val="single" w:color="auto" w:sz="4" w:space="0"/>
              <w:right w:val="single" w:color="auto" w:sz="4" w:space="0"/>
            </w:tcBorders>
            <w:vAlign w:val="center"/>
          </w:tcPr>
          <w:p w14:paraId="59885DC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34" w:type="pct"/>
            <w:tcBorders>
              <w:top w:val="single" w:color="000000" w:sz="8" w:space="0"/>
              <w:left w:val="single" w:color="auto" w:sz="4" w:space="0"/>
              <w:bottom w:val="single" w:color="000000" w:sz="8" w:space="0"/>
              <w:right w:val="single" w:color="000000" w:sz="8" w:space="0"/>
            </w:tcBorders>
            <w:vAlign w:val="center"/>
          </w:tcPr>
          <w:p w14:paraId="749B72E9">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3504" w:type="pct"/>
            <w:tcBorders>
              <w:top w:val="single" w:color="000000" w:sz="8" w:space="0"/>
              <w:left w:val="single" w:color="000000" w:sz="2" w:space="0"/>
              <w:bottom w:val="single" w:color="000000" w:sz="8" w:space="0"/>
              <w:right w:val="single" w:color="000000" w:sz="8" w:space="0"/>
            </w:tcBorders>
            <w:vAlign w:val="center"/>
          </w:tcPr>
          <w:p w14:paraId="0B3440DF">
            <w:pPr>
              <w:spacing w:line="360" w:lineRule="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本项目不允许采购进口产品。</w:t>
            </w:r>
          </w:p>
          <w:p w14:paraId="7CBE5067">
            <w:pPr>
              <w:spacing w:line="360" w:lineRule="auto"/>
              <w:rPr>
                <w:rFonts w:ascii="宋体" w:hAnsi="宋体" w:cs="宋体"/>
                <w:color w:val="auto"/>
              </w:rPr>
            </w:pPr>
            <w:r>
              <w:rPr>
                <w:rFonts w:hint="eastAsia" w:ascii="宋体" w:hAnsi="宋体" w:cs="宋体"/>
                <w:color w:val="auto"/>
                <w:kern w:val="0"/>
                <w:sz w:val="24"/>
                <w:lang w:eastAsia="zh-CN"/>
              </w:rPr>
              <w:t>□</w:t>
            </w:r>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14:paraId="777F8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360" w:type="pct"/>
            <w:tcBorders>
              <w:top w:val="single" w:color="auto" w:sz="4" w:space="0"/>
              <w:left w:val="single" w:color="auto" w:sz="4" w:space="0"/>
              <w:bottom w:val="single" w:color="auto" w:sz="4" w:space="0"/>
              <w:right w:val="single" w:color="auto" w:sz="4" w:space="0"/>
            </w:tcBorders>
            <w:vAlign w:val="center"/>
          </w:tcPr>
          <w:p w14:paraId="5C0EBA02">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134" w:type="pct"/>
            <w:tcBorders>
              <w:top w:val="single" w:color="000000" w:sz="8" w:space="0"/>
              <w:left w:val="single" w:color="auto" w:sz="4" w:space="0"/>
              <w:bottom w:val="single" w:color="000000" w:sz="8" w:space="0"/>
              <w:right w:val="single" w:color="000000" w:sz="8" w:space="0"/>
            </w:tcBorders>
            <w:vAlign w:val="center"/>
          </w:tcPr>
          <w:p w14:paraId="271BA298">
            <w:pPr>
              <w:snapToGrid w:val="0"/>
              <w:spacing w:line="360" w:lineRule="auto"/>
              <w:jc w:val="center"/>
              <w:rPr>
                <w:rFonts w:ascii="宋体" w:hAnsi="宋体" w:cs="宋体"/>
                <w:b/>
                <w:color w:val="auto"/>
                <w:sz w:val="24"/>
              </w:rPr>
            </w:pPr>
            <w:r>
              <w:rPr>
                <w:rFonts w:hint="eastAsia" w:ascii="宋体" w:hAnsi="宋体" w:eastAsia="宋体" w:cs="宋体"/>
                <w:b/>
                <w:color w:val="auto"/>
                <w:sz w:val="24"/>
                <w:highlight w:val="none"/>
              </w:rPr>
              <w:t>分包</w:t>
            </w:r>
          </w:p>
        </w:tc>
        <w:tc>
          <w:tcPr>
            <w:tcW w:w="3504" w:type="pct"/>
            <w:tcBorders>
              <w:top w:val="single" w:color="000000" w:sz="8" w:space="0"/>
              <w:left w:val="single" w:color="000000" w:sz="2" w:space="0"/>
              <w:bottom w:val="single" w:color="000000" w:sz="8" w:space="0"/>
              <w:right w:val="single" w:color="000000" w:sz="8" w:space="0"/>
            </w:tcBorders>
            <w:vAlign w:val="center"/>
          </w:tcPr>
          <w:p w14:paraId="3EF4A21C">
            <w:pPr>
              <w:spacing w:line="360" w:lineRule="auto"/>
              <w:rPr>
                <w:rFonts w:hint="eastAsia" w:ascii="宋体" w:hAnsi="宋体" w:cs="宋体"/>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rPr>
              <w:t>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r>
              <w:rPr>
                <w:rFonts w:hint="eastAsia" w:ascii="宋体" w:hAnsi="宋体" w:cs="宋体"/>
                <w:color w:val="auto"/>
                <w:sz w:val="24"/>
                <w:lang w:eastAsia="zh-CN"/>
              </w:rPr>
              <w:t>（允许</w:t>
            </w:r>
            <w:r>
              <w:rPr>
                <w:rFonts w:hint="eastAsia" w:ascii="宋体" w:hAnsi="宋体" w:cs="宋体"/>
                <w:color w:val="auto"/>
                <w:sz w:val="24"/>
                <w:lang w:val="en-US" w:eastAsia="zh-CN"/>
              </w:rPr>
              <w:t>分包内容占项目预算金额比例</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w:t>
            </w:r>
            <w:r>
              <w:rPr>
                <w:rFonts w:hint="eastAsia" w:ascii="宋体" w:hAnsi="宋体" w:cs="宋体"/>
                <w:color w:val="auto"/>
                <w:sz w:val="24"/>
                <w:lang w:eastAsia="zh-CN"/>
              </w:rPr>
              <w:t>）</w:t>
            </w:r>
            <w:r>
              <w:rPr>
                <w:rFonts w:hint="eastAsia" w:ascii="宋体" w:hAnsi="宋体" w:cs="宋体"/>
                <w:color w:val="auto"/>
                <w:sz w:val="24"/>
              </w:rPr>
              <w:t>。</w:t>
            </w:r>
          </w:p>
          <w:p w14:paraId="757F3985">
            <w:pPr>
              <w:spacing w:line="360" w:lineRule="auto"/>
              <w:rPr>
                <w:rFonts w:ascii="宋体" w:hAnsi="宋体" w:cs="宋体"/>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rPr>
              <w:t xml:space="preserve"> B</w:t>
            </w:r>
            <w:r>
              <w:rPr>
                <w:rFonts w:hint="eastAsia" w:ascii="宋体" w:hAnsi="宋体" w:cs="宋体"/>
                <w:color w:val="auto"/>
                <w:sz w:val="24"/>
              </w:rPr>
              <w:t>不同意分包。</w:t>
            </w:r>
          </w:p>
          <w:p w14:paraId="54A77FB3">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14:paraId="24A0B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17" w:hRule="atLeast"/>
        </w:trPr>
        <w:tc>
          <w:tcPr>
            <w:tcW w:w="360" w:type="pct"/>
            <w:tcBorders>
              <w:top w:val="single" w:color="auto" w:sz="4" w:space="0"/>
              <w:left w:val="single" w:color="auto" w:sz="4" w:space="0"/>
              <w:bottom w:val="single" w:color="auto" w:sz="4" w:space="0"/>
              <w:right w:val="single" w:color="auto" w:sz="4" w:space="0"/>
            </w:tcBorders>
            <w:vAlign w:val="center"/>
          </w:tcPr>
          <w:p w14:paraId="46B6DD1B">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134" w:type="pct"/>
            <w:tcBorders>
              <w:top w:val="single" w:color="000000" w:sz="8" w:space="0"/>
              <w:left w:val="single" w:color="auto" w:sz="4" w:space="0"/>
              <w:bottom w:val="single" w:color="000000" w:sz="8" w:space="0"/>
              <w:right w:val="single" w:color="000000" w:sz="8" w:space="0"/>
            </w:tcBorders>
            <w:vAlign w:val="center"/>
          </w:tcPr>
          <w:p w14:paraId="73F34DA9">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3504" w:type="pct"/>
            <w:tcBorders>
              <w:top w:val="single" w:color="000000" w:sz="8" w:space="0"/>
              <w:left w:val="single" w:color="000000" w:sz="2" w:space="0"/>
              <w:bottom w:val="single" w:color="000000" w:sz="8" w:space="0"/>
              <w:right w:val="single" w:color="000000" w:sz="8" w:space="0"/>
            </w:tcBorders>
            <w:vAlign w:val="center"/>
          </w:tcPr>
          <w:p w14:paraId="12D50AF7">
            <w:pPr>
              <w:spacing w:line="360" w:lineRule="auto"/>
              <w:rPr>
                <w:rFonts w:ascii="宋体" w:hAnsi="宋体" w:cs="宋体"/>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rPr>
              <w:t>A</w:t>
            </w:r>
            <w:r>
              <w:rPr>
                <w:rFonts w:hint="eastAsia" w:ascii="宋体" w:hAnsi="宋体" w:cs="宋体"/>
                <w:color w:val="auto"/>
                <w:sz w:val="24"/>
              </w:rPr>
              <w:t>不组织。</w:t>
            </w:r>
          </w:p>
          <w:p w14:paraId="5CB837E9">
            <w:pPr>
              <w:spacing w:line="360" w:lineRule="auto"/>
              <w:rPr>
                <w:rFonts w:ascii="宋体" w:hAnsi="宋体" w:cs="宋体"/>
                <w:color w:val="auto"/>
                <w:sz w:val="24"/>
                <w:szCs w:val="20"/>
              </w:rPr>
            </w:pPr>
            <w:r>
              <w:rPr>
                <w:rFonts w:hint="eastAsia" w:ascii="宋体" w:hAnsi="宋体" w:cs="宋体"/>
                <w:color w:val="auto"/>
                <w:kern w:val="0"/>
                <w:sz w:val="24"/>
                <w:lang w:eastAsia="zh-CN"/>
              </w:rPr>
              <w:t>□</w:t>
            </w:r>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14:paraId="700A9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360" w:type="pct"/>
            <w:tcBorders>
              <w:top w:val="single" w:color="auto" w:sz="4" w:space="0"/>
              <w:left w:val="single" w:color="auto" w:sz="4" w:space="0"/>
              <w:bottom w:val="single" w:color="auto" w:sz="4" w:space="0"/>
              <w:right w:val="single" w:color="auto" w:sz="4" w:space="0"/>
            </w:tcBorders>
            <w:vAlign w:val="center"/>
          </w:tcPr>
          <w:p w14:paraId="56FF8CAE">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134" w:type="pct"/>
            <w:tcBorders>
              <w:top w:val="single" w:color="000000" w:sz="8" w:space="0"/>
              <w:left w:val="single" w:color="auto" w:sz="4" w:space="0"/>
              <w:bottom w:val="single" w:color="000000" w:sz="8" w:space="0"/>
              <w:right w:val="single" w:color="000000" w:sz="8" w:space="0"/>
            </w:tcBorders>
            <w:vAlign w:val="center"/>
          </w:tcPr>
          <w:p w14:paraId="020B26D5">
            <w:pPr>
              <w:snapToGrid w:val="0"/>
              <w:spacing w:line="360" w:lineRule="auto"/>
              <w:jc w:val="center"/>
              <w:rPr>
                <w:rFonts w:hint="eastAsia" w:ascii="宋体" w:hAnsi="宋体" w:eastAsia="宋体" w:cs="宋体"/>
                <w:b/>
                <w:color w:val="auto"/>
                <w:sz w:val="24"/>
                <w:lang w:eastAsia="zh-CN"/>
              </w:rPr>
            </w:pPr>
            <w:r>
              <w:rPr>
                <w:rFonts w:hint="eastAsia" w:ascii="宋体" w:hAnsi="宋体" w:cs="宋体"/>
                <w:b/>
                <w:color w:val="auto"/>
                <w:sz w:val="24"/>
                <w:highlight w:val="none"/>
              </w:rPr>
              <w:t>样品提供</w:t>
            </w:r>
          </w:p>
        </w:tc>
        <w:tc>
          <w:tcPr>
            <w:tcW w:w="3504" w:type="pct"/>
            <w:tcBorders>
              <w:top w:val="single" w:color="000000" w:sz="8" w:space="0"/>
              <w:left w:val="single" w:color="000000" w:sz="2" w:space="0"/>
              <w:bottom w:val="single" w:color="000000" w:sz="8" w:space="0"/>
              <w:right w:val="single" w:color="000000" w:sz="8" w:space="0"/>
            </w:tcBorders>
            <w:vAlign w:val="center"/>
          </w:tcPr>
          <w:p w14:paraId="60AB77B5">
            <w:pPr>
              <w:spacing w:line="360" w:lineRule="auto"/>
              <w:rPr>
                <w:rFonts w:ascii="宋体" w:hAnsi="宋体" w:cs="宋体"/>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rPr>
              <w:t>A</w:t>
            </w:r>
            <w:r>
              <w:rPr>
                <w:rFonts w:hint="eastAsia" w:ascii="宋体" w:hAnsi="宋体" w:cs="宋体"/>
                <w:color w:val="auto"/>
                <w:sz w:val="24"/>
              </w:rPr>
              <w:t>不要求提供。</w:t>
            </w:r>
          </w:p>
          <w:p w14:paraId="1A94A3C2">
            <w:pPr>
              <w:spacing w:line="360" w:lineRule="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B要求提供，</w:t>
            </w:r>
          </w:p>
          <w:p w14:paraId="6F691C30">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14:paraId="291C625A">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74F595D5">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14:paraId="4D2C3B2B">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30342145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6A920F13">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14:paraId="4F6DDE31">
            <w:pPr>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）采购活动结束后，对于未中标人提供的样品，采购人、</w:t>
            </w:r>
            <w:r>
              <w:rPr>
                <w:rFonts w:hint="eastAsia" w:ascii="宋体" w:hAnsi="宋体" w:cs="宋体"/>
                <w:color w:val="auto"/>
                <w:sz w:val="24"/>
                <w:lang w:eastAsia="zh-CN"/>
              </w:rPr>
              <w:t>采购代理机构</w:t>
            </w:r>
            <w:r>
              <w:rPr>
                <w:rFonts w:hint="eastAsia" w:ascii="宋体" w:hAnsi="宋体" w:cs="宋体"/>
                <w:color w:val="auto"/>
                <w:sz w:val="24"/>
              </w:rPr>
              <w:t>将通知未中标人在规定的时间内取回，逾期未取回的，采购人、</w:t>
            </w:r>
            <w:r>
              <w:rPr>
                <w:rFonts w:hint="eastAsia" w:ascii="宋体" w:hAnsi="宋体" w:cs="宋体"/>
                <w:color w:val="auto"/>
                <w:sz w:val="24"/>
                <w:lang w:eastAsia="zh-CN"/>
              </w:rPr>
              <w:t>采购代理机构</w:t>
            </w:r>
            <w:r>
              <w:rPr>
                <w:rFonts w:hint="eastAsia" w:ascii="宋体" w:hAnsi="宋体" w:cs="宋体"/>
                <w:color w:val="auto"/>
                <w:sz w:val="24"/>
              </w:rPr>
              <w:t>不负保管义务；对于中标人提供的样品，采购人将进行保管、封存，并作为履约验收的参考。</w:t>
            </w:r>
          </w:p>
          <w:p w14:paraId="21C543A9">
            <w:pPr>
              <w:spacing w:line="360" w:lineRule="auto"/>
              <w:rPr>
                <w:rFonts w:hint="eastAsia" w:ascii="宋体" w:hAnsi="宋体" w:cs="宋体"/>
                <w:color w:val="auto"/>
                <w:sz w:val="24"/>
              </w:rPr>
            </w:pPr>
            <w:r>
              <w:rPr>
                <w:rFonts w:hint="eastAsia" w:ascii="宋体" w:hAnsi="宋体" w:cs="宋体"/>
                <w:color w:val="auto"/>
                <w:sz w:val="24"/>
              </w:rPr>
              <w:t>（7）制作、运输、安装和保管样品所发生的一切费用由投标人自理。</w:t>
            </w:r>
          </w:p>
          <w:p w14:paraId="3A31566E">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cs="宋体"/>
                <w:color w:val="auto"/>
                <w:sz w:val="24"/>
                <w:lang w:val="en-US" w:eastAsia="zh-CN"/>
              </w:rPr>
              <w:t>投标人</w:t>
            </w:r>
            <w:r>
              <w:rPr>
                <w:rFonts w:hint="eastAsia" w:ascii="宋体" w:hAnsi="宋体" w:cs="宋体"/>
                <w:color w:val="auto"/>
                <w:sz w:val="24"/>
                <w:lang w:eastAsia="zh-CN"/>
              </w:rPr>
              <w:t>未按要求提供或未提供，</w:t>
            </w:r>
            <w:r>
              <w:rPr>
                <w:rFonts w:hint="eastAsia" w:ascii="宋体" w:hAnsi="宋体" w:cs="宋体"/>
                <w:color w:val="auto"/>
                <w:sz w:val="24"/>
                <w:lang w:val="en-US" w:eastAsia="zh-CN"/>
              </w:rPr>
              <w:t>评标委员会</w:t>
            </w:r>
            <w:r>
              <w:rPr>
                <w:rFonts w:hint="eastAsia" w:ascii="宋体" w:hAnsi="宋体" w:cs="宋体"/>
                <w:color w:val="auto"/>
                <w:sz w:val="24"/>
                <w:lang w:eastAsia="zh-CN"/>
              </w:rPr>
              <w:t>可能对其作出不利评判。</w:t>
            </w:r>
          </w:p>
        </w:tc>
      </w:tr>
      <w:tr w14:paraId="6CEDA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vAlign w:val="center"/>
          </w:tcPr>
          <w:p w14:paraId="691ACDC2">
            <w:pPr>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134" w:type="pct"/>
            <w:tcBorders>
              <w:top w:val="single" w:color="000000" w:sz="8" w:space="0"/>
              <w:left w:val="single" w:color="auto" w:sz="4" w:space="0"/>
              <w:bottom w:val="single" w:color="000000" w:sz="8" w:space="0"/>
              <w:right w:val="single" w:color="000000" w:sz="8" w:space="0"/>
            </w:tcBorders>
            <w:vAlign w:val="center"/>
          </w:tcPr>
          <w:p w14:paraId="5C6374FF">
            <w:pPr>
              <w:snapToGrid w:val="0"/>
              <w:spacing w:line="360" w:lineRule="auto"/>
              <w:jc w:val="center"/>
              <w:rPr>
                <w:rFonts w:hint="eastAsia" w:ascii="宋体" w:hAnsi="宋体" w:cs="宋体"/>
                <w:b/>
                <w:color w:val="FF0000"/>
                <w:sz w:val="24"/>
                <w:highlight w:val="none"/>
              </w:rPr>
            </w:pPr>
            <w:r>
              <w:rPr>
                <w:rFonts w:hint="eastAsia" w:ascii="宋体" w:hAnsi="宋体" w:cs="宋体"/>
                <w:b/>
                <w:color w:val="000000" w:themeColor="text1"/>
                <w:sz w:val="24"/>
                <w:highlight w:val="none"/>
                <w14:textFill>
                  <w14:solidFill>
                    <w14:schemeClr w14:val="tx1"/>
                  </w14:solidFill>
                </w14:textFill>
              </w:rPr>
              <w:t>投标有效期</w:t>
            </w:r>
          </w:p>
        </w:tc>
        <w:tc>
          <w:tcPr>
            <w:tcW w:w="3504" w:type="pct"/>
            <w:tcBorders>
              <w:top w:val="single" w:color="000000" w:sz="8" w:space="0"/>
              <w:left w:val="single" w:color="000000" w:sz="2" w:space="0"/>
              <w:bottom w:val="single" w:color="000000" w:sz="8" w:space="0"/>
              <w:right w:val="single" w:color="000000" w:sz="8" w:space="0"/>
            </w:tcBorders>
            <w:vAlign w:val="center"/>
          </w:tcPr>
          <w:p w14:paraId="64A10CAB">
            <w:pPr>
              <w:snapToGrid w:val="0"/>
              <w:spacing w:line="360" w:lineRule="auto"/>
              <w:rPr>
                <w:rFonts w:hint="eastAsia" w:ascii="宋体" w:hAnsi="宋体" w:cs="宋体"/>
                <w:color w:val="FF0000"/>
                <w:kern w:val="0"/>
                <w:sz w:val="24"/>
              </w:rPr>
            </w:pPr>
            <w:r>
              <w:rPr>
                <w:rFonts w:hint="eastAsia" w:ascii="宋体" w:hAnsi="宋体" w:cs="宋体"/>
                <w:color w:val="000000" w:themeColor="text1"/>
                <w:kern w:val="0"/>
                <w:sz w:val="24"/>
                <w14:textFill>
                  <w14:solidFill>
                    <w14:schemeClr w14:val="tx1"/>
                  </w14:solidFill>
                </w14:textFill>
              </w:rPr>
              <w:t>开标之日起</w:t>
            </w:r>
            <w:r>
              <w:rPr>
                <w:rFonts w:hint="eastAsia" w:ascii="宋体" w:hAnsi="宋体" w:cs="宋体"/>
                <w:color w:val="000000" w:themeColor="text1"/>
                <w:kern w:val="0"/>
                <w:sz w:val="24"/>
                <w:highlight w:val="none"/>
                <w:lang w:val="en-US" w:eastAsia="zh-CN"/>
                <w14:textFill>
                  <w14:solidFill>
                    <w14:schemeClr w14:val="tx1"/>
                  </w14:solidFill>
                </w14:textFill>
              </w:rPr>
              <w:t>90</w:t>
            </w:r>
            <w:r>
              <w:rPr>
                <w:rFonts w:hint="eastAsia" w:ascii="宋体" w:hAnsi="宋体" w:cs="宋体"/>
                <w:color w:val="000000" w:themeColor="text1"/>
                <w:kern w:val="0"/>
                <w:sz w:val="24"/>
                <w14:textFill>
                  <w14:solidFill>
                    <w14:schemeClr w14:val="tx1"/>
                  </w14:solidFill>
                </w14:textFill>
              </w:rPr>
              <w:t>日历天</w:t>
            </w:r>
          </w:p>
        </w:tc>
      </w:tr>
      <w:tr w14:paraId="15DDE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8" w:hRule="atLeast"/>
        </w:trPr>
        <w:tc>
          <w:tcPr>
            <w:tcW w:w="360" w:type="pct"/>
            <w:tcBorders>
              <w:top w:val="single" w:color="auto" w:sz="4" w:space="0"/>
              <w:left w:val="single" w:color="auto" w:sz="4" w:space="0"/>
              <w:bottom w:val="single" w:color="auto" w:sz="4" w:space="0"/>
              <w:right w:val="single" w:color="auto" w:sz="4" w:space="0"/>
            </w:tcBorders>
            <w:vAlign w:val="center"/>
          </w:tcPr>
          <w:p w14:paraId="2C534AA1">
            <w:pPr>
              <w:snapToGri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1134" w:type="pct"/>
            <w:tcBorders>
              <w:top w:val="single" w:color="000000" w:sz="8" w:space="0"/>
              <w:left w:val="single" w:color="auto" w:sz="4" w:space="0"/>
              <w:bottom w:val="single" w:color="000000" w:sz="8" w:space="0"/>
              <w:right w:val="single" w:color="000000" w:sz="8" w:space="0"/>
            </w:tcBorders>
            <w:vAlign w:val="center"/>
          </w:tcPr>
          <w:p w14:paraId="32A1E681">
            <w:pPr>
              <w:snapToGrid w:val="0"/>
              <w:spacing w:line="360" w:lineRule="auto"/>
              <w:jc w:val="center"/>
              <w:rPr>
                <w:rFonts w:ascii="宋体" w:hAnsi="宋体" w:cs="宋体"/>
                <w:bCs/>
                <w:color w:val="auto"/>
                <w:sz w:val="24"/>
              </w:rPr>
            </w:pPr>
            <w:r>
              <w:rPr>
                <w:rFonts w:hint="eastAsia" w:ascii="宋体" w:hAnsi="宋体" w:cs="宋体"/>
                <w:b/>
                <w:color w:val="auto"/>
                <w:sz w:val="24"/>
                <w:highlight w:val="none"/>
              </w:rPr>
              <w:t>方案讲解演示</w:t>
            </w:r>
          </w:p>
        </w:tc>
        <w:tc>
          <w:tcPr>
            <w:tcW w:w="3504" w:type="pct"/>
            <w:tcBorders>
              <w:top w:val="single" w:color="000000" w:sz="8" w:space="0"/>
              <w:left w:val="single" w:color="000000" w:sz="2" w:space="0"/>
              <w:bottom w:val="single" w:color="000000" w:sz="8" w:space="0"/>
              <w:right w:val="single" w:color="000000" w:sz="8" w:space="0"/>
            </w:tcBorders>
            <w:vAlign w:val="center"/>
          </w:tcPr>
          <w:p w14:paraId="09C2296C">
            <w:pPr>
              <w:spacing w:line="360" w:lineRule="auto"/>
              <w:rPr>
                <w:rFonts w:ascii="宋体" w:hAnsi="宋体" w:cs="宋体"/>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rPr>
              <w:t>A</w:t>
            </w:r>
            <w:r>
              <w:rPr>
                <w:rFonts w:hint="eastAsia" w:ascii="宋体" w:hAnsi="宋体" w:cs="宋体"/>
                <w:color w:val="auto"/>
                <w:sz w:val="24"/>
              </w:rPr>
              <w:t>不组织。</w:t>
            </w:r>
          </w:p>
          <w:p w14:paraId="345B570B">
            <w:pPr>
              <w:spacing w:line="360" w:lineRule="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B组织。</w:t>
            </w:r>
          </w:p>
          <w:p w14:paraId="018D371D">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w:t>
            </w:r>
            <w:r>
              <w:rPr>
                <w:rFonts w:hint="eastAsia" w:ascii="宋体" w:hAnsi="宋体" w:cs="宋体"/>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分钟，讲解次序以投标文件解密时间先后次序为准，讲解演示人员不超过</w:t>
            </w:r>
            <w:r>
              <w:rPr>
                <w:rFonts w:hint="eastAsia" w:ascii="宋体" w:hAnsi="宋体" w:cs="宋体"/>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人。讲解演示结束后按要求解答评标委员会提问。</w:t>
            </w:r>
          </w:p>
          <w:p w14:paraId="3F663F89">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51514D02">
            <w:pPr>
              <w:snapToGrid w:val="0"/>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方式一：政采云平台在线讲解演示。政采云平台在线讲解需投标人根据政采云平台操作要求做好准备工作，提前完善软硬件配置环境。</w:t>
            </w:r>
          </w:p>
          <w:p w14:paraId="5491034E">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kern w:val="0"/>
                <w:sz w:val="24"/>
                <w:u w:val="single"/>
              </w:rPr>
              <w:t xml:space="preserve">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14:paraId="0CE69EA2">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4CF9B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360" w:type="pct"/>
            <w:vMerge w:val="restart"/>
            <w:tcBorders>
              <w:top w:val="single" w:color="auto" w:sz="4" w:space="0"/>
              <w:left w:val="single" w:color="auto" w:sz="4" w:space="0"/>
              <w:right w:val="single" w:color="auto" w:sz="4" w:space="0"/>
            </w:tcBorders>
            <w:vAlign w:val="center"/>
          </w:tcPr>
          <w:p w14:paraId="68AC56E6">
            <w:pPr>
              <w:snapToGrid w:val="0"/>
              <w:spacing w:line="360" w:lineRule="auto"/>
              <w:jc w:val="center"/>
              <w:rPr>
                <w:rFonts w:hint="eastAsia" w:ascii="宋体" w:hAnsi="宋体" w:eastAsia="宋体" w:cs="宋体"/>
                <w:color w:val="auto"/>
                <w:sz w:val="24"/>
              </w:rPr>
            </w:pPr>
          </w:p>
          <w:p w14:paraId="1C1CEA81">
            <w:pPr>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1134" w:type="pct"/>
            <w:vMerge w:val="restart"/>
            <w:tcBorders>
              <w:top w:val="single" w:color="000000" w:sz="8" w:space="0"/>
              <w:left w:val="single" w:color="auto" w:sz="4" w:space="0"/>
              <w:right w:val="single" w:color="000000" w:sz="8" w:space="0"/>
            </w:tcBorders>
            <w:vAlign w:val="center"/>
          </w:tcPr>
          <w:p w14:paraId="50EC29B0">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投标人应当提供的资格、资信证明文件</w:t>
            </w:r>
          </w:p>
        </w:tc>
        <w:tc>
          <w:tcPr>
            <w:tcW w:w="3504" w:type="pct"/>
            <w:tcBorders>
              <w:top w:val="single" w:color="000000" w:sz="8" w:space="0"/>
              <w:left w:val="single" w:color="000000" w:sz="2" w:space="0"/>
              <w:bottom w:val="single" w:color="auto" w:sz="4" w:space="0"/>
              <w:right w:val="single" w:color="000000" w:sz="8" w:space="0"/>
            </w:tcBorders>
            <w:vAlign w:val="center"/>
          </w:tcPr>
          <w:p w14:paraId="7BA9CA8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w:t>
            </w:r>
            <w:r>
              <w:rPr>
                <w:rFonts w:hint="eastAsia" w:ascii="宋体" w:hAnsi="宋体" w:cs="宋体"/>
                <w:color w:val="000000" w:themeColor="text1"/>
                <w:sz w:val="24"/>
                <w:highlight w:val="none"/>
                <w:lang w:val="en-US" w:eastAsia="zh-CN"/>
                <w14:textFill>
                  <w14:solidFill>
                    <w14:schemeClr w14:val="tx1"/>
                  </w14:solidFill>
                </w14:textFill>
              </w:rPr>
              <w:t>12.1</w:t>
            </w:r>
            <w:r>
              <w:rPr>
                <w:rFonts w:hint="eastAsia" w:ascii="宋体" w:hAnsi="宋体" w:cs="宋体"/>
                <w:color w:val="000000" w:themeColor="text1"/>
                <w:sz w:val="24"/>
                <w:highlight w:val="none"/>
                <w14:textFill>
                  <w14:solidFill>
                    <w14:schemeClr w14:val="tx1"/>
                  </w14:solidFill>
                </w14:textFill>
              </w:rPr>
              <w:t>。</w:t>
            </w:r>
          </w:p>
          <w:p w14:paraId="39B07B30">
            <w:pPr>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4DD73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1" w:hRule="atLeast"/>
        </w:trPr>
        <w:tc>
          <w:tcPr>
            <w:tcW w:w="360" w:type="pct"/>
            <w:vMerge w:val="continue"/>
            <w:tcBorders>
              <w:left w:val="single" w:color="auto" w:sz="4" w:space="0"/>
              <w:bottom w:val="single" w:color="auto" w:sz="4" w:space="0"/>
              <w:right w:val="single" w:color="auto" w:sz="4" w:space="0"/>
            </w:tcBorders>
            <w:vAlign w:val="center"/>
          </w:tcPr>
          <w:p w14:paraId="503E6E07">
            <w:pPr>
              <w:snapToGrid w:val="0"/>
              <w:spacing w:line="360" w:lineRule="auto"/>
              <w:jc w:val="center"/>
              <w:rPr>
                <w:rFonts w:hint="eastAsia" w:ascii="宋体" w:hAnsi="宋体" w:eastAsia="宋体" w:cs="宋体"/>
                <w:color w:val="auto"/>
                <w:sz w:val="24"/>
              </w:rPr>
            </w:pPr>
          </w:p>
        </w:tc>
        <w:tc>
          <w:tcPr>
            <w:tcW w:w="1134" w:type="pct"/>
            <w:vMerge w:val="continue"/>
            <w:tcBorders>
              <w:left w:val="single" w:color="auto" w:sz="4" w:space="0"/>
              <w:bottom w:val="single" w:color="000000" w:sz="8" w:space="0"/>
              <w:right w:val="single" w:color="000000" w:sz="8" w:space="0"/>
            </w:tcBorders>
            <w:vAlign w:val="center"/>
          </w:tcPr>
          <w:p w14:paraId="65E8E775">
            <w:pPr>
              <w:snapToGrid w:val="0"/>
              <w:spacing w:line="360" w:lineRule="auto"/>
              <w:jc w:val="center"/>
              <w:rPr>
                <w:rFonts w:ascii="宋体" w:hAnsi="宋体" w:cs="宋体"/>
                <w:b/>
                <w:color w:val="000000" w:themeColor="text1"/>
                <w:sz w:val="24"/>
                <w14:textFill>
                  <w14:solidFill>
                    <w14:schemeClr w14:val="tx1"/>
                  </w14:solidFill>
                </w14:textFill>
              </w:rPr>
            </w:pPr>
          </w:p>
        </w:tc>
        <w:tc>
          <w:tcPr>
            <w:tcW w:w="3504" w:type="pct"/>
            <w:tcBorders>
              <w:top w:val="single" w:color="auto" w:sz="4" w:space="0"/>
              <w:left w:val="single" w:color="000000" w:sz="2" w:space="0"/>
              <w:bottom w:val="single" w:color="000000" w:sz="8" w:space="0"/>
              <w:right w:val="single" w:color="000000" w:sz="8" w:space="0"/>
            </w:tcBorders>
            <w:vAlign w:val="center"/>
          </w:tcPr>
          <w:p w14:paraId="37D627F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（2）资信证明文件：根据招标文件第四部分评标标准提供。</w:t>
            </w:r>
          </w:p>
        </w:tc>
      </w:tr>
      <w:tr w14:paraId="32FEC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360" w:type="pct"/>
            <w:tcBorders>
              <w:top w:val="single" w:color="auto" w:sz="4" w:space="0"/>
              <w:left w:val="single" w:color="000000" w:sz="8" w:space="0"/>
              <w:bottom w:val="single" w:color="auto" w:sz="4" w:space="0"/>
              <w:right w:val="single" w:color="000000" w:sz="2" w:space="0"/>
            </w:tcBorders>
            <w:vAlign w:val="center"/>
          </w:tcPr>
          <w:p w14:paraId="37F697AF">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134" w:type="pct"/>
            <w:tcBorders>
              <w:top w:val="single" w:color="000000" w:sz="8" w:space="0"/>
              <w:left w:val="single" w:color="000000" w:sz="2" w:space="0"/>
              <w:bottom w:val="single" w:color="000000" w:sz="8" w:space="0"/>
              <w:right w:val="single" w:color="000000" w:sz="8" w:space="0"/>
            </w:tcBorders>
            <w:vAlign w:val="center"/>
          </w:tcPr>
          <w:p w14:paraId="7B8CFCE1">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3504" w:type="pct"/>
            <w:tcBorders>
              <w:top w:val="single" w:color="000000" w:sz="8" w:space="0"/>
              <w:left w:val="single" w:color="000000" w:sz="2" w:space="0"/>
              <w:bottom w:val="single" w:color="000000" w:sz="8" w:space="0"/>
              <w:right w:val="single" w:color="000000" w:sz="8" w:space="0"/>
            </w:tcBorders>
            <w:vAlign w:val="center"/>
          </w:tcPr>
          <w:p w14:paraId="3E8A9A08">
            <w:pPr>
              <w:snapToGrid w:val="0"/>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s="宋体"/>
                <w:color w:val="auto"/>
                <w:kern w:val="0"/>
                <w:sz w:val="24"/>
                <w:lang w:eastAsia="zh-CN"/>
              </w:rPr>
              <w:t>，</w:t>
            </w:r>
            <w:r>
              <w:rPr>
                <w:rFonts w:hint="eastAsia" w:ascii="宋体" w:hAnsi="宋体" w:cs="宋体"/>
                <w:color w:val="000000" w:themeColor="text1"/>
                <w:kern w:val="0"/>
                <w:sz w:val="24"/>
                <w14:textFill>
                  <w14:solidFill>
                    <w14:schemeClr w14:val="tx1"/>
                  </w14:solidFill>
                </w14:textFill>
              </w:rPr>
              <w:t>具体要求详见《关于印发节能产品政府采购品目清单的通知》财库〔2019〕19号</w:t>
            </w:r>
            <w:r>
              <w:rPr>
                <w:rFonts w:hint="eastAsia" w:ascii="宋体" w:hAnsi="宋体" w:cs="宋体"/>
                <w:color w:val="auto"/>
                <w:kern w:val="0"/>
                <w:sz w:val="24"/>
                <w:lang w:eastAsia="zh-CN"/>
              </w:rPr>
              <w:t>。</w:t>
            </w:r>
          </w:p>
        </w:tc>
      </w:tr>
      <w:tr w14:paraId="247B0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360" w:type="pct"/>
            <w:tcBorders>
              <w:top w:val="single" w:color="auto" w:sz="4" w:space="0"/>
              <w:left w:val="single" w:color="000000" w:sz="8" w:space="0"/>
              <w:bottom w:val="single" w:color="auto" w:sz="4" w:space="0"/>
              <w:right w:val="single" w:color="000000" w:sz="2" w:space="0"/>
            </w:tcBorders>
            <w:vAlign w:val="center"/>
          </w:tcPr>
          <w:p w14:paraId="4DFE49BC">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134" w:type="pct"/>
            <w:tcBorders>
              <w:top w:val="single" w:color="000000" w:sz="8" w:space="0"/>
              <w:left w:val="single" w:color="000000" w:sz="2" w:space="0"/>
              <w:bottom w:val="single" w:color="000000" w:sz="8" w:space="0"/>
              <w:right w:val="single" w:color="000000" w:sz="8" w:space="0"/>
            </w:tcBorders>
            <w:vAlign w:val="center"/>
          </w:tcPr>
          <w:p w14:paraId="752656B1">
            <w:pPr>
              <w:snapToGrid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支持本国产品政策</w:t>
            </w:r>
          </w:p>
        </w:tc>
        <w:tc>
          <w:tcPr>
            <w:tcW w:w="3504" w:type="pct"/>
            <w:tcBorders>
              <w:top w:val="single" w:color="000000" w:sz="8" w:space="0"/>
              <w:left w:val="single" w:color="000000" w:sz="2" w:space="0"/>
              <w:bottom w:val="single" w:color="000000" w:sz="8" w:space="0"/>
              <w:right w:val="single" w:color="000000" w:sz="8" w:space="0"/>
            </w:tcBorders>
            <w:vAlign w:val="center"/>
          </w:tcPr>
          <w:p w14:paraId="492BDCAA">
            <w:pPr>
              <w:spacing w:line="360" w:lineRule="auto"/>
              <w:rPr>
                <w:rFonts w:hint="eastAsia" w:ascii="宋体" w:hAnsi="宋体" w:cs="宋体"/>
                <w:b/>
                <w:color w:val="000000" w:themeColor="text1"/>
                <w:kern w:val="0"/>
                <w:sz w:val="24"/>
                <w:lang w:val="en-US" w:eastAsia="zh-CN"/>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1、根据浙江省财政厅发布的《关于落实在政府采购中实施本国产品标准及相关政策的通知》的规定，从2026年1月1日开始实施政府采购本国产品标准及相关政策。</w:t>
            </w:r>
          </w:p>
          <w:p w14:paraId="4FDD9EC1">
            <w:pPr>
              <w:spacing w:line="360" w:lineRule="auto"/>
              <w:rPr>
                <w:rFonts w:hint="eastAsia" w:ascii="宋体" w:hAnsi="宋体" w:cs="宋体"/>
                <w:b/>
                <w:color w:val="000000" w:themeColor="text1"/>
                <w:kern w:val="0"/>
                <w:sz w:val="24"/>
                <w:lang w:val="en-US" w:eastAsia="zh-CN"/>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2、政府采购活动中既有本国产品又有非本国产品参与竞争的，依法对本国产品给予价格评审优惠，对本国产品的报价给予20%的价格扣除，用扣除后的价格参与评审。</w:t>
            </w:r>
          </w:p>
          <w:p w14:paraId="700D17ED">
            <w:pPr>
              <w:spacing w:line="360" w:lineRule="auto"/>
              <w:rPr>
                <w:rFonts w:hint="eastAsia" w:ascii="宋体" w:hAnsi="宋体" w:cs="宋体"/>
                <w:b/>
                <w:color w:val="000000" w:themeColor="text1"/>
                <w:kern w:val="0"/>
                <w:sz w:val="24"/>
                <w:lang w:val="en-US" w:eastAsia="zh-CN"/>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价给予20%的价格扣除，用扣除后的价格参与评审。</w:t>
            </w:r>
          </w:p>
          <w:p w14:paraId="0F2F252E">
            <w:pPr>
              <w:spacing w:line="360" w:lineRule="auto"/>
              <w:rPr>
                <w:rFonts w:hint="eastAsia" w:ascii="宋体" w:hAnsi="宋体" w:cs="宋体"/>
                <w:b/>
                <w:color w:val="000000" w:themeColor="text1"/>
                <w:kern w:val="0"/>
                <w:sz w:val="24"/>
                <w:lang w:val="en-US" w:eastAsia="zh-CN"/>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4、目前，在中国境内生产的产品即视为符合本国产品标准，享受政府采购本国产品支持政策。</w:t>
            </w:r>
          </w:p>
          <w:p w14:paraId="04128808">
            <w:pPr>
              <w:spacing w:line="360" w:lineRule="auto"/>
              <w:rPr>
                <w:rFonts w:hint="eastAsia" w:ascii="宋体" w:hAnsi="宋体" w:cs="宋体"/>
                <w:b/>
                <w:color w:val="000000" w:themeColor="text1"/>
                <w:kern w:val="0"/>
                <w:sz w:val="24"/>
                <w:lang w:val="en-US" w:eastAsia="zh-CN"/>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5、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0A0F30">
            <w:pPr>
              <w:spacing w:line="360" w:lineRule="auto"/>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6、供应商对其提供的产品出具《关于符合本国产品标准的声明函》。出具符合要求的《声明函》的，该产品视为本国产品</w:t>
            </w:r>
            <w:r>
              <w:rPr>
                <w:rFonts w:hint="eastAsia" w:ascii="宋体" w:hAnsi="宋体" w:cs="宋体"/>
                <w:b/>
                <w:color w:val="000000" w:themeColor="text1"/>
                <w:kern w:val="0"/>
                <w:sz w:val="24"/>
                <w:lang w:eastAsia="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未提供以上材料的，均不给予价格扣除）</w:t>
            </w:r>
            <w:r>
              <w:rPr>
                <w:rFonts w:hint="eastAsia" w:ascii="宋体" w:hAnsi="宋体" w:cs="宋体"/>
                <w:b/>
                <w:color w:val="000000" w:themeColor="text1"/>
                <w:kern w:val="0"/>
                <w:sz w:val="24"/>
                <w:lang w:val="en-US" w:eastAsia="zh-CN"/>
                <w14:textFill>
                  <w14:solidFill>
                    <w14:schemeClr w14:val="tx1"/>
                  </w14:solidFill>
                </w14:textFill>
              </w:rPr>
              <w:t>。</w:t>
            </w:r>
          </w:p>
        </w:tc>
      </w:tr>
      <w:tr w14:paraId="55F7C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360" w:type="pct"/>
            <w:tcBorders>
              <w:top w:val="single" w:color="auto" w:sz="4" w:space="0"/>
              <w:left w:val="single" w:color="000000" w:sz="8" w:space="0"/>
              <w:bottom w:val="single" w:color="auto" w:sz="4" w:space="0"/>
              <w:right w:val="single" w:color="000000" w:sz="2" w:space="0"/>
            </w:tcBorders>
            <w:vAlign w:val="center"/>
          </w:tcPr>
          <w:p w14:paraId="725DCEB9">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2</w:t>
            </w:r>
          </w:p>
        </w:tc>
        <w:tc>
          <w:tcPr>
            <w:tcW w:w="1134" w:type="pct"/>
            <w:tcBorders>
              <w:top w:val="single" w:color="000000" w:sz="8" w:space="0"/>
              <w:left w:val="single" w:color="000000" w:sz="2" w:space="0"/>
              <w:bottom w:val="single" w:color="000000" w:sz="8" w:space="0"/>
              <w:right w:val="single" w:color="000000" w:sz="8" w:space="0"/>
            </w:tcBorders>
            <w:vAlign w:val="center"/>
          </w:tcPr>
          <w:p w14:paraId="7A41CDF3">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3504" w:type="pct"/>
            <w:tcBorders>
              <w:top w:val="single" w:color="000000" w:sz="8" w:space="0"/>
              <w:left w:val="single" w:color="000000" w:sz="2" w:space="0"/>
              <w:bottom w:val="single" w:color="000000" w:sz="8" w:space="0"/>
              <w:right w:val="single" w:color="000000" w:sz="8" w:space="0"/>
            </w:tcBorders>
            <w:vAlign w:val="center"/>
          </w:tcPr>
          <w:p w14:paraId="6DF54ADF">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w:t>
            </w:r>
            <w:r>
              <w:rPr>
                <w:rFonts w:hint="eastAsia" w:ascii="宋体" w:hAnsi="宋体" w:cs="宋体"/>
                <w:b/>
                <w:color w:val="auto"/>
                <w:kern w:val="0"/>
                <w:sz w:val="24"/>
                <w:lang w:val="zh-CN"/>
              </w:rPr>
              <w:t>提醒：验收时检测费用由采购人承担，不包含在投标总价中。</w:t>
            </w:r>
          </w:p>
          <w:p w14:paraId="2798D395">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投标报价出现下列情形的，投标无效：</w:t>
            </w:r>
          </w:p>
          <w:p w14:paraId="0BB6C7EE">
            <w:pPr>
              <w:snapToGrid w:val="0"/>
              <w:spacing w:line="360" w:lineRule="auto"/>
              <w:ind w:firstLine="241" w:firstLineChars="100"/>
              <w:jc w:val="left"/>
              <w:rPr>
                <w:rFonts w:ascii="宋体" w:hAnsi="宋体" w:cs="宋体"/>
                <w:b/>
                <w:color w:val="auto"/>
                <w:kern w:val="0"/>
                <w:sz w:val="24"/>
                <w:lang w:val="zh-CN"/>
              </w:rPr>
            </w:pPr>
            <w:r>
              <w:rPr>
                <w:rFonts w:hint="eastAsia" w:ascii="宋体" w:hAnsi="宋体" w:cs="宋体"/>
                <w:b/>
                <w:color w:val="auto"/>
                <w:kern w:val="0"/>
                <w:sz w:val="24"/>
                <w:lang w:val="zh-CN"/>
              </w:rPr>
              <w:t>投标文件出现不是唯一的、有选择性投标报价的；</w:t>
            </w:r>
          </w:p>
          <w:p w14:paraId="13AAD8F4">
            <w:pPr>
              <w:snapToGrid w:val="0"/>
              <w:spacing w:line="360" w:lineRule="auto"/>
              <w:ind w:firstLine="241" w:firstLineChars="100"/>
              <w:jc w:val="left"/>
              <w:rPr>
                <w:rFonts w:hint="eastAsia" w:ascii="宋体" w:hAnsi="宋体" w:cs="宋体"/>
                <w:b/>
                <w:color w:val="auto"/>
                <w:kern w:val="0"/>
                <w:sz w:val="24"/>
                <w:lang w:val="zh-CN"/>
              </w:rPr>
            </w:pPr>
            <w:r>
              <w:rPr>
                <w:rFonts w:hint="eastAsia" w:ascii="宋体" w:hAnsi="宋体" w:cs="宋体"/>
                <w:b/>
                <w:color w:val="auto"/>
                <w:kern w:val="0"/>
                <w:sz w:val="24"/>
                <w:lang w:val="zh-CN"/>
              </w:rPr>
              <w:t>投标报价超过招标文件中规定的预算金额或者最高限价的;</w:t>
            </w:r>
          </w:p>
          <w:p w14:paraId="06619C39">
            <w:pPr>
              <w:spacing w:line="360" w:lineRule="auto"/>
              <w:ind w:firstLine="241" w:firstLineChars="1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en-US" w:eastAsia="zh-CN"/>
              </w:rPr>
              <w:t>资格文件、技术商务文件中出现投标报价信息的；</w:t>
            </w:r>
          </w:p>
          <w:p w14:paraId="4ADC74B9">
            <w:pPr>
              <w:spacing w:line="360" w:lineRule="auto"/>
              <w:ind w:firstLine="241" w:firstLineChars="100"/>
              <w:rPr>
                <w:rFonts w:ascii="宋体" w:hAnsi="宋体" w:cs="宋体"/>
                <w:b/>
                <w:color w:val="auto"/>
                <w:sz w:val="24"/>
              </w:rPr>
            </w:pPr>
            <w:r>
              <w:rPr>
                <w:rFonts w:hint="eastAsia" w:ascii="宋体" w:hAnsi="宋体" w:cs="宋体"/>
                <w:b/>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rPr>
              <w:t>;</w:t>
            </w:r>
          </w:p>
          <w:p w14:paraId="0A567C52">
            <w:pPr>
              <w:spacing w:line="360" w:lineRule="auto"/>
              <w:ind w:firstLine="241" w:firstLineChars="100"/>
              <w:rPr>
                <w:rFonts w:ascii="宋体" w:hAnsi="宋体" w:cs="宋体"/>
                <w:color w:val="auto"/>
                <w:sz w:val="24"/>
              </w:rPr>
            </w:pPr>
            <w:r>
              <w:rPr>
                <w:rFonts w:hint="eastAsia" w:ascii="宋体" w:hAnsi="宋体" w:cs="宋体"/>
                <w:b/>
                <w:color w:val="auto"/>
                <w:kern w:val="0"/>
                <w:sz w:val="24"/>
              </w:rPr>
              <w:t>投标人对根据修正原则修正后的报价不确认的</w:t>
            </w:r>
            <w:r>
              <w:rPr>
                <w:rFonts w:hint="eastAsia" w:ascii="宋体" w:hAnsi="宋体" w:cs="宋体"/>
                <w:b/>
                <w:color w:val="auto"/>
                <w:sz w:val="24"/>
              </w:rPr>
              <w:t>。</w:t>
            </w:r>
          </w:p>
        </w:tc>
      </w:tr>
      <w:tr w14:paraId="5B021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80" w:hRule="atLeast"/>
        </w:trPr>
        <w:tc>
          <w:tcPr>
            <w:tcW w:w="360" w:type="pct"/>
            <w:tcBorders>
              <w:top w:val="single" w:color="auto" w:sz="4" w:space="0"/>
              <w:left w:val="single" w:color="000000" w:sz="8" w:space="0"/>
              <w:right w:val="single" w:color="000000" w:sz="2" w:space="0"/>
            </w:tcBorders>
            <w:vAlign w:val="center"/>
          </w:tcPr>
          <w:p w14:paraId="074DEBD0">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134" w:type="pct"/>
            <w:tcBorders>
              <w:top w:val="single" w:color="000000" w:sz="8" w:space="0"/>
              <w:left w:val="single" w:color="000000" w:sz="2" w:space="0"/>
              <w:right w:val="single" w:color="000000" w:sz="8" w:space="0"/>
            </w:tcBorders>
            <w:vAlign w:val="center"/>
          </w:tcPr>
          <w:p w14:paraId="38E239DA">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3504" w:type="pct"/>
            <w:tcBorders>
              <w:top w:val="single" w:color="000000" w:sz="8" w:space="0"/>
              <w:left w:val="single" w:color="000000" w:sz="2" w:space="0"/>
              <w:right w:val="single" w:color="000000" w:sz="8" w:space="0"/>
            </w:tcBorders>
            <w:vAlign w:val="center"/>
          </w:tcPr>
          <w:p w14:paraId="051020CC">
            <w:pPr>
              <w:spacing w:line="360" w:lineRule="auto"/>
              <w:rPr>
                <w:rFonts w:ascii="宋体" w:hAnsi="宋体" w:cs="宋体"/>
                <w:color w:val="auto"/>
                <w:sz w:val="24"/>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0E6E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360" w:type="pct"/>
            <w:tcBorders>
              <w:top w:val="single" w:color="auto" w:sz="4" w:space="0"/>
              <w:left w:val="single" w:color="000000" w:sz="8" w:space="0"/>
              <w:bottom w:val="single" w:color="auto" w:sz="4" w:space="0"/>
              <w:right w:val="single" w:color="000000" w:sz="2" w:space="0"/>
            </w:tcBorders>
            <w:vAlign w:val="center"/>
          </w:tcPr>
          <w:p w14:paraId="297A76B3">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134" w:type="pct"/>
            <w:tcBorders>
              <w:top w:val="single" w:color="000000" w:sz="8" w:space="0"/>
              <w:left w:val="single" w:color="000000" w:sz="2" w:space="0"/>
              <w:bottom w:val="single" w:color="000000" w:sz="8" w:space="0"/>
              <w:right w:val="single" w:color="000000" w:sz="8" w:space="0"/>
            </w:tcBorders>
            <w:vAlign w:val="center"/>
          </w:tcPr>
          <w:p w14:paraId="4AA66165">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3504" w:type="pct"/>
            <w:tcBorders>
              <w:top w:val="single" w:color="000000" w:sz="8" w:space="0"/>
              <w:left w:val="single" w:color="000000" w:sz="2" w:space="0"/>
              <w:bottom w:val="single" w:color="000000" w:sz="8" w:space="0"/>
              <w:right w:val="single" w:color="000000" w:sz="8" w:space="0"/>
            </w:tcBorders>
            <w:vAlign w:val="center"/>
          </w:tcPr>
          <w:p w14:paraId="144A8030">
            <w:pPr>
              <w:pStyle w:val="33"/>
              <w:spacing w:line="360" w:lineRule="auto"/>
              <w:rPr>
                <w:rFonts w:hint="default" w:hAnsi="宋体" w:eastAsia="宋体" w:cs="宋体"/>
                <w:b w:val="0"/>
                <w:bCs/>
                <w:color w:val="auto"/>
                <w:kern w:val="28"/>
                <w:sz w:val="24"/>
                <w:lang w:val="en-US" w:eastAsia="zh-CN"/>
              </w:rPr>
            </w:pPr>
            <w:r>
              <w:rPr>
                <w:rFonts w:hint="eastAsia" w:hAnsi="宋体" w:cs="宋体"/>
                <w:color w:val="auto"/>
                <w:kern w:val="28"/>
                <w:sz w:val="24"/>
                <w:szCs w:val="24"/>
                <w:highlight w:val="none"/>
                <w:u w:val="none"/>
              </w:rPr>
              <w:t>备份投标文件送达地点：</w:t>
            </w:r>
            <w:r>
              <w:rPr>
                <w:rFonts w:hint="eastAsia" w:hAnsi="宋体" w:cs="宋体"/>
                <w:color w:val="auto"/>
                <w:kern w:val="28"/>
                <w:sz w:val="24"/>
                <w:szCs w:val="24"/>
                <w:highlight w:val="none"/>
                <w:u w:val="single"/>
                <w:lang w:val="en-US" w:eastAsia="zh-CN"/>
              </w:rPr>
              <w:t xml:space="preserve"> 洞头区政务服务中心2楼222办公室 </w:t>
            </w:r>
            <w:r>
              <w:rPr>
                <w:rFonts w:hint="eastAsia" w:hAnsi="宋体" w:cs="宋体"/>
                <w:color w:val="auto"/>
                <w:kern w:val="28"/>
                <w:sz w:val="24"/>
                <w:szCs w:val="24"/>
                <w:highlight w:val="none"/>
                <w:u w:val="none"/>
              </w:rPr>
              <w:t>；备份投标文件签收人员联系电话：</w:t>
            </w:r>
            <w:r>
              <w:rPr>
                <w:rFonts w:hint="eastAsia" w:hAnsi="宋体" w:cs="宋体"/>
                <w:color w:val="auto"/>
                <w:sz w:val="24"/>
                <w:highlight w:val="none"/>
                <w:u w:val="single"/>
                <w:lang w:val="en-US" w:eastAsia="zh-CN"/>
              </w:rPr>
              <w:t>15005871011</w:t>
            </w:r>
            <w:r>
              <w:rPr>
                <w:rFonts w:hint="eastAsia" w:hAnsi="宋体" w:cs="宋体"/>
                <w:color w:val="auto"/>
                <w:sz w:val="24"/>
                <w:szCs w:val="24"/>
                <w:highlight w:val="none"/>
                <w:u w:val="none"/>
              </w:rPr>
              <w:t>。</w:t>
            </w:r>
            <w:r>
              <w:rPr>
                <w:rFonts w:hint="eastAsia" w:hAnsi="宋体" w:cs="宋体"/>
                <w:b/>
                <w:color w:val="auto"/>
                <w:sz w:val="24"/>
                <w:szCs w:val="24"/>
                <w:highlight w:val="none"/>
                <w:u w:val="none"/>
              </w:rPr>
              <w:t>采购人、</w:t>
            </w:r>
            <w:r>
              <w:rPr>
                <w:rFonts w:hint="eastAsia" w:hAnsi="宋体" w:cs="宋体"/>
                <w:b/>
                <w:color w:val="auto"/>
                <w:sz w:val="24"/>
                <w:szCs w:val="24"/>
                <w:highlight w:val="none"/>
                <w:u w:val="none"/>
                <w:lang w:eastAsia="zh-CN"/>
              </w:rPr>
              <w:t>采购代理机构</w:t>
            </w:r>
            <w:r>
              <w:rPr>
                <w:rFonts w:hint="eastAsia" w:hAnsi="宋体" w:cs="宋体"/>
                <w:b/>
                <w:color w:val="auto"/>
                <w:sz w:val="24"/>
                <w:szCs w:val="24"/>
                <w:highlight w:val="none"/>
                <w:u w:val="none"/>
              </w:rPr>
              <w:t>不强制或变相强制投标人提交备份投标文件。</w:t>
            </w:r>
            <w:r>
              <w:rPr>
                <w:rFonts w:hint="eastAsia" w:hAnsi="宋体" w:cs="宋体"/>
                <w:b w:val="0"/>
                <w:bCs/>
                <w:color w:val="auto"/>
                <w:sz w:val="24"/>
                <w:szCs w:val="24"/>
                <w:highlight w:val="none"/>
                <w:u w:val="none"/>
                <w:lang w:val="en-US" w:eastAsia="zh-CN"/>
              </w:rPr>
              <w:t>采购活动结束后，备份投标文件存储介质请于3个工作日内取回，逾期未取回，不负保管义务。</w:t>
            </w:r>
          </w:p>
        </w:tc>
      </w:tr>
      <w:tr w14:paraId="7651A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05" w:hRule="atLeast"/>
        </w:trPr>
        <w:tc>
          <w:tcPr>
            <w:tcW w:w="360" w:type="pct"/>
            <w:vMerge w:val="restart"/>
            <w:tcBorders>
              <w:top w:val="single" w:color="auto" w:sz="4" w:space="0"/>
              <w:left w:val="single" w:color="000000" w:sz="8" w:space="0"/>
              <w:right w:val="single" w:color="000000" w:sz="2" w:space="0"/>
            </w:tcBorders>
            <w:vAlign w:val="center"/>
          </w:tcPr>
          <w:p w14:paraId="3E7ABB86">
            <w:pPr>
              <w:snapToGri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5</w:t>
            </w:r>
          </w:p>
        </w:tc>
        <w:tc>
          <w:tcPr>
            <w:tcW w:w="1134" w:type="pct"/>
            <w:vMerge w:val="restart"/>
            <w:tcBorders>
              <w:top w:val="single" w:color="000000" w:sz="8" w:space="0"/>
              <w:left w:val="single" w:color="000000" w:sz="2" w:space="0"/>
              <w:right w:val="single" w:color="000000" w:sz="8" w:space="0"/>
            </w:tcBorders>
            <w:vAlign w:val="center"/>
          </w:tcPr>
          <w:p w14:paraId="148C8A71">
            <w:pPr>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特别说明</w:t>
            </w:r>
          </w:p>
        </w:tc>
        <w:tc>
          <w:tcPr>
            <w:tcW w:w="3504" w:type="pct"/>
            <w:tcBorders>
              <w:top w:val="single" w:color="000000" w:sz="8" w:space="0"/>
              <w:left w:val="single" w:color="000000" w:sz="2" w:space="0"/>
              <w:bottom w:val="single" w:color="000000" w:sz="8" w:space="0"/>
              <w:right w:val="single" w:color="000000" w:sz="8" w:space="0"/>
            </w:tcBorders>
            <w:vAlign w:val="center"/>
          </w:tcPr>
          <w:p w14:paraId="6C8B3C3B">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7D016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360" w:type="pct"/>
            <w:vMerge w:val="continue"/>
            <w:tcBorders>
              <w:left w:val="single" w:color="000000" w:sz="8" w:space="0"/>
              <w:right w:val="single" w:color="000000" w:sz="2" w:space="0"/>
            </w:tcBorders>
          </w:tcPr>
          <w:p w14:paraId="2007E9E3">
            <w:pPr>
              <w:snapToGrid w:val="0"/>
              <w:spacing w:line="360" w:lineRule="auto"/>
              <w:jc w:val="center"/>
              <w:rPr>
                <w:rFonts w:ascii="宋体" w:hAnsi="宋体" w:cs="宋体"/>
                <w:color w:val="auto"/>
                <w:sz w:val="24"/>
              </w:rPr>
            </w:pPr>
          </w:p>
        </w:tc>
        <w:tc>
          <w:tcPr>
            <w:tcW w:w="1134" w:type="pct"/>
            <w:vMerge w:val="continue"/>
            <w:tcBorders>
              <w:left w:val="single" w:color="000000" w:sz="2" w:space="0"/>
              <w:right w:val="single" w:color="000000" w:sz="8" w:space="0"/>
            </w:tcBorders>
            <w:vAlign w:val="center"/>
          </w:tcPr>
          <w:p w14:paraId="1D81F65E">
            <w:pPr>
              <w:snapToGrid w:val="0"/>
              <w:spacing w:line="360" w:lineRule="auto"/>
              <w:jc w:val="center"/>
              <w:rPr>
                <w:rFonts w:ascii="宋体" w:hAnsi="宋体" w:cs="宋体"/>
                <w:b/>
                <w:color w:val="auto"/>
                <w:sz w:val="24"/>
              </w:rPr>
            </w:pPr>
          </w:p>
        </w:tc>
        <w:tc>
          <w:tcPr>
            <w:tcW w:w="3504" w:type="pct"/>
            <w:tcBorders>
              <w:top w:val="single" w:color="000000" w:sz="8" w:space="0"/>
              <w:left w:val="single" w:color="000000" w:sz="2" w:space="0"/>
              <w:bottom w:val="single" w:color="000000" w:sz="8" w:space="0"/>
              <w:right w:val="single" w:color="000000" w:sz="8" w:space="0"/>
            </w:tcBorders>
            <w:vAlign w:val="center"/>
          </w:tcPr>
          <w:p w14:paraId="1BF166DA">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lang w:eastAsia="zh-CN"/>
              </w:rPr>
              <w:t>□</w:t>
            </w:r>
            <w:r>
              <w:rPr>
                <w:rFonts w:hint="eastAsia" w:ascii="宋体" w:hAnsi="宋体" w:cs="宋体"/>
                <w:snapToGrid w:val="0"/>
                <w:color w:val="auto"/>
                <w:kern w:val="28"/>
                <w:sz w:val="24"/>
              </w:rPr>
              <w:t>联合体投标的，联合体各方均需按招标文件</w:t>
            </w:r>
            <w:r>
              <w:rPr>
                <w:rFonts w:hint="eastAsia" w:ascii="宋体" w:hAnsi="宋体" w:cs="宋体"/>
                <w:snapToGrid w:val="0"/>
                <w:color w:val="auto"/>
                <w:kern w:val="28"/>
                <w:sz w:val="24"/>
                <w:highlight w:val="none"/>
              </w:rPr>
              <w:t>第四部分评标标准要求提供资信证明</w:t>
            </w:r>
            <w:r>
              <w:rPr>
                <w:rFonts w:hint="eastAsia" w:ascii="宋体" w:hAnsi="宋体" w:cs="宋体"/>
                <w:snapToGrid w:val="0"/>
                <w:color w:val="auto"/>
                <w:kern w:val="28"/>
                <w:sz w:val="24"/>
              </w:rPr>
              <w:t>文件，否则视为不符合相关要求。</w:t>
            </w:r>
          </w:p>
          <w:p w14:paraId="43F3304B">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lang w:eastAsia="zh-CN"/>
              </w:rPr>
              <w:t>□</w:t>
            </w:r>
            <w:r>
              <w:rPr>
                <w:rFonts w:hint="eastAsia" w:ascii="宋体" w:hAnsi="宋体" w:cs="宋体"/>
                <w:snapToGrid w:val="0"/>
                <w:color w:val="auto"/>
                <w:kern w:val="28"/>
                <w:sz w:val="24"/>
              </w:rPr>
              <w:t>联合体投标的，联合体中有一方或者联合体成员根据分工按招标文件</w:t>
            </w:r>
            <w:r>
              <w:rPr>
                <w:rFonts w:hint="eastAsia" w:ascii="宋体" w:hAnsi="宋体" w:cs="宋体"/>
                <w:snapToGrid w:val="0"/>
                <w:color w:val="auto"/>
                <w:kern w:val="28"/>
                <w:sz w:val="24"/>
                <w:highlight w:val="none"/>
              </w:rPr>
              <w:t>第四部分评标标准要求提供资信证明</w:t>
            </w:r>
            <w:r>
              <w:rPr>
                <w:rFonts w:hint="eastAsia" w:ascii="宋体" w:hAnsi="宋体" w:cs="宋体"/>
                <w:snapToGrid w:val="0"/>
                <w:color w:val="auto"/>
                <w:kern w:val="28"/>
                <w:sz w:val="24"/>
              </w:rPr>
              <w:t>文件的，视为符合了相关要求。</w:t>
            </w:r>
          </w:p>
        </w:tc>
      </w:tr>
      <w:tr w14:paraId="15FF5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360" w:type="pct"/>
            <w:tcBorders>
              <w:left w:val="single" w:color="000000" w:sz="8" w:space="0"/>
              <w:bottom w:val="single" w:color="auto" w:sz="4" w:space="0"/>
              <w:right w:val="single" w:color="000000" w:sz="2" w:space="0"/>
            </w:tcBorders>
          </w:tcPr>
          <w:p w14:paraId="1CC31110">
            <w:pPr>
              <w:snapToGrid w:val="0"/>
              <w:spacing w:line="360" w:lineRule="auto"/>
              <w:jc w:val="center"/>
              <w:rPr>
                <w:rFonts w:hint="eastAsia" w:ascii="宋体" w:hAnsi="宋体" w:eastAsia="宋体" w:cs="宋体"/>
                <w:color w:val="auto"/>
                <w:sz w:val="24"/>
                <w:lang w:val="en-US" w:eastAsia="zh-CN"/>
              </w:rPr>
            </w:pPr>
          </w:p>
          <w:p w14:paraId="4B8DD334">
            <w:pPr>
              <w:snapToGrid w:val="0"/>
              <w:spacing w:line="360" w:lineRule="auto"/>
              <w:jc w:val="center"/>
              <w:rPr>
                <w:rFonts w:hint="eastAsia" w:ascii="宋体" w:hAnsi="宋体" w:eastAsia="宋体" w:cs="宋体"/>
                <w:color w:val="auto"/>
                <w:sz w:val="24"/>
                <w:lang w:val="en-US" w:eastAsia="zh-CN"/>
              </w:rPr>
            </w:pPr>
          </w:p>
          <w:p w14:paraId="78E4167A">
            <w:pPr>
              <w:snapToGrid w:val="0"/>
              <w:spacing w:line="360" w:lineRule="auto"/>
              <w:jc w:val="center"/>
              <w:rPr>
                <w:rFonts w:hint="eastAsia" w:ascii="宋体" w:hAnsi="宋体" w:eastAsia="宋体" w:cs="宋体"/>
                <w:color w:val="auto"/>
                <w:sz w:val="24"/>
                <w:lang w:val="en-US" w:eastAsia="zh-CN"/>
              </w:rPr>
            </w:pPr>
          </w:p>
          <w:p w14:paraId="7493A874">
            <w:pPr>
              <w:snapToGrid w:val="0"/>
              <w:spacing w:line="360" w:lineRule="auto"/>
              <w:jc w:val="center"/>
              <w:rPr>
                <w:rFonts w:hint="eastAsia" w:ascii="宋体" w:hAnsi="宋体" w:eastAsia="宋体" w:cs="宋体"/>
                <w:color w:val="auto"/>
                <w:sz w:val="24"/>
                <w:lang w:val="en-US" w:eastAsia="zh-CN"/>
              </w:rPr>
            </w:pPr>
          </w:p>
          <w:p w14:paraId="47635EDE">
            <w:pPr>
              <w:snapToGrid w:val="0"/>
              <w:spacing w:line="360" w:lineRule="auto"/>
              <w:jc w:val="center"/>
              <w:rPr>
                <w:rFonts w:hint="eastAsia" w:ascii="宋体" w:hAnsi="宋体" w:eastAsia="宋体" w:cs="宋体"/>
                <w:color w:val="auto"/>
                <w:sz w:val="24"/>
                <w:lang w:val="en-US" w:eastAsia="zh-CN"/>
              </w:rPr>
            </w:pPr>
          </w:p>
          <w:p w14:paraId="621852D6">
            <w:pPr>
              <w:snapToGrid w:val="0"/>
              <w:spacing w:line="360" w:lineRule="auto"/>
              <w:jc w:val="center"/>
              <w:rPr>
                <w:rFonts w:hint="eastAsia" w:ascii="宋体" w:hAnsi="宋体" w:eastAsia="宋体" w:cs="宋体"/>
                <w:color w:val="auto"/>
                <w:sz w:val="24"/>
                <w:lang w:val="en-US" w:eastAsia="zh-CN"/>
              </w:rPr>
            </w:pPr>
          </w:p>
          <w:p w14:paraId="37ACDB25">
            <w:pPr>
              <w:snapToGrid w:val="0"/>
              <w:spacing w:line="360" w:lineRule="auto"/>
              <w:jc w:val="center"/>
              <w:rPr>
                <w:rFonts w:hint="eastAsia" w:ascii="宋体" w:hAnsi="宋体" w:eastAsia="宋体" w:cs="宋体"/>
                <w:color w:val="auto"/>
                <w:sz w:val="24"/>
                <w:lang w:val="en-US" w:eastAsia="zh-CN"/>
              </w:rPr>
            </w:pPr>
          </w:p>
          <w:p w14:paraId="0688A177">
            <w:pPr>
              <w:snapToGrid w:val="0"/>
              <w:spacing w:line="360" w:lineRule="auto"/>
              <w:jc w:val="center"/>
              <w:rPr>
                <w:rFonts w:hint="eastAsia" w:ascii="宋体" w:hAnsi="宋体" w:eastAsia="宋体" w:cs="宋体"/>
                <w:color w:val="auto"/>
                <w:sz w:val="24"/>
                <w:lang w:val="en-US" w:eastAsia="zh-CN"/>
              </w:rPr>
            </w:pPr>
          </w:p>
          <w:p w14:paraId="27AEE9EF">
            <w:pPr>
              <w:snapToGrid w:val="0"/>
              <w:spacing w:line="360" w:lineRule="auto"/>
              <w:jc w:val="center"/>
              <w:rPr>
                <w:rFonts w:hint="eastAsia" w:ascii="宋体" w:hAnsi="宋体" w:eastAsia="宋体" w:cs="宋体"/>
                <w:color w:val="auto"/>
                <w:sz w:val="24"/>
                <w:lang w:val="en-US" w:eastAsia="zh-CN"/>
              </w:rPr>
            </w:pPr>
          </w:p>
          <w:p w14:paraId="4C7E22E7">
            <w:pPr>
              <w:snapToGrid w:val="0"/>
              <w:spacing w:line="360" w:lineRule="auto"/>
              <w:jc w:val="center"/>
              <w:rPr>
                <w:rFonts w:hint="eastAsia" w:ascii="宋体" w:hAnsi="宋体" w:eastAsia="宋体" w:cs="宋体"/>
                <w:color w:val="auto"/>
                <w:sz w:val="24"/>
                <w:lang w:val="en-US" w:eastAsia="zh-CN"/>
              </w:rPr>
            </w:pPr>
          </w:p>
          <w:p w14:paraId="76494AF8">
            <w:pPr>
              <w:snapToGri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6</w:t>
            </w:r>
          </w:p>
        </w:tc>
        <w:tc>
          <w:tcPr>
            <w:tcW w:w="1134" w:type="pct"/>
            <w:tcBorders>
              <w:left w:val="single" w:color="000000" w:sz="2" w:space="0"/>
              <w:bottom w:val="single" w:color="000000" w:sz="8" w:space="0"/>
              <w:right w:val="single" w:color="000000" w:sz="8" w:space="0"/>
            </w:tcBorders>
            <w:vAlign w:val="center"/>
          </w:tcPr>
          <w:p w14:paraId="7FC8BD42">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其他约定</w:t>
            </w:r>
          </w:p>
        </w:tc>
        <w:tc>
          <w:tcPr>
            <w:tcW w:w="3504" w:type="pct"/>
            <w:tcBorders>
              <w:top w:val="single" w:color="000000" w:sz="8" w:space="0"/>
              <w:left w:val="single" w:color="000000" w:sz="2" w:space="0"/>
              <w:bottom w:val="single" w:color="000000" w:sz="8" w:space="0"/>
              <w:right w:val="single" w:color="000000" w:sz="8" w:space="0"/>
            </w:tcBorders>
            <w:vAlign w:val="center"/>
          </w:tcPr>
          <w:p w14:paraId="6748037E">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val="en-US" w:eastAsia="zh-CN"/>
                <w14:textFill>
                  <w14:solidFill>
                    <w14:schemeClr w14:val="tx1"/>
                  </w14:solidFill>
                </w14:textFill>
              </w:rPr>
              <w:t>根据《关于推动解决政府采购异常低价问题的通知》财库〔2026〕2号文件规定：</w:t>
            </w:r>
            <w:r>
              <w:rPr>
                <w:rFonts w:hint="eastAsia" w:ascii="宋体" w:hAnsi="宋体" w:cs="宋体"/>
                <w:snapToGrid w:val="0"/>
                <w:color w:val="000000" w:themeColor="text1"/>
                <w:kern w:val="28"/>
                <w:sz w:val="24"/>
                <w:highlight w:val="none"/>
                <w:lang w:eastAsia="zh-CN"/>
                <w14:textFill>
                  <w14:solidFill>
                    <w14:schemeClr w14:val="tx1"/>
                  </w14:solidFill>
                </w14:textFill>
              </w:rPr>
              <w:t>政府采购评审中出现下列情形之一的，评审委员会应当启动异常低价投标（响应）审查程序：</w:t>
            </w:r>
          </w:p>
          <w:p w14:paraId="03B94178">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1</w:t>
            </w:r>
            <w:r>
              <w:rPr>
                <w:rFonts w:hint="eastAsia" w:ascii="宋体" w:hAnsi="宋体" w:cs="宋体"/>
                <w:snapToGrid w:val="0"/>
                <w:color w:val="000000" w:themeColor="text1"/>
                <w:kern w:val="28"/>
                <w:sz w:val="24"/>
                <w:highlight w:val="none"/>
                <w:lang w:eastAsia="zh-CN"/>
                <w14:textFill>
                  <w14:solidFill>
                    <w14:schemeClr w14:val="tx1"/>
                  </w14:solidFill>
                </w14:textFill>
              </w:rPr>
              <w:t>）投标（响应）报价低于全部通过符合性审查供应商投标（响应）报价平均值</w:t>
            </w:r>
            <w:r>
              <w:rPr>
                <w:rFonts w:hint="eastAsia" w:ascii="宋体" w:hAnsi="宋体" w:cs="宋体"/>
                <w:snapToGrid w:val="0"/>
                <w:color w:val="000000" w:themeColor="text1"/>
                <w:kern w:val="28"/>
                <w:sz w:val="24"/>
                <w:highlight w:val="none"/>
                <w:lang w:val="en-US" w:eastAsia="zh-CN"/>
                <w14:textFill>
                  <w14:solidFill>
                    <w14:schemeClr w14:val="tx1"/>
                  </w14:solidFill>
                </w14:textFill>
              </w:rPr>
              <w:t>50</w:t>
            </w:r>
            <w:r>
              <w:rPr>
                <w:rFonts w:hint="eastAsia" w:ascii="宋体" w:hAnsi="宋体" w:cs="宋体"/>
                <w:snapToGrid w:val="0"/>
                <w:color w:val="000000" w:themeColor="text1"/>
                <w:kern w:val="28"/>
                <w:sz w:val="24"/>
                <w:highlight w:val="none"/>
                <w:lang w:eastAsia="zh-CN"/>
                <w14:textFill>
                  <w14:solidFill>
                    <w14:schemeClr w14:val="tx1"/>
                  </w14:solidFill>
                </w14:textFill>
              </w:rPr>
              <w:t>%的，即投标（响应）报价&lt;全部通过符合性审查供应商投标（响应）报价平均值×</w:t>
            </w:r>
            <w:r>
              <w:rPr>
                <w:rFonts w:hint="eastAsia" w:ascii="宋体" w:hAnsi="宋体" w:cs="宋体"/>
                <w:snapToGrid w:val="0"/>
                <w:color w:val="000000" w:themeColor="text1"/>
                <w:kern w:val="28"/>
                <w:sz w:val="24"/>
                <w:highlight w:val="none"/>
                <w:lang w:val="en-US" w:eastAsia="zh-CN"/>
                <w14:textFill>
                  <w14:solidFill>
                    <w14:schemeClr w14:val="tx1"/>
                  </w14:solidFill>
                </w14:textFill>
              </w:rPr>
              <w:t>50</w:t>
            </w:r>
            <w:r>
              <w:rPr>
                <w:rFonts w:hint="eastAsia" w:ascii="宋体" w:hAnsi="宋体" w:cs="宋体"/>
                <w:snapToGrid w:val="0"/>
                <w:color w:val="000000" w:themeColor="text1"/>
                <w:kern w:val="28"/>
                <w:sz w:val="24"/>
                <w:highlight w:val="none"/>
                <w:lang w:eastAsia="zh-CN"/>
                <w14:textFill>
                  <w14:solidFill>
                    <w14:schemeClr w14:val="tx1"/>
                  </w14:solidFill>
                </w14:textFill>
              </w:rPr>
              <w:t>%；</w:t>
            </w:r>
          </w:p>
          <w:p w14:paraId="74C5978E">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highlight w:val="none"/>
                <w:lang w:eastAsia="zh-CN"/>
                <w14:textFill>
                  <w14:solidFill>
                    <w14:schemeClr w14:val="tx1"/>
                  </w14:solidFill>
                </w14:textFill>
              </w:rPr>
              <w:t>）投标（响应）报价低于通过符合性审查且报价次低供应商投标（响应）报价</w:t>
            </w:r>
            <w:r>
              <w:rPr>
                <w:rFonts w:hint="eastAsia" w:ascii="宋体" w:hAnsi="宋体" w:cs="宋体"/>
                <w:snapToGrid w:val="0"/>
                <w:color w:val="000000" w:themeColor="text1"/>
                <w:kern w:val="28"/>
                <w:sz w:val="24"/>
                <w:highlight w:val="none"/>
                <w:lang w:val="en-US" w:eastAsia="zh-CN"/>
                <w14:textFill>
                  <w14:solidFill>
                    <w14:schemeClr w14:val="tx1"/>
                  </w14:solidFill>
                </w14:textFill>
              </w:rPr>
              <w:t>50</w:t>
            </w:r>
            <w:r>
              <w:rPr>
                <w:rFonts w:hint="eastAsia" w:ascii="宋体" w:hAnsi="宋体" w:cs="宋体"/>
                <w:snapToGrid w:val="0"/>
                <w:color w:val="000000" w:themeColor="text1"/>
                <w:kern w:val="28"/>
                <w:sz w:val="24"/>
                <w:highlight w:val="none"/>
                <w:lang w:eastAsia="zh-CN"/>
                <w14:textFill>
                  <w14:solidFill>
                    <w14:schemeClr w14:val="tx1"/>
                  </w14:solidFill>
                </w14:textFill>
              </w:rPr>
              <w:t>%的，即投标（响应）报价&lt;通过符合性审查且报价次低供应商投标（响应）报价×</w:t>
            </w:r>
            <w:r>
              <w:rPr>
                <w:rFonts w:hint="eastAsia" w:ascii="宋体" w:hAnsi="宋体" w:cs="宋体"/>
                <w:snapToGrid w:val="0"/>
                <w:color w:val="000000" w:themeColor="text1"/>
                <w:kern w:val="28"/>
                <w:sz w:val="24"/>
                <w:highlight w:val="none"/>
                <w:lang w:val="en-US" w:eastAsia="zh-CN"/>
                <w14:textFill>
                  <w14:solidFill>
                    <w14:schemeClr w14:val="tx1"/>
                  </w14:solidFill>
                </w14:textFill>
              </w:rPr>
              <w:t>50</w:t>
            </w:r>
            <w:r>
              <w:rPr>
                <w:rFonts w:hint="eastAsia" w:ascii="宋体" w:hAnsi="宋体" w:cs="宋体"/>
                <w:snapToGrid w:val="0"/>
                <w:color w:val="000000" w:themeColor="text1"/>
                <w:kern w:val="28"/>
                <w:sz w:val="24"/>
                <w:highlight w:val="none"/>
                <w:lang w:eastAsia="zh-CN"/>
                <w14:textFill>
                  <w14:solidFill>
                    <w14:schemeClr w14:val="tx1"/>
                  </w14:solidFill>
                </w14:textFill>
              </w:rPr>
              <w:t>%；</w:t>
            </w:r>
          </w:p>
          <w:p w14:paraId="663C3C4F">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3</w:t>
            </w:r>
            <w:r>
              <w:rPr>
                <w:rFonts w:hint="eastAsia" w:ascii="宋体" w:hAnsi="宋体" w:cs="宋体"/>
                <w:snapToGrid w:val="0"/>
                <w:color w:val="000000" w:themeColor="text1"/>
                <w:kern w:val="28"/>
                <w:sz w:val="24"/>
                <w:highlight w:val="none"/>
                <w:lang w:eastAsia="zh-CN"/>
                <w14:textFill>
                  <w14:solidFill>
                    <w14:schemeClr w14:val="tx1"/>
                  </w14:solidFill>
                </w14:textFill>
              </w:rPr>
              <w:t>）投标（响应）报价低于采购项目最高限价</w:t>
            </w:r>
            <w:r>
              <w:rPr>
                <w:rFonts w:hint="eastAsia" w:ascii="宋体" w:hAnsi="宋体" w:cs="宋体"/>
                <w:snapToGrid w:val="0"/>
                <w:color w:val="000000" w:themeColor="text1"/>
                <w:kern w:val="28"/>
                <w:sz w:val="24"/>
                <w:highlight w:val="none"/>
                <w:lang w:val="en-US" w:eastAsia="zh-CN"/>
                <w14:textFill>
                  <w14:solidFill>
                    <w14:schemeClr w14:val="tx1"/>
                  </w14:solidFill>
                </w14:textFill>
              </w:rPr>
              <w:t>4</w:t>
            </w:r>
            <w:r>
              <w:rPr>
                <w:rFonts w:hint="eastAsia" w:ascii="宋体" w:hAnsi="宋体" w:cs="宋体"/>
                <w:snapToGrid w:val="0"/>
                <w:color w:val="000000" w:themeColor="text1"/>
                <w:kern w:val="28"/>
                <w:sz w:val="24"/>
                <w:highlight w:val="none"/>
                <w:lang w:eastAsia="zh-CN"/>
                <w14:textFill>
                  <w14:solidFill>
                    <w14:schemeClr w14:val="tx1"/>
                  </w14:solidFill>
                </w14:textFill>
              </w:rPr>
              <w:t>5%的，即投标（响应）报价&lt;采购项目最高限价×</w:t>
            </w:r>
            <w:r>
              <w:rPr>
                <w:rFonts w:hint="eastAsia" w:ascii="宋体" w:hAnsi="宋体" w:cs="宋体"/>
                <w:snapToGrid w:val="0"/>
                <w:color w:val="000000" w:themeColor="text1"/>
                <w:kern w:val="28"/>
                <w:sz w:val="24"/>
                <w:highlight w:val="none"/>
                <w:lang w:val="en-US" w:eastAsia="zh-CN"/>
                <w14:textFill>
                  <w14:solidFill>
                    <w14:schemeClr w14:val="tx1"/>
                  </w14:solidFill>
                </w14:textFill>
              </w:rPr>
              <w:t>4</w:t>
            </w:r>
            <w:r>
              <w:rPr>
                <w:rFonts w:hint="eastAsia" w:ascii="宋体" w:hAnsi="宋体" w:cs="宋体"/>
                <w:snapToGrid w:val="0"/>
                <w:color w:val="000000" w:themeColor="text1"/>
                <w:kern w:val="28"/>
                <w:sz w:val="24"/>
                <w:highlight w:val="none"/>
                <w:lang w:eastAsia="zh-CN"/>
                <w14:textFill>
                  <w14:solidFill>
                    <w14:schemeClr w14:val="tx1"/>
                  </w14:solidFill>
                </w14:textFill>
              </w:rPr>
              <w:t>5%；</w:t>
            </w:r>
          </w:p>
          <w:p w14:paraId="5FC72F66">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4</w:t>
            </w:r>
            <w:r>
              <w:rPr>
                <w:rFonts w:hint="eastAsia" w:ascii="宋体" w:hAnsi="宋体" w:cs="宋体"/>
                <w:snapToGrid w:val="0"/>
                <w:color w:val="000000" w:themeColor="text1"/>
                <w:kern w:val="28"/>
                <w:sz w:val="24"/>
                <w:highlight w:val="none"/>
                <w:lang w:eastAsia="zh-CN"/>
                <w14:textFill>
                  <w14:solidFill>
                    <w14:schemeClr w14:val="tx1"/>
                  </w14:solidFill>
                </w14:textFill>
              </w:rPr>
              <w:t>）其他评审委员会认为供应商报价过低，有可能影响产品质量或者不能诚信履约的情形。</w:t>
            </w:r>
          </w:p>
          <w:p w14:paraId="6600C921">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评审委员会启动异常低价投标（响应）审查后，应当要求相关供应商在评审现场合理的时间内提供书面说明及必要的证明材料，对投标（响应）价格作出解释，</w:t>
            </w:r>
            <w:r>
              <w:rPr>
                <w:rFonts w:hint="eastAsia" w:ascii="宋体" w:hAnsi="宋体" w:cs="宋体"/>
                <w:snapToGrid w:val="0"/>
                <w:color w:val="000000" w:themeColor="text1"/>
                <w:kern w:val="28"/>
                <w:sz w:val="24"/>
                <w:highlight w:val="none"/>
                <w:lang w:val="en-US" w:eastAsia="zh-CN"/>
                <w14:textFill>
                  <w14:solidFill>
                    <w14:schemeClr w14:val="tx1"/>
                  </w14:solidFill>
                </w14:textFill>
              </w:rPr>
              <w:t>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snapToGrid w:val="0"/>
                <w:color w:val="000000" w:themeColor="text1"/>
                <w:kern w:val="28"/>
                <w:sz w:val="24"/>
                <w:highlight w:val="none"/>
                <w:lang w:eastAsia="zh-CN"/>
                <w14:textFill>
                  <w14:solidFill>
                    <w14:schemeClr w14:val="tx1"/>
                  </w14:solidFill>
                </w14:textFill>
              </w:rPr>
              <w:t>投标人不能证明其报价合理性的，评标委员会应当将其作为无效投标处理。</w:t>
            </w:r>
          </w:p>
          <w:p w14:paraId="52379D6D">
            <w:pPr>
              <w:spacing w:line="360" w:lineRule="auto"/>
              <w:rPr>
                <w:rFonts w:hint="eastAsia" w:ascii="宋体" w:hAnsi="宋体" w:cs="宋体"/>
                <w:snapToGrid w:val="0"/>
                <w:color w:val="000000" w:themeColor="text1"/>
                <w:kern w:val="28"/>
                <w:sz w:val="24"/>
                <w:highlight w:val="none"/>
                <w:lang w:val="en" w:eastAsia="zh-CN"/>
                <w14:textFill>
                  <w14:solidFill>
                    <w14:schemeClr w14:val="tx1"/>
                  </w14:solidFill>
                </w14:textFill>
              </w:rPr>
            </w:pPr>
            <w:r>
              <w:rPr>
                <w:rFonts w:hint="eastAsia" w:ascii="宋体" w:hAnsi="宋体" w:cs="宋体"/>
                <w:snapToGrid w:val="0"/>
                <w:color w:val="000000" w:themeColor="text1"/>
                <w:kern w:val="28"/>
                <w:sz w:val="24"/>
                <w:highlight w:val="none"/>
                <w:lang w:val="en" w:eastAsia="zh-CN"/>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612ED4D">
            <w:pPr>
              <w:spacing w:line="360" w:lineRule="auto"/>
              <w:rPr>
                <w:rFonts w:hint="eastAsia" w:ascii="宋体" w:hAnsi="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val="en" w:eastAsia="zh-CN"/>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tc>
      </w:tr>
    </w:tbl>
    <w:p w14:paraId="22FF72AF">
      <w:pPr>
        <w:snapToGrid w:val="0"/>
        <w:spacing w:line="360" w:lineRule="auto"/>
        <w:jc w:val="center"/>
        <w:rPr>
          <w:rFonts w:ascii="宋体" w:hAnsi="宋体" w:cs="宋体"/>
          <w:b/>
          <w:color w:val="auto"/>
          <w:sz w:val="32"/>
          <w:szCs w:val="20"/>
        </w:rPr>
      </w:pPr>
    </w:p>
    <w:bookmarkEnd w:id="9"/>
    <w:p w14:paraId="194DF403">
      <w:pPr>
        <w:adjustRightInd/>
        <w:spacing w:line="360" w:lineRule="auto"/>
        <w:ind w:firstLine="3845" w:firstLineChars="1197"/>
        <w:outlineLvl w:val="0"/>
        <w:rPr>
          <w:rFonts w:ascii="宋体" w:hAnsi="宋体" w:cs="宋体"/>
          <w:b/>
          <w:color w:val="auto"/>
          <w:sz w:val="32"/>
          <w:szCs w:val="20"/>
        </w:rPr>
      </w:pPr>
      <w:bookmarkStart w:id="10" w:name="_Toc164416483"/>
      <w:bookmarkStart w:id="11" w:name="第三部分"/>
      <w:r>
        <w:rPr>
          <w:rFonts w:hint="eastAsia" w:ascii="宋体" w:hAnsi="宋体" w:cs="宋体"/>
          <w:b/>
          <w:color w:val="auto"/>
          <w:sz w:val="32"/>
          <w:szCs w:val="20"/>
        </w:rPr>
        <w:t>一、总则</w:t>
      </w:r>
    </w:p>
    <w:p w14:paraId="37C1ECA5">
      <w:pPr>
        <w:snapToGrid w:val="0"/>
        <w:spacing w:line="360" w:lineRule="auto"/>
        <w:ind w:firstLine="361" w:firstLineChars="150"/>
        <w:jc w:val="left"/>
        <w:outlineLvl w:val="1"/>
        <w:rPr>
          <w:rFonts w:ascii="宋体" w:hAnsi="宋体" w:cs="宋体"/>
          <w:b/>
          <w:color w:val="auto"/>
          <w:sz w:val="24"/>
        </w:rPr>
      </w:pPr>
      <w:r>
        <w:rPr>
          <w:rFonts w:hint="eastAsia" w:ascii="宋体" w:hAnsi="宋体" w:cs="宋体"/>
          <w:b/>
          <w:color w:val="auto"/>
          <w:sz w:val="24"/>
        </w:rPr>
        <w:t>1. 适用范围</w:t>
      </w:r>
    </w:p>
    <w:p w14:paraId="4761261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64F36132">
      <w:pPr>
        <w:adjustRightInd/>
        <w:spacing w:line="360" w:lineRule="auto"/>
        <w:outlineLvl w:val="0"/>
        <w:rPr>
          <w:rFonts w:ascii="宋体" w:hAnsi="宋体" w:cs="宋体"/>
          <w:b/>
          <w:color w:val="auto"/>
          <w:sz w:val="24"/>
        </w:rPr>
      </w:pPr>
      <w:r>
        <w:rPr>
          <w:rFonts w:hint="eastAsia" w:ascii="宋体" w:hAnsi="宋体" w:cs="宋体"/>
          <w:b/>
          <w:color w:val="auto"/>
          <w:sz w:val="24"/>
        </w:rPr>
        <w:t xml:space="preserve">   2.定义</w:t>
      </w:r>
    </w:p>
    <w:p w14:paraId="2AC532C1">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14:paraId="57DB1673">
      <w:pPr>
        <w:spacing w:line="360" w:lineRule="auto"/>
        <w:ind w:firstLine="480" w:firstLineChars="200"/>
        <w:rPr>
          <w:rFonts w:ascii="宋体" w:hAnsi="宋体" w:cs="宋体"/>
          <w:color w:val="auto"/>
          <w:sz w:val="24"/>
        </w:rPr>
      </w:pPr>
      <w:r>
        <w:rPr>
          <w:rFonts w:hint="eastAsia" w:ascii="宋体" w:hAnsi="宋体" w:cs="宋体"/>
          <w:color w:val="auto"/>
          <w:sz w:val="24"/>
        </w:rPr>
        <w:t>2.2 “</w:t>
      </w:r>
      <w:r>
        <w:rPr>
          <w:rFonts w:hint="eastAsia" w:ascii="宋体" w:hAnsi="宋体" w:cs="宋体"/>
          <w:color w:val="auto"/>
          <w:sz w:val="24"/>
          <w:lang w:eastAsia="zh-CN"/>
        </w:rPr>
        <w:t>采购代理机构</w:t>
      </w:r>
      <w:r>
        <w:rPr>
          <w:rFonts w:hint="eastAsia" w:ascii="宋体" w:hAnsi="宋体" w:cs="宋体"/>
          <w:color w:val="auto"/>
          <w:sz w:val="24"/>
        </w:rPr>
        <w:t>”系指招标公告中载明的本项目的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3D1DEEB7">
      <w:pPr>
        <w:spacing w:line="360" w:lineRule="auto"/>
        <w:ind w:firstLine="480" w:firstLineChars="200"/>
        <w:rPr>
          <w:rFonts w:hint="eastAsia" w:ascii="宋体" w:hAnsi="宋体" w:cs="宋体"/>
          <w:color w:val="auto"/>
          <w:sz w:val="24"/>
        </w:rPr>
      </w:pPr>
      <w:r>
        <w:rPr>
          <w:rFonts w:hint="eastAsia" w:ascii="宋体" w:hAnsi="宋体" w:cs="宋体"/>
          <w:color w:val="auto"/>
          <w:sz w:val="24"/>
        </w:rPr>
        <w:t>2.3 “投标人”</w:t>
      </w:r>
      <w:r>
        <w:rPr>
          <w:rFonts w:hint="eastAsia" w:ascii="宋体" w:hAnsi="宋体" w:cs="宋体"/>
          <w:color w:val="auto"/>
          <w:sz w:val="24"/>
          <w:highlight w:val="none"/>
          <w:lang w:val="en-US" w:eastAsia="zh-CN"/>
        </w:rPr>
        <w:t>或</w:t>
      </w:r>
      <w:r>
        <w:rPr>
          <w:rFonts w:hint="eastAsia" w:ascii="宋体" w:hAnsi="宋体" w:cs="宋体"/>
          <w:color w:val="auto"/>
          <w:sz w:val="24"/>
          <w:highlight w:val="none"/>
          <w:lang w:eastAsia="zh-CN"/>
        </w:rPr>
        <w:t>“供应商”</w:t>
      </w:r>
      <w:r>
        <w:rPr>
          <w:rFonts w:hint="eastAsia" w:ascii="宋体" w:hAnsi="宋体" w:cs="宋体"/>
          <w:color w:val="auto"/>
          <w:sz w:val="24"/>
        </w:rPr>
        <w:t>系指是指响应招标、参加投标竞争的法人、其他组织或者自然人。</w:t>
      </w:r>
    </w:p>
    <w:p w14:paraId="09AFD5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中标候选人</w:t>
      </w:r>
      <w:r>
        <w:rPr>
          <w:rFonts w:hint="eastAsia" w:ascii="宋体" w:hAnsi="宋体" w:eastAsia="宋体" w:cs="宋体"/>
          <w:sz w:val="24"/>
          <w:highlight w:val="none"/>
        </w:rPr>
        <w:t>”</w:t>
      </w:r>
      <w:r>
        <w:rPr>
          <w:rFonts w:hint="eastAsia" w:ascii="宋体" w:hAnsi="宋体" w:cs="宋体"/>
          <w:sz w:val="24"/>
          <w:highlight w:val="none"/>
          <w:lang w:eastAsia="zh-CN"/>
        </w:rPr>
        <w:t>系指招标活动中</w:t>
      </w:r>
      <w:r>
        <w:rPr>
          <w:rFonts w:hint="eastAsia" w:ascii="宋体" w:hAnsi="宋体" w:eastAsia="宋体" w:cs="宋体"/>
          <w:sz w:val="24"/>
          <w:highlight w:val="none"/>
        </w:rPr>
        <w:t>评标委员会根据招标文件要求,对投标文件评审后推荐的前几名投标人。</w:t>
      </w:r>
    </w:p>
    <w:p w14:paraId="16CC3FF8">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w:t>
      </w:r>
      <w:r>
        <w:rPr>
          <w:rFonts w:hint="eastAsia" w:ascii="宋体" w:hAnsi="宋体" w:cs="宋体"/>
          <w:sz w:val="24"/>
          <w:highlight w:val="none"/>
          <w:lang w:eastAsia="zh-CN"/>
        </w:rPr>
        <w:t>系指</w:t>
      </w:r>
      <w:r>
        <w:rPr>
          <w:rFonts w:hint="eastAsia" w:ascii="宋体" w:hAnsi="宋体" w:eastAsia="宋体"/>
          <w:sz w:val="24"/>
          <w:highlight w:val="none"/>
          <w:lang w:eastAsia="zh-CN"/>
        </w:rPr>
        <w:t>采购人根据</w:t>
      </w:r>
      <w:r>
        <w:rPr>
          <w:rFonts w:hint="eastAsia" w:ascii="宋体" w:hAnsi="宋体" w:eastAsia="宋体" w:cs="宋体"/>
          <w:sz w:val="24"/>
          <w:highlight w:val="none"/>
        </w:rPr>
        <w:t>评标委员会</w:t>
      </w:r>
      <w:r>
        <w:rPr>
          <w:rFonts w:hint="eastAsia" w:ascii="宋体" w:hAnsi="宋体" w:eastAsia="宋体" w:cs="宋体"/>
          <w:sz w:val="24"/>
          <w:highlight w:val="none"/>
          <w:lang w:eastAsia="zh-CN"/>
        </w:rPr>
        <w:t>推荐的中标候选人名单确定中标的投标人</w:t>
      </w:r>
      <w:r>
        <w:rPr>
          <w:rFonts w:hint="eastAsia" w:ascii="宋体" w:hAnsi="宋体" w:eastAsia="宋体"/>
          <w:sz w:val="24"/>
          <w:highlight w:val="none"/>
        </w:rPr>
        <w:t>。</w:t>
      </w:r>
    </w:p>
    <w:p w14:paraId="3C20B87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“负责人”系指法人企业的法定负责人，或其他组织为法律、行政法规规定代表单位行使职权的主要负责人，或自然人本人。</w:t>
      </w:r>
    </w:p>
    <w:p w14:paraId="3B416FD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B0AC9F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8</w:t>
      </w:r>
      <w:r>
        <w:rPr>
          <w:rFonts w:hint="eastAsia" w:ascii="宋体" w:hAnsi="宋体" w:eastAsia="宋体" w:cs="宋体"/>
          <w:color w:val="auto"/>
          <w:sz w:val="24"/>
        </w:rPr>
        <w:t>“电子交易平台”</w:t>
      </w:r>
      <w:r>
        <w:rPr>
          <w:rFonts w:hint="eastAsia" w:ascii="宋体" w:hAnsi="宋体" w:eastAsia="宋体" w:cs="宋体"/>
          <w:color w:val="auto"/>
          <w:sz w:val="24"/>
          <w:lang w:val="en-US" w:eastAsia="zh-CN"/>
        </w:rPr>
        <w:t>系</w:t>
      </w:r>
      <w:r>
        <w:rPr>
          <w:rFonts w:hint="eastAsia" w:ascii="宋体" w:hAnsi="宋体" w:eastAsia="宋体" w:cs="宋体"/>
          <w:color w:val="auto"/>
          <w:sz w:val="24"/>
        </w:rPr>
        <w:t>指本项目政府采购活动所依托的政府采购云平台（https://www.zcygov.cn/）。</w:t>
      </w:r>
    </w:p>
    <w:p w14:paraId="1AB0E355">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9</w:t>
      </w:r>
      <w:r>
        <w:rPr>
          <w:rFonts w:hint="eastAsia" w:ascii="宋体" w:hAnsi="宋体" w:cs="宋体"/>
          <w:color w:val="auto"/>
          <w:sz w:val="24"/>
        </w:rPr>
        <w:t xml:space="preserve"> “▲</w:t>
      </w:r>
      <w:r>
        <w:rPr>
          <w:rFonts w:hint="eastAsia" w:ascii="宋体" w:hAnsi="宋体" w:cs="宋体"/>
          <w:color w:val="auto"/>
          <w:sz w:val="24"/>
          <w:lang w:val="en-US" w:eastAsia="zh-CN"/>
        </w:rPr>
        <w:t>且加下划线部分</w:t>
      </w:r>
      <w:r>
        <w:rPr>
          <w:rFonts w:hint="eastAsia" w:ascii="宋体" w:hAnsi="宋体" w:cs="宋体"/>
          <w:color w:val="auto"/>
          <w:sz w:val="24"/>
        </w:rPr>
        <w:t>” 系指实质性要求条款，</w:t>
      </w:r>
      <w:r>
        <w:rPr>
          <w:rFonts w:hint="eastAsia" w:ascii="宋体" w:hAnsi="宋体" w:cs="宋体"/>
          <w:sz w:val="24"/>
        </w:rPr>
        <w:t>“☑”</w:t>
      </w:r>
      <w:r>
        <w:rPr>
          <w:rFonts w:hint="eastAsia" w:ascii="宋体" w:hAnsi="宋体" w:cs="宋体"/>
          <w:color w:val="auto"/>
          <w:sz w:val="24"/>
        </w:rPr>
        <w:t>系指适用本项目的要求，“</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 系指不适用本项目的要求。</w:t>
      </w:r>
    </w:p>
    <w:p w14:paraId="07E49A4C">
      <w:pPr>
        <w:spacing w:line="360" w:lineRule="auto"/>
        <w:ind w:firstLine="241" w:firstLineChars="100"/>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08B3048E">
      <w:pPr>
        <w:spacing w:line="360" w:lineRule="auto"/>
        <w:ind w:firstLine="240" w:firstLineChars="1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4DD874B5">
      <w:pPr>
        <w:spacing w:line="360" w:lineRule="auto"/>
        <w:ind w:firstLine="240" w:firstLineChars="100"/>
        <w:rPr>
          <w:rFonts w:ascii="宋体" w:hAnsi="宋体" w:cs="宋体"/>
          <w:color w:val="auto"/>
          <w:sz w:val="24"/>
        </w:rPr>
      </w:pPr>
      <w:r>
        <w:rPr>
          <w:rFonts w:hint="eastAsia" w:ascii="宋体" w:hAnsi="宋体" w:cs="宋体"/>
          <w:color w:val="auto"/>
          <w:sz w:val="24"/>
        </w:rPr>
        <w:t>3.2 支持绿色发展</w:t>
      </w:r>
    </w:p>
    <w:p w14:paraId="0DF10415">
      <w:pPr>
        <w:spacing w:line="360" w:lineRule="auto"/>
        <w:ind w:firstLine="480" w:firstLineChars="200"/>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u w:val="singl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
          <w:color w:val="auto"/>
          <w:sz w:val="24"/>
        </w:rPr>
        <w:t>。</w:t>
      </w:r>
    </w:p>
    <w:p w14:paraId="10FDAA83">
      <w:pPr>
        <w:spacing w:line="360" w:lineRule="auto"/>
        <w:ind w:firstLine="480" w:firstLineChars="200"/>
        <w:rPr>
          <w:rFonts w:ascii="宋体" w:hAnsi="宋体" w:cs="宋体"/>
          <w:color w:val="auto"/>
          <w:sz w:val="24"/>
        </w:rPr>
      </w:pPr>
      <w:r>
        <w:rPr>
          <w:rFonts w:hint="eastAsia" w:ascii="宋体" w:hAnsi="宋体" w:cs="宋体"/>
          <w:color w:val="auto"/>
          <w:sz w:val="24"/>
        </w:rPr>
        <w:t>3.2.2 修缮、装修类项目采购建材的，采购人应将绿色建筑和绿色建材性能、指标等作为实质性条件纳入招标文件和合同。</w:t>
      </w:r>
    </w:p>
    <w:p w14:paraId="7947C49E">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优先采购秸秆环保板材等资源综合利用产品。鼓励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优先采购绿色物流配送服务、提供新能源交通工具的租赁服务。</w:t>
      </w:r>
    </w:p>
    <w:p w14:paraId="387B7E6A">
      <w:pPr>
        <w:spacing w:line="360" w:lineRule="auto"/>
        <w:ind w:firstLine="480" w:firstLineChars="200"/>
        <w:rPr>
          <w:rFonts w:ascii="宋体" w:hAnsi="宋体" w:cs="宋体"/>
          <w:color w:val="auto"/>
          <w:sz w:val="24"/>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对其提高预付款比例、免收履约保证金。</w:t>
      </w:r>
    </w:p>
    <w:p w14:paraId="6CE64DB6">
      <w:pPr>
        <w:spacing w:line="360" w:lineRule="auto"/>
        <w:ind w:firstLine="240" w:firstLineChars="100"/>
        <w:rPr>
          <w:rFonts w:ascii="宋体" w:hAnsi="宋体" w:cs="宋体"/>
          <w:color w:val="auto"/>
          <w:sz w:val="24"/>
        </w:rPr>
      </w:pPr>
      <w:r>
        <w:rPr>
          <w:rFonts w:hint="eastAsia" w:ascii="宋体" w:hAnsi="宋体" w:cs="宋体"/>
          <w:color w:val="auto"/>
          <w:sz w:val="24"/>
        </w:rPr>
        <w:t>3.3支持中小企业发展</w:t>
      </w:r>
    </w:p>
    <w:p w14:paraId="015B725D">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DF5BD64">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2F28280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3.3.2在政府采购活动中，投标人提供的货物、工程或者服务符合下列情形的，享受中小企业扶持政策：</w:t>
      </w:r>
      <w:r>
        <w:rPr>
          <w:rFonts w:hint="eastAsia" w:ascii="宋体" w:hAnsi="宋体" w:eastAsia="宋体" w:cs="宋体"/>
          <w:color w:val="auto"/>
          <w:sz w:val="24"/>
          <w:highlight w:val="none"/>
          <w:lang w:val="en-US" w:eastAsia="zh-CN"/>
        </w:rPr>
        <w:t>在货物采购项目中，货物由中小企业制造，即货物由中小企业生产且使用该中小企业商号或者注册商标；</w:t>
      </w:r>
    </w:p>
    <w:p w14:paraId="268C019A">
      <w:pPr>
        <w:spacing w:line="360" w:lineRule="auto"/>
        <w:ind w:firstLine="480" w:firstLineChars="200"/>
      </w:pPr>
      <w:r>
        <w:rPr>
          <w:rFonts w:hint="eastAsia" w:ascii="宋体" w:hAnsi="宋体" w:eastAsia="宋体" w:cs="宋体"/>
          <w:color w:val="auto"/>
          <w:sz w:val="24"/>
          <w:highlight w:val="none"/>
          <w:lang w:val="en-US" w:eastAsia="zh-CN"/>
        </w:rPr>
        <w:t>在货物采购项目中，供应商提供的货物既有中小企业制造货物，也有大型企业制造货物的，不享受本办法规定的中小企业扶持政策。</w:t>
      </w:r>
    </w:p>
    <w:p w14:paraId="24554488">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01705E79">
      <w:pPr>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auto"/>
          <w:sz w:val="24"/>
          <w:highlight w:val="none"/>
        </w:rPr>
        <w:t>10%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rPr>
        <w:t>4%</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w:t>
      </w:r>
    </w:p>
    <w:p w14:paraId="382BF4E4">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2C880C30">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EB09CDF">
      <w:pPr>
        <w:spacing w:line="360" w:lineRule="auto"/>
        <w:ind w:firstLine="480" w:firstLineChars="200"/>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D83F62C">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351FF497">
      <w:pPr>
        <w:spacing w:line="360" w:lineRule="auto"/>
        <w:ind w:firstLine="240" w:firstLineChars="1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07A0B8BD">
      <w:pPr>
        <w:spacing w:line="360" w:lineRule="auto"/>
        <w:ind w:firstLine="480" w:firstLineChars="200"/>
        <w:rPr>
          <w:rFonts w:ascii="宋体" w:hAnsi="宋体" w:cs="宋体"/>
          <w:color w:val="auto"/>
          <w:sz w:val="24"/>
        </w:rPr>
      </w:pPr>
      <w:r>
        <w:rPr>
          <w:rFonts w:hint="eastAsia" w:ascii="宋体" w:hAnsi="宋体" w:cs="宋体"/>
          <w:color w:val="auto"/>
          <w:sz w:val="24"/>
        </w:rPr>
        <w:t>3.4.1 采购人优先采购被认定为首台套产品和“制造精品”的自主创新产品。</w:t>
      </w:r>
    </w:p>
    <w:p w14:paraId="5DE0AA57">
      <w:pPr>
        <w:spacing w:line="360" w:lineRule="auto"/>
        <w:ind w:firstLine="480" w:firstLineChars="200"/>
        <w:rPr>
          <w:rFonts w:ascii="宋体" w:hAnsi="宋体" w:cs="宋体"/>
          <w:color w:val="auto"/>
          <w:sz w:val="24"/>
        </w:rPr>
      </w:pPr>
      <w:r>
        <w:rPr>
          <w:rFonts w:hint="eastAsia" w:ascii="宋体" w:hAnsi="宋体" w:cs="宋体"/>
          <w:color w:val="auto"/>
          <w:sz w:val="24"/>
        </w:rPr>
        <w:t>3.4.2首台套产品被纳入《首台套产品推广应用指导目录》之日起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年内，以及产品核心技术高于国内领先水平，并具有明晰自主知识产权的“制造精品”产品，自认定之日起2年内视同已具备相应销售业绩，参加政府采购活动时业绩分值为满分。</w:t>
      </w:r>
    </w:p>
    <w:p w14:paraId="09C1FC3D">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3.5平等对待内外资企业和符合条件的破产重整企业</w:t>
      </w:r>
    </w:p>
    <w:p w14:paraId="2AD2587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平等对待内外资企业和符合条件的破产重整企业，切实保障企业公平竞争，平等维护企业的合法利益。</w:t>
      </w:r>
    </w:p>
    <w:p w14:paraId="47753C98">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3.6支持本国产品发展</w:t>
      </w:r>
    </w:p>
    <w:p w14:paraId="48E93F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政府采购活动中既有本国产品又有非本国产品参与竞争的，依法对本国产品给予价格评审优惠，对本国产品的报价给予20%的价格扣除，用扣除后的价格参与评审。</w:t>
      </w:r>
    </w:p>
    <w:p w14:paraId="1D26A6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D23E0D">
      <w:pPr>
        <w:spacing w:line="360" w:lineRule="auto"/>
        <w:ind w:firstLine="480" w:firstLineChars="200"/>
        <w:rPr>
          <w:rFonts w:ascii="宋体" w:hAnsi="宋体" w:cs="宋体"/>
          <w:b/>
          <w:color w:val="auto"/>
          <w:sz w:val="24"/>
        </w:rPr>
      </w:pPr>
      <w:r>
        <w:rPr>
          <w:rFonts w:hint="eastAsia" w:ascii="宋体" w:hAnsi="宋体" w:eastAsia="宋体" w:cs="宋体"/>
          <w:color w:val="auto"/>
          <w:sz w:val="24"/>
        </w:rPr>
        <w:t>可享受本国产品的支持政策的，供应商应按照招标文件要求对其提供的产品出具《关于符合本国产品标准的声明函》或财政部会同有关部门规定的有关证明文件。供应商提供虚假《声明函》、虚假证明文件谋取中标、成交的，依照《中华人民共和国政府采购法》等法律法规规定追究相应责任。</w:t>
      </w:r>
      <w:r>
        <w:rPr>
          <w:rFonts w:hint="eastAsia" w:ascii="宋体" w:hAnsi="宋体" w:eastAsia="宋体" w:cs="宋体"/>
          <w:color w:val="auto"/>
          <w:sz w:val="24"/>
        </w:rPr>
        <w:cr/>
      </w:r>
      <w:r>
        <w:rPr>
          <w:rFonts w:hint="eastAsia" w:ascii="宋体" w:hAnsi="宋体" w:cs="宋体"/>
          <w:b/>
          <w:color w:val="auto"/>
          <w:sz w:val="24"/>
        </w:rPr>
        <w:t>4. 询问、质疑、投诉</w:t>
      </w:r>
    </w:p>
    <w:p w14:paraId="150804D1">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w:t>
      </w:r>
      <w:r>
        <w:rPr>
          <w:rFonts w:hint="default"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hint="eastAsia" w:ascii="宋体" w:hAnsi="宋体" w:cs="宋体"/>
          <w:color w:val="auto"/>
          <w:kern w:val="0"/>
          <w:sz w:val="24"/>
          <w:highlight w:val="none"/>
          <w:lang w:val="zh-CN"/>
        </w:rPr>
        <w:t>-项目采购-询问质疑投诉-询问列表；鼓励供应商在线提起质疑，路径为：</w:t>
      </w:r>
      <w:r>
        <w:rPr>
          <w:rFonts w:hint="default"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hint="eastAsia" w:ascii="宋体" w:hAnsi="宋体" w:cs="宋体"/>
          <w:color w:val="auto"/>
          <w:kern w:val="0"/>
          <w:sz w:val="24"/>
          <w:highlight w:val="none"/>
          <w:lang w:val="zh-CN"/>
        </w:rPr>
        <w:t>-项目采购-询问质疑投诉-质疑列表。质疑供应商对在线质疑答复不满意的，可在线提起投诉，路径为：</w:t>
      </w:r>
      <w:r>
        <w:rPr>
          <w:rFonts w:hint="default" w:ascii="宋体" w:hAnsi="宋体" w:eastAsia="宋体" w:cs="宋体"/>
          <w:color w:val="auto"/>
          <w:sz w:val="24"/>
          <w:highlight w:val="none"/>
          <w:lang w:val="en-US" w:eastAsia="zh-CN"/>
        </w:rPr>
        <w:t>政采云平台-项目采购-询问质疑投诉-投诉列表。</w:t>
      </w:r>
    </w:p>
    <w:p w14:paraId="5B309D3F">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4.2供应商询问</w:t>
      </w:r>
    </w:p>
    <w:p w14:paraId="75812C90">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供应商对政府采购活动事项有疑问的，可以提出询问，采购人应当在3个工作日内对供应商依法提出的询问作出答复，但答复的内容不得涉及商业秘密。</w:t>
      </w:r>
    </w:p>
    <w:p w14:paraId="2F6D7038">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14:paraId="63031766">
      <w:pPr>
        <w:autoSpaceDE w:val="0"/>
        <w:autoSpaceDN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4.3.1提出质疑的供应商应当是参与所质疑项目采购活动的供应商。潜在供应商已依法获取其可质疑的招标文件的，可以对该文件提出质疑。</w:t>
      </w:r>
    </w:p>
    <w:p w14:paraId="48A82D08">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default" w:ascii="宋体" w:hAnsi="宋体" w:eastAsia="宋体" w:cs="宋体"/>
          <w:color w:val="auto"/>
          <w:kern w:val="0"/>
          <w:sz w:val="24"/>
          <w:highlight w:val="none"/>
          <w:lang w:val="zh-CN"/>
        </w:rPr>
        <w:t>项目设立、项目预算、采购方式、组织形式、进口产品核准、采购需求调查过程、专门面向中小企业采购、合同履约等不属于可质疑事项。</w:t>
      </w:r>
    </w:p>
    <w:p w14:paraId="48CAFBE8">
      <w:pPr>
        <w:pStyle w:val="33"/>
        <w:spacing w:line="360" w:lineRule="auto"/>
        <w:ind w:firstLine="480" w:firstLineChars="200"/>
        <w:rPr>
          <w:rFonts w:hAnsi="宋体" w:cs="宋体"/>
          <w:color w:val="auto"/>
          <w:sz w:val="24"/>
          <w:highlight w:val="none"/>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.2供应商认为招标文件、采购过程和中标结果使自己的权益受到损害的，可以在知道或者应知其权益受到损害之日起七个工作日内，以书面形式向采购人提出质疑，否则，采购人不予受理</w:t>
      </w:r>
      <w:r>
        <w:rPr>
          <w:rFonts w:hint="eastAsia" w:hAnsi="宋体" w:cs="宋体"/>
          <w:color w:val="auto"/>
          <w:sz w:val="24"/>
          <w:lang w:eastAsia="zh-CN"/>
        </w:rPr>
        <w:t>。</w:t>
      </w:r>
      <w:r>
        <w:rPr>
          <w:rFonts w:hint="eastAsia" w:hAnsi="宋体" w:cs="宋体"/>
          <w:color w:val="auto"/>
          <w:sz w:val="24"/>
          <w:highlight w:val="none"/>
          <w:lang w:eastAsia="zh-CN"/>
        </w:rPr>
        <w:t>供应商知道或者应知其权益受到损害之日，是指</w:t>
      </w:r>
      <w:r>
        <w:rPr>
          <w:rFonts w:hint="eastAsia" w:hAnsi="宋体" w:cs="宋体"/>
          <w:color w:val="auto"/>
          <w:sz w:val="24"/>
          <w:highlight w:val="none"/>
        </w:rPr>
        <w:t>：</w:t>
      </w:r>
    </w:p>
    <w:p w14:paraId="20B10C67">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4.3.2.1对可以质疑的采购文件提出质疑的，为获取采购文件之日；获取采购文件时采购公告期限已届满的，为采购公告期限届满之日；</w:t>
      </w:r>
    </w:p>
    <w:p w14:paraId="0E67E07C">
      <w:pPr>
        <w:pStyle w:val="33"/>
        <w:spacing w:line="360" w:lineRule="auto"/>
        <w:ind w:firstLine="480" w:firstLineChars="200"/>
        <w:rPr>
          <w:rFonts w:hint="eastAsia" w:hAnsi="宋体" w:cs="宋体"/>
          <w:color w:val="auto"/>
          <w:sz w:val="24"/>
          <w:highlight w:val="none"/>
        </w:rPr>
      </w:pPr>
      <w:r>
        <w:rPr>
          <w:rFonts w:hint="eastAsia" w:ascii="宋体" w:hAnsi="宋体" w:eastAsia="宋体" w:cs="宋体"/>
          <w:color w:val="auto"/>
          <w:kern w:val="0"/>
          <w:sz w:val="24"/>
          <w:highlight w:val="none"/>
          <w:lang w:val="en-US" w:eastAsia="zh-CN"/>
        </w:rPr>
        <w:t>4.3.2.2对采购过程中开标、资格审查、符合性审查和评审等环节提出质疑的，为各采购程序环节结束之日；</w:t>
      </w:r>
      <w:r>
        <w:rPr>
          <w:rFonts w:hint="eastAsia"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hAnsi="宋体" w:cs="宋体"/>
          <w:color w:val="auto"/>
          <w:sz w:val="24"/>
          <w:highlight w:val="none"/>
        </w:rPr>
        <w:t>4.3.2.3对中标结果提出质疑的，为中标结果公告期限届满之日；</w:t>
      </w:r>
    </w:p>
    <w:p w14:paraId="76BA8298">
      <w:pPr>
        <w:pStyle w:val="33"/>
        <w:spacing w:line="360" w:lineRule="auto"/>
        <w:ind w:firstLine="480" w:firstLineChars="200"/>
        <w:rPr>
          <w:rFonts w:hint="default" w:hAnsi="宋体" w:eastAsia="宋体" w:cs="宋体"/>
          <w:color w:val="auto"/>
          <w:sz w:val="24"/>
          <w:highlight w:val="none"/>
          <w:lang w:val="en-US" w:eastAsia="zh-CN"/>
        </w:rPr>
      </w:pPr>
      <w:r>
        <w:rPr>
          <w:rFonts w:hint="eastAsia" w:hAnsi="宋体" w:cs="宋体"/>
          <w:color w:val="auto"/>
          <w:sz w:val="24"/>
          <w:highlight w:val="none"/>
          <w:lang w:val="en-US" w:eastAsia="zh-CN"/>
        </w:rPr>
        <w:t>4.3.2.4采购文件、采购过程、中标或者成交结果发生澄清、修改、更正的，对经澄清、修改、更正的部分内容提出质疑的，为通知送达供应商之日或者澄清公告、更正公告发布之日。</w:t>
      </w:r>
    </w:p>
    <w:p w14:paraId="0B1B067B">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628527A4">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4.3.3.1供应商的姓名或者名称、地址、邮编、联系人及联系电话；</w:t>
      </w:r>
    </w:p>
    <w:p w14:paraId="401F60CD">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4.3.3.2质疑项目的名称、编号；</w:t>
      </w:r>
    </w:p>
    <w:p w14:paraId="7D25BCC4">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4.3.3.3具体、明确的质疑事项和与质疑事项相关的请求；</w:t>
      </w:r>
    </w:p>
    <w:p w14:paraId="32BC6DDF">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4.3.3.4事实依据；</w:t>
      </w:r>
    </w:p>
    <w:p w14:paraId="29C184A9">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4.3.3.5必要的法律依据；</w:t>
      </w:r>
    </w:p>
    <w:p w14:paraId="1732298D">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4.3.3.6提出质疑的日期。</w:t>
      </w:r>
    </w:p>
    <w:p w14:paraId="5CE39A2F">
      <w:pPr>
        <w:pStyle w:val="887"/>
        <w:shd w:val="clear" w:color="auto" w:fill="FFFFFF"/>
        <w:snapToGrid w:val="0"/>
        <w:spacing w:after="240" w:afterAutospacing="0" w:line="360" w:lineRule="auto"/>
        <w:ind w:firstLine="400"/>
        <w:contextualSpacing/>
        <w:rPr>
          <w:rFonts w:hint="eastAsia" w:ascii="宋体" w:hAnsi="宋体" w:eastAsia="宋体" w:cs="宋体"/>
          <w:color w:val="auto"/>
        </w:rPr>
      </w:pPr>
      <w:r>
        <w:rPr>
          <w:rFonts w:hint="eastAsia" w:ascii="宋体" w:hAnsi="宋体" w:eastAsia="宋体" w:cs="宋体"/>
          <w:color w:val="auto"/>
        </w:rPr>
        <w:t>供应商提交的质疑函需一式三份。供应商为自然人的，应当由本人签字；供应商为法人或者其他组织的，应当由法定代表人、主要负责人，或者其授权代表签字或者盖章，并加盖公章。</w:t>
      </w:r>
    </w:p>
    <w:p w14:paraId="58793D00">
      <w:pPr>
        <w:pStyle w:val="887"/>
        <w:shd w:val="clear" w:color="auto" w:fill="FFFFFF"/>
        <w:snapToGrid w:val="0"/>
        <w:spacing w:after="240" w:afterAutospacing="0" w:line="360" w:lineRule="auto"/>
        <w:ind w:firstLine="400"/>
        <w:contextualSpacing/>
        <w:rPr>
          <w:color w:val="auto"/>
        </w:rPr>
      </w:pPr>
      <w:r>
        <w:rPr>
          <w:rFonts w:hint="eastAsia"/>
          <w:color w:val="auto"/>
        </w:rPr>
        <w:t>质疑函范本及制作说明详见附件2。</w:t>
      </w:r>
    </w:p>
    <w:p w14:paraId="40A5B6BB">
      <w:pPr>
        <w:pStyle w:val="887"/>
        <w:shd w:val="clear" w:color="auto" w:fill="FFFFFF"/>
        <w:snapToGrid w:val="0"/>
        <w:spacing w:after="240" w:afterAutospacing="0" w:line="360" w:lineRule="auto"/>
        <w:ind w:firstLine="400"/>
        <w:contextualSpacing/>
        <w:rPr>
          <w:rFonts w:hint="eastAsia"/>
          <w:color w:val="auto"/>
        </w:rPr>
      </w:pPr>
      <w:r>
        <w:rPr>
          <w:rFonts w:hint="eastAsia"/>
          <w:color w:val="auto"/>
        </w:rPr>
        <w:t>4.3.4对同一采购程序环节的质疑，供应商须在法定质疑期内一次性提出。</w:t>
      </w:r>
    </w:p>
    <w:p w14:paraId="03F17374">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供应商有下列情形之一的，质疑事项不予处理，由采购人收到质疑函后七个工作日内书面通知质疑供应商：</w:t>
      </w:r>
    </w:p>
    <w:p w14:paraId="7E222E71">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1.潜在供应商未提供依法获取采购文件证据材料，对采购文件提出质疑的；</w:t>
      </w:r>
    </w:p>
    <w:p w14:paraId="6C711D56">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2.供应商未按采购人、采购代理机构要求提供项目设置的特定资格条件证明材料，对特定资格条件以外的采购文件内容提出质疑的；</w:t>
      </w:r>
    </w:p>
    <w:p w14:paraId="77F8B862">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3.未提交投标（响应）文件，对采购过程、采购结果提出质疑的；</w:t>
      </w:r>
    </w:p>
    <w:p w14:paraId="14F3A870">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4.未通过资格审查，对评审过程、采购结果提出质疑的；</w:t>
      </w:r>
    </w:p>
    <w:p w14:paraId="6200D8A0">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5.未通过符合性审查，对符合性审查后的评审活动、采购结果提出质疑的；</w:t>
      </w:r>
    </w:p>
    <w:p w14:paraId="306556D6">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6.未通过采购文件规定的方式提出质疑的；</w:t>
      </w:r>
    </w:p>
    <w:p w14:paraId="03DB95FA">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7.提出质疑时间已超出法定质疑期的；</w:t>
      </w:r>
    </w:p>
    <w:p w14:paraId="735CDFFE">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8.采购文件要求供应商在法定质疑期内一次性提出针对同一采购程序环节质疑，再次提出质疑的；</w:t>
      </w:r>
    </w:p>
    <w:p w14:paraId="1C2850EC">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9.质疑函未按采购人、采购代理机构要求补充完善签署、盖章、联系方式、提交合法有效的授权委托书的；</w:t>
      </w:r>
    </w:p>
    <w:p w14:paraId="67425A6F">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10.质疑供应商未按照采购人、采购代理机构要求提供属于潜在供应商或其合法权益受到损害的事实依据的；</w:t>
      </w:r>
    </w:p>
    <w:p w14:paraId="349F5FBE">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11.以联合体形式参加政府采购活动，联合体成员未共同提出质疑的；</w:t>
      </w:r>
    </w:p>
    <w:p w14:paraId="6A04ED2C">
      <w:pPr>
        <w:pStyle w:val="887"/>
        <w:shd w:val="clear" w:color="auto" w:fill="FFFFFF"/>
        <w:snapToGrid w:val="0"/>
        <w:spacing w:after="240" w:afterAutospacing="0" w:line="360" w:lineRule="auto"/>
        <w:ind w:firstLine="400"/>
        <w:contextualSpacing/>
        <w:rPr>
          <w:color w:val="auto"/>
          <w:highlight w:val="yellow"/>
        </w:rPr>
      </w:pPr>
      <w:r>
        <w:rPr>
          <w:rFonts w:hint="eastAsia"/>
          <w:color w:val="auto"/>
          <w:highlight w:val="none"/>
          <w:lang w:val="en-US" w:eastAsia="zh-CN"/>
        </w:rPr>
        <w:t>4.3.5.</w:t>
      </w:r>
      <w:r>
        <w:rPr>
          <w:rFonts w:hint="eastAsia"/>
          <w:color w:val="auto"/>
          <w:highlight w:val="none"/>
        </w:rPr>
        <w:t>12.法律法规或省级以上财政部门规定的其他情形。</w:t>
      </w:r>
    </w:p>
    <w:p w14:paraId="4C8B8CD5">
      <w:pPr>
        <w:pStyle w:val="887"/>
        <w:shd w:val="clear" w:color="auto" w:fill="FFFFFF"/>
        <w:snapToGrid w:val="0"/>
        <w:spacing w:after="240" w:afterAutospacing="0" w:line="360" w:lineRule="auto"/>
        <w:ind w:firstLine="400"/>
        <w:contextualSpacing/>
        <w:rPr>
          <w:rFonts w:hint="default" w:eastAsia="宋体"/>
          <w:color w:val="auto"/>
          <w:u w:val="none"/>
          <w:lang w:val="en-US" w:eastAsia="zh-CN"/>
        </w:rPr>
      </w:pPr>
      <w:r>
        <w:rPr>
          <w:rFonts w:hint="eastAsia"/>
          <w:color w:val="auto"/>
          <w:lang w:val="zh-CN"/>
        </w:rPr>
        <w:t>4.3</w:t>
      </w:r>
      <w:r>
        <w:rPr>
          <w:rFonts w:hint="eastAsia"/>
          <w:color w:val="auto"/>
        </w:rPr>
        <w:t>.</w:t>
      </w:r>
      <w:r>
        <w:rPr>
          <w:rFonts w:hint="eastAsia"/>
          <w:color w:val="auto"/>
          <w:lang w:val="en-US" w:eastAsia="zh-CN"/>
        </w:rPr>
        <w:t>6</w:t>
      </w:r>
      <w:r>
        <w:rPr>
          <w:rFonts w:hint="eastAsia"/>
          <w:color w:val="auto"/>
        </w:rPr>
        <w:t>采购人应当在收到供应商的书面质疑后七个工作日内作出答复，并以书面形式通知质疑供应商和其他与质疑处理结果有利害关系的政府采购当事人，但答复的内容不得涉及商业秘密。</w:t>
      </w:r>
    </w:p>
    <w:p w14:paraId="37479B4B">
      <w:pPr>
        <w:pStyle w:val="887"/>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w:t>
      </w:r>
      <w:r>
        <w:rPr>
          <w:rFonts w:hint="eastAsia"/>
          <w:color w:val="auto"/>
          <w:lang w:val="en-US" w:eastAsia="zh-CN"/>
        </w:rPr>
        <w:t>6</w:t>
      </w:r>
      <w:r>
        <w:rPr>
          <w:rFonts w:hint="eastAsia"/>
          <w:color w:val="auto"/>
        </w:rPr>
        <w:t>询问或者质疑事项可能影响采购结果的，采购人应当暂停签订合同，已经签订合同的，应当中止履行合同。</w:t>
      </w:r>
    </w:p>
    <w:p w14:paraId="5172FA74">
      <w:pPr>
        <w:pStyle w:val="887"/>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14:paraId="1B2B1437">
      <w:pPr>
        <w:pStyle w:val="887"/>
        <w:shd w:val="clear" w:color="auto" w:fill="FFFFFF"/>
        <w:snapToGrid w:val="0"/>
        <w:spacing w:after="240" w:afterAutospacing="0" w:line="360" w:lineRule="auto"/>
        <w:ind w:firstLine="400"/>
        <w:contextualSpacing/>
        <w:rPr>
          <w:color w:val="auto"/>
        </w:rPr>
      </w:pPr>
      <w:r>
        <w:rPr>
          <w:rFonts w:hint="eastAsia"/>
          <w:color w:val="auto"/>
        </w:rPr>
        <w:t>4.4.1质疑供应商对采购人的答复不满意或者采购人未在规定的时间内作出答复的，可以在答复期满后十五个工作日内向同级政府采购监督管理部门提出投诉。</w:t>
      </w:r>
    </w:p>
    <w:p w14:paraId="6C110ACB">
      <w:pPr>
        <w:pStyle w:val="887"/>
        <w:shd w:val="clear" w:color="auto" w:fill="FFFFFF"/>
        <w:snapToGrid w:val="0"/>
        <w:spacing w:after="240" w:afterAutospacing="0" w:line="360" w:lineRule="auto"/>
        <w:ind w:firstLine="4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38FB0BA6">
      <w:pPr>
        <w:pStyle w:val="887"/>
        <w:shd w:val="clear" w:color="auto" w:fill="FFFFFF"/>
        <w:snapToGrid w:val="0"/>
        <w:spacing w:after="240" w:afterAutospacing="0" w:line="360" w:lineRule="auto"/>
        <w:ind w:firstLine="400"/>
        <w:contextualSpacing/>
        <w:rPr>
          <w:color w:val="auto"/>
        </w:rPr>
      </w:pPr>
      <w:r>
        <w:rPr>
          <w:rFonts w:hint="eastAsia"/>
          <w:color w:val="auto"/>
        </w:rPr>
        <w:t>4.4.3供应商投诉应当有明确的请求和必要的证明材料。</w:t>
      </w:r>
    </w:p>
    <w:p w14:paraId="410E4A0A">
      <w:pPr>
        <w:pStyle w:val="887"/>
        <w:shd w:val="clear" w:color="auto" w:fill="FFFFFF"/>
        <w:snapToGrid w:val="0"/>
        <w:spacing w:after="240" w:afterAutospacing="0" w:line="360" w:lineRule="auto"/>
        <w:ind w:firstLine="400"/>
        <w:contextualSpacing/>
        <w:rPr>
          <w:color w:val="auto"/>
        </w:rPr>
      </w:pPr>
      <w:r>
        <w:rPr>
          <w:rFonts w:hint="eastAsia"/>
          <w:color w:val="auto"/>
        </w:rPr>
        <w:t>4.4.4以联合体形式参加政府采购活动的，其投诉应当由组成联合体的所有供应商共同提出。</w:t>
      </w:r>
    </w:p>
    <w:p w14:paraId="7F984F12">
      <w:pPr>
        <w:pStyle w:val="887"/>
        <w:shd w:val="clear" w:color="auto" w:fill="FFFFFF"/>
        <w:snapToGrid w:val="0"/>
        <w:spacing w:after="240" w:afterAutospacing="0" w:line="360" w:lineRule="auto"/>
        <w:ind w:firstLine="400"/>
        <w:contextualSpacing/>
        <w:rPr>
          <w:rFonts w:hint="eastAsia"/>
          <w:color w:val="auto"/>
        </w:rPr>
      </w:pPr>
      <w:r>
        <w:rPr>
          <w:rFonts w:hint="eastAsia"/>
          <w:color w:val="auto"/>
        </w:rPr>
        <w:t>投诉书范本及制作说明详见附件3。</w:t>
      </w:r>
    </w:p>
    <w:p w14:paraId="6BAB2593">
      <w:pPr>
        <w:pStyle w:val="887"/>
        <w:numPr>
          <w:ilvl w:val="0"/>
          <w:numId w:val="1"/>
        </w:numPr>
        <w:shd w:val="clear" w:color="auto" w:fill="FFFFFF"/>
        <w:snapToGrid w:val="0"/>
        <w:spacing w:after="240" w:afterAutospacing="0" w:line="360" w:lineRule="auto"/>
        <w:ind w:firstLine="400"/>
        <w:contextualSpacing/>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其他说明</w:t>
      </w:r>
    </w:p>
    <w:p w14:paraId="3937E807">
      <w:pPr>
        <w:pStyle w:val="88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5.1招标</w:t>
      </w:r>
      <w:r>
        <w:rPr>
          <w:rFonts w:hint="eastAsia"/>
          <w:color w:val="auto"/>
          <w:highlight w:val="none"/>
        </w:rPr>
        <w:t>文件中所涉及的产品品牌或型号均为建议性要求或为代替部分技术指标描述，</w:t>
      </w:r>
      <w:r>
        <w:rPr>
          <w:rFonts w:hint="eastAsia"/>
          <w:color w:val="auto"/>
          <w:highlight w:val="none"/>
          <w:lang w:val="en-US" w:eastAsia="zh-CN"/>
        </w:rPr>
        <w:t>投标人</w:t>
      </w:r>
      <w:r>
        <w:rPr>
          <w:rFonts w:hint="eastAsia"/>
          <w:color w:val="auto"/>
          <w:highlight w:val="none"/>
        </w:rPr>
        <w:t>可以选择其他品牌型号的产品参加投标但投标产品须具有相当于或优于采购文件要求的指标、性能。否则，评标委员会将对其作出不利的评审。</w:t>
      </w:r>
    </w:p>
    <w:p w14:paraId="407A6DFC">
      <w:pPr>
        <w:pStyle w:val="887"/>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w:t>
      </w:r>
      <w:r>
        <w:rPr>
          <w:rFonts w:hint="default" w:ascii="宋体" w:hAnsi="宋体" w:eastAsia="宋体" w:cs="宋体"/>
          <w:color w:val="auto"/>
          <w:highlight w:val="none"/>
          <w:lang w:val="en-US" w:eastAsia="zh-CN"/>
        </w:rPr>
        <w:t>对采购文件本身不明确或存在歧义、矛盾的内容，应作对供应商而非采购人有利的解释；对因采购文件中有关产品技术参数需求表述不清导致供应商实质性响应不一致时，应终止评审，重新组织采购。</w:t>
      </w:r>
    </w:p>
    <w:p w14:paraId="4CCA84AC">
      <w:pPr>
        <w:adjustRightInd/>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 xml:space="preserve">      二、招标文件的构成、澄清、修改</w:t>
      </w:r>
    </w:p>
    <w:p w14:paraId="28473EA5">
      <w:pPr>
        <w:pStyle w:val="33"/>
        <w:spacing w:line="360" w:lineRule="auto"/>
        <w:rPr>
          <w:rFonts w:hAnsi="宋体" w:cs="宋体"/>
          <w:b/>
          <w:color w:val="auto"/>
          <w:sz w:val="24"/>
          <w:szCs w:val="24"/>
        </w:rPr>
      </w:pPr>
      <w:r>
        <w:rPr>
          <w:rFonts w:hint="eastAsia" w:hAnsi="宋体" w:cs="宋体"/>
          <w:b/>
          <w:color w:val="auto"/>
          <w:sz w:val="24"/>
          <w:szCs w:val="24"/>
          <w:lang w:val="en-US" w:eastAsia="zh-CN"/>
        </w:rPr>
        <w:t>6</w:t>
      </w:r>
      <w:r>
        <w:rPr>
          <w:rFonts w:hint="eastAsia" w:hAnsi="宋体" w:cs="宋体"/>
          <w:b/>
          <w:color w:val="auto"/>
          <w:sz w:val="24"/>
          <w:szCs w:val="24"/>
        </w:rPr>
        <w:t>．招标文件的构成</w:t>
      </w:r>
    </w:p>
    <w:p w14:paraId="21F27DA4">
      <w:pPr>
        <w:pStyle w:val="33"/>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 招标文件包括下列文件及附件：</w:t>
      </w:r>
    </w:p>
    <w:p w14:paraId="27ECC736">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.1.1招标公告；</w:t>
      </w:r>
    </w:p>
    <w:p w14:paraId="01CDD65E">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.1.2投标人须知；</w:t>
      </w:r>
    </w:p>
    <w:p w14:paraId="722AC7F2">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.1.3采购需求；</w:t>
      </w:r>
    </w:p>
    <w:p w14:paraId="71F12BDD">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.1.4评标办法；</w:t>
      </w:r>
    </w:p>
    <w:p w14:paraId="690F33C4">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.1.5拟签订的合同文本；</w:t>
      </w:r>
    </w:p>
    <w:p w14:paraId="7DF8F4C0">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lang w:val="en-US" w:eastAsia="zh-CN"/>
        </w:rPr>
        <w:t>6</w:t>
      </w:r>
      <w:r>
        <w:rPr>
          <w:rFonts w:hint="eastAsia" w:hAnsi="宋体" w:cs="宋体"/>
          <w:color w:val="auto"/>
          <w:sz w:val="24"/>
        </w:rPr>
        <w:t>.1.6</w:t>
      </w:r>
      <w:r>
        <w:rPr>
          <w:rFonts w:hint="eastAsia" w:hAnsi="宋体" w:cs="宋体"/>
          <w:color w:val="auto"/>
          <w:sz w:val="24"/>
          <w:szCs w:val="24"/>
        </w:rPr>
        <w:t>应提交的有关格式范例。</w:t>
      </w:r>
    </w:p>
    <w:p w14:paraId="604088AC">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3F5FC3D5">
      <w:pPr>
        <w:pStyle w:val="33"/>
        <w:spacing w:line="360" w:lineRule="auto"/>
        <w:rPr>
          <w:rFonts w:hAnsi="宋体" w:cs="宋体"/>
          <w:b/>
          <w:color w:val="auto"/>
          <w:sz w:val="24"/>
          <w:szCs w:val="24"/>
        </w:rPr>
      </w:pPr>
      <w:r>
        <w:rPr>
          <w:rFonts w:hint="eastAsia" w:hAnsi="宋体" w:cs="宋体"/>
          <w:b/>
          <w:color w:val="auto"/>
          <w:sz w:val="24"/>
          <w:szCs w:val="24"/>
          <w:lang w:val="en-US" w:eastAsia="zh-CN"/>
        </w:rPr>
        <w:t>7</w:t>
      </w:r>
      <w:r>
        <w:rPr>
          <w:rFonts w:hint="eastAsia" w:hAnsi="宋体" w:cs="宋体"/>
          <w:b/>
          <w:color w:val="auto"/>
          <w:sz w:val="24"/>
          <w:szCs w:val="24"/>
        </w:rPr>
        <w:t>. 招标文件的澄清、修改</w:t>
      </w:r>
    </w:p>
    <w:p w14:paraId="188C1573">
      <w:pPr>
        <w:pStyle w:val="129"/>
        <w:snapToGrid w:val="0"/>
        <w:spacing w:before="0"/>
        <w:ind w:firstLine="48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.1已获取招标文件的潜在投标人，若有问题需要澄清，应于投标截止时间前，以书面形式向</w:t>
      </w:r>
      <w:r>
        <w:rPr>
          <w:rFonts w:hint="eastAsia" w:ascii="宋体" w:hAnsi="宋体" w:cs="宋体"/>
          <w:color w:val="auto"/>
          <w:lang w:eastAsia="zh-CN"/>
        </w:rPr>
        <w:t>采购代理机构</w:t>
      </w:r>
      <w:r>
        <w:rPr>
          <w:rFonts w:hint="eastAsia" w:ascii="宋体" w:hAnsi="宋体" w:cs="宋体"/>
          <w:color w:val="auto"/>
        </w:rPr>
        <w:t>提出。</w:t>
      </w:r>
    </w:p>
    <w:p w14:paraId="24BFC3C8">
      <w:pPr>
        <w:pStyle w:val="129"/>
        <w:snapToGrid w:val="0"/>
        <w:spacing w:before="0"/>
        <w:ind w:firstLine="48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 xml:space="preserve">.2 </w:t>
      </w:r>
      <w:r>
        <w:rPr>
          <w:rFonts w:hint="eastAsia" w:ascii="宋体" w:hAnsi="宋体" w:cs="宋体"/>
          <w:color w:val="auto"/>
          <w:lang w:eastAsia="zh-CN"/>
        </w:rPr>
        <w:t>采购代理机构</w:t>
      </w:r>
      <w:r>
        <w:rPr>
          <w:rFonts w:hint="eastAsia" w:ascii="宋体" w:hAnsi="宋体" w:cs="宋体"/>
          <w:color w:val="auto"/>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CD8BD58">
      <w:pPr>
        <w:pStyle w:val="23"/>
        <w:rPr>
          <w:rFonts w:hAnsi="宋体" w:cs="宋体"/>
          <w:color w:val="auto"/>
          <w:sz w:val="18"/>
          <w:szCs w:val="18"/>
          <w:lang w:val="en-US"/>
        </w:rPr>
      </w:pPr>
      <w:r>
        <w:rPr>
          <w:rFonts w:hint="eastAsia" w:hAnsi="宋体" w:cs="宋体"/>
          <w:color w:val="auto"/>
          <w:szCs w:val="24"/>
          <w:lang w:val="en-US"/>
        </w:rPr>
        <w:t xml:space="preserve">    </w:t>
      </w:r>
    </w:p>
    <w:p w14:paraId="3E162C30">
      <w:pPr>
        <w:adjustRightInd/>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三、投标</w:t>
      </w:r>
    </w:p>
    <w:p w14:paraId="330D3E38">
      <w:pPr>
        <w:pStyle w:val="33"/>
        <w:spacing w:line="360" w:lineRule="auto"/>
        <w:rPr>
          <w:rFonts w:hAnsi="宋体" w:cs="宋体"/>
          <w:b/>
          <w:color w:val="auto"/>
          <w:sz w:val="24"/>
          <w:szCs w:val="24"/>
        </w:rPr>
      </w:pPr>
      <w:r>
        <w:rPr>
          <w:rFonts w:hint="eastAsia" w:hAnsi="宋体" w:cs="宋体"/>
          <w:b/>
          <w:color w:val="auto"/>
          <w:sz w:val="24"/>
          <w:szCs w:val="24"/>
          <w:lang w:val="en-US" w:eastAsia="zh-CN"/>
        </w:rPr>
        <w:t>8</w:t>
      </w:r>
      <w:r>
        <w:rPr>
          <w:rFonts w:hint="eastAsia" w:hAnsi="宋体" w:cs="宋体"/>
          <w:b/>
          <w:color w:val="auto"/>
          <w:sz w:val="24"/>
          <w:szCs w:val="24"/>
        </w:rPr>
        <w:t>. 招标文件的获取</w:t>
      </w:r>
    </w:p>
    <w:p w14:paraId="108B7715">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w:t>
      </w:r>
      <w:r>
        <w:rPr>
          <w:rFonts w:hint="eastAsia" w:ascii="宋体" w:hAnsi="宋体" w:cs="宋体"/>
          <w:snapToGrid w:val="0"/>
          <w:color w:val="auto"/>
          <w:kern w:val="28"/>
          <w:sz w:val="24"/>
          <w:highlight w:val="none"/>
        </w:rPr>
        <w:t>及招标文件售价</w:t>
      </w:r>
      <w:r>
        <w:rPr>
          <w:rFonts w:hint="eastAsia" w:ascii="宋体" w:hAnsi="宋体" w:cs="宋体"/>
          <w:snapToGrid w:val="0"/>
          <w:color w:val="auto"/>
          <w:kern w:val="28"/>
          <w:sz w:val="24"/>
        </w:rPr>
        <w:t>。</w:t>
      </w:r>
    </w:p>
    <w:p w14:paraId="45725ED8">
      <w:pPr>
        <w:pStyle w:val="33"/>
        <w:spacing w:line="360" w:lineRule="auto"/>
        <w:rPr>
          <w:rFonts w:hAnsi="宋体" w:cs="宋体"/>
          <w:b/>
          <w:color w:val="auto"/>
          <w:sz w:val="24"/>
          <w:szCs w:val="24"/>
        </w:rPr>
      </w:pPr>
      <w:r>
        <w:rPr>
          <w:rFonts w:hint="eastAsia" w:hAnsi="宋体" w:cs="宋体"/>
          <w:b/>
          <w:color w:val="auto"/>
          <w:sz w:val="24"/>
          <w:szCs w:val="24"/>
          <w:lang w:val="en-US" w:eastAsia="zh-CN"/>
        </w:rPr>
        <w:t>9</w:t>
      </w:r>
      <w:r>
        <w:rPr>
          <w:rFonts w:hint="eastAsia" w:hAnsi="宋体" w:cs="宋体"/>
          <w:b/>
          <w:color w:val="auto"/>
          <w:sz w:val="24"/>
          <w:szCs w:val="24"/>
        </w:rPr>
        <w:t>.开标前答疑会或现场考察</w:t>
      </w:r>
    </w:p>
    <w:p w14:paraId="03E9AC74">
      <w:pPr>
        <w:pStyle w:val="33"/>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55B353A4">
      <w:pPr>
        <w:pStyle w:val="33"/>
        <w:spacing w:line="360" w:lineRule="auto"/>
        <w:rPr>
          <w:rFonts w:hAnsi="宋体" w:cs="宋体"/>
          <w:b/>
          <w:color w:val="auto"/>
          <w:szCs w:val="24"/>
        </w:rPr>
      </w:pPr>
      <w:r>
        <w:rPr>
          <w:rFonts w:hint="eastAsia" w:hAnsi="宋体" w:cs="宋体"/>
          <w:b/>
          <w:color w:val="auto"/>
          <w:kern w:val="28"/>
          <w:sz w:val="24"/>
          <w:szCs w:val="24"/>
          <w:lang w:val="en-US" w:eastAsia="zh-CN"/>
        </w:rPr>
        <w:t>10</w:t>
      </w:r>
      <w:r>
        <w:rPr>
          <w:rFonts w:hint="eastAsia" w:hAnsi="宋体" w:cs="宋体"/>
          <w:b/>
          <w:color w:val="auto"/>
          <w:kern w:val="28"/>
          <w:sz w:val="24"/>
          <w:szCs w:val="24"/>
        </w:rPr>
        <w:t>.投标保证金</w:t>
      </w:r>
    </w:p>
    <w:p w14:paraId="63E0B496">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706446CD">
      <w:pPr>
        <w:pStyle w:val="33"/>
        <w:spacing w:line="360" w:lineRule="auto"/>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1</w:t>
      </w:r>
      <w:r>
        <w:rPr>
          <w:rFonts w:hint="eastAsia" w:hAnsi="宋体" w:cs="宋体"/>
          <w:b/>
          <w:color w:val="auto"/>
          <w:sz w:val="24"/>
          <w:szCs w:val="24"/>
        </w:rPr>
        <w:t>. 投标文件的语言</w:t>
      </w:r>
    </w:p>
    <w:p w14:paraId="42D767CF">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5076DDC8">
      <w:pPr>
        <w:pStyle w:val="33"/>
        <w:spacing w:line="360" w:lineRule="auto"/>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2</w:t>
      </w:r>
      <w:r>
        <w:rPr>
          <w:rFonts w:hint="eastAsia" w:hAnsi="宋体" w:cs="宋体"/>
          <w:b/>
          <w:color w:val="auto"/>
          <w:sz w:val="24"/>
          <w:szCs w:val="24"/>
        </w:rPr>
        <w:t>. 投标文件的组成</w:t>
      </w:r>
    </w:p>
    <w:p w14:paraId="630B9EB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w:t>
      </w:r>
      <w:r>
        <w:rPr>
          <w:rFonts w:hint="eastAsia" w:ascii="宋体" w:hAnsi="宋体" w:cs="宋体"/>
          <w:b/>
          <w:color w:val="auto"/>
          <w:sz w:val="24"/>
        </w:rPr>
        <w:t>资格文件</w:t>
      </w:r>
      <w:r>
        <w:rPr>
          <w:rFonts w:hint="eastAsia" w:ascii="宋体" w:hAnsi="宋体" w:cs="宋体"/>
          <w:color w:val="auto"/>
          <w:sz w:val="24"/>
        </w:rPr>
        <w:t>：</w:t>
      </w:r>
    </w:p>
    <w:p w14:paraId="3378AC2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.1.1符合参加政府采购活动应当具备的一般条件的承诺函；</w:t>
      </w:r>
    </w:p>
    <w:p w14:paraId="39896E15">
      <w:pPr>
        <w:snapToGrid w:val="0"/>
        <w:spacing w:line="360" w:lineRule="auto"/>
        <w:ind w:firstLine="482" w:firstLineChars="200"/>
        <w:rPr>
          <w:rFonts w:ascii="宋体" w:hAnsi="宋体" w:cs="宋体"/>
          <w:b/>
          <w:bCs/>
          <w:color w:val="auto"/>
          <w:sz w:val="24"/>
          <w:lang w:val="zh-CN"/>
        </w:rPr>
      </w:pPr>
      <w:r>
        <w:rPr>
          <w:rFonts w:hint="eastAsia" w:ascii="宋体" w:hAnsi="宋体" w:cs="宋体"/>
          <w:b/>
          <w:bCs/>
          <w:color w:val="auto"/>
          <w:sz w:val="24"/>
          <w:lang w:val="zh-CN"/>
        </w:rPr>
        <w:t>1</w:t>
      </w:r>
      <w:r>
        <w:rPr>
          <w:rFonts w:hint="eastAsia" w:ascii="宋体" w:hAnsi="宋体" w:cs="宋体"/>
          <w:b/>
          <w:bCs/>
          <w:color w:val="auto"/>
          <w:sz w:val="24"/>
          <w:lang w:val="en-US" w:eastAsia="zh-CN"/>
        </w:rPr>
        <w:t>2</w:t>
      </w:r>
      <w:r>
        <w:rPr>
          <w:rFonts w:hint="eastAsia" w:ascii="宋体" w:hAnsi="宋体" w:cs="宋体"/>
          <w:b/>
          <w:bCs/>
          <w:color w:val="auto"/>
          <w:sz w:val="24"/>
          <w:lang w:val="zh-CN"/>
        </w:rPr>
        <w:t>.</w:t>
      </w:r>
      <w:r>
        <w:rPr>
          <w:rFonts w:hint="eastAsia" w:ascii="宋体" w:hAnsi="宋体" w:cs="宋体"/>
          <w:b/>
          <w:bCs/>
          <w:color w:val="auto"/>
          <w:sz w:val="24"/>
        </w:rPr>
        <w:t>2商务技术</w:t>
      </w:r>
      <w:r>
        <w:rPr>
          <w:rFonts w:hint="eastAsia" w:ascii="宋体" w:hAnsi="宋体" w:cs="宋体"/>
          <w:b/>
          <w:bCs/>
          <w:color w:val="auto"/>
          <w:sz w:val="24"/>
          <w:lang w:val="zh-CN"/>
        </w:rPr>
        <w:t>文件：</w:t>
      </w:r>
    </w:p>
    <w:p w14:paraId="0484E790">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.2.1投标函；</w:t>
      </w:r>
      <w:r>
        <w:rPr>
          <w:rFonts w:hint="eastAsia" w:ascii="宋体" w:hAnsi="宋体" w:eastAsia="宋体" w:cs="宋体"/>
          <w:color w:val="auto"/>
          <w:sz w:val="24"/>
          <w:lang w:val="zh-CN"/>
        </w:rPr>
        <w:t xml:space="preserve"> </w:t>
      </w:r>
    </w:p>
    <w:p w14:paraId="09F7EC64">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.2.2授权委托书或法定代表人（单位负责人、自然人本人）身份证明；</w:t>
      </w:r>
    </w:p>
    <w:p w14:paraId="77BCC88F">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w:t>
      </w:r>
      <w:r>
        <w:rPr>
          <w:rFonts w:hint="eastAsia" w:ascii="宋体" w:hAnsi="宋体" w:cs="宋体"/>
          <w:color w:val="auto"/>
          <w:sz w:val="24"/>
          <w:lang w:val="en-US" w:eastAsia="zh-CN"/>
        </w:rPr>
        <w:t>3</w:t>
      </w:r>
      <w:r>
        <w:rPr>
          <w:rFonts w:hint="eastAsia" w:ascii="宋体" w:hAnsi="宋体" w:eastAsia="宋体" w:cs="宋体"/>
          <w:color w:val="auto"/>
          <w:sz w:val="24"/>
          <w:highlight w:val="none"/>
        </w:rPr>
        <w:t>符合性审查资料</w:t>
      </w:r>
      <w:r>
        <w:rPr>
          <w:rFonts w:hint="eastAsia" w:ascii="宋体" w:hAnsi="宋体" w:eastAsia="宋体" w:cs="宋体"/>
          <w:color w:val="auto"/>
          <w:sz w:val="24"/>
        </w:rPr>
        <w:t>；</w:t>
      </w:r>
    </w:p>
    <w:p w14:paraId="3C3EE313">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w:t>
      </w:r>
      <w:r>
        <w:rPr>
          <w:rFonts w:hint="eastAsia" w:ascii="宋体" w:hAnsi="宋体" w:cs="宋体"/>
          <w:color w:val="auto"/>
          <w:sz w:val="24"/>
          <w:lang w:val="en-US" w:eastAsia="zh-CN"/>
        </w:rPr>
        <w:t>4</w:t>
      </w:r>
      <w:r>
        <w:rPr>
          <w:rFonts w:hint="eastAsia" w:ascii="宋体" w:hAnsi="宋体" w:eastAsia="宋体" w:cs="宋体"/>
          <w:color w:val="auto"/>
          <w:sz w:val="24"/>
        </w:rPr>
        <w:t>投标标的清单；</w:t>
      </w:r>
    </w:p>
    <w:p w14:paraId="680CD865">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w:t>
      </w:r>
      <w:r>
        <w:rPr>
          <w:rFonts w:hint="eastAsia" w:ascii="宋体" w:hAnsi="宋体" w:cs="宋体"/>
          <w:color w:val="auto"/>
          <w:sz w:val="24"/>
          <w:lang w:val="en-US" w:eastAsia="zh-CN"/>
        </w:rPr>
        <w:t>5</w:t>
      </w:r>
      <w:r>
        <w:rPr>
          <w:rFonts w:hint="eastAsia" w:ascii="宋体" w:hAnsi="宋体" w:eastAsia="宋体" w:cs="宋体"/>
          <w:color w:val="auto"/>
          <w:sz w:val="24"/>
        </w:rPr>
        <w:t>商务技术偏离表；</w:t>
      </w:r>
    </w:p>
    <w:p w14:paraId="114CCEB2">
      <w:pPr>
        <w:snapToGrid w:val="0"/>
        <w:spacing w:line="360" w:lineRule="auto"/>
        <w:ind w:firstLine="960" w:firstLineChars="400"/>
        <w:rPr>
          <w:rFonts w:hint="default" w:ascii="宋体" w:hAnsi="宋体" w:eastAsia="宋体" w:cs="宋体"/>
          <w:color w:val="auto"/>
          <w:sz w:val="24"/>
          <w:lang w:val="en"/>
        </w:rPr>
      </w:pPr>
      <w:r>
        <w:rPr>
          <w:rFonts w:hint="eastAsia" w:ascii="宋体" w:hAnsi="宋体" w:eastAsia="宋体" w:cs="宋体"/>
          <w:color w:val="auto"/>
          <w:sz w:val="24"/>
          <w:lang w:val="zh-CN"/>
        </w:rPr>
        <w:t>1</w:t>
      </w:r>
      <w:r>
        <w:rPr>
          <w:rFonts w:hint="eastAsia" w:ascii="宋体" w:hAnsi="宋体" w:cs="宋体"/>
          <w:color w:val="auto"/>
          <w:sz w:val="24"/>
          <w:lang w:val="en-US" w:eastAsia="zh-CN"/>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cs="宋体"/>
          <w:color w:val="auto"/>
          <w:sz w:val="24"/>
          <w:lang w:val="en-US" w:eastAsia="zh-CN"/>
        </w:rPr>
        <w:t>6</w:t>
      </w:r>
      <w:r>
        <w:rPr>
          <w:rFonts w:hint="eastAsia" w:ascii="宋体" w:hAnsi="宋体" w:eastAsia="宋体" w:cs="宋体"/>
          <w:color w:val="auto"/>
          <w:sz w:val="24"/>
          <w:lang w:val="zh-CN"/>
        </w:rPr>
        <w:t>政府采购供应商廉洁自律承诺书</w:t>
      </w:r>
      <w:r>
        <w:rPr>
          <w:rFonts w:hint="eastAsia" w:ascii="宋体" w:hAnsi="宋体" w:eastAsia="宋体" w:cs="宋体"/>
          <w:color w:val="auto"/>
          <w:sz w:val="24"/>
        </w:rPr>
        <w:t>；</w:t>
      </w:r>
    </w:p>
    <w:p w14:paraId="46B0BBA4">
      <w:pPr>
        <w:snapToGrid w:val="0"/>
        <w:spacing w:line="360" w:lineRule="auto"/>
        <w:ind w:firstLine="960" w:firstLineChars="400"/>
        <w:rPr>
          <w:rFonts w:hint="eastAsia" w:ascii="宋体" w:hAnsi="宋体" w:eastAsia="宋体" w:cs="宋体"/>
          <w:color w:val="auto"/>
          <w:sz w:val="24"/>
          <w:lang w:val="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认为需要的其他文件资料或说明</w:t>
      </w:r>
      <w:r>
        <w:rPr>
          <w:rFonts w:hint="eastAsia" w:ascii="宋体" w:hAnsi="宋体" w:eastAsia="宋体" w:cs="宋体"/>
          <w:color w:val="auto"/>
          <w:sz w:val="24"/>
          <w:lang w:val="zh-CN"/>
        </w:rPr>
        <w:t>。</w:t>
      </w:r>
    </w:p>
    <w:p w14:paraId="6F160A19">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2</w:t>
      </w:r>
      <w:r>
        <w:rPr>
          <w:rFonts w:hint="eastAsia" w:ascii="宋体" w:hAnsi="宋体" w:cs="宋体"/>
          <w:color w:val="auto"/>
          <w:kern w:val="0"/>
          <w:sz w:val="24"/>
          <w:lang w:val="zh-CN"/>
        </w:rPr>
        <w:t>.</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68876DDA">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.3.1开标一览表（报价表）；</w:t>
      </w:r>
    </w:p>
    <w:p w14:paraId="03268EE7">
      <w:pPr>
        <w:snapToGrid w:val="0"/>
        <w:spacing w:line="360" w:lineRule="auto"/>
        <w:ind w:firstLine="960" w:firstLineChars="4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.3.2中小企业声明函</w:t>
      </w:r>
      <w:r>
        <w:rPr>
          <w:rFonts w:hint="eastAsia" w:ascii="宋体" w:hAnsi="宋体" w:cs="宋体"/>
          <w:color w:val="auto"/>
          <w:sz w:val="24"/>
          <w:highlight w:val="none"/>
        </w:rPr>
        <w:t>（如果有）</w:t>
      </w:r>
      <w:r>
        <w:rPr>
          <w:rFonts w:hint="eastAsia" w:ascii="宋体" w:hAnsi="宋体" w:cs="宋体"/>
          <w:color w:val="auto"/>
          <w:sz w:val="24"/>
        </w:rPr>
        <w:t>；</w:t>
      </w:r>
    </w:p>
    <w:p w14:paraId="0CFDB19A">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.3.3关于符合本国产品标准的声明函或财政部会同有关部门规定的有关证明文件（如是本国产品须提供）</w:t>
      </w:r>
      <w:r>
        <w:rPr>
          <w:rFonts w:hint="eastAsia" w:ascii="宋体" w:hAnsi="宋体" w:cs="宋体"/>
          <w:color w:val="auto"/>
          <w:sz w:val="24"/>
          <w:highlight w:val="none"/>
        </w:rPr>
        <w:t>；</w:t>
      </w:r>
    </w:p>
    <w:p w14:paraId="4EA98EC7">
      <w:pPr>
        <w:snapToGrid w:val="0"/>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.3.4关于符合本国产品标准的成本占比的承诺函（如果有）</w:t>
      </w:r>
      <w:r>
        <w:rPr>
          <w:rFonts w:hint="eastAsia" w:ascii="宋体" w:hAnsi="宋体" w:cs="宋体"/>
          <w:color w:val="auto"/>
          <w:sz w:val="24"/>
          <w:highlight w:val="none"/>
          <w:lang w:val="en-US" w:eastAsia="zh-CN"/>
        </w:rPr>
        <w:t>。</w:t>
      </w:r>
    </w:p>
    <w:p w14:paraId="666C05E5">
      <w:pPr>
        <w:spacing w:line="360" w:lineRule="auto"/>
        <w:ind w:firstLine="723" w:firstLineChars="300"/>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2D3AC519">
      <w:pPr>
        <w:spacing w:line="360" w:lineRule="auto"/>
        <w:ind w:firstLine="723" w:firstLineChars="300"/>
        <w:rPr>
          <w:rFonts w:ascii="宋体" w:hAnsi="宋体" w:cs="宋体"/>
          <w:b/>
          <w:color w:val="auto"/>
          <w:sz w:val="24"/>
          <w:szCs w:val="21"/>
        </w:rPr>
      </w:pPr>
      <w:r>
        <w:rPr>
          <w:rFonts w:hint="eastAsia" w:ascii="宋体" w:hAnsi="宋体" w:cs="宋体"/>
          <w:b/>
          <w:color w:val="auto"/>
          <w:sz w:val="24"/>
        </w:rPr>
        <w:t>投标人提供虚假材料投标的，投标无效。</w:t>
      </w:r>
    </w:p>
    <w:p w14:paraId="67D6028F">
      <w:pPr>
        <w:pStyle w:val="129"/>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w:t>
      </w:r>
      <w:r>
        <w:rPr>
          <w:rFonts w:hint="eastAsia" w:ascii="宋体" w:hAnsi="宋体" w:cs="宋体"/>
          <w:b/>
          <w:color w:val="auto"/>
          <w:szCs w:val="24"/>
          <w:lang w:val="en-US" w:eastAsia="zh-CN"/>
        </w:rPr>
        <w:t>3</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490F66FF">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6CE553E">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68216800">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.3使用“政采云电子交易客户端”需要提前申领CA数字证书，申领流程请自行前往“浙江政府采购网-下载专区-电子交易客户端-CA驱动和申领流程”进行查阅。</w:t>
      </w:r>
    </w:p>
    <w:p w14:paraId="7D160EE1">
      <w:pPr>
        <w:numPr>
          <w:ilvl w:val="0"/>
          <w:numId w:val="2"/>
        </w:numPr>
        <w:snapToGrid w:val="0"/>
        <w:spacing w:line="360" w:lineRule="auto"/>
        <w:rPr>
          <w:rFonts w:ascii="宋体" w:hAnsi="宋体" w:cs="宋体"/>
          <w:b/>
          <w:color w:val="auto"/>
          <w:sz w:val="24"/>
        </w:rPr>
      </w:pPr>
      <w:r>
        <w:rPr>
          <w:rFonts w:hint="eastAsia" w:ascii="宋体" w:hAnsi="宋体" w:cs="宋体"/>
          <w:b/>
          <w:color w:val="auto"/>
          <w:sz w:val="24"/>
        </w:rPr>
        <w:t>投标文件的签署、盖章</w:t>
      </w:r>
    </w:p>
    <w:p w14:paraId="5A97AC26">
      <w:pPr>
        <w:pStyle w:val="129"/>
        <w:snapToGrid w:val="0"/>
        <w:spacing w:before="0"/>
        <w:ind w:firstLine="480"/>
        <w:rPr>
          <w:rFonts w:ascii="宋体" w:hAnsi="宋体" w:cs="宋体"/>
          <w:b/>
          <w:color w:val="auto"/>
          <w:u w:val="single"/>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.1投标文件按照招标文件第六部分格式要</w:t>
      </w:r>
      <w:r>
        <w:rPr>
          <w:rFonts w:hint="eastAsia" w:ascii="宋体" w:hAnsi="宋体" w:cs="宋体"/>
          <w:color w:val="auto"/>
        </w:rPr>
        <w:t>求进行签署、盖章。</w:t>
      </w:r>
      <w:r>
        <w:rPr>
          <w:rFonts w:hint="eastAsia" w:ascii="宋体" w:hAnsi="宋体" w:cs="宋体"/>
          <w:b/>
          <w:color w:val="auto"/>
          <w:u w:val="single"/>
        </w:rPr>
        <w:t>▲投标人的投标文件未按照招标文件要求签署、盖章的，其投标无效</w:t>
      </w:r>
      <w:r>
        <w:rPr>
          <w:rFonts w:hint="eastAsia" w:ascii="宋体" w:hAnsi="宋体" w:cs="宋体"/>
          <w:color w:val="auto"/>
          <w:szCs w:val="24"/>
          <w:u w:val="single"/>
        </w:rPr>
        <w:t>。</w:t>
      </w:r>
    </w:p>
    <w:p w14:paraId="16ADB9B2">
      <w:pPr>
        <w:pStyle w:val="129"/>
        <w:snapToGrid w:val="0"/>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.2为确保网上操作合法、有效和安全，投标人应当在投标截止时间前完成在“政府采购云平台”的身份认证，确保在电子投标过程中能够对相关数据电文进行加密和使用电子签名。</w:t>
      </w:r>
    </w:p>
    <w:p w14:paraId="5AAED11E">
      <w:pPr>
        <w:pStyle w:val="129"/>
        <w:snapToGrid w:val="0"/>
        <w:spacing w:before="0"/>
        <w:ind w:firstLine="480"/>
        <w:rPr>
          <w:rFonts w:ascii="宋体" w:hAnsi="宋体" w:cs="宋体"/>
          <w:color w:val="auto"/>
          <w:szCs w:val="24"/>
        </w:rPr>
      </w:pP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.3招标文件对投标文件签署、盖章的要求适用于电子签名。</w:t>
      </w:r>
    </w:p>
    <w:p w14:paraId="5FC9FFA3">
      <w:pPr>
        <w:numPr>
          <w:ilvl w:val="0"/>
          <w:numId w:val="2"/>
        </w:numPr>
        <w:spacing w:line="360" w:lineRule="auto"/>
        <w:ind w:left="0" w:leftChars="0" w:firstLine="0" w:firstLineChars="0"/>
        <w:rPr>
          <w:rFonts w:hint="eastAsia" w:ascii="宋体" w:hAnsi="宋体" w:eastAsia="宋体" w:cs="宋体"/>
          <w:b/>
          <w:bCs/>
          <w:color w:val="auto"/>
          <w:kern w:val="0"/>
          <w:sz w:val="24"/>
          <w:highlight w:val="none"/>
          <w:lang w:val="en-US"/>
        </w:rPr>
      </w:pPr>
      <w:r>
        <w:rPr>
          <w:rFonts w:hint="eastAsia" w:ascii="宋体" w:hAnsi="宋体" w:eastAsia="宋体" w:cs="宋体"/>
          <w:b/>
          <w:bCs/>
          <w:color w:val="auto"/>
          <w:kern w:val="0"/>
          <w:sz w:val="24"/>
          <w:highlight w:val="none"/>
          <w:lang w:val="en-US" w:eastAsia="zh-CN"/>
        </w:rPr>
        <w:t>投标报价</w:t>
      </w:r>
    </w:p>
    <w:p w14:paraId="7D622A37">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36A419EA">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2投标报价应包含项目所需全部产品、服务，不得缺漏，是履行合同的最终价格（含货款、标准附件、备品备件、专用工具、包装、运输、装卸、保险、税金、货到就位以及安装、调试、培训、保修等一切税金和费用）。</w:t>
      </w:r>
    </w:p>
    <w:p w14:paraId="0661C40C">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资格文件、技术商务文件中不得出现投标报价信息，否则按无效标处理。</w:t>
      </w:r>
    </w:p>
    <w:p w14:paraId="4C96E0DE">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6DA83067">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16</w:t>
      </w:r>
      <w:r>
        <w:rPr>
          <w:rFonts w:hint="eastAsia" w:ascii="宋体" w:hAnsi="宋体" w:eastAsia="宋体" w:cs="宋体"/>
          <w:b/>
          <w:color w:val="auto"/>
          <w:sz w:val="24"/>
        </w:rPr>
        <w:t>. 投标文件的提交、补充、修改、撤回</w:t>
      </w:r>
    </w:p>
    <w:p w14:paraId="16058B84">
      <w:pPr>
        <w:pStyle w:val="129"/>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2C10B2E">
      <w:pPr>
        <w:pStyle w:val="129"/>
        <w:spacing w:before="0"/>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.2电子交易平台收到投标文件，将妥善保存并即时向供应商发出确认回执通知。在投标截止时间前，除供应商补充、修改或者撤回投标文件外，任何单位和个人不得解密或提取投标文件。</w:t>
      </w:r>
    </w:p>
    <w:p w14:paraId="08AB0A26">
      <w:pPr>
        <w:pStyle w:val="129"/>
        <w:spacing w:before="0"/>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.3采购人、</w:t>
      </w:r>
      <w:r>
        <w:rPr>
          <w:rFonts w:hint="eastAsia" w:ascii="宋体" w:hAnsi="宋体" w:cs="宋体"/>
          <w:color w:val="auto"/>
          <w:szCs w:val="24"/>
          <w:lang w:eastAsia="zh-CN"/>
        </w:rPr>
        <w:t>采购代理机构</w:t>
      </w:r>
      <w:r>
        <w:rPr>
          <w:rFonts w:hint="eastAsia" w:ascii="宋体" w:hAnsi="宋体" w:cs="宋体"/>
          <w:color w:val="auto"/>
          <w:szCs w:val="24"/>
        </w:rPr>
        <w:t>可以视情况延长投标文件提交的截止时间。在上述情况下，</w:t>
      </w:r>
      <w:r>
        <w:rPr>
          <w:rFonts w:hint="eastAsia" w:ascii="宋体" w:hAnsi="宋体" w:cs="宋体"/>
          <w:color w:val="auto"/>
          <w:szCs w:val="24"/>
          <w:lang w:eastAsia="zh-CN"/>
        </w:rPr>
        <w:t>采购代理机构</w:t>
      </w:r>
      <w:r>
        <w:rPr>
          <w:rFonts w:hint="eastAsia" w:ascii="宋体" w:hAnsi="宋体" w:cs="宋体"/>
          <w:color w:val="auto"/>
          <w:szCs w:val="24"/>
        </w:rPr>
        <w:t>与投标人以前在投标截止期方面的全部权利、责任和义务，将适用于延长至新的投标截止期。</w:t>
      </w:r>
    </w:p>
    <w:p w14:paraId="4437F70D">
      <w:pPr>
        <w:pStyle w:val="33"/>
        <w:numPr>
          <w:ilvl w:val="0"/>
          <w:numId w:val="3"/>
        </w:numPr>
        <w:spacing w:line="360" w:lineRule="auto"/>
        <w:rPr>
          <w:rFonts w:hAnsi="宋体" w:cs="宋体"/>
          <w:b/>
          <w:color w:val="auto"/>
          <w:sz w:val="24"/>
          <w:szCs w:val="24"/>
        </w:rPr>
      </w:pPr>
      <w:r>
        <w:rPr>
          <w:rFonts w:hint="eastAsia" w:hAnsi="宋体" w:cs="宋体"/>
          <w:b/>
          <w:color w:val="auto"/>
          <w:sz w:val="24"/>
          <w:szCs w:val="24"/>
        </w:rPr>
        <w:t>备份投标文件</w:t>
      </w:r>
    </w:p>
    <w:p w14:paraId="0DFBE951">
      <w:pPr>
        <w:pStyle w:val="33"/>
        <w:spacing w:line="360" w:lineRule="auto"/>
        <w:ind w:firstLine="360" w:firstLineChars="150"/>
        <w:rPr>
          <w:rFonts w:hAnsi="宋体" w:cs="宋体"/>
          <w:b/>
          <w:color w:val="auto"/>
          <w:sz w:val="24"/>
          <w:szCs w:val="24"/>
        </w:rPr>
      </w:pPr>
      <w:r>
        <w:rPr>
          <w:rFonts w:hint="eastAsia" w:hAnsi="宋体" w:cs="宋体"/>
          <w:color w:val="auto"/>
          <w:sz w:val="24"/>
          <w:szCs w:val="24"/>
        </w:rPr>
        <w:t xml:space="preserve"> 1</w:t>
      </w:r>
      <w:r>
        <w:rPr>
          <w:rFonts w:hint="eastAsia" w:hAnsi="宋体" w:cs="宋体"/>
          <w:color w:val="auto"/>
          <w:sz w:val="24"/>
          <w:szCs w:val="24"/>
          <w:lang w:val="en-US" w:eastAsia="zh-CN"/>
        </w:rPr>
        <w:t>7</w:t>
      </w:r>
      <w:r>
        <w:rPr>
          <w:rFonts w:hint="eastAsia" w:hAnsi="宋体" w:cs="宋体"/>
          <w:color w:val="auto"/>
          <w:sz w:val="24"/>
          <w:szCs w:val="24"/>
        </w:rPr>
        <w:t>.1投标人在电子交易平台传输递交投标文件后，还可以在投标截止时间前直接提交或者以邮政快递方式递交备份投标文件1份，</w:t>
      </w:r>
      <w:r>
        <w:rPr>
          <w:rFonts w:hint="eastAsia" w:hAnsi="宋体" w:cs="宋体"/>
          <w:b/>
          <w:color w:val="auto"/>
          <w:sz w:val="24"/>
          <w:szCs w:val="24"/>
        </w:rPr>
        <w:t>但采购人、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不强制或变相强制投标人提交备份投标文件。</w:t>
      </w:r>
    </w:p>
    <w:p w14:paraId="71874EFB">
      <w:pPr>
        <w:pStyle w:val="33"/>
        <w:spacing w:line="360" w:lineRule="auto"/>
        <w:ind w:firstLine="480" w:firstLineChars="200"/>
        <w:rPr>
          <w:rFonts w:hint="default" w:hAnsi="宋体" w:eastAsia="宋体" w:cs="宋体"/>
          <w:b/>
          <w:color w:val="auto"/>
          <w:sz w:val="24"/>
          <w:szCs w:val="24"/>
          <w:u w:val="none"/>
          <w:lang w:val="en-US" w:eastAsia="zh-CN"/>
        </w:rPr>
      </w:pPr>
      <w:r>
        <w:rPr>
          <w:rFonts w:hint="eastAsia" w:hAnsi="宋体" w:cs="宋体"/>
          <w:color w:val="auto"/>
          <w:sz w:val="24"/>
          <w:szCs w:val="24"/>
          <w:u w:val="none"/>
        </w:rPr>
        <w:t>1</w:t>
      </w:r>
      <w:r>
        <w:rPr>
          <w:rFonts w:hint="eastAsia" w:hAnsi="宋体" w:cs="宋体"/>
          <w:color w:val="auto"/>
          <w:sz w:val="24"/>
          <w:szCs w:val="24"/>
          <w:u w:val="none"/>
          <w:lang w:val="en-US" w:eastAsia="zh-CN"/>
        </w:rPr>
        <w:t>7</w:t>
      </w:r>
      <w:r>
        <w:rPr>
          <w:rFonts w:hint="eastAsia" w:hAnsi="宋体" w:cs="宋体"/>
          <w:color w:val="auto"/>
          <w:sz w:val="24"/>
          <w:szCs w:val="24"/>
          <w:u w:val="none"/>
        </w:rPr>
        <w:t>.2备份投标文件须在“政采云投标客户端”制作生成，并储存在</w:t>
      </w:r>
      <w:r>
        <w:rPr>
          <w:rFonts w:hint="eastAsia" w:hAnsi="宋体" w:cs="宋体"/>
          <w:color w:val="auto"/>
          <w:sz w:val="24"/>
          <w:u w:val="none"/>
          <w:lang w:val="en-US" w:eastAsia="zh-CN"/>
        </w:rPr>
        <w:t>U</w:t>
      </w:r>
      <w:r>
        <w:rPr>
          <w:rFonts w:hint="eastAsia" w:hAnsi="宋体" w:cs="宋体"/>
          <w:color w:val="auto"/>
          <w:sz w:val="24"/>
          <w:u w:val="none"/>
        </w:rPr>
        <w:t>盘</w:t>
      </w:r>
      <w:r>
        <w:rPr>
          <w:rFonts w:hint="eastAsia" w:hAnsi="宋体" w:cs="宋体"/>
          <w:color w:val="auto"/>
          <w:sz w:val="24"/>
          <w:u w:val="none"/>
          <w:lang w:val="en-US" w:eastAsia="zh-CN"/>
        </w:rPr>
        <w:t>等存储介质</w:t>
      </w:r>
      <w:r>
        <w:rPr>
          <w:rFonts w:hint="eastAsia" w:hAnsi="宋体" w:cs="宋体"/>
          <w:color w:val="auto"/>
          <w:sz w:val="24"/>
          <w:szCs w:val="24"/>
          <w:u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u w:val="none"/>
        </w:rPr>
        <w:t>不符合上述制作、</w:t>
      </w:r>
      <w:r>
        <w:rPr>
          <w:rFonts w:hint="eastAsia" w:hAnsi="宋体" w:cs="宋体"/>
          <w:b/>
          <w:color w:val="auto"/>
          <w:sz w:val="24"/>
          <w:szCs w:val="24"/>
          <w:u w:val="none"/>
        </w:rPr>
        <w:t>存储、密封规定的备份投标文件将被视为无效或者被拒绝接收。</w:t>
      </w:r>
      <w:r>
        <w:rPr>
          <w:rFonts w:hint="eastAsia" w:hAnsi="宋体" w:cs="宋体"/>
          <w:b/>
          <w:color w:val="auto"/>
          <w:sz w:val="24"/>
          <w:szCs w:val="24"/>
          <w:u w:val="none"/>
          <w:lang w:val="en-US" w:eastAsia="zh-CN"/>
        </w:rPr>
        <w:t xml:space="preserve"> </w:t>
      </w:r>
    </w:p>
    <w:p w14:paraId="68768BA5">
      <w:pPr>
        <w:pStyle w:val="33"/>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.3直接提交备份投标文件的，投标人应于投标截止时间前在招标公告中载明的开标地点将备份投标文件提交给</w:t>
      </w:r>
      <w:r>
        <w:rPr>
          <w:rFonts w:hint="eastAsia" w:hAnsi="宋体" w:cs="宋体"/>
          <w:color w:val="auto"/>
          <w:sz w:val="24"/>
          <w:szCs w:val="24"/>
          <w:lang w:eastAsia="zh-CN"/>
        </w:rPr>
        <w:t>采购代理机构</w:t>
      </w:r>
      <w:r>
        <w:rPr>
          <w:rFonts w:hint="eastAsia" w:hAnsi="宋体" w:cs="宋体"/>
          <w:color w:val="auto"/>
          <w:sz w:val="24"/>
          <w:szCs w:val="24"/>
        </w:rPr>
        <w:t>，</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w:t>
      </w:r>
    </w:p>
    <w:p w14:paraId="0DA077BC">
      <w:pPr>
        <w:pStyle w:val="33"/>
        <w:spacing w:line="360" w:lineRule="auto"/>
        <w:ind w:firstLine="480" w:firstLineChars="200"/>
        <w:rPr>
          <w:rFonts w:hint="default" w:hAnsi="宋体" w:eastAsia="宋体" w:cs="宋体"/>
          <w:color w:val="auto"/>
          <w:sz w:val="24"/>
          <w:szCs w:val="24"/>
          <w:u w:val="none"/>
          <w:lang w:val="en-US" w:eastAsia="zh-CN"/>
        </w:rPr>
      </w:pPr>
      <w:r>
        <w:rPr>
          <w:rFonts w:hint="eastAsia" w:hAnsi="宋体" w:cs="宋体"/>
          <w:color w:val="auto"/>
          <w:sz w:val="24"/>
          <w:szCs w:val="24"/>
          <w:u w:val="none"/>
        </w:rPr>
        <w:t>1</w:t>
      </w:r>
      <w:r>
        <w:rPr>
          <w:rFonts w:hint="eastAsia" w:hAnsi="宋体" w:cs="宋体"/>
          <w:color w:val="auto"/>
          <w:sz w:val="24"/>
          <w:szCs w:val="24"/>
          <w:u w:val="none"/>
          <w:lang w:val="en-US" w:eastAsia="zh-CN"/>
        </w:rPr>
        <w:t>7</w:t>
      </w:r>
      <w:r>
        <w:rPr>
          <w:rFonts w:hint="eastAsia" w:hAnsi="宋体" w:cs="宋体"/>
          <w:color w:val="auto"/>
          <w:sz w:val="24"/>
          <w:szCs w:val="24"/>
          <w:u w:val="none"/>
        </w:rPr>
        <w:t>.4以邮政快递方式递交备份投标文件的，投标人应先将备份投标文件按要求密封和标记，再进行邮政快递包装后邮寄。备份投标文件须在投标截止时间之前送达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u w:val="none"/>
        </w:rPr>
        <w:t>招标文件第二部分投标人须知前附表规定的备份投标文件送达地点；</w:t>
      </w:r>
      <w:r>
        <w:rPr>
          <w:rFonts w:hint="eastAsia" w:hAnsi="宋体" w:cs="宋体"/>
          <w:color w:val="auto"/>
          <w:sz w:val="24"/>
          <w:szCs w:val="24"/>
          <w:u w:val="none"/>
        </w:rPr>
        <w:t>送达时间以签收人签收时间为准。</w:t>
      </w:r>
      <w:r>
        <w:rPr>
          <w:rFonts w:hint="eastAsia" w:hAnsi="宋体" w:cs="宋体"/>
          <w:color w:val="auto"/>
          <w:sz w:val="24"/>
          <w:szCs w:val="24"/>
          <w:u w:val="none"/>
          <w:lang w:eastAsia="zh-CN"/>
        </w:rPr>
        <w:t>采购代理机构</w:t>
      </w:r>
      <w:r>
        <w:rPr>
          <w:rFonts w:hint="eastAsia" w:hAnsi="宋体" w:cs="宋体"/>
          <w:color w:val="auto"/>
          <w:sz w:val="24"/>
          <w:szCs w:val="24"/>
          <w:u w:val="none"/>
        </w:rPr>
        <w:t>将拒绝接受逾期送达的备份投标文件。邮寄过程中，电子备份投标文件发生泄露、遗失、损坏或延期送达等情况的，由投标人自行负责。</w:t>
      </w:r>
    </w:p>
    <w:p w14:paraId="1BA0F47A">
      <w:pPr>
        <w:pStyle w:val="33"/>
        <w:spacing w:line="360" w:lineRule="auto"/>
        <w:ind w:firstLine="479" w:firstLineChars="199"/>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7</w:t>
      </w:r>
      <w:r>
        <w:rPr>
          <w:rFonts w:hint="eastAsia" w:hAnsi="宋体" w:cs="宋体"/>
          <w:b/>
          <w:color w:val="auto"/>
          <w:sz w:val="24"/>
          <w:szCs w:val="24"/>
        </w:rPr>
        <w:t>.5投标人仅提交备份投标文件，未在电子交易平台传输递交投标文件的，投标无效。</w:t>
      </w:r>
    </w:p>
    <w:p w14:paraId="6F4C6537">
      <w:pPr>
        <w:pStyle w:val="129"/>
        <w:numPr>
          <w:ilvl w:val="0"/>
          <w:numId w:val="3"/>
        </w:numPr>
        <w:spacing w:before="0"/>
        <w:ind w:left="0" w:leftChars="0" w:firstLine="0" w:firstLineChars="0"/>
        <w:rPr>
          <w:rFonts w:ascii="宋体" w:hAnsi="宋体" w:cs="宋体"/>
          <w:b/>
          <w:color w:val="auto"/>
          <w:szCs w:val="24"/>
        </w:rPr>
      </w:pPr>
      <w:r>
        <w:rPr>
          <w:rFonts w:hint="eastAsia" w:ascii="宋体" w:hAnsi="宋体" w:cs="宋体"/>
          <w:b/>
          <w:color w:val="auto"/>
          <w:szCs w:val="24"/>
        </w:rPr>
        <w:t>投标文件的无效处理</w:t>
      </w:r>
    </w:p>
    <w:p w14:paraId="720DFBC3">
      <w:pPr>
        <w:pStyle w:val="25"/>
        <w:spacing w:line="360" w:lineRule="auto"/>
        <w:ind w:firstLine="360" w:firstLineChars="150"/>
        <w:rPr>
          <w:rFonts w:hint="eastAsia" w:eastAsia="宋体" w:cs="宋体"/>
          <w:color w:val="auto"/>
          <w:szCs w:val="21"/>
          <w:lang w:eastAsia="zh-CN"/>
        </w:rPr>
      </w:pPr>
      <w:r>
        <w:rPr>
          <w:rFonts w:hint="eastAsia" w:cs="宋体"/>
          <w:color w:val="auto"/>
          <w:szCs w:val="21"/>
        </w:rPr>
        <w:t>有招标文件第四部分</w:t>
      </w:r>
      <w:r>
        <w:rPr>
          <w:rFonts w:cs="宋体"/>
          <w:color w:val="auto"/>
          <w:szCs w:val="21"/>
        </w:rPr>
        <w:t>4.2规定</w:t>
      </w:r>
      <w:r>
        <w:rPr>
          <w:rFonts w:hint="eastAsia" w:cs="宋体"/>
          <w:color w:val="auto"/>
          <w:szCs w:val="21"/>
        </w:rPr>
        <w:t>的情形之一的，投标无效</w:t>
      </w:r>
      <w:r>
        <w:rPr>
          <w:rFonts w:hint="eastAsia" w:cs="宋体"/>
          <w:color w:val="auto"/>
          <w:szCs w:val="21"/>
          <w:lang w:eastAsia="zh-CN"/>
        </w:rPr>
        <w:t>。</w:t>
      </w:r>
    </w:p>
    <w:p w14:paraId="636C857A">
      <w:pPr>
        <w:pStyle w:val="129"/>
        <w:numPr>
          <w:ilvl w:val="0"/>
          <w:numId w:val="3"/>
        </w:numPr>
        <w:spacing w:before="0"/>
        <w:ind w:left="0" w:leftChars="0" w:firstLine="0" w:firstLineChars="0"/>
        <w:rPr>
          <w:rFonts w:ascii="宋体" w:hAnsi="宋体" w:cs="宋体"/>
          <w:b/>
          <w:color w:val="auto"/>
          <w:szCs w:val="24"/>
        </w:rPr>
      </w:pPr>
      <w:r>
        <w:rPr>
          <w:rFonts w:hint="eastAsia" w:ascii="宋体" w:hAnsi="宋体" w:cs="宋体"/>
          <w:b/>
          <w:color w:val="auto"/>
          <w:szCs w:val="24"/>
        </w:rPr>
        <w:t>投标有效期</w:t>
      </w:r>
    </w:p>
    <w:p w14:paraId="0BBDAD38">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w:t>
      </w:r>
      <w:r>
        <w:rPr>
          <w:rFonts w:hint="eastAsia" w:ascii="宋体" w:hAnsi="宋体" w:cs="宋体"/>
          <w:color w:val="auto"/>
          <w:sz w:val="24"/>
          <w:szCs w:val="20"/>
          <w:lang w:val="en-US" w:eastAsia="zh-CN"/>
        </w:rPr>
        <w:t>9</w:t>
      </w:r>
      <w:r>
        <w:rPr>
          <w:rFonts w:hint="eastAsia" w:ascii="宋体" w:hAnsi="宋体" w:cs="宋体"/>
          <w:color w:val="auto"/>
          <w:sz w:val="24"/>
          <w:szCs w:val="20"/>
        </w:rPr>
        <w:t>.1</w:t>
      </w:r>
      <w:r>
        <w:rPr>
          <w:rFonts w:hint="eastAsia" w:ascii="宋体" w:hAnsi="宋体" w:cs="宋体"/>
          <w:b/>
          <w:bCs/>
          <w:color w:val="auto"/>
          <w:sz w:val="24"/>
          <w:szCs w:val="20"/>
          <w:u w:val="single"/>
        </w:rPr>
        <w:t>▲投标有效期为从提交投标文件的截止之日起</w:t>
      </w:r>
      <w:r>
        <w:rPr>
          <w:rFonts w:hint="eastAsia" w:ascii="宋体" w:hAnsi="宋体" w:cs="宋体"/>
          <w:b/>
          <w:bCs/>
          <w:color w:val="auto"/>
          <w:sz w:val="24"/>
          <w:szCs w:val="20"/>
          <w:highlight w:val="none"/>
          <w:u w:val="single"/>
        </w:rPr>
        <w:t>90天</w:t>
      </w:r>
      <w:r>
        <w:rPr>
          <w:rFonts w:hint="eastAsia" w:ascii="宋体" w:hAnsi="宋体" w:cs="宋体"/>
          <w:b/>
          <w:bCs/>
          <w:color w:val="auto"/>
          <w:sz w:val="24"/>
          <w:szCs w:val="20"/>
          <w:u w:val="single"/>
        </w:rPr>
        <w:t>。投标人的投标文件中承</w:t>
      </w:r>
      <w:r>
        <w:rPr>
          <w:rFonts w:hint="eastAsia" w:ascii="宋体" w:hAnsi="宋体" w:cs="宋体"/>
          <w:b/>
          <w:bCs/>
          <w:color w:val="auto"/>
          <w:sz w:val="24"/>
          <w:szCs w:val="21"/>
          <w:u w:val="single"/>
        </w:rPr>
        <w:t>诺的投标有效期少于招标文件中载明的投标有效期的，投标无效</w:t>
      </w:r>
      <w:r>
        <w:rPr>
          <w:rFonts w:hint="eastAsia" w:ascii="宋体" w:hAnsi="宋体" w:cs="宋体"/>
          <w:b/>
          <w:color w:val="auto"/>
          <w:sz w:val="24"/>
          <w:szCs w:val="21"/>
        </w:rPr>
        <w:t>。</w:t>
      </w:r>
    </w:p>
    <w:p w14:paraId="46EC0920">
      <w:pPr>
        <w:pStyle w:val="129"/>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.2投标文件合格投递后，自投标截止日期起，在投标有效期内有效。</w:t>
      </w:r>
    </w:p>
    <w:p w14:paraId="082F3AAE">
      <w:pPr>
        <w:pStyle w:val="129"/>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.3在原定投标有效期满之前，如果出现特殊情况，</w:t>
      </w:r>
      <w:r>
        <w:rPr>
          <w:rFonts w:hint="eastAsia" w:ascii="宋体" w:hAnsi="宋体" w:cs="宋体"/>
          <w:color w:val="auto"/>
          <w:lang w:eastAsia="zh-CN"/>
        </w:rPr>
        <w:t>采购代理机构</w:t>
      </w:r>
      <w:r>
        <w:rPr>
          <w:rFonts w:hint="eastAsia" w:ascii="宋体" w:hAnsi="宋体" w:cs="宋体"/>
          <w:color w:val="auto"/>
        </w:rPr>
        <w:t>可以以书面形式通知投标人延长投标有效期。投标人同意延长的，不得要求或被允许修改其投标文件，投标人拒绝延长的，其投标无效。</w:t>
      </w:r>
    </w:p>
    <w:p w14:paraId="31DE920D">
      <w:pPr>
        <w:pStyle w:val="129"/>
        <w:spacing w:before="0"/>
        <w:ind w:firstLine="643"/>
        <w:rPr>
          <w:rFonts w:ascii="宋体" w:hAnsi="宋体" w:cs="宋体"/>
          <w:b/>
          <w:color w:val="auto"/>
          <w:sz w:val="32"/>
        </w:rPr>
      </w:pPr>
    </w:p>
    <w:p w14:paraId="622F6770">
      <w:pPr>
        <w:pStyle w:val="129"/>
        <w:spacing w:before="0"/>
        <w:ind w:firstLine="1928" w:firstLineChars="600"/>
        <w:rPr>
          <w:rFonts w:ascii="宋体" w:hAnsi="宋体" w:cs="宋体"/>
          <w:b/>
          <w:color w:val="auto"/>
          <w:sz w:val="32"/>
        </w:rPr>
      </w:pPr>
      <w:r>
        <w:rPr>
          <w:rFonts w:hint="eastAsia" w:ascii="宋体" w:hAnsi="宋体" w:cs="宋体"/>
          <w:b/>
          <w:color w:val="auto"/>
          <w:sz w:val="32"/>
        </w:rPr>
        <w:t>四、开标、资格审查</w:t>
      </w:r>
      <w:r>
        <w:rPr>
          <w:rFonts w:hint="eastAsia" w:ascii="宋体" w:hAnsi="宋体" w:cs="宋体"/>
          <w:b/>
          <w:color w:val="auto"/>
          <w:sz w:val="32"/>
          <w:highlight w:val="none"/>
        </w:rPr>
        <w:t>与信用信息查询</w:t>
      </w:r>
    </w:p>
    <w:p w14:paraId="2002A195">
      <w:pPr>
        <w:pStyle w:val="555"/>
        <w:spacing w:before="0" w:line="360" w:lineRule="auto"/>
        <w:ind w:left="0" w:firstLine="241" w:firstLineChars="100"/>
        <w:contextualSpacing/>
        <w:rPr>
          <w:rFonts w:ascii="宋体" w:hAnsi="宋体" w:cs="宋体"/>
          <w:color w:val="auto"/>
          <w:sz w:val="24"/>
        </w:rPr>
      </w:pPr>
      <w:r>
        <w:rPr>
          <w:rFonts w:hint="eastAsia" w:ascii="宋体" w:hAnsi="宋体" w:cs="宋体"/>
          <w:b/>
          <w:color w:val="auto"/>
          <w:sz w:val="24"/>
          <w:szCs w:val="24"/>
          <w:lang w:val="en-US" w:eastAsia="zh-CN"/>
        </w:rPr>
        <w:t>20</w:t>
      </w:r>
      <w:r>
        <w:rPr>
          <w:rFonts w:hint="eastAsia" w:ascii="宋体" w:hAnsi="宋体" w:cs="宋体"/>
          <w:b/>
          <w:color w:val="auto"/>
          <w:sz w:val="24"/>
          <w:szCs w:val="24"/>
        </w:rPr>
        <w:t>.</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rPr>
        <w:t>开标</w:t>
      </w:r>
      <w:r>
        <w:rPr>
          <w:rFonts w:hint="eastAsia" w:ascii="宋体" w:hAnsi="宋体" w:cs="宋体"/>
          <w:color w:val="auto"/>
          <w:sz w:val="24"/>
        </w:rPr>
        <w:t xml:space="preserve"> </w:t>
      </w:r>
    </w:p>
    <w:p w14:paraId="2A92DC6E">
      <w:pPr>
        <w:pStyle w:val="555"/>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lang w:val="en-US" w:eastAsia="zh-CN"/>
        </w:rPr>
        <w:t>20</w:t>
      </w:r>
      <w:r>
        <w:rPr>
          <w:rFonts w:hint="eastAsia" w:ascii="宋体" w:hAnsi="宋体" w:cs="宋体"/>
          <w:color w:val="auto"/>
          <w:sz w:val="24"/>
        </w:rPr>
        <w:t>.1</w:t>
      </w:r>
      <w:r>
        <w:rPr>
          <w:rFonts w:hint="eastAsia" w:ascii="宋体" w:hAnsi="宋体" w:cs="宋体"/>
          <w:color w:val="auto"/>
          <w:sz w:val="24"/>
          <w:lang w:eastAsia="zh-CN"/>
        </w:rPr>
        <w:t>采购代理机构</w:t>
      </w:r>
      <w:r>
        <w:rPr>
          <w:rFonts w:hint="eastAsia" w:ascii="宋体" w:hAnsi="宋体" w:cs="宋体"/>
          <w:color w:val="auto"/>
          <w:sz w:val="24"/>
        </w:rPr>
        <w:t>按照招标文件规定的时间通过电子交易平台组织开标，所有投标人均应当准时在线参加。投标人不足3家的，不得开标。</w:t>
      </w:r>
    </w:p>
    <w:p w14:paraId="4716EC6F">
      <w:pPr>
        <w:pStyle w:val="555"/>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w:t>
      </w:r>
      <w:r>
        <w:rPr>
          <w:rFonts w:hint="eastAsia" w:ascii="宋体" w:hAnsi="宋体" w:cs="宋体"/>
          <w:color w:val="auto"/>
          <w:sz w:val="24"/>
          <w:lang w:val="en-US" w:eastAsia="zh-CN"/>
        </w:rPr>
        <w:t>20</w:t>
      </w:r>
      <w:r>
        <w:rPr>
          <w:rFonts w:hint="eastAsia" w:ascii="宋体" w:hAnsi="宋体" w:cs="宋体"/>
          <w:color w:val="auto"/>
          <w:sz w:val="24"/>
        </w:rPr>
        <w:t>.2开标时，电子交易平台按开标时间自动提取所有投标文件。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依托电子交易平台发起开始解密指令，投标人按照平台提示和招标文件的规定在半小时内完成在线解密。</w:t>
      </w:r>
    </w:p>
    <w:p w14:paraId="6BEAEF5D">
      <w:pPr>
        <w:pStyle w:val="555"/>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w:t>
      </w:r>
      <w:r>
        <w:rPr>
          <w:rFonts w:hint="eastAsia" w:ascii="宋体" w:hAnsi="宋体" w:cs="宋体"/>
          <w:color w:val="auto"/>
          <w:sz w:val="24"/>
          <w:lang w:val="en-US" w:eastAsia="zh-CN"/>
        </w:rPr>
        <w:t>20</w:t>
      </w:r>
      <w:r>
        <w:rPr>
          <w:rFonts w:hint="eastAsia" w:ascii="宋体" w:hAnsi="宋体" w:cs="宋体"/>
          <w:color w:val="auto"/>
          <w:sz w:val="24"/>
        </w:rPr>
        <w:t>.3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4BD036E2">
      <w:pPr>
        <w:pStyle w:val="555"/>
        <w:numPr>
          <w:ilvl w:val="0"/>
          <w:numId w:val="0"/>
        </w:numPr>
        <w:spacing w:before="0" w:line="360" w:lineRule="auto"/>
        <w:ind w:leftChars="0"/>
        <w:contextualSpacing/>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 xml:space="preserve">21. </w:t>
      </w:r>
      <w:r>
        <w:rPr>
          <w:rFonts w:hint="eastAsia" w:ascii="宋体" w:hAnsi="宋体" w:eastAsia="宋体" w:cs="宋体"/>
          <w:b/>
          <w:color w:val="auto"/>
          <w:sz w:val="24"/>
          <w:szCs w:val="24"/>
          <w:lang w:val="en-US" w:eastAsia="zh-CN"/>
        </w:rPr>
        <w:t>资格审查</w:t>
      </w:r>
    </w:p>
    <w:p w14:paraId="10B8C51B">
      <w:pPr>
        <w:pStyle w:val="129"/>
        <w:spacing w:before="0"/>
        <w:ind w:firstLine="480"/>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21</w:t>
      </w:r>
      <w:r>
        <w:rPr>
          <w:rFonts w:hint="eastAsia" w:ascii="宋体" w:hAnsi="宋体" w:eastAsia="宋体" w:cs="宋体"/>
          <w:color w:val="auto"/>
          <w:kern w:val="0"/>
          <w:szCs w:val="24"/>
          <w:lang w:val="en-US" w:eastAsia="zh-CN"/>
        </w:rPr>
        <w:t>.1采购人</w:t>
      </w:r>
      <w:r>
        <w:rPr>
          <w:rFonts w:hint="eastAsia" w:ascii="宋体" w:hAnsi="宋体" w:eastAsia="宋体" w:cs="宋体"/>
          <w:color w:val="auto"/>
          <w:kern w:val="0"/>
          <w:szCs w:val="24"/>
          <w:highlight w:val="none"/>
          <w:lang w:val="en-US" w:eastAsia="zh-CN"/>
        </w:rPr>
        <w:t>代表依据法律法规和招标文件的规定，对投标人的资格文件进行审查</w:t>
      </w:r>
      <w:r>
        <w:rPr>
          <w:rFonts w:hint="eastAsia" w:ascii="宋体" w:hAnsi="宋体" w:cs="宋体"/>
          <w:color w:val="auto"/>
          <w:kern w:val="0"/>
          <w:szCs w:val="24"/>
          <w:highlight w:val="none"/>
          <w:lang w:val="en-US" w:eastAsia="zh-CN"/>
        </w:rPr>
        <w:t>，</w:t>
      </w:r>
      <w:r>
        <w:rPr>
          <w:rFonts w:hint="eastAsia" w:ascii="宋体" w:hAnsi="宋体" w:eastAsia="宋体" w:cs="宋体"/>
          <w:color w:val="auto"/>
          <w:kern w:val="0"/>
          <w:szCs w:val="24"/>
          <w:lang w:val="en-US" w:eastAsia="zh-CN"/>
        </w:rPr>
        <w:t>对资格审查拟不予通过的供应商，应通过电子交易平台或其他书面形式告知其未通过的原因，以及可以就此提出陈述、澄清或申辩意见的权利，采购人代表视供应商反馈意见作出资格审查结论并告知供应商。</w:t>
      </w:r>
    </w:p>
    <w:p w14:paraId="405A77AD">
      <w:pPr>
        <w:pStyle w:val="129"/>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kern w:val="0"/>
          <w:szCs w:val="24"/>
          <w:lang w:val="en-US" w:eastAsia="zh-CN"/>
        </w:rPr>
        <w:t>2</w:t>
      </w:r>
      <w:r>
        <w:rPr>
          <w:rFonts w:hint="eastAsia" w:ascii="宋体" w:hAnsi="宋体" w:cs="宋体"/>
          <w:color w:val="auto"/>
          <w:kern w:val="0"/>
          <w:szCs w:val="24"/>
        </w:rPr>
        <w:t>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68E42669">
      <w:pPr>
        <w:pStyle w:val="129"/>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lang w:val="en-US" w:eastAsia="zh-CN"/>
        </w:rPr>
        <w:t>3</w:t>
      </w:r>
      <w:r>
        <w:rPr>
          <w:rFonts w:hint="eastAsia" w:ascii="宋体" w:hAnsi="宋体" w:cs="宋体"/>
          <w:color w:val="auto"/>
        </w:rPr>
        <w:t>对未通过资格审查的投标人，采购人或</w:t>
      </w:r>
      <w:r>
        <w:rPr>
          <w:rFonts w:hint="eastAsia" w:ascii="宋体" w:hAnsi="宋体" w:cs="宋体"/>
          <w:color w:val="auto"/>
          <w:lang w:eastAsia="zh-CN"/>
        </w:rPr>
        <w:t>采购代理机构</w:t>
      </w:r>
      <w:r>
        <w:rPr>
          <w:rFonts w:hint="eastAsia" w:ascii="宋体" w:hAnsi="宋体" w:cs="宋体"/>
          <w:color w:val="auto"/>
        </w:rPr>
        <w:t>告知其未通过的原因。</w:t>
      </w:r>
    </w:p>
    <w:p w14:paraId="45FCB977">
      <w:pPr>
        <w:pStyle w:val="129"/>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lang w:val="en-US" w:eastAsia="zh-CN"/>
        </w:rPr>
        <w:t>4</w:t>
      </w:r>
      <w:r>
        <w:rPr>
          <w:rFonts w:hint="eastAsia" w:ascii="宋体" w:hAnsi="宋体" w:cs="宋体"/>
          <w:color w:val="auto"/>
        </w:rPr>
        <w:t>合格投标人不足3家的，不再评标。</w:t>
      </w:r>
    </w:p>
    <w:p w14:paraId="7352141A">
      <w:pPr>
        <w:pStyle w:val="129"/>
        <w:numPr>
          <w:ilvl w:val="0"/>
          <w:numId w:val="4"/>
        </w:numPr>
        <w:spacing w:before="0"/>
        <w:ind w:firstLine="0" w:firstLineChars="0"/>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信用信息查询</w:t>
      </w:r>
    </w:p>
    <w:p w14:paraId="784F9644">
      <w:pPr>
        <w:pStyle w:val="129"/>
        <w:spacing w:before="0"/>
        <w:ind w:firstLine="48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22.1信用信息查询渠道及截止时间：</w:t>
      </w:r>
    </w:p>
    <w:p w14:paraId="58035117">
      <w:pPr>
        <w:pStyle w:val="129"/>
        <w:spacing w:before="0"/>
        <w:ind w:firstLine="48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投标人应本着诚实信用的原则，在资格文件中提供承诺函，承诺未被“信用中国”网站（www.creditchina.gov.cn）、中国政府采购网（www.ccgp.gov.cn）列入失信被执行人、重大税收违法案件当事人名单、政府采购严重违法失信行为记录名单，截止时间以投标截止时间为准</w:t>
      </w:r>
      <w:r>
        <w:rPr>
          <w:rFonts w:hint="eastAsia" w:ascii="宋体" w:hAnsi="宋体" w:cs="宋体"/>
          <w:color w:val="auto"/>
          <w:kern w:val="0"/>
          <w:szCs w:val="24"/>
          <w:highlight w:val="none"/>
          <w:lang w:val="en-US" w:eastAsia="zh-CN"/>
        </w:rPr>
        <w:t>。</w:t>
      </w:r>
    </w:p>
    <w:p w14:paraId="2A6BEBC6">
      <w:pPr>
        <w:pStyle w:val="129"/>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w:t>
      </w:r>
      <w:r>
        <w:rPr>
          <w:rFonts w:hint="eastAsia" w:ascii="宋体" w:hAnsi="宋体" w:eastAsia="宋体" w:cs="宋体"/>
          <w:color w:val="auto"/>
          <w:kern w:val="0"/>
          <w:szCs w:val="24"/>
          <w:highlight w:val="none"/>
          <w:lang w:eastAsia="zh-CN"/>
        </w:rPr>
        <w:t>代表</w:t>
      </w:r>
      <w:r>
        <w:rPr>
          <w:rFonts w:hint="eastAsia" w:ascii="宋体" w:hAnsi="宋体" w:eastAsia="宋体" w:cs="宋体"/>
          <w:color w:val="auto"/>
          <w:kern w:val="0"/>
          <w:szCs w:val="24"/>
          <w:highlight w:val="none"/>
        </w:rPr>
        <w:t>将在资格审查时通过“信用中国”网站(www.creditchina.gov.cn)、中国政府采购网(www.ccgp.gov.cn)渠道查询投标人的信用记录。</w:t>
      </w:r>
    </w:p>
    <w:p w14:paraId="1ED6EEC9">
      <w:pPr>
        <w:pStyle w:val="129"/>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.2信用信息查询记录和证据留存的具体方式：现场查询的投标人的信用记录、查询结果经确认后将与采购文件一起存档。</w:t>
      </w:r>
    </w:p>
    <w:p w14:paraId="5900C501">
      <w:pPr>
        <w:pStyle w:val="129"/>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.3信用信息的使用规则：经查询列入失信被执行人名单、重大税收违法案件当事人名单、政府采购严重违法失信行为记录名单的投标人将被拒绝参与政府采购活动。</w:t>
      </w:r>
    </w:p>
    <w:p w14:paraId="7E739E63">
      <w:pPr>
        <w:pStyle w:val="129"/>
        <w:spacing w:before="0"/>
        <w:ind w:firstLine="480"/>
        <w:rPr>
          <w:rFonts w:ascii="宋体" w:hAnsi="宋体" w:cs="宋体"/>
          <w:color w:val="auto"/>
          <w:kern w:val="0"/>
          <w:szCs w:val="24"/>
          <w:highlight w:val="yellow"/>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BD153E">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五、评标</w:t>
      </w:r>
    </w:p>
    <w:p w14:paraId="3CDA288D">
      <w:pPr>
        <w:spacing w:line="360" w:lineRule="auto"/>
        <w:rPr>
          <w:rFonts w:ascii="宋体" w:hAnsi="宋体" w:cs="宋体"/>
          <w:b/>
          <w:color w:val="auto"/>
          <w:sz w:val="24"/>
        </w:rPr>
      </w:pPr>
      <w:bookmarkStart w:id="12" w:name="_Toc91899903"/>
      <w:r>
        <w:rPr>
          <w:rFonts w:hint="eastAsia" w:ascii="宋体" w:hAnsi="宋体" w:cs="宋体"/>
          <w:b/>
          <w:color w:val="auto"/>
          <w:sz w:val="24"/>
        </w:rPr>
        <w:t>2</w:t>
      </w:r>
      <w:r>
        <w:rPr>
          <w:rFonts w:hint="eastAsia" w:ascii="宋体" w:hAnsi="宋体" w:cs="宋体"/>
          <w:b/>
          <w:color w:val="auto"/>
          <w:sz w:val="24"/>
          <w:lang w:val="en-US" w:eastAsia="zh-CN"/>
        </w:rPr>
        <w:t>3</w:t>
      </w:r>
      <w:r>
        <w:rPr>
          <w:rFonts w:hint="eastAsia" w:ascii="宋体" w:hAnsi="宋体" w:cs="宋体"/>
          <w:b/>
          <w:color w:val="auto"/>
          <w:sz w:val="24"/>
        </w:rPr>
        <w:t>.</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74C41B93">
      <w:pPr>
        <w:spacing w:line="360" w:lineRule="auto"/>
        <w:rPr>
          <w:rFonts w:ascii="宋体" w:hAnsi="宋体" w:cs="宋体"/>
          <w:b/>
          <w:color w:val="auto"/>
          <w:sz w:val="24"/>
        </w:rPr>
      </w:pPr>
    </w:p>
    <w:p w14:paraId="2AE8AD9A">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六、定标</w:t>
      </w:r>
    </w:p>
    <w:p w14:paraId="30E9B79D">
      <w:pPr>
        <w:pStyle w:val="25"/>
        <w:spacing w:line="360" w:lineRule="auto"/>
        <w:ind w:left="479" w:hanging="479" w:hangingChars="199"/>
        <w:rPr>
          <w:rFonts w:hint="eastAsia" w:eastAsia="宋体" w:cs="宋体"/>
          <w:b/>
          <w:color w:val="auto"/>
          <w:lang w:eastAsia="zh-CN"/>
        </w:rPr>
      </w:pPr>
      <w:r>
        <w:rPr>
          <w:rFonts w:hint="eastAsia" w:cs="宋体"/>
          <w:b/>
          <w:color w:val="auto"/>
        </w:rPr>
        <w:t>2</w:t>
      </w:r>
      <w:r>
        <w:rPr>
          <w:rFonts w:hint="eastAsia" w:cs="宋体"/>
          <w:b/>
          <w:color w:val="auto"/>
          <w:lang w:val="en-US" w:eastAsia="zh-CN"/>
        </w:rPr>
        <w:t>4</w:t>
      </w:r>
      <w:r>
        <w:rPr>
          <w:rFonts w:hint="eastAsia" w:cs="宋体"/>
          <w:b/>
          <w:color w:val="auto"/>
        </w:rPr>
        <w:t>. 确定中标</w:t>
      </w:r>
      <w:r>
        <w:rPr>
          <w:rFonts w:hint="eastAsia" w:cs="宋体"/>
          <w:b/>
          <w:color w:val="auto"/>
          <w:lang w:eastAsia="zh-CN"/>
        </w:rPr>
        <w:t>人</w:t>
      </w:r>
    </w:p>
    <w:p w14:paraId="5C78FBEB">
      <w:pPr>
        <w:pStyle w:val="129"/>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w:t>
      </w:r>
      <w:r>
        <w:rPr>
          <w:rFonts w:hint="eastAsia" w:ascii="宋体" w:hAnsi="宋体" w:cs="宋体"/>
          <w:color w:val="auto"/>
          <w:szCs w:val="24"/>
          <w:lang w:eastAsia="zh-CN"/>
        </w:rPr>
        <w:t>采购人</w:t>
      </w:r>
      <w:r>
        <w:rPr>
          <w:rFonts w:hint="eastAsia" w:ascii="宋体" w:hAnsi="宋体" w:cs="宋体"/>
          <w:color w:val="auto"/>
          <w:szCs w:val="24"/>
        </w:rPr>
        <w:t>应当自收到评审报告之日起</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个工作日内对中标候选人的</w:t>
      </w:r>
      <w:r>
        <w:rPr>
          <w:rFonts w:hint="eastAsia" w:ascii="宋体" w:hAnsi="宋体" w:cs="宋体"/>
          <w:color w:val="auto"/>
          <w:szCs w:val="24"/>
          <w:highlight w:val="none"/>
          <w:lang w:eastAsia="zh-CN"/>
        </w:rPr>
        <w:t>中小企业声明函、相关证书、检测报告、业绩等材料的真实性进行核查，并</w:t>
      </w:r>
      <w:r>
        <w:rPr>
          <w:rFonts w:hint="eastAsia" w:ascii="宋体" w:hAnsi="宋体" w:cs="宋体"/>
          <w:color w:val="auto"/>
          <w:szCs w:val="24"/>
        </w:rPr>
        <w:t>在线确定中标</w:t>
      </w:r>
      <w:r>
        <w:rPr>
          <w:rFonts w:hint="eastAsia" w:ascii="宋体" w:hAnsi="宋体" w:cs="宋体"/>
          <w:color w:val="auto"/>
          <w:szCs w:val="24"/>
          <w:lang w:eastAsia="zh-CN"/>
        </w:rPr>
        <w:t>人</w:t>
      </w:r>
      <w:r>
        <w:rPr>
          <w:rFonts w:hint="eastAsia" w:ascii="宋体" w:hAnsi="宋体" w:cs="宋体"/>
          <w:color w:val="auto"/>
          <w:szCs w:val="24"/>
        </w:rPr>
        <w:t>。</w:t>
      </w:r>
    </w:p>
    <w:p w14:paraId="5DA9F040">
      <w:pPr>
        <w:pStyle w:val="129"/>
        <w:snapToGrid w:val="0"/>
        <w:spacing w:before="0"/>
        <w:ind w:firstLine="0" w:firstLineChars="0"/>
        <w:rPr>
          <w:rFonts w:ascii="宋体" w:hAnsi="宋体" w:cs="宋体"/>
          <w:b/>
          <w:color w:val="auto"/>
          <w:szCs w:val="24"/>
        </w:rPr>
      </w:pPr>
      <w:r>
        <w:rPr>
          <w:rFonts w:hint="eastAsia" w:ascii="宋体" w:hAnsi="宋体" w:cs="宋体"/>
          <w:b/>
          <w:color w:val="auto"/>
          <w:szCs w:val="24"/>
        </w:rPr>
        <w:t>2</w:t>
      </w:r>
      <w:r>
        <w:rPr>
          <w:rFonts w:hint="eastAsia" w:ascii="宋体" w:hAnsi="宋体" w:cs="宋体"/>
          <w:b/>
          <w:color w:val="auto"/>
          <w:szCs w:val="24"/>
          <w:lang w:val="en-US" w:eastAsia="zh-CN"/>
        </w:rPr>
        <w:t>5</w:t>
      </w:r>
      <w:r>
        <w:rPr>
          <w:rFonts w:hint="eastAsia" w:ascii="宋体" w:hAnsi="宋体" w:cs="宋体"/>
          <w:b/>
          <w:color w:val="auto"/>
          <w:szCs w:val="24"/>
        </w:rPr>
        <w:t>. 中标通知与中标结果公告</w:t>
      </w:r>
    </w:p>
    <w:p w14:paraId="432F7BC8">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通过电子交易平台向中标人发出中标通知书，同时编制发布采购结果公告。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也可以以纸质形式进行中标通知。</w:t>
      </w:r>
    </w:p>
    <w:p w14:paraId="781A1A45">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.2中标结果公告内容包括采购人及其委托的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的名称、地址、联系方式，项目名称和项目编号，中标人名称、地址和中标金额，主要中标标的的名称、规格型号、数量、单价、服务要求，</w:t>
      </w:r>
      <w:r>
        <w:rPr>
          <w:rFonts w:hint="eastAsia" w:ascii="宋体" w:hAnsi="宋体" w:cs="宋体"/>
          <w:sz w:val="24"/>
        </w:rPr>
        <w:t>评审专家抽取规则、</w:t>
      </w:r>
      <w:r>
        <w:rPr>
          <w:rFonts w:hint="eastAsia" w:ascii="宋体" w:hAnsi="宋体" w:cs="宋体"/>
          <w:color w:val="auto"/>
          <w:sz w:val="24"/>
        </w:rPr>
        <w:t>开标记录、</w:t>
      </w:r>
      <w:bookmarkStart w:id="13" w:name="_Hlk101184471"/>
      <w:r>
        <w:rPr>
          <w:rFonts w:hint="eastAsia" w:ascii="宋体" w:hAnsi="宋体" w:cs="宋体"/>
          <w:color w:val="auto"/>
          <w:sz w:val="24"/>
        </w:rPr>
        <w:t>资格审查情况、符合性审查情况、</w:t>
      </w:r>
      <w:bookmarkEnd w:id="13"/>
      <w:r>
        <w:rPr>
          <w:rFonts w:hint="eastAsia" w:ascii="宋体" w:hAnsi="宋体" w:cs="宋体"/>
          <w:color w:val="auto"/>
          <w:sz w:val="24"/>
        </w:rPr>
        <w:t>未中标情况说明、中标公告期限以及评审专家名单、评分汇总及明细。</w:t>
      </w:r>
    </w:p>
    <w:p w14:paraId="520B1E65">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.3公告期限为1个工作日。</w:t>
      </w:r>
    </w:p>
    <w:p w14:paraId="0ED39654">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七、合同授予</w:t>
      </w:r>
    </w:p>
    <w:p w14:paraId="5330B465">
      <w:pPr>
        <w:pStyle w:val="25"/>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6</w:t>
      </w:r>
      <w:r>
        <w:rPr>
          <w:rFonts w:hint="eastAsia" w:cs="宋体"/>
          <w:b/>
          <w:color w:val="auto"/>
        </w:rPr>
        <w:t xml:space="preserve">. </w:t>
      </w:r>
      <w:r>
        <w:rPr>
          <w:rFonts w:hint="eastAsia" w:cs="宋体"/>
          <w:color w:val="auto"/>
        </w:rPr>
        <w:t>合同主要条款详见第五部分拟签订的合同文本。</w:t>
      </w:r>
    </w:p>
    <w:p w14:paraId="08AE628A">
      <w:pPr>
        <w:pStyle w:val="25"/>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7</w:t>
      </w:r>
      <w:r>
        <w:rPr>
          <w:rFonts w:hint="eastAsia" w:cs="宋体"/>
          <w:b/>
          <w:color w:val="auto"/>
        </w:rPr>
        <w:t>. 合同的签订</w:t>
      </w:r>
    </w:p>
    <w:p w14:paraId="363F7DB3">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.1</w:t>
      </w:r>
      <w:r>
        <w:rPr>
          <w:rFonts w:hint="eastAsia" w:ascii="宋体" w:hAnsi="宋体" w:cs="宋体"/>
          <w:color w:val="auto"/>
          <w:kern w:val="0"/>
          <w:sz w:val="24"/>
        </w:rPr>
        <w:t xml:space="preserve"> 采购人与中标人应当通过电子交易平台在中标通知书发出之日起三十日内，按照招标文件</w:t>
      </w:r>
      <w:r>
        <w:rPr>
          <w:rFonts w:hint="eastAsia" w:ascii="宋体" w:hAnsi="宋体" w:cs="宋体"/>
          <w:color w:val="auto"/>
          <w:kern w:val="0"/>
          <w:sz w:val="24"/>
          <w:highlight w:val="none"/>
          <w:lang w:eastAsia="zh-CN"/>
        </w:rPr>
        <w:t>、投标文件等内容</w:t>
      </w:r>
      <w:r>
        <w:rPr>
          <w:rFonts w:hint="eastAsia" w:ascii="宋体" w:hAnsi="宋体" w:cs="宋体"/>
          <w:color w:val="auto"/>
          <w:kern w:val="0"/>
          <w:sz w:val="24"/>
        </w:rPr>
        <w:t>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w:t>
      </w:r>
      <w:r>
        <w:rPr>
          <w:rFonts w:hint="eastAsia" w:ascii="宋体" w:hAnsi="宋体" w:cs="宋体"/>
          <w:color w:val="auto"/>
          <w:kern w:val="0"/>
          <w:sz w:val="24"/>
          <w:lang w:eastAsia="zh-CN"/>
        </w:rPr>
        <w:t>中标人</w:t>
      </w:r>
      <w:r>
        <w:rPr>
          <w:rFonts w:hint="eastAsia" w:ascii="宋体" w:hAnsi="宋体" w:cs="宋体"/>
          <w:color w:val="auto"/>
          <w:kern w:val="0"/>
          <w:sz w:val="24"/>
        </w:rPr>
        <w:t>按照采购文件确定的事项签订政府采购合同。</w:t>
      </w:r>
    </w:p>
    <w:p w14:paraId="3FF88C80">
      <w:pPr>
        <w:pStyle w:val="129"/>
        <w:snapToGrid w:val="0"/>
        <w:spacing w:before="0"/>
        <w:ind w:firstLine="480"/>
        <w:rPr>
          <w:rFonts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lang w:val="en-US" w:eastAsia="zh-CN"/>
        </w:rPr>
        <w:t>7</w:t>
      </w:r>
      <w:r>
        <w:rPr>
          <w:rFonts w:hint="eastAsia" w:ascii="宋体" w:hAnsi="宋体" w:cs="宋体"/>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25788463">
      <w:pPr>
        <w:pStyle w:val="129"/>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7</w:t>
      </w:r>
      <w:r>
        <w:rPr>
          <w:rFonts w:hint="eastAsia" w:ascii="宋体" w:hAnsi="宋体" w:cs="宋体"/>
          <w:color w:val="auto"/>
        </w:rPr>
        <w:t>.3如签订合同并生效后，供应商无故拒绝或延期，除按照合同条款处理外，列入不良行为记录一次，并给予通报。</w:t>
      </w:r>
    </w:p>
    <w:p w14:paraId="01D956C0">
      <w:pPr>
        <w:adjustRightInd w:val="0"/>
        <w:snapToGrid w:val="0"/>
        <w:spacing w:line="360" w:lineRule="auto"/>
        <w:ind w:firstLine="48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w:t>
      </w:r>
      <w:r>
        <w:rPr>
          <w:rFonts w:hint="eastAsia" w:ascii="宋体" w:hAnsi="宋体" w:cs="宋体"/>
          <w:color w:val="auto"/>
          <w:kern w:val="2"/>
          <w:sz w:val="24"/>
          <w:szCs w:val="20"/>
          <w:lang w:val="en-US" w:eastAsia="zh-CN" w:bidi="ar-SA"/>
        </w:rPr>
        <w:t>7</w:t>
      </w:r>
      <w:r>
        <w:rPr>
          <w:rFonts w:hint="eastAsia" w:ascii="宋体" w:hAnsi="宋体" w:eastAsia="宋体" w:cs="宋体"/>
          <w:color w:val="auto"/>
          <w:kern w:val="2"/>
          <w:sz w:val="24"/>
          <w:szCs w:val="20"/>
          <w:lang w:val="en-US" w:eastAsia="zh-CN" w:bidi="ar-SA"/>
        </w:rPr>
        <w:t>.4排名第一的中标候选人放弃中标；因不可抗力提出不能履行合同；或者招标文件规定应当提交履约保证金而在规定的期限内未能提交的；或未能在规定时间内与</w:t>
      </w:r>
      <w:r>
        <w:rPr>
          <w:rFonts w:hint="eastAsia" w:ascii="宋体" w:hAnsi="宋体" w:cs="宋体"/>
          <w:color w:val="auto"/>
          <w:kern w:val="2"/>
          <w:sz w:val="24"/>
          <w:szCs w:val="20"/>
          <w:lang w:val="en-US" w:eastAsia="zh-CN" w:bidi="ar-SA"/>
        </w:rPr>
        <w:t>采购人</w:t>
      </w:r>
      <w:r>
        <w:rPr>
          <w:rFonts w:hint="eastAsia" w:ascii="宋体" w:hAnsi="宋体" w:eastAsia="宋体" w:cs="宋体"/>
          <w:color w:val="auto"/>
          <w:kern w:val="2"/>
          <w:sz w:val="24"/>
          <w:szCs w:val="20"/>
          <w:lang w:val="en-US" w:eastAsia="zh-CN" w:bidi="ar-SA"/>
        </w:rPr>
        <w:t>签订合同的；或者经质疑，确因排名第一的候选人在本次采购活动中存在违法违规行为或其他原因使质疑成立的；或者存在违法违规行为被采购监管部门处理的；</w:t>
      </w:r>
      <w:r>
        <w:rPr>
          <w:rFonts w:hint="eastAsia" w:ascii="宋体" w:hAnsi="宋体" w:cs="宋体"/>
          <w:color w:val="auto"/>
          <w:kern w:val="2"/>
          <w:sz w:val="24"/>
          <w:szCs w:val="20"/>
          <w:lang w:val="en-US" w:eastAsia="zh-CN" w:bidi="ar-SA"/>
        </w:rPr>
        <w:t>采购人</w:t>
      </w:r>
      <w:r>
        <w:rPr>
          <w:rFonts w:hint="eastAsia" w:ascii="宋体" w:hAnsi="宋体" w:eastAsia="宋体" w:cs="宋体"/>
          <w:color w:val="auto"/>
          <w:kern w:val="2"/>
          <w:sz w:val="24"/>
          <w:szCs w:val="20"/>
          <w:lang w:val="en-US" w:eastAsia="zh-CN" w:bidi="ar-SA"/>
        </w:rPr>
        <w:t>可以按照评标报告推荐的中标候选人名单排序，确定下一候选人为中标，也可以重新开展政府采购活动。</w:t>
      </w:r>
    </w:p>
    <w:p w14:paraId="6948DD99">
      <w:pPr>
        <w:pStyle w:val="129"/>
        <w:snapToGrid w:val="0"/>
        <w:spacing w:before="0" w:after="12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7</w:t>
      </w:r>
      <w:r>
        <w:rPr>
          <w:rFonts w:hint="eastAsia" w:ascii="宋体" w:hAnsi="宋体" w:cs="宋体"/>
          <w:color w:val="auto"/>
        </w:rPr>
        <w:t>.5采购合同由采购人与</w:t>
      </w:r>
      <w:r>
        <w:rPr>
          <w:rFonts w:hint="eastAsia" w:ascii="宋体" w:hAnsi="宋体" w:cs="宋体"/>
          <w:color w:val="auto"/>
          <w:lang w:eastAsia="zh-CN"/>
        </w:rPr>
        <w:t>中标人</w:t>
      </w:r>
      <w:r>
        <w:rPr>
          <w:rFonts w:hint="eastAsia" w:ascii="宋体" w:hAnsi="宋体" w:cs="宋体"/>
          <w:color w:val="auto"/>
        </w:rPr>
        <w:t>根据招标文件、投标文件等内容通过政府采购电子交易平台在线签订，自动备案。</w:t>
      </w:r>
    </w:p>
    <w:p w14:paraId="469A091F">
      <w:pPr>
        <w:pStyle w:val="25"/>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8</w:t>
      </w:r>
      <w:r>
        <w:rPr>
          <w:rFonts w:hint="eastAsia" w:cs="宋体"/>
          <w:b/>
          <w:color w:val="auto"/>
        </w:rPr>
        <w:t>. 履约保证金</w:t>
      </w:r>
    </w:p>
    <w:p w14:paraId="7D2381E4">
      <w:pPr>
        <w:tabs>
          <w:tab w:val="left" w:pos="0"/>
        </w:tabs>
        <w:spacing w:line="360" w:lineRule="auto"/>
        <w:ind w:firstLine="482"/>
        <w:rPr>
          <w:rFonts w:ascii="宋体" w:hAnsi="宋体" w:cs="宋体"/>
          <w:color w:val="auto"/>
          <w:sz w:val="24"/>
        </w:rPr>
      </w:pPr>
      <w:r>
        <w:rPr>
          <w:rFonts w:hint="eastAsia" w:ascii="宋体" w:hAnsi="宋体" w:cs="宋体"/>
          <w:color w:val="auto"/>
          <w:kern w:val="0"/>
          <w:sz w:val="24"/>
        </w:rPr>
        <w:t>拟签订的合同文本要求</w:t>
      </w:r>
      <w:r>
        <w:rPr>
          <w:rFonts w:hint="eastAsia" w:ascii="宋体" w:hAnsi="宋体" w:cs="宋体"/>
          <w:color w:val="auto"/>
          <w:kern w:val="0"/>
          <w:sz w:val="24"/>
          <w:lang w:eastAsia="zh-CN"/>
        </w:rPr>
        <w:t>中标人</w:t>
      </w:r>
      <w:r>
        <w:rPr>
          <w:rFonts w:hint="eastAsia" w:ascii="宋体" w:hAnsi="宋体" w:cs="宋体"/>
          <w:color w:val="auto"/>
          <w:kern w:val="0"/>
          <w:sz w:val="24"/>
        </w:rPr>
        <w:t>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sz w:val="24"/>
          <w:highlight w:val="none"/>
        </w:rPr>
        <w:t>，鼓励根据项目特点、供应商诚信等因素免收履约保证金或降低缴纳比例</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60952CB0">
      <w:pPr>
        <w:pStyle w:val="3"/>
        <w:ind w:left="0" w:firstLine="480" w:firstLineChars="200"/>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80B3FBB">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9</w:t>
      </w:r>
      <w:r>
        <w:rPr>
          <w:rFonts w:ascii="宋体" w:hAnsi="宋体" w:eastAsia="宋体"/>
          <w:b/>
          <w:bCs/>
          <w:color w:val="auto"/>
          <w:sz w:val="24"/>
          <w:szCs w:val="32"/>
          <w:highlight w:val="none"/>
          <w:lang w:val="en-US"/>
        </w:rPr>
        <w:t>.</w:t>
      </w:r>
      <w:r>
        <w:rPr>
          <w:rFonts w:hint="eastAsia" w:ascii="宋体" w:hAnsi="宋体" w:eastAsia="宋体"/>
          <w:b/>
          <w:bCs/>
          <w:color w:val="auto"/>
          <w:sz w:val="24"/>
          <w:szCs w:val="32"/>
          <w:highlight w:val="none"/>
          <w:lang w:val="en-US" w:eastAsia="zh-CN"/>
        </w:rPr>
        <w:t xml:space="preserve"> </w:t>
      </w:r>
      <w:r>
        <w:rPr>
          <w:rFonts w:ascii="宋体" w:hAnsi="宋体" w:eastAsia="宋体"/>
          <w:b/>
          <w:bCs/>
          <w:color w:val="auto"/>
          <w:sz w:val="24"/>
          <w:szCs w:val="32"/>
          <w:highlight w:val="none"/>
          <w:lang w:val="en-US"/>
        </w:rPr>
        <w:t>预付款</w:t>
      </w:r>
    </w:p>
    <w:p w14:paraId="6D580EB3">
      <w:pPr>
        <w:adjustRightInd/>
        <w:spacing w:line="360" w:lineRule="auto"/>
        <w:ind w:firstLine="480" w:firstLineChars="200"/>
        <w:rPr>
          <w:color w:val="auto"/>
          <w:highlight w:val="none"/>
        </w:rPr>
      </w:pPr>
      <w:r>
        <w:rPr>
          <w:rFonts w:hint="eastAsia" w:ascii="宋体" w:hAnsi="宋体"/>
          <w:color w:val="auto"/>
          <w:sz w:val="24"/>
          <w:highlight w:val="none"/>
          <w:lang w:eastAsia="zh-CN"/>
        </w:rPr>
        <w:t>采购人</w:t>
      </w:r>
      <w:r>
        <w:rPr>
          <w:rFonts w:hint="eastAsia" w:ascii="宋体" w:hAnsi="宋体"/>
          <w:color w:val="auto"/>
          <w:sz w:val="24"/>
          <w:highlight w:val="none"/>
        </w:rPr>
        <w:t>应当在政府采购合同中约定预付款，对中小企业合同预付款比例原则上不低于合同金额的</w:t>
      </w:r>
      <w:r>
        <w:rPr>
          <w:rFonts w:hint="eastAsia" w:ascii="宋体" w:hAnsi="宋体" w:eastAsia="宋体"/>
          <w:color w:val="auto"/>
          <w:sz w:val="24"/>
          <w:highlight w:val="none"/>
          <w:lang w:val="en-US" w:eastAsia="zh-CN"/>
        </w:rPr>
        <w:t>30％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rPr>
        <w:t>不低于</w:t>
      </w:r>
      <w:r>
        <w:rPr>
          <w:rFonts w:ascii="宋体" w:hAnsi="宋体"/>
          <w:color w:val="auto"/>
          <w:sz w:val="24"/>
          <w:highlight w:val="none"/>
        </w:rPr>
        <w:t>项目年度计划支付资金额的</w:t>
      </w:r>
      <w:r>
        <w:rPr>
          <w:rFonts w:hint="eastAsia" w:ascii="宋体" w:hAnsi="宋体"/>
          <w:color w:val="auto"/>
          <w:sz w:val="24"/>
          <w:highlight w:val="none"/>
          <w:lang w:val="en-US" w:eastAsia="zh-CN"/>
        </w:rPr>
        <w:t>30</w:t>
      </w:r>
      <w:r>
        <w:rPr>
          <w:rFonts w:ascii="宋体" w:hAnsi="宋体"/>
          <w:color w:val="auto"/>
          <w:sz w:val="24"/>
          <w:highlight w:val="none"/>
        </w:rPr>
        <w:t>％</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lang w:eastAsia="zh-CN"/>
        </w:rPr>
        <w:t>采购人</w:t>
      </w:r>
      <w:r>
        <w:rPr>
          <w:rFonts w:ascii="宋体" w:hAnsi="宋体"/>
          <w:color w:val="auto"/>
          <w:sz w:val="24"/>
          <w:highlight w:val="none"/>
        </w:rPr>
        <w:t>可不适用前述规定。</w:t>
      </w:r>
      <w:r>
        <w:rPr>
          <w:rFonts w:hint="eastAsia" w:ascii="宋体" w:hAnsi="宋体"/>
          <w:color w:val="auto"/>
          <w:sz w:val="24"/>
          <w:highlight w:val="none"/>
          <w:lang w:eastAsia="zh-CN"/>
        </w:rPr>
        <w:t>采购人</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lang w:val="en-US" w:eastAsia="zh-CN"/>
        </w:rPr>
        <w:t>7</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ascii="宋体" w:hAnsi="宋体"/>
          <w:color w:val="auto"/>
          <w:sz w:val="24"/>
          <w:highlight w:val="none"/>
        </w:rPr>
        <w:t>400-903-9583。</w:t>
      </w:r>
    </w:p>
    <w:p w14:paraId="627DAF06">
      <w:pPr>
        <w:rPr>
          <w:color w:val="auto"/>
        </w:rPr>
      </w:pPr>
    </w:p>
    <w:p w14:paraId="609CF39B">
      <w:pPr>
        <w:snapToGrid w:val="0"/>
        <w:spacing w:line="360" w:lineRule="auto"/>
        <w:ind w:firstLine="3357" w:firstLineChars="1045"/>
        <w:rPr>
          <w:rFonts w:ascii="宋体" w:hAnsi="宋体" w:cs="宋体"/>
          <w:b/>
          <w:color w:val="auto"/>
          <w:sz w:val="32"/>
        </w:rPr>
      </w:pPr>
    </w:p>
    <w:p w14:paraId="3303948E">
      <w:pPr>
        <w:snapToGrid w:val="0"/>
        <w:spacing w:line="360" w:lineRule="auto"/>
        <w:ind w:firstLine="3357" w:firstLineChars="1045"/>
        <w:rPr>
          <w:rFonts w:ascii="宋体" w:hAnsi="宋体" w:cs="宋体"/>
          <w:b/>
          <w:color w:val="auto"/>
          <w:sz w:val="24"/>
        </w:rPr>
      </w:pPr>
      <w:r>
        <w:rPr>
          <w:rFonts w:hint="eastAsia" w:ascii="宋体" w:hAnsi="宋体" w:cs="宋体"/>
          <w:b/>
          <w:color w:val="auto"/>
          <w:sz w:val="32"/>
        </w:rPr>
        <w:t>八、电子交易活动的中止</w:t>
      </w:r>
    </w:p>
    <w:p w14:paraId="70A55CAB">
      <w:pPr>
        <w:pStyle w:val="129"/>
        <w:snapToGrid w:val="0"/>
        <w:spacing w:before="0"/>
        <w:ind w:firstLine="0" w:firstLineChars="0"/>
        <w:rPr>
          <w:rFonts w:hint="eastAsia" w:ascii="宋体" w:hAnsi="宋体" w:cs="宋体"/>
          <w:b/>
          <w:color w:val="auto"/>
          <w:szCs w:val="24"/>
        </w:rPr>
      </w:pPr>
      <w:r>
        <w:rPr>
          <w:rFonts w:hint="eastAsia" w:ascii="宋体" w:hAnsi="宋体" w:cs="宋体"/>
          <w:b/>
          <w:bCs/>
          <w:color w:val="auto"/>
          <w:sz w:val="24"/>
          <w:szCs w:val="20"/>
          <w:lang w:val="en-US" w:eastAsia="zh-CN"/>
        </w:rPr>
        <w:t>30</w:t>
      </w:r>
      <w:r>
        <w:rPr>
          <w:rFonts w:hint="eastAsia" w:ascii="宋体" w:hAnsi="宋体" w:cs="宋体"/>
          <w:b/>
          <w:color w:val="auto"/>
          <w:szCs w:val="24"/>
        </w:rPr>
        <w:t>. 电子交易活动的中止。</w:t>
      </w:r>
    </w:p>
    <w:p w14:paraId="798BA23B">
      <w:pPr>
        <w:pStyle w:val="129"/>
        <w:snapToGrid w:val="0"/>
        <w:spacing w:before="0"/>
        <w:ind w:firstLine="480" w:firstLineChars="200"/>
        <w:rPr>
          <w:rFonts w:ascii="宋体" w:hAnsi="宋体" w:cs="宋体"/>
          <w:color w:val="auto"/>
        </w:rPr>
      </w:pP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1C6558A1">
      <w:pPr>
        <w:pStyle w:val="129"/>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 xml:space="preserve">.1电子交易平台发生故障而无法登录访问的； </w:t>
      </w:r>
    </w:p>
    <w:p w14:paraId="513F8E8E">
      <w:pPr>
        <w:pStyle w:val="129"/>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.2电子交易平台应用或数据库出现错误，不能进行正常操作的；</w:t>
      </w:r>
    </w:p>
    <w:p w14:paraId="22D1216D">
      <w:pPr>
        <w:pStyle w:val="129"/>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.3电子交易平台发现严重安全漏洞，有潜在泄密危险的；</w:t>
      </w:r>
    </w:p>
    <w:p w14:paraId="011A1725">
      <w:pPr>
        <w:pStyle w:val="129"/>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 xml:space="preserve">4病毒发作导致不能进行正常操作的； </w:t>
      </w:r>
    </w:p>
    <w:p w14:paraId="1D34D065">
      <w:pPr>
        <w:pStyle w:val="129"/>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.5其他无法保证电子交易的公平、公正和安全的情况。</w:t>
      </w:r>
    </w:p>
    <w:p w14:paraId="59641FB7">
      <w:pPr>
        <w:pStyle w:val="129"/>
        <w:numPr>
          <w:ilvl w:val="0"/>
          <w:numId w:val="0"/>
        </w:numPr>
        <w:snapToGrid w:val="0"/>
        <w:spacing w:before="0"/>
        <w:ind w:leftChars="0" w:firstLine="480" w:firstLineChars="200"/>
        <w:rPr>
          <w:rFonts w:hint="eastAsia" w:ascii="宋体" w:hAnsi="宋体" w:eastAsia="宋体" w:cs="宋体"/>
          <w:color w:val="auto"/>
        </w:rPr>
      </w:pPr>
      <w:r>
        <w:rPr>
          <w:rFonts w:hint="eastAsia" w:ascii="宋体" w:hAnsi="宋体" w:eastAsia="宋体" w:cs="宋体"/>
          <w:color w:val="auto"/>
        </w:rPr>
        <w:t>出现以上情形，不影响采购公平、公正性的，</w:t>
      </w:r>
      <w:r>
        <w:rPr>
          <w:rFonts w:hint="eastAsia" w:ascii="宋体" w:hAnsi="宋体" w:eastAsia="宋体" w:cs="宋体"/>
          <w:color w:val="auto"/>
          <w:highlight w:val="none"/>
        </w:rPr>
        <w:t>采购人或采购代理机构</w:t>
      </w:r>
      <w:r>
        <w:rPr>
          <w:rFonts w:hint="eastAsia" w:ascii="宋体" w:hAnsi="宋体" w:eastAsia="宋体" w:cs="宋体"/>
          <w:color w:val="auto"/>
        </w:rPr>
        <w:t>可以待上述情形消除后继续组织电子交易活动，也可以决定某些环节以纸质形式进行；影响或可能影响采购公平、公正性的，应当重新采购。</w:t>
      </w:r>
    </w:p>
    <w:p w14:paraId="53DA735A">
      <w:pPr>
        <w:tabs>
          <w:tab w:val="left" w:pos="0"/>
        </w:tabs>
        <w:spacing w:line="360" w:lineRule="auto"/>
        <w:ind w:firstLine="480"/>
        <w:rPr>
          <w:rFonts w:ascii="宋体" w:hAnsi="宋体" w:cs="宋体"/>
          <w:color w:val="auto"/>
          <w:sz w:val="24"/>
        </w:rPr>
      </w:pPr>
    </w:p>
    <w:p w14:paraId="12807FFD">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九、验收</w:t>
      </w:r>
    </w:p>
    <w:p w14:paraId="6BCA0702">
      <w:pPr>
        <w:pStyle w:val="25"/>
        <w:spacing w:line="360" w:lineRule="auto"/>
        <w:ind w:firstLine="0" w:firstLineChars="0"/>
        <w:rPr>
          <w:rFonts w:cs="宋体"/>
          <w:b/>
          <w:color w:val="auto"/>
        </w:rPr>
      </w:pPr>
      <w:r>
        <w:rPr>
          <w:rFonts w:hint="eastAsia" w:cs="宋体"/>
          <w:b/>
          <w:color w:val="auto"/>
        </w:rPr>
        <w:t>3</w:t>
      </w:r>
      <w:r>
        <w:rPr>
          <w:rFonts w:hint="eastAsia" w:cs="宋体"/>
          <w:b/>
          <w:color w:val="auto"/>
          <w:lang w:val="en-US" w:eastAsia="zh-CN"/>
        </w:rPr>
        <w:t>1</w:t>
      </w:r>
      <w:r>
        <w:rPr>
          <w:rFonts w:hint="eastAsia" w:cs="宋体"/>
          <w:b/>
          <w:color w:val="auto"/>
        </w:rPr>
        <w:t>.验收</w:t>
      </w:r>
    </w:p>
    <w:p w14:paraId="0CD9AF00">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.1采购人组织对供应商履约的验收。大型或者复杂的政府采购项目，</w:t>
      </w:r>
      <w:r>
        <w:rPr>
          <w:rFonts w:hint="eastAsia" w:ascii="宋体" w:hAnsi="宋体" w:cs="宋体"/>
          <w:color w:val="auto"/>
          <w:kern w:val="0"/>
          <w:sz w:val="24"/>
          <w:highlight w:val="none"/>
          <w:lang w:val="en-US" w:eastAsia="zh-CN"/>
        </w:rPr>
        <w:t>可以</w:t>
      </w:r>
      <w:r>
        <w:rPr>
          <w:rFonts w:hint="eastAsia" w:ascii="宋体" w:hAnsi="宋体" w:cs="宋体"/>
          <w:color w:val="auto"/>
          <w:kern w:val="0"/>
          <w:sz w:val="24"/>
        </w:rPr>
        <w:t>邀请国家认可的质量检测机构参加验收工作。验收方成员在验收书上签字，并承担相应的法律责任。如果发现与合同中要求不符，供应商须承担由此发生的一切损失和费用，并接受相应的处理。</w:t>
      </w:r>
    </w:p>
    <w:p w14:paraId="1CE938FF">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.2采购人</w:t>
      </w:r>
      <w:r>
        <w:rPr>
          <w:rFonts w:hint="eastAsia" w:ascii="宋体" w:hAnsi="宋体" w:cs="宋体"/>
          <w:color w:val="auto"/>
          <w:kern w:val="0"/>
          <w:sz w:val="24"/>
          <w:highlight w:val="none"/>
        </w:rPr>
        <w:t>可以</w:t>
      </w:r>
      <w:r>
        <w:rPr>
          <w:rFonts w:hint="eastAsia" w:ascii="宋体" w:hAnsi="宋体" w:cs="宋体"/>
          <w:color w:val="auto"/>
          <w:kern w:val="0"/>
          <w:sz w:val="24"/>
        </w:rPr>
        <w:t>邀请参加本项目的其他投标人或者第三方机构参与验收。参与验收的投标人或者第三方机构的意见作为验收书的参考资料一并存档。</w:t>
      </w:r>
    </w:p>
    <w:p w14:paraId="402DC212">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2388897">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C7B0C5D">
      <w:pPr>
        <w:tabs>
          <w:tab w:val="left" w:pos="0"/>
        </w:tabs>
        <w:spacing w:line="360" w:lineRule="auto"/>
        <w:ind w:firstLine="480"/>
        <w:rPr>
          <w:rFonts w:hint="default" w:ascii="宋体" w:hAnsi="宋体" w:eastAsia="宋体" w:cs="宋体"/>
          <w:color w:val="auto"/>
          <w:kern w:val="0"/>
          <w:sz w:val="24"/>
          <w:highlight w:val="none"/>
          <w:lang w:val="en-US" w:eastAsia="zh-CN"/>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color w:val="auto"/>
          <w:kern w:val="0"/>
          <w:sz w:val="24"/>
          <w:highlight w:val="none"/>
          <w:lang w:val="en-US" w:eastAsia="zh-CN"/>
        </w:rPr>
        <w:t>31.5</w:t>
      </w:r>
      <w:bookmarkEnd w:id="12"/>
      <w:bookmarkStart w:id="14" w:name="_Hlt68072990"/>
      <w:bookmarkEnd w:id="14"/>
      <w:bookmarkStart w:id="15" w:name="_Hlt74729768"/>
      <w:bookmarkEnd w:id="15"/>
      <w:bookmarkStart w:id="16" w:name="_Hlt68057669"/>
      <w:bookmarkEnd w:id="16"/>
      <w:bookmarkStart w:id="17" w:name="_Hlt74714665"/>
      <w:bookmarkEnd w:id="17"/>
      <w:bookmarkStart w:id="18" w:name="_Hlt68073093"/>
      <w:bookmarkEnd w:id="18"/>
      <w:bookmarkStart w:id="19" w:name="_Hlt68403820"/>
      <w:bookmarkEnd w:id="19"/>
      <w:bookmarkStart w:id="20" w:name="_Hlt75236011"/>
      <w:bookmarkEnd w:id="20"/>
      <w:bookmarkStart w:id="21" w:name="_Hlt68072998"/>
      <w:bookmarkEnd w:id="21"/>
      <w:bookmarkStart w:id="22" w:name="_Hlt75236290"/>
      <w:bookmarkEnd w:id="22"/>
      <w:bookmarkStart w:id="23" w:name="_Hlt75236101"/>
      <w:bookmarkEnd w:id="23"/>
      <w:bookmarkStart w:id="24" w:name="_Hlt74730295"/>
      <w:bookmarkEnd w:id="24"/>
      <w:bookmarkStart w:id="25" w:name="_Hlt74707468"/>
      <w:bookmarkEnd w:id="25"/>
      <w:r>
        <w:rPr>
          <w:rFonts w:hint="eastAsia" w:ascii="宋体" w:hAnsi="宋体" w:cs="宋体"/>
          <w:color w:val="auto"/>
          <w:kern w:val="0"/>
          <w:sz w:val="24"/>
          <w:highlight w:val="none"/>
          <w:lang w:val="en-US" w:eastAsia="zh-CN"/>
        </w:rPr>
        <w:t xml:space="preserve"> 除涉密情形外，</w:t>
      </w:r>
      <w:r>
        <w:rPr>
          <w:rFonts w:hint="eastAsia" w:ascii="宋体" w:hAnsi="宋体" w:cs="宋体"/>
          <w:color w:val="auto"/>
          <w:kern w:val="0"/>
          <w:sz w:val="24"/>
          <w:highlight w:val="none"/>
          <w:lang w:eastAsia="zh-CN"/>
        </w:rPr>
        <w:t>采购人应在完成履约验收后</w:t>
      </w:r>
      <w:r>
        <w:rPr>
          <w:rFonts w:hint="eastAsia" w:ascii="宋体" w:hAnsi="宋体" w:cs="宋体"/>
          <w:color w:val="auto"/>
          <w:kern w:val="0"/>
          <w:sz w:val="24"/>
          <w:highlight w:val="none"/>
          <w:lang w:val="en-US" w:eastAsia="zh-CN"/>
        </w:rPr>
        <w:t>2个工作日内，在浙江政府采购网发布验收结果。</w:t>
      </w:r>
    </w:p>
    <w:bookmarkEnd w:id="10"/>
    <w:bookmarkEnd w:id="11"/>
    <w:p w14:paraId="0027F748">
      <w:pPr>
        <w:numPr>
          <w:ilvl w:val="0"/>
          <w:numId w:val="5"/>
        </w:numPr>
        <w:spacing w:line="360" w:lineRule="auto"/>
        <w:jc w:val="center"/>
        <w:outlineLvl w:val="0"/>
        <w:rPr>
          <w:rFonts w:hint="eastAsia" w:ascii="宋体" w:hAnsi="宋体" w:cs="宋体"/>
          <w:b/>
          <w:color w:val="auto"/>
          <w:sz w:val="36"/>
          <w:szCs w:val="36"/>
        </w:rPr>
      </w:pPr>
      <w:bookmarkStart w:id="26" w:name="第四部分"/>
      <w:r>
        <w:rPr>
          <w:rFonts w:hint="eastAsia" w:ascii="宋体" w:hAnsi="宋体" w:cs="宋体"/>
          <w:b/>
          <w:color w:val="auto"/>
          <w:sz w:val="36"/>
          <w:szCs w:val="36"/>
        </w:rPr>
        <w:t xml:space="preserve">  采购需求</w:t>
      </w:r>
    </w:p>
    <w:p w14:paraId="1727FB4A">
      <w:pPr>
        <w:tabs>
          <w:tab w:val="left" w:pos="0"/>
        </w:tabs>
        <w:spacing w:line="360" w:lineRule="auto"/>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特别说明：</w:t>
      </w:r>
    </w:p>
    <w:p w14:paraId="4697B7E4">
      <w:pPr>
        <w:tabs>
          <w:tab w:val="left" w:pos="0"/>
        </w:tabs>
        <w:spacing w:line="360" w:lineRule="auto"/>
        <w:ind w:firstLine="48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b w:val="0"/>
          <w:bCs/>
          <w:color w:val="auto"/>
          <w:sz w:val="24"/>
          <w:u w:val="single"/>
        </w:rPr>
        <w:t>▲</w:t>
      </w:r>
      <w:r>
        <w:rPr>
          <w:rFonts w:hint="eastAsia" w:ascii="宋体" w:hAnsi="宋体" w:eastAsia="宋体" w:cs="宋体"/>
          <w:color w:val="auto"/>
          <w:kern w:val="0"/>
          <w:sz w:val="24"/>
          <w:highlight w:val="none"/>
          <w:u w:val="single"/>
          <w:lang w:val="en-US" w:eastAsia="zh-CN"/>
        </w:rPr>
        <w:t>技术参数中</w:t>
      </w:r>
      <w:r>
        <w:rPr>
          <w:rFonts w:hint="eastAsia" w:ascii="宋体" w:hAnsi="宋体" w:cs="宋体"/>
          <w:color w:val="auto"/>
          <w:kern w:val="0"/>
          <w:sz w:val="24"/>
          <w:highlight w:val="none"/>
          <w:u w:val="single"/>
          <w:lang w:val="en-US" w:eastAsia="zh-CN"/>
        </w:rPr>
        <w:t>的所有</w:t>
      </w:r>
      <w:r>
        <w:rPr>
          <w:rFonts w:hint="eastAsia" w:ascii="宋体" w:hAnsi="宋体" w:eastAsia="宋体" w:cs="宋体"/>
          <w:color w:val="auto"/>
          <w:kern w:val="0"/>
          <w:sz w:val="24"/>
          <w:highlight w:val="none"/>
          <w:u w:val="single"/>
          <w:lang w:val="en-US" w:eastAsia="zh-CN"/>
        </w:rPr>
        <w:t>指标为实质性参数，不允许负偏离。如投标人未响应的，视作</w:t>
      </w:r>
      <w:r>
        <w:rPr>
          <w:rFonts w:hint="eastAsia" w:ascii="宋体" w:hAnsi="宋体" w:cs="宋体"/>
          <w:color w:val="auto"/>
          <w:kern w:val="0"/>
          <w:sz w:val="24"/>
          <w:highlight w:val="none"/>
          <w:u w:val="single"/>
          <w:lang w:val="en-US" w:eastAsia="zh-CN"/>
        </w:rPr>
        <w:t>无效标处理</w:t>
      </w:r>
      <w:r>
        <w:rPr>
          <w:rFonts w:hint="eastAsia" w:ascii="宋体" w:hAnsi="宋体" w:eastAsia="宋体" w:cs="宋体"/>
          <w:color w:val="auto"/>
          <w:kern w:val="0"/>
          <w:sz w:val="24"/>
          <w:highlight w:val="none"/>
          <w:u w:val="single"/>
          <w:lang w:val="en-US" w:eastAsia="zh-CN"/>
        </w:rPr>
        <w:t>。</w:t>
      </w:r>
    </w:p>
    <w:p w14:paraId="29DD2CC2">
      <w:pPr>
        <w:tabs>
          <w:tab w:val="left" w:pos="0"/>
        </w:tabs>
        <w:spacing w:line="360" w:lineRule="auto"/>
        <w:ind w:firstLine="48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2.核心产品在各标项内容中明确，如出现同品牌情况的，评标委员会根据评审</w:t>
      </w:r>
      <w:r>
        <w:rPr>
          <w:rFonts w:hint="eastAsia" w:ascii="宋体" w:hAnsi="宋体" w:cs="宋体"/>
          <w:color w:val="auto"/>
          <w:kern w:val="0"/>
          <w:sz w:val="24"/>
          <w:highlight w:val="none"/>
          <w:lang w:val="en-US" w:eastAsia="zh-CN"/>
        </w:rPr>
        <w:t>程序</w:t>
      </w:r>
      <w:r>
        <w:rPr>
          <w:rFonts w:hint="eastAsia" w:ascii="宋体" w:hAnsi="宋体" w:eastAsia="宋体" w:cs="宋体"/>
          <w:color w:val="auto"/>
          <w:kern w:val="0"/>
          <w:sz w:val="24"/>
          <w:highlight w:val="none"/>
          <w:lang w:val="en-US" w:eastAsia="zh-CN"/>
        </w:rPr>
        <w:t>第</w:t>
      </w:r>
      <w:r>
        <w:rPr>
          <w:rFonts w:hint="eastAsia" w:ascii="宋体" w:hAnsi="宋体" w:cs="宋体"/>
          <w:color w:val="auto"/>
          <w:kern w:val="0"/>
          <w:sz w:val="24"/>
          <w:highlight w:val="none"/>
          <w:lang w:val="en-US" w:eastAsia="zh-CN"/>
        </w:rPr>
        <w:t>3.5</w:t>
      </w:r>
      <w:r>
        <w:rPr>
          <w:rFonts w:hint="eastAsia" w:ascii="宋体" w:hAnsi="宋体" w:eastAsia="宋体" w:cs="宋体"/>
          <w:color w:val="auto"/>
          <w:kern w:val="0"/>
          <w:sz w:val="24"/>
          <w:highlight w:val="none"/>
          <w:lang w:val="en-US" w:eastAsia="zh-CN"/>
        </w:rPr>
        <w:t>条规定执行。</w:t>
      </w:r>
    </w:p>
    <w:p w14:paraId="18BCD9D1">
      <w:pPr>
        <w:tabs>
          <w:tab w:val="left" w:pos="0"/>
        </w:tabs>
        <w:spacing w:line="360" w:lineRule="auto"/>
        <w:ind w:firstLine="480"/>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3.</w:t>
      </w:r>
      <w:r>
        <w:rPr>
          <w:rFonts w:hint="eastAsia" w:ascii="宋体" w:hAnsi="宋体" w:cs="宋体"/>
          <w:b w:val="0"/>
          <w:bCs/>
          <w:color w:val="auto"/>
          <w:sz w:val="24"/>
          <w:u w:val="single"/>
        </w:rPr>
        <w:t>▲</w:t>
      </w:r>
      <w:r>
        <w:rPr>
          <w:rFonts w:hint="eastAsia" w:ascii="宋体" w:hAnsi="宋体" w:eastAsia="宋体" w:cs="宋体"/>
          <w:color w:val="auto"/>
          <w:kern w:val="0"/>
          <w:sz w:val="24"/>
          <w:highlight w:val="none"/>
          <w:u w:val="single"/>
          <w:lang w:val="en-US" w:eastAsia="zh-CN"/>
        </w:rPr>
        <w:t>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宋体" w:hAnsi="宋体" w:cs="宋体"/>
          <w:color w:val="auto"/>
          <w:kern w:val="0"/>
          <w:sz w:val="24"/>
          <w:highlight w:val="none"/>
          <w:u w:val="single"/>
          <w:lang w:val="en-US" w:eastAsia="zh-CN"/>
        </w:rPr>
        <w:t>须提供</w:t>
      </w:r>
      <w:r>
        <w:rPr>
          <w:rFonts w:hint="eastAsia" w:ascii="宋体" w:hAnsi="宋体" w:eastAsia="宋体" w:cs="宋体"/>
          <w:color w:val="auto"/>
          <w:kern w:val="0"/>
          <w:sz w:val="24"/>
          <w:highlight w:val="none"/>
          <w:u w:val="single"/>
          <w:lang w:val="en-US" w:eastAsia="zh-CN"/>
        </w:rPr>
        <w:t>国家确定的认证机构出具的、处于有效期之内的节能产品认证证书</w:t>
      </w:r>
      <w:r>
        <w:rPr>
          <w:rFonts w:hint="eastAsia" w:ascii="宋体" w:hAnsi="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lang w:val="en-US" w:eastAsia="zh-CN"/>
        </w:rPr>
        <w:t>如投标人未</w:t>
      </w:r>
      <w:r>
        <w:rPr>
          <w:rFonts w:hint="eastAsia" w:ascii="宋体" w:hAnsi="宋体" w:cs="宋体"/>
          <w:color w:val="auto"/>
          <w:kern w:val="0"/>
          <w:sz w:val="24"/>
          <w:highlight w:val="none"/>
          <w:u w:val="single"/>
          <w:lang w:val="en-US" w:eastAsia="zh-CN"/>
        </w:rPr>
        <w:t>提供，</w:t>
      </w:r>
      <w:r>
        <w:rPr>
          <w:rFonts w:hint="eastAsia" w:ascii="宋体" w:hAnsi="宋体" w:eastAsia="宋体" w:cs="宋体"/>
          <w:color w:val="auto"/>
          <w:kern w:val="0"/>
          <w:sz w:val="24"/>
          <w:highlight w:val="none"/>
          <w:u w:val="single"/>
          <w:lang w:val="en-US" w:eastAsia="zh-CN"/>
        </w:rPr>
        <w:t>视作</w:t>
      </w:r>
      <w:r>
        <w:rPr>
          <w:rFonts w:hint="eastAsia" w:ascii="宋体" w:hAnsi="宋体" w:cs="宋体"/>
          <w:color w:val="auto"/>
          <w:kern w:val="0"/>
          <w:sz w:val="24"/>
          <w:highlight w:val="none"/>
          <w:u w:val="single"/>
          <w:lang w:val="en-US" w:eastAsia="zh-CN"/>
        </w:rPr>
        <w:t>无效标处理</w:t>
      </w:r>
      <w:r>
        <w:rPr>
          <w:rFonts w:hint="eastAsia" w:ascii="宋体" w:hAnsi="宋体" w:eastAsia="宋体" w:cs="宋体"/>
          <w:color w:val="auto"/>
          <w:kern w:val="0"/>
          <w:sz w:val="24"/>
          <w:highlight w:val="none"/>
          <w:u w:val="single"/>
          <w:lang w:val="en-US" w:eastAsia="zh-CN"/>
        </w:rPr>
        <w:t>。</w:t>
      </w:r>
    </w:p>
    <w:p w14:paraId="109F5B7F">
      <w:pPr>
        <w:tabs>
          <w:tab w:val="left" w:pos="0"/>
        </w:tabs>
        <w:spacing w:line="360" w:lineRule="auto"/>
        <w:ind w:firstLine="48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4.</w:t>
      </w:r>
      <w:r>
        <w:rPr>
          <w:rFonts w:hint="eastAsia" w:ascii="宋体" w:hAnsi="宋体" w:cs="宋体"/>
          <w:b w:val="0"/>
          <w:bCs/>
          <w:color w:val="auto"/>
          <w:sz w:val="24"/>
          <w:u w:val="single"/>
        </w:rPr>
        <w:t>▲</w:t>
      </w:r>
      <w:r>
        <w:rPr>
          <w:rFonts w:hint="eastAsia" w:ascii="宋体" w:hAnsi="宋体" w:eastAsia="宋体" w:cs="宋体"/>
          <w:color w:val="auto"/>
          <w:kern w:val="0"/>
          <w:sz w:val="24"/>
          <w:highlight w:val="none"/>
          <w:u w:val="single"/>
          <w:lang w:val="en-US" w:eastAsia="zh-CN"/>
        </w:rPr>
        <w:t>供应商承诺提供赠品、回扣、采购预算中本身不包含的其他商品或服务，视作无效</w:t>
      </w:r>
      <w:r>
        <w:rPr>
          <w:rFonts w:hint="eastAsia" w:ascii="宋体" w:hAnsi="宋体" w:cs="宋体"/>
          <w:color w:val="auto"/>
          <w:kern w:val="0"/>
          <w:sz w:val="24"/>
          <w:highlight w:val="none"/>
          <w:u w:val="single"/>
          <w:lang w:val="en-US" w:eastAsia="zh-CN"/>
        </w:rPr>
        <w:t>标</w:t>
      </w:r>
      <w:r>
        <w:rPr>
          <w:rFonts w:hint="eastAsia" w:ascii="宋体" w:hAnsi="宋体" w:eastAsia="宋体" w:cs="宋体"/>
          <w:color w:val="auto"/>
          <w:kern w:val="0"/>
          <w:sz w:val="24"/>
          <w:highlight w:val="none"/>
          <w:u w:val="single"/>
          <w:lang w:val="en-US" w:eastAsia="zh-CN"/>
        </w:rPr>
        <w:t>。</w:t>
      </w:r>
    </w:p>
    <w:p w14:paraId="1BCC7818">
      <w:pPr>
        <w:numPr>
          <w:ilvl w:val="0"/>
          <w:numId w:val="0"/>
        </w:numPr>
        <w:tabs>
          <w:tab w:val="left" w:pos="0"/>
        </w:tabs>
        <w:spacing w:line="360" w:lineRule="auto"/>
        <w:ind w:leftChars="0"/>
        <w:rPr>
          <w:rFonts w:hint="default" w:ascii="宋体" w:hAnsi="宋体" w:eastAsia="宋体" w:cs="宋体"/>
          <w:color w:val="auto"/>
          <w:kern w:val="0"/>
          <w:sz w:val="24"/>
          <w:highlight w:val="none"/>
          <w:lang w:val="en-US" w:eastAsia="zh-CN"/>
        </w:rPr>
      </w:pPr>
    </w:p>
    <w:p w14:paraId="4BD6B69F">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hAnsi="Times New Roman" w:eastAsia="宋体" w:cs="Times New Roman"/>
          <w:color w:val="000000"/>
          <w:kern w:val="2"/>
          <w:sz w:val="22"/>
          <w:szCs w:val="24"/>
          <w:lang w:val="en-US" w:eastAsia="zh-CN" w:bidi="ar-SA"/>
        </w:rPr>
        <w:t>一、</w:t>
      </w:r>
      <w:r>
        <w:rPr>
          <w:rFonts w:hint="eastAsia" w:ascii="宋体"/>
          <w:color w:val="000000"/>
          <w:sz w:val="22"/>
          <w:lang w:val="en-US" w:eastAsia="zh-CN"/>
        </w:rPr>
        <w:t>采购数量与预算</w:t>
      </w:r>
    </w:p>
    <w:tbl>
      <w:tblPr>
        <w:tblStyle w:val="63"/>
        <w:tblpPr w:leftFromText="180" w:rightFromText="180" w:vertAnchor="text" w:horzAnchor="page" w:tblpXSpec="center" w:tblpY="140"/>
        <w:tblOverlap w:val="never"/>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992"/>
        <w:gridCol w:w="913"/>
        <w:gridCol w:w="808"/>
        <w:gridCol w:w="791"/>
        <w:gridCol w:w="835"/>
        <w:gridCol w:w="1211"/>
      </w:tblGrid>
      <w:tr w14:paraId="3F8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4D538DCB">
            <w:pPr>
              <w:jc w:val="center"/>
              <w:rPr>
                <w:rFonts w:hint="eastAsia" w:ascii="华文宋体" w:hAnsi="华文宋体" w:eastAsia="华文宋体" w:cs="华文宋体"/>
                <w:sz w:val="21"/>
                <w:szCs w:val="21"/>
                <w:vertAlign w:val="baseline"/>
              </w:rPr>
            </w:pPr>
            <w:r>
              <w:rPr>
                <w:rFonts w:hint="eastAsia" w:ascii="华文宋体" w:hAnsi="华文宋体" w:eastAsia="华文宋体" w:cs="华文宋体"/>
                <w:sz w:val="21"/>
                <w:szCs w:val="21"/>
                <w:lang w:eastAsia="zh-CN"/>
              </w:rPr>
              <w:t>学校</w:t>
            </w:r>
          </w:p>
        </w:tc>
        <w:tc>
          <w:tcPr>
            <w:tcW w:w="992" w:type="dxa"/>
            <w:noWrap w:val="0"/>
            <w:vAlign w:val="center"/>
          </w:tcPr>
          <w:p w14:paraId="1E636F4D">
            <w:pPr>
              <w:jc w:val="center"/>
              <w:rPr>
                <w:rFonts w:hint="eastAsia" w:ascii="华文宋体" w:hAnsi="华文宋体" w:eastAsia="华文宋体" w:cs="华文宋体"/>
                <w:sz w:val="18"/>
                <w:szCs w:val="18"/>
                <w:vertAlign w:val="baseline"/>
              </w:rPr>
            </w:pPr>
            <w:r>
              <w:rPr>
                <w:rFonts w:hint="eastAsia" w:ascii="华文宋体" w:hAnsi="华文宋体" w:eastAsia="华文宋体" w:cs="华文宋体"/>
                <w:sz w:val="18"/>
                <w:szCs w:val="18"/>
                <w:lang w:val="en-US" w:eastAsia="zh-CN"/>
              </w:rPr>
              <w:t>学生机1</w:t>
            </w:r>
          </w:p>
        </w:tc>
        <w:tc>
          <w:tcPr>
            <w:tcW w:w="913" w:type="dxa"/>
            <w:noWrap w:val="0"/>
            <w:vAlign w:val="center"/>
          </w:tcPr>
          <w:p w14:paraId="7A9FF268">
            <w:pPr>
              <w:jc w:val="center"/>
              <w:rPr>
                <w:rFonts w:hint="eastAsia" w:ascii="华文宋体" w:hAnsi="华文宋体" w:eastAsia="华文宋体" w:cs="华文宋体"/>
                <w:sz w:val="18"/>
                <w:szCs w:val="18"/>
                <w:vertAlign w:val="baseline"/>
                <w:lang w:val="en-US"/>
              </w:rPr>
            </w:pPr>
            <w:r>
              <w:rPr>
                <w:rFonts w:hint="eastAsia" w:ascii="华文宋体" w:hAnsi="华文宋体" w:eastAsia="华文宋体" w:cs="华文宋体"/>
                <w:sz w:val="18"/>
                <w:szCs w:val="18"/>
                <w:lang w:val="en-US" w:eastAsia="zh-CN"/>
              </w:rPr>
              <w:t>学生机2</w:t>
            </w:r>
          </w:p>
        </w:tc>
        <w:tc>
          <w:tcPr>
            <w:tcW w:w="808" w:type="dxa"/>
            <w:noWrap w:val="0"/>
            <w:vAlign w:val="center"/>
          </w:tcPr>
          <w:p w14:paraId="6F490212">
            <w:pPr>
              <w:jc w:val="center"/>
              <w:rPr>
                <w:rFonts w:hint="eastAsia" w:ascii="华文宋体" w:hAnsi="华文宋体" w:eastAsia="华文宋体" w:cs="华文宋体"/>
                <w:color w:val="000000"/>
                <w:kern w:val="2"/>
                <w:sz w:val="18"/>
                <w:szCs w:val="18"/>
                <w:vertAlign w:val="baseline"/>
                <w:lang w:val="en-US" w:eastAsia="zh-CN" w:bidi="ar-SA"/>
              </w:rPr>
            </w:pPr>
            <w:r>
              <w:rPr>
                <w:rFonts w:hint="eastAsia" w:ascii="华文宋体" w:hAnsi="华文宋体" w:eastAsia="华文宋体" w:cs="华文宋体"/>
                <w:sz w:val="18"/>
                <w:szCs w:val="18"/>
                <w:lang w:val="en-US" w:eastAsia="zh-CN"/>
              </w:rPr>
              <w:t>教师机</w:t>
            </w:r>
          </w:p>
        </w:tc>
        <w:tc>
          <w:tcPr>
            <w:tcW w:w="791" w:type="dxa"/>
            <w:noWrap w:val="0"/>
            <w:vAlign w:val="center"/>
          </w:tcPr>
          <w:p w14:paraId="60B6AAFD">
            <w:pPr>
              <w:jc w:val="center"/>
              <w:rPr>
                <w:rFonts w:hint="eastAsia" w:ascii="华文宋体" w:hAnsi="华文宋体" w:eastAsia="华文宋体" w:cs="华文宋体"/>
                <w:sz w:val="21"/>
                <w:szCs w:val="21"/>
                <w:vertAlign w:val="baseline"/>
              </w:rPr>
            </w:pPr>
            <w:r>
              <w:rPr>
                <w:rFonts w:hint="eastAsia" w:ascii="华文宋体" w:hAnsi="华文宋体" w:eastAsia="华文宋体" w:cs="华文宋体"/>
                <w:sz w:val="21"/>
                <w:szCs w:val="21"/>
                <w:lang w:val="en-US" w:eastAsia="zh-CN"/>
              </w:rPr>
              <w:t>小计</w:t>
            </w:r>
          </w:p>
        </w:tc>
        <w:tc>
          <w:tcPr>
            <w:tcW w:w="835" w:type="dxa"/>
            <w:noWrap w:val="0"/>
            <w:vAlign w:val="center"/>
          </w:tcPr>
          <w:p w14:paraId="113D4101">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单价</w:t>
            </w:r>
          </w:p>
        </w:tc>
        <w:tc>
          <w:tcPr>
            <w:tcW w:w="1211" w:type="dxa"/>
            <w:noWrap w:val="0"/>
            <w:vAlign w:val="center"/>
          </w:tcPr>
          <w:p w14:paraId="3F781572">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金额</w:t>
            </w:r>
          </w:p>
        </w:tc>
      </w:tr>
      <w:tr w14:paraId="136D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6130D161">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温州市洞头区实验小学</w:t>
            </w:r>
          </w:p>
        </w:tc>
        <w:tc>
          <w:tcPr>
            <w:tcW w:w="992" w:type="dxa"/>
            <w:noWrap w:val="0"/>
            <w:vAlign w:val="top"/>
          </w:tcPr>
          <w:p w14:paraId="76D89866">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w:t>
            </w:r>
          </w:p>
        </w:tc>
        <w:tc>
          <w:tcPr>
            <w:tcW w:w="913" w:type="dxa"/>
            <w:noWrap w:val="0"/>
            <w:vAlign w:val="top"/>
          </w:tcPr>
          <w:p w14:paraId="08BCE577">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w:t>
            </w:r>
          </w:p>
        </w:tc>
        <w:tc>
          <w:tcPr>
            <w:tcW w:w="808" w:type="dxa"/>
            <w:noWrap w:val="0"/>
            <w:vAlign w:val="top"/>
          </w:tcPr>
          <w:p w14:paraId="35218B87">
            <w:pPr>
              <w:jc w:val="center"/>
              <w:rPr>
                <w:rFonts w:hint="eastAsia" w:ascii="华文宋体" w:hAnsi="华文宋体" w:eastAsia="华文宋体" w:cs="华文宋体"/>
                <w:color w:val="000000"/>
                <w:kern w:val="2"/>
                <w:sz w:val="21"/>
                <w:szCs w:val="21"/>
                <w:lang w:val="en-US" w:eastAsia="zh-CN" w:bidi="ar-SA"/>
              </w:rPr>
            </w:pPr>
          </w:p>
        </w:tc>
        <w:tc>
          <w:tcPr>
            <w:tcW w:w="791" w:type="dxa"/>
            <w:noWrap w:val="0"/>
            <w:vAlign w:val="top"/>
          </w:tcPr>
          <w:p w14:paraId="2BDAA52A">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70</w:t>
            </w:r>
          </w:p>
        </w:tc>
        <w:tc>
          <w:tcPr>
            <w:tcW w:w="835" w:type="dxa"/>
            <w:noWrap w:val="0"/>
            <w:vAlign w:val="top"/>
          </w:tcPr>
          <w:p w14:paraId="44191207">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5000</w:t>
            </w:r>
          </w:p>
        </w:tc>
        <w:tc>
          <w:tcPr>
            <w:tcW w:w="1211" w:type="dxa"/>
            <w:noWrap w:val="0"/>
            <w:vAlign w:val="top"/>
          </w:tcPr>
          <w:p w14:paraId="449F4ED9">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350000</w:t>
            </w:r>
          </w:p>
        </w:tc>
      </w:tr>
      <w:tr w14:paraId="542B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79B75C03">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温州市洞头区海霞中学</w:t>
            </w:r>
          </w:p>
        </w:tc>
        <w:tc>
          <w:tcPr>
            <w:tcW w:w="992" w:type="dxa"/>
            <w:noWrap w:val="0"/>
            <w:vAlign w:val="top"/>
          </w:tcPr>
          <w:p w14:paraId="3E2C56C2">
            <w:pPr>
              <w:jc w:val="center"/>
              <w:rPr>
                <w:rFonts w:hint="eastAsia" w:ascii="华文宋体" w:hAnsi="华文宋体" w:eastAsia="华文宋体" w:cs="华文宋体"/>
                <w:sz w:val="21"/>
                <w:szCs w:val="21"/>
                <w:lang w:val="en-US" w:eastAsia="zh-CN"/>
              </w:rPr>
            </w:pPr>
          </w:p>
        </w:tc>
        <w:tc>
          <w:tcPr>
            <w:tcW w:w="913" w:type="dxa"/>
            <w:noWrap w:val="0"/>
            <w:vAlign w:val="top"/>
          </w:tcPr>
          <w:p w14:paraId="20C9880F">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w:t>
            </w:r>
          </w:p>
        </w:tc>
        <w:tc>
          <w:tcPr>
            <w:tcW w:w="808" w:type="dxa"/>
            <w:noWrap w:val="0"/>
            <w:vAlign w:val="top"/>
          </w:tcPr>
          <w:p w14:paraId="63AF2F2F">
            <w:pPr>
              <w:jc w:val="center"/>
              <w:rPr>
                <w:rFonts w:hint="default" w:ascii="华文宋体" w:hAnsi="华文宋体" w:eastAsia="华文宋体" w:cs="华文宋体"/>
                <w:color w:val="000000"/>
                <w:kern w:val="2"/>
                <w:sz w:val="21"/>
                <w:szCs w:val="21"/>
                <w:lang w:val="en-US" w:eastAsia="zh-CN" w:bidi="ar-SA"/>
              </w:rPr>
            </w:pPr>
            <w:r>
              <w:rPr>
                <w:rFonts w:hint="default" w:ascii="华文宋体" w:hAnsi="华文宋体" w:eastAsia="华文宋体" w:cs="华文宋体"/>
                <w:sz w:val="21"/>
                <w:szCs w:val="21"/>
                <w:lang w:val="en-US" w:eastAsia="zh-CN"/>
              </w:rPr>
              <w:t>30</w:t>
            </w:r>
          </w:p>
        </w:tc>
        <w:tc>
          <w:tcPr>
            <w:tcW w:w="791" w:type="dxa"/>
            <w:noWrap w:val="0"/>
            <w:vAlign w:val="top"/>
          </w:tcPr>
          <w:p w14:paraId="350C7A09">
            <w:pPr>
              <w:jc w:val="center"/>
              <w:rPr>
                <w:rFonts w:hint="default" w:ascii="华文宋体" w:hAnsi="华文宋体" w:eastAsia="华文宋体" w:cs="华文宋体"/>
                <w:sz w:val="21"/>
                <w:szCs w:val="21"/>
                <w:lang w:val="en-US" w:eastAsia="zh-CN"/>
              </w:rPr>
            </w:pPr>
            <w:r>
              <w:rPr>
                <w:rFonts w:hint="default" w:ascii="华文宋体" w:hAnsi="华文宋体" w:eastAsia="华文宋体" w:cs="华文宋体"/>
                <w:sz w:val="21"/>
                <w:szCs w:val="21"/>
                <w:lang w:val="en-US" w:eastAsia="zh-CN"/>
              </w:rPr>
              <w:t>40</w:t>
            </w:r>
          </w:p>
        </w:tc>
        <w:tc>
          <w:tcPr>
            <w:tcW w:w="835" w:type="dxa"/>
            <w:noWrap w:val="0"/>
            <w:vAlign w:val="top"/>
          </w:tcPr>
          <w:p w14:paraId="483E0A87">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5000</w:t>
            </w:r>
          </w:p>
        </w:tc>
        <w:tc>
          <w:tcPr>
            <w:tcW w:w="1211" w:type="dxa"/>
            <w:noWrap w:val="0"/>
            <w:vAlign w:val="top"/>
          </w:tcPr>
          <w:p w14:paraId="2C581E3B">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2</w:t>
            </w:r>
            <w:r>
              <w:rPr>
                <w:rFonts w:hint="default" w:ascii="华文宋体" w:hAnsi="华文宋体" w:eastAsia="华文宋体" w:cs="华文宋体"/>
                <w:sz w:val="21"/>
                <w:szCs w:val="21"/>
                <w:lang w:val="en-US" w:eastAsia="zh-CN"/>
              </w:rPr>
              <w:t>0</w:t>
            </w:r>
            <w:r>
              <w:rPr>
                <w:rFonts w:hint="eastAsia" w:ascii="华文宋体" w:hAnsi="华文宋体" w:eastAsia="华文宋体" w:cs="华文宋体"/>
                <w:sz w:val="21"/>
                <w:szCs w:val="21"/>
                <w:lang w:val="en-US" w:eastAsia="zh-CN"/>
              </w:rPr>
              <w:t>0000</w:t>
            </w:r>
          </w:p>
        </w:tc>
      </w:tr>
      <w:tr w14:paraId="13BD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28AD3BB7">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温州市洞头区霓屿滨海实验学校</w:t>
            </w:r>
          </w:p>
        </w:tc>
        <w:tc>
          <w:tcPr>
            <w:tcW w:w="992" w:type="dxa"/>
            <w:noWrap w:val="0"/>
            <w:vAlign w:val="top"/>
          </w:tcPr>
          <w:p w14:paraId="32C71FA9">
            <w:pPr>
              <w:jc w:val="center"/>
              <w:rPr>
                <w:rFonts w:hint="eastAsia" w:ascii="华文宋体" w:hAnsi="华文宋体" w:eastAsia="华文宋体" w:cs="华文宋体"/>
                <w:sz w:val="21"/>
                <w:szCs w:val="21"/>
                <w:lang w:val="en-US" w:eastAsia="zh-CN"/>
              </w:rPr>
            </w:pPr>
          </w:p>
        </w:tc>
        <w:tc>
          <w:tcPr>
            <w:tcW w:w="913" w:type="dxa"/>
            <w:noWrap w:val="0"/>
            <w:vAlign w:val="top"/>
          </w:tcPr>
          <w:p w14:paraId="2150C8F9">
            <w:pPr>
              <w:jc w:val="center"/>
              <w:rPr>
                <w:rFonts w:hint="eastAsia" w:ascii="华文宋体" w:hAnsi="华文宋体" w:eastAsia="华文宋体" w:cs="华文宋体"/>
                <w:sz w:val="21"/>
                <w:szCs w:val="21"/>
                <w:lang w:val="en-US" w:eastAsia="zh-CN"/>
              </w:rPr>
            </w:pPr>
          </w:p>
        </w:tc>
        <w:tc>
          <w:tcPr>
            <w:tcW w:w="808" w:type="dxa"/>
            <w:noWrap w:val="0"/>
            <w:vAlign w:val="top"/>
          </w:tcPr>
          <w:p w14:paraId="7A569F05">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20</w:t>
            </w:r>
          </w:p>
        </w:tc>
        <w:tc>
          <w:tcPr>
            <w:tcW w:w="791" w:type="dxa"/>
            <w:noWrap w:val="0"/>
            <w:vAlign w:val="top"/>
          </w:tcPr>
          <w:p w14:paraId="33401ADE">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w:t>
            </w:r>
          </w:p>
        </w:tc>
        <w:tc>
          <w:tcPr>
            <w:tcW w:w="835" w:type="dxa"/>
            <w:noWrap w:val="0"/>
            <w:vAlign w:val="top"/>
          </w:tcPr>
          <w:p w14:paraId="50339B5D">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5000</w:t>
            </w:r>
          </w:p>
        </w:tc>
        <w:tc>
          <w:tcPr>
            <w:tcW w:w="1211" w:type="dxa"/>
            <w:noWrap w:val="0"/>
            <w:vAlign w:val="top"/>
          </w:tcPr>
          <w:p w14:paraId="05A4EAEE">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100000</w:t>
            </w:r>
          </w:p>
        </w:tc>
      </w:tr>
      <w:tr w14:paraId="2C5B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4B98813E">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温州市洞头区大门新城实验学校</w:t>
            </w:r>
          </w:p>
        </w:tc>
        <w:tc>
          <w:tcPr>
            <w:tcW w:w="992" w:type="dxa"/>
            <w:noWrap w:val="0"/>
            <w:vAlign w:val="top"/>
          </w:tcPr>
          <w:p w14:paraId="79AE81CD">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32</w:t>
            </w:r>
          </w:p>
        </w:tc>
        <w:tc>
          <w:tcPr>
            <w:tcW w:w="913" w:type="dxa"/>
            <w:noWrap w:val="0"/>
            <w:vAlign w:val="top"/>
          </w:tcPr>
          <w:p w14:paraId="18B1AE72">
            <w:pPr>
              <w:jc w:val="center"/>
              <w:rPr>
                <w:rFonts w:hint="eastAsia" w:ascii="华文宋体" w:hAnsi="华文宋体" w:eastAsia="华文宋体" w:cs="华文宋体"/>
                <w:sz w:val="21"/>
                <w:szCs w:val="21"/>
                <w:lang w:val="en-US" w:eastAsia="zh-CN"/>
              </w:rPr>
            </w:pPr>
          </w:p>
        </w:tc>
        <w:tc>
          <w:tcPr>
            <w:tcW w:w="808" w:type="dxa"/>
            <w:noWrap w:val="0"/>
            <w:vAlign w:val="top"/>
          </w:tcPr>
          <w:p w14:paraId="0A324A63">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4</w:t>
            </w:r>
          </w:p>
        </w:tc>
        <w:tc>
          <w:tcPr>
            <w:tcW w:w="791" w:type="dxa"/>
            <w:noWrap w:val="0"/>
            <w:vAlign w:val="top"/>
          </w:tcPr>
          <w:p w14:paraId="68C8F990">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36</w:t>
            </w:r>
          </w:p>
        </w:tc>
        <w:tc>
          <w:tcPr>
            <w:tcW w:w="835" w:type="dxa"/>
            <w:noWrap w:val="0"/>
            <w:vAlign w:val="top"/>
          </w:tcPr>
          <w:p w14:paraId="3E04795D">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5000</w:t>
            </w:r>
          </w:p>
        </w:tc>
        <w:tc>
          <w:tcPr>
            <w:tcW w:w="1211" w:type="dxa"/>
            <w:noWrap w:val="0"/>
            <w:vAlign w:val="top"/>
          </w:tcPr>
          <w:p w14:paraId="2E628E64">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180000</w:t>
            </w:r>
          </w:p>
        </w:tc>
      </w:tr>
      <w:tr w14:paraId="1E33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8" w:type="dxa"/>
            <w:noWrap w:val="0"/>
            <w:vAlign w:val="center"/>
          </w:tcPr>
          <w:p w14:paraId="6CF26259">
            <w:pPr>
              <w:jc w:val="center"/>
              <w:rPr>
                <w:rFonts w:hint="eastAsia"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合计</w:t>
            </w:r>
          </w:p>
        </w:tc>
        <w:tc>
          <w:tcPr>
            <w:tcW w:w="992" w:type="dxa"/>
            <w:noWrap w:val="0"/>
            <w:vAlign w:val="top"/>
          </w:tcPr>
          <w:p w14:paraId="087E2FE0">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82</w:t>
            </w:r>
          </w:p>
        </w:tc>
        <w:tc>
          <w:tcPr>
            <w:tcW w:w="913" w:type="dxa"/>
            <w:noWrap w:val="0"/>
            <w:vAlign w:val="top"/>
          </w:tcPr>
          <w:p w14:paraId="05D58D3C">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30</w:t>
            </w:r>
          </w:p>
        </w:tc>
        <w:tc>
          <w:tcPr>
            <w:tcW w:w="808" w:type="dxa"/>
            <w:noWrap w:val="0"/>
            <w:vAlign w:val="top"/>
          </w:tcPr>
          <w:p w14:paraId="186BDAF2">
            <w:pPr>
              <w:jc w:val="center"/>
              <w:rPr>
                <w:rFonts w:hint="default" w:ascii="华文宋体" w:hAnsi="华文宋体" w:eastAsia="华文宋体" w:cs="华文宋体"/>
                <w:color w:val="000000"/>
                <w:kern w:val="2"/>
                <w:sz w:val="21"/>
                <w:szCs w:val="21"/>
                <w:lang w:val="en-US" w:eastAsia="zh-CN" w:bidi="ar-SA"/>
              </w:rPr>
            </w:pPr>
            <w:r>
              <w:rPr>
                <w:rFonts w:hint="default" w:ascii="华文宋体" w:hAnsi="华文宋体" w:eastAsia="华文宋体" w:cs="华文宋体"/>
                <w:sz w:val="21"/>
                <w:szCs w:val="21"/>
                <w:lang w:val="en-US" w:eastAsia="zh-CN"/>
              </w:rPr>
              <w:t>5</w:t>
            </w:r>
            <w:r>
              <w:rPr>
                <w:rFonts w:hint="eastAsia" w:ascii="华文宋体" w:hAnsi="华文宋体" w:eastAsia="华文宋体" w:cs="华文宋体"/>
                <w:sz w:val="21"/>
                <w:szCs w:val="21"/>
                <w:lang w:val="en-US" w:eastAsia="zh-CN"/>
              </w:rPr>
              <w:t>4</w:t>
            </w:r>
          </w:p>
        </w:tc>
        <w:tc>
          <w:tcPr>
            <w:tcW w:w="791" w:type="dxa"/>
            <w:noWrap w:val="0"/>
            <w:vAlign w:val="top"/>
          </w:tcPr>
          <w:p w14:paraId="0FE1C304">
            <w:pPr>
              <w:jc w:val="center"/>
              <w:rPr>
                <w:rFonts w:hint="default" w:ascii="华文宋体" w:hAnsi="华文宋体" w:eastAsia="华文宋体" w:cs="华文宋体"/>
                <w:sz w:val="21"/>
                <w:szCs w:val="21"/>
                <w:lang w:val="en-US" w:eastAsia="zh-CN"/>
              </w:rPr>
            </w:pPr>
            <w:r>
              <w:rPr>
                <w:rFonts w:hint="default" w:ascii="华文宋体" w:hAnsi="华文宋体" w:eastAsia="华文宋体" w:cs="华文宋体"/>
                <w:sz w:val="21"/>
                <w:szCs w:val="21"/>
                <w:lang w:val="en-US" w:eastAsia="zh-CN"/>
              </w:rPr>
              <w:t>166</w:t>
            </w:r>
          </w:p>
        </w:tc>
        <w:tc>
          <w:tcPr>
            <w:tcW w:w="835" w:type="dxa"/>
            <w:noWrap w:val="0"/>
            <w:vAlign w:val="top"/>
          </w:tcPr>
          <w:p w14:paraId="1667F0F4">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5000</w:t>
            </w:r>
          </w:p>
        </w:tc>
        <w:tc>
          <w:tcPr>
            <w:tcW w:w="1211" w:type="dxa"/>
            <w:noWrap w:val="0"/>
            <w:vAlign w:val="top"/>
          </w:tcPr>
          <w:p w14:paraId="24C9F201">
            <w:pPr>
              <w:jc w:val="center"/>
              <w:rPr>
                <w:rFonts w:hint="default" w:ascii="华文宋体" w:hAnsi="华文宋体" w:eastAsia="华文宋体" w:cs="华文宋体"/>
                <w:color w:val="000000"/>
                <w:kern w:val="2"/>
                <w:sz w:val="21"/>
                <w:szCs w:val="21"/>
                <w:lang w:val="en-US" w:eastAsia="zh-CN" w:bidi="ar-SA"/>
              </w:rPr>
            </w:pPr>
            <w:r>
              <w:rPr>
                <w:rFonts w:hint="eastAsia" w:ascii="华文宋体" w:hAnsi="华文宋体" w:eastAsia="华文宋体" w:cs="华文宋体"/>
                <w:sz w:val="21"/>
                <w:szCs w:val="21"/>
                <w:lang w:val="en-US" w:eastAsia="zh-CN"/>
              </w:rPr>
              <w:t>8</w:t>
            </w:r>
            <w:r>
              <w:rPr>
                <w:rFonts w:hint="default" w:ascii="华文宋体" w:hAnsi="华文宋体" w:eastAsia="华文宋体" w:cs="华文宋体"/>
                <w:sz w:val="21"/>
                <w:szCs w:val="21"/>
                <w:lang w:val="en-US" w:eastAsia="zh-CN"/>
              </w:rPr>
              <w:t>3</w:t>
            </w:r>
            <w:r>
              <w:rPr>
                <w:rFonts w:hint="eastAsia" w:ascii="华文宋体" w:hAnsi="华文宋体" w:eastAsia="华文宋体" w:cs="华文宋体"/>
                <w:sz w:val="21"/>
                <w:szCs w:val="21"/>
                <w:lang w:val="en-US" w:eastAsia="zh-CN"/>
              </w:rPr>
              <w:t>0000</w:t>
            </w:r>
          </w:p>
        </w:tc>
      </w:tr>
    </w:tbl>
    <w:p w14:paraId="568B37FD">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p>
    <w:p w14:paraId="4309A548">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hAnsi="Times New Roman" w:eastAsia="宋体" w:cs="Times New Roman"/>
          <w:color w:val="000000"/>
          <w:kern w:val="2"/>
          <w:sz w:val="22"/>
          <w:szCs w:val="24"/>
          <w:lang w:val="en-US" w:eastAsia="zh-CN" w:bidi="ar-SA"/>
        </w:rPr>
        <w:t>二、</w:t>
      </w:r>
      <w:r>
        <w:rPr>
          <w:rFonts w:hint="default" w:ascii="宋体"/>
          <w:color w:val="000000"/>
          <w:sz w:val="22"/>
          <w:lang w:val="en-US" w:eastAsia="zh-CN"/>
        </w:rPr>
        <w:t>技术参数要求</w:t>
      </w:r>
      <w:r>
        <w:rPr>
          <w:rFonts w:hint="eastAsia" w:ascii="宋体"/>
          <w:color w:val="000000"/>
          <w:sz w:val="22"/>
          <w:lang w:val="en-US" w:eastAsia="zh-CN"/>
        </w:rPr>
        <w:t>（所有指标均为实质性要求，不允许负偏离，</w:t>
      </w:r>
      <w:r>
        <w:rPr>
          <w:rFonts w:hint="eastAsia" w:ascii="宋体"/>
          <w:color w:val="000000"/>
          <w:sz w:val="22"/>
          <w:highlight w:val="none"/>
          <w:lang w:val="en-US" w:eastAsia="zh-CN"/>
        </w:rPr>
        <w:t>标</w:t>
      </w:r>
      <w:r>
        <w:rPr>
          <w:rFonts w:hint="eastAsia" w:ascii="华文宋体" w:hAnsi="华文宋体" w:eastAsia="华文宋体" w:cs="华文宋体"/>
          <w:color w:val="000000"/>
          <w:sz w:val="21"/>
          <w:szCs w:val="21"/>
          <w:highlight w:val="none"/>
          <w:vertAlign w:val="baseline"/>
          <w:lang w:val="en-US" w:eastAsia="zh-CN"/>
        </w:rPr>
        <w:t>★指标须在验收时提供</w:t>
      </w:r>
      <w:r>
        <w:rPr>
          <w:rFonts w:hint="eastAsia" w:ascii="华文宋体" w:hAnsi="华文宋体" w:eastAsia="华文宋体" w:cs="华文宋体"/>
          <w:i w:val="0"/>
          <w:iCs w:val="0"/>
          <w:color w:val="auto"/>
          <w:kern w:val="0"/>
          <w:sz w:val="21"/>
          <w:szCs w:val="21"/>
          <w:highlight w:val="none"/>
          <w:u w:val="none"/>
          <w:lang w:val="en-US" w:eastAsia="zh-CN" w:bidi="ar"/>
        </w:rPr>
        <w:t>第三方权威检测机构出具的测试报告或官方规格书等有效</w:t>
      </w:r>
      <w:r>
        <w:rPr>
          <w:rFonts w:hint="eastAsia" w:ascii="华文宋体" w:hAnsi="华文宋体" w:eastAsia="华文宋体" w:cs="华文宋体"/>
          <w:color w:val="000000"/>
          <w:sz w:val="21"/>
          <w:szCs w:val="21"/>
          <w:highlight w:val="none"/>
          <w:vertAlign w:val="baseline"/>
          <w:lang w:val="en-US" w:eastAsia="zh-CN"/>
        </w:rPr>
        <w:t>佐证材料</w:t>
      </w:r>
      <w:r>
        <w:rPr>
          <w:rFonts w:hint="eastAsia" w:ascii="宋体"/>
          <w:color w:val="000000"/>
          <w:sz w:val="22"/>
          <w:lang w:val="en-US" w:eastAsia="zh-CN"/>
        </w:rPr>
        <w:t>）</w:t>
      </w:r>
    </w:p>
    <w:p w14:paraId="039E987D">
      <w:pPr>
        <w:widowControl/>
        <w:numPr>
          <w:ilvl w:val="0"/>
          <w:numId w:val="6"/>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学生机1</w:t>
      </w:r>
    </w:p>
    <w:tbl>
      <w:tblPr>
        <w:tblStyle w:val="63"/>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450"/>
        <w:gridCol w:w="3935"/>
      </w:tblGrid>
      <w:tr w14:paraId="58EC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6588CF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3450" w:type="dxa"/>
            <w:noWrap w:val="0"/>
            <w:vAlign w:val="top"/>
          </w:tcPr>
          <w:p w14:paraId="6CB7D952">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指标项目</w:t>
            </w:r>
          </w:p>
        </w:tc>
        <w:tc>
          <w:tcPr>
            <w:tcW w:w="3935" w:type="dxa"/>
            <w:noWrap w:val="0"/>
            <w:vAlign w:val="top"/>
          </w:tcPr>
          <w:p w14:paraId="13A5C485">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487C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55AE89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3450" w:type="dxa"/>
            <w:noWrap w:val="0"/>
            <w:vAlign w:val="top"/>
          </w:tcPr>
          <w:p w14:paraId="4C8AD32C">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CPU信息</w:t>
            </w:r>
          </w:p>
        </w:tc>
        <w:tc>
          <w:tcPr>
            <w:tcW w:w="3935" w:type="dxa"/>
            <w:noWrap w:val="0"/>
            <w:vAlign w:val="top"/>
          </w:tcPr>
          <w:p w14:paraId="28705390">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auto"/>
                <w:sz w:val="21"/>
                <w:szCs w:val="21"/>
                <w:vertAlign w:val="baseline"/>
                <w:lang w:val="en-US" w:eastAsia="zh-CN"/>
              </w:rPr>
              <w:t>X86兼容架构</w:t>
            </w:r>
            <w:r>
              <w:rPr>
                <w:rFonts w:hint="eastAsia" w:ascii="华文宋体" w:hAnsi="华文宋体" w:eastAsia="华文宋体" w:cs="华文宋体"/>
                <w:color w:val="000000"/>
                <w:sz w:val="21"/>
                <w:szCs w:val="21"/>
                <w:vertAlign w:val="baseline"/>
                <w:lang w:val="en-US" w:eastAsia="zh-CN"/>
              </w:rPr>
              <w:t>，主频（基准时钟频率）≥3GHz，核数≥8，线程≥16，L2缓存≥4MB，L3缓存≥16MB，内存通道数2，典型功耗≤70w</w:t>
            </w:r>
          </w:p>
        </w:tc>
      </w:tr>
      <w:tr w14:paraId="0C6B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ABDA2C7">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3450" w:type="dxa"/>
            <w:noWrap w:val="0"/>
            <w:vAlign w:val="center"/>
          </w:tcPr>
          <w:p w14:paraId="1DD1179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显示屏尺寸（英寸）</w:t>
            </w:r>
          </w:p>
        </w:tc>
        <w:tc>
          <w:tcPr>
            <w:tcW w:w="3935" w:type="dxa"/>
            <w:noWrap w:val="0"/>
            <w:vAlign w:val="center"/>
          </w:tcPr>
          <w:p w14:paraId="0DC8F77E">
            <w:pPr>
              <w:keepNext w:val="0"/>
              <w:keepLines w:val="0"/>
              <w:widowControl/>
              <w:suppressLineNumbers w:val="0"/>
              <w:jc w:val="left"/>
              <w:textAlignment w:val="center"/>
              <w:rPr>
                <w:rFonts w:hint="default"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≥23</w:t>
            </w:r>
          </w:p>
        </w:tc>
      </w:tr>
      <w:tr w14:paraId="18FF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BB58C2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w:t>
            </w:r>
          </w:p>
        </w:tc>
        <w:tc>
          <w:tcPr>
            <w:tcW w:w="3450" w:type="dxa"/>
            <w:noWrap w:val="0"/>
            <w:vAlign w:val="center"/>
          </w:tcPr>
          <w:p w14:paraId="0816653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显示屏分辨率</w:t>
            </w:r>
          </w:p>
        </w:tc>
        <w:tc>
          <w:tcPr>
            <w:tcW w:w="3935" w:type="dxa"/>
            <w:noWrap w:val="0"/>
            <w:vAlign w:val="center"/>
          </w:tcPr>
          <w:p w14:paraId="5AC31A29">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≥1920*1080</w:t>
            </w:r>
          </w:p>
        </w:tc>
      </w:tr>
      <w:tr w14:paraId="0EF1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ED33EDD">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w:t>
            </w:r>
          </w:p>
        </w:tc>
        <w:tc>
          <w:tcPr>
            <w:tcW w:w="3450" w:type="dxa"/>
            <w:noWrap w:val="0"/>
            <w:vAlign w:val="center"/>
          </w:tcPr>
          <w:p w14:paraId="0C7C08F9">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显示屏色准</w:t>
            </w:r>
          </w:p>
        </w:tc>
        <w:tc>
          <w:tcPr>
            <w:tcW w:w="3935" w:type="dxa"/>
            <w:noWrap w:val="0"/>
            <w:vAlign w:val="center"/>
          </w:tcPr>
          <w:p w14:paraId="4F26345E">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最大△E ≤4</w:t>
            </w:r>
          </w:p>
        </w:tc>
      </w:tr>
      <w:tr w14:paraId="3CC4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3326A9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5</w:t>
            </w:r>
          </w:p>
        </w:tc>
        <w:tc>
          <w:tcPr>
            <w:tcW w:w="3450" w:type="dxa"/>
            <w:noWrap w:val="0"/>
            <w:vAlign w:val="center"/>
          </w:tcPr>
          <w:p w14:paraId="12FB6C6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显示屏响应时间（ms）</w:t>
            </w:r>
          </w:p>
        </w:tc>
        <w:tc>
          <w:tcPr>
            <w:tcW w:w="3935" w:type="dxa"/>
            <w:noWrap w:val="0"/>
            <w:vAlign w:val="center"/>
          </w:tcPr>
          <w:p w14:paraId="1D363872">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≤6</w:t>
            </w:r>
          </w:p>
        </w:tc>
      </w:tr>
      <w:tr w14:paraId="62B0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F28E06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6</w:t>
            </w:r>
          </w:p>
        </w:tc>
        <w:tc>
          <w:tcPr>
            <w:tcW w:w="3450" w:type="dxa"/>
            <w:noWrap w:val="0"/>
            <w:vAlign w:val="center"/>
          </w:tcPr>
          <w:p w14:paraId="158CE6CA">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显示屏可视角度</w:t>
            </w:r>
          </w:p>
        </w:tc>
        <w:tc>
          <w:tcPr>
            <w:tcW w:w="3935" w:type="dxa"/>
            <w:noWrap w:val="0"/>
            <w:vAlign w:val="center"/>
          </w:tcPr>
          <w:p w14:paraId="625E7D4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≥170°/160°</w:t>
            </w:r>
          </w:p>
        </w:tc>
      </w:tr>
      <w:tr w14:paraId="0DA4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6E7FF89">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7</w:t>
            </w:r>
          </w:p>
        </w:tc>
        <w:tc>
          <w:tcPr>
            <w:tcW w:w="3450" w:type="dxa"/>
            <w:noWrap w:val="0"/>
            <w:vAlign w:val="center"/>
          </w:tcPr>
          <w:p w14:paraId="7CD6E0EE">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显示屏材质</w:t>
            </w:r>
          </w:p>
        </w:tc>
        <w:tc>
          <w:tcPr>
            <w:tcW w:w="3935" w:type="dxa"/>
            <w:noWrap w:val="0"/>
            <w:vAlign w:val="center"/>
          </w:tcPr>
          <w:p w14:paraId="7AE65112">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VA/IPS</w:t>
            </w:r>
          </w:p>
        </w:tc>
      </w:tr>
      <w:tr w14:paraId="3D49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D92C4B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8</w:t>
            </w:r>
          </w:p>
        </w:tc>
        <w:tc>
          <w:tcPr>
            <w:tcW w:w="3450" w:type="dxa"/>
            <w:noWrap w:val="0"/>
            <w:vAlign w:val="center"/>
          </w:tcPr>
          <w:p w14:paraId="0791A44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显示屏屏幕比例</w:t>
            </w:r>
          </w:p>
        </w:tc>
        <w:tc>
          <w:tcPr>
            <w:tcW w:w="3935" w:type="dxa"/>
            <w:noWrap w:val="0"/>
            <w:vAlign w:val="center"/>
          </w:tcPr>
          <w:p w14:paraId="4925E460">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16:9</w:t>
            </w:r>
          </w:p>
        </w:tc>
      </w:tr>
      <w:tr w14:paraId="3314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4124EC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9</w:t>
            </w:r>
          </w:p>
        </w:tc>
        <w:tc>
          <w:tcPr>
            <w:tcW w:w="3450" w:type="dxa"/>
            <w:noWrap w:val="0"/>
            <w:vAlign w:val="center"/>
          </w:tcPr>
          <w:p w14:paraId="2E1F284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显示屏刷新率</w:t>
            </w:r>
          </w:p>
        </w:tc>
        <w:tc>
          <w:tcPr>
            <w:tcW w:w="3935" w:type="dxa"/>
            <w:noWrap w:val="0"/>
            <w:vAlign w:val="center"/>
          </w:tcPr>
          <w:p w14:paraId="329FBAB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≥75Hz</w:t>
            </w:r>
          </w:p>
        </w:tc>
      </w:tr>
      <w:tr w14:paraId="6A26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6BB4A60">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10</w:t>
            </w:r>
          </w:p>
        </w:tc>
        <w:tc>
          <w:tcPr>
            <w:tcW w:w="3450" w:type="dxa"/>
            <w:noWrap w:val="0"/>
            <w:vAlign w:val="center"/>
          </w:tcPr>
          <w:p w14:paraId="1858DC30">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显示屏对比度</w:t>
            </w:r>
          </w:p>
        </w:tc>
        <w:tc>
          <w:tcPr>
            <w:tcW w:w="3935" w:type="dxa"/>
            <w:noWrap w:val="0"/>
            <w:vAlign w:val="center"/>
          </w:tcPr>
          <w:p w14:paraId="42979693">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≥500:1</w:t>
            </w:r>
          </w:p>
        </w:tc>
      </w:tr>
      <w:tr w14:paraId="633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0C78EFE0">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11</w:t>
            </w:r>
          </w:p>
        </w:tc>
        <w:tc>
          <w:tcPr>
            <w:tcW w:w="3450" w:type="dxa"/>
            <w:noWrap w:val="0"/>
            <w:vAlign w:val="center"/>
          </w:tcPr>
          <w:p w14:paraId="69C7780E">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内存读写速率</w:t>
            </w:r>
          </w:p>
        </w:tc>
        <w:tc>
          <w:tcPr>
            <w:tcW w:w="3935" w:type="dxa"/>
            <w:noWrap w:val="0"/>
            <w:vAlign w:val="center"/>
          </w:tcPr>
          <w:p w14:paraId="05A710DE">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≥3200MT/s</w:t>
            </w:r>
          </w:p>
        </w:tc>
      </w:tr>
      <w:tr w14:paraId="1832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FECC9EC">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12</w:t>
            </w:r>
          </w:p>
        </w:tc>
        <w:tc>
          <w:tcPr>
            <w:tcW w:w="3450" w:type="dxa"/>
            <w:noWrap w:val="0"/>
            <w:vAlign w:val="center"/>
          </w:tcPr>
          <w:p w14:paraId="412E3BC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内存扩展接口 (板载内存不涉及)</w:t>
            </w:r>
          </w:p>
        </w:tc>
        <w:tc>
          <w:tcPr>
            <w:tcW w:w="3935" w:type="dxa"/>
            <w:noWrap w:val="0"/>
            <w:vAlign w:val="center"/>
          </w:tcPr>
          <w:p w14:paraId="09A4CB4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w:t>
            </w:r>
          </w:p>
        </w:tc>
      </w:tr>
      <w:tr w14:paraId="15D9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A6E284D">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13</w:t>
            </w:r>
          </w:p>
        </w:tc>
        <w:tc>
          <w:tcPr>
            <w:tcW w:w="3450" w:type="dxa"/>
            <w:noWrap w:val="0"/>
            <w:vAlign w:val="center"/>
          </w:tcPr>
          <w:p w14:paraId="71C60127">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内存插槽满配时提供的最高内存总容量</w:t>
            </w:r>
          </w:p>
        </w:tc>
        <w:tc>
          <w:tcPr>
            <w:tcW w:w="3935" w:type="dxa"/>
            <w:noWrap w:val="0"/>
            <w:vAlign w:val="center"/>
          </w:tcPr>
          <w:p w14:paraId="5832967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≥32GB</w:t>
            </w:r>
          </w:p>
        </w:tc>
      </w:tr>
      <w:tr w14:paraId="306C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C06B018">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14</w:t>
            </w:r>
          </w:p>
        </w:tc>
        <w:tc>
          <w:tcPr>
            <w:tcW w:w="3450" w:type="dxa"/>
            <w:noWrap w:val="0"/>
            <w:vAlign w:val="center"/>
          </w:tcPr>
          <w:p w14:paraId="2005E183">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内存配置容量</w:t>
            </w:r>
          </w:p>
        </w:tc>
        <w:tc>
          <w:tcPr>
            <w:tcW w:w="3935" w:type="dxa"/>
            <w:noWrap w:val="0"/>
            <w:vAlign w:val="center"/>
          </w:tcPr>
          <w:p w14:paraId="50F1E4A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≥16GB</w:t>
            </w:r>
          </w:p>
        </w:tc>
      </w:tr>
      <w:tr w14:paraId="0A4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914DF5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15</w:t>
            </w:r>
          </w:p>
        </w:tc>
        <w:tc>
          <w:tcPr>
            <w:tcW w:w="3450" w:type="dxa"/>
            <w:noWrap w:val="0"/>
            <w:vAlign w:val="center"/>
          </w:tcPr>
          <w:p w14:paraId="788778E5">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固态存储容量</w:t>
            </w:r>
          </w:p>
        </w:tc>
        <w:tc>
          <w:tcPr>
            <w:tcW w:w="3935" w:type="dxa"/>
            <w:noWrap w:val="0"/>
            <w:vAlign w:val="center"/>
          </w:tcPr>
          <w:p w14:paraId="142217C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≥256GB</w:t>
            </w:r>
          </w:p>
        </w:tc>
      </w:tr>
      <w:tr w14:paraId="7926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98C27F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16</w:t>
            </w:r>
          </w:p>
        </w:tc>
        <w:tc>
          <w:tcPr>
            <w:tcW w:w="3450" w:type="dxa"/>
            <w:noWrap w:val="0"/>
            <w:vAlign w:val="center"/>
          </w:tcPr>
          <w:p w14:paraId="1ECAFA7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固态硬盘寿命</w:t>
            </w:r>
          </w:p>
        </w:tc>
        <w:tc>
          <w:tcPr>
            <w:tcW w:w="3935" w:type="dxa"/>
            <w:noWrap w:val="0"/>
            <w:vAlign w:val="center"/>
          </w:tcPr>
          <w:p w14:paraId="1262D2F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TBW≥120TB</w:t>
            </w:r>
          </w:p>
        </w:tc>
      </w:tr>
      <w:tr w14:paraId="1FD2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C91DF5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17</w:t>
            </w:r>
          </w:p>
        </w:tc>
        <w:tc>
          <w:tcPr>
            <w:tcW w:w="3450" w:type="dxa"/>
            <w:noWrap w:val="0"/>
            <w:vAlign w:val="center"/>
          </w:tcPr>
          <w:p w14:paraId="55ACC91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显卡类型</w:t>
            </w:r>
          </w:p>
        </w:tc>
        <w:tc>
          <w:tcPr>
            <w:tcW w:w="3935" w:type="dxa"/>
            <w:noWrap w:val="0"/>
            <w:vAlign w:val="center"/>
          </w:tcPr>
          <w:p w14:paraId="0EE6768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w:t>
            </w:r>
          </w:p>
        </w:tc>
      </w:tr>
      <w:tr w14:paraId="2AAF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5279AE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18</w:t>
            </w:r>
          </w:p>
        </w:tc>
        <w:tc>
          <w:tcPr>
            <w:tcW w:w="3450" w:type="dxa"/>
            <w:noWrap w:val="0"/>
            <w:vAlign w:val="center"/>
          </w:tcPr>
          <w:p w14:paraId="6FD09A1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独立显卡显存容量</w:t>
            </w:r>
          </w:p>
        </w:tc>
        <w:tc>
          <w:tcPr>
            <w:tcW w:w="3935" w:type="dxa"/>
            <w:noWrap w:val="0"/>
            <w:vAlign w:val="center"/>
          </w:tcPr>
          <w:p w14:paraId="0C84182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≥2GB</w:t>
            </w:r>
          </w:p>
        </w:tc>
      </w:tr>
      <w:tr w14:paraId="46BD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00981718">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19</w:t>
            </w:r>
          </w:p>
        </w:tc>
        <w:tc>
          <w:tcPr>
            <w:tcW w:w="3450" w:type="dxa"/>
            <w:noWrap w:val="0"/>
            <w:vAlign w:val="center"/>
          </w:tcPr>
          <w:p w14:paraId="5698350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独立显卡显存位宽（bit）</w:t>
            </w:r>
          </w:p>
        </w:tc>
        <w:tc>
          <w:tcPr>
            <w:tcW w:w="3935" w:type="dxa"/>
            <w:noWrap w:val="0"/>
            <w:vAlign w:val="center"/>
          </w:tcPr>
          <w:p w14:paraId="1BE6718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≥64</w:t>
            </w:r>
          </w:p>
        </w:tc>
      </w:tr>
      <w:tr w14:paraId="39A0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71DA338">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20</w:t>
            </w:r>
          </w:p>
        </w:tc>
        <w:tc>
          <w:tcPr>
            <w:tcW w:w="3450" w:type="dxa"/>
            <w:noWrap w:val="0"/>
            <w:vAlign w:val="center"/>
          </w:tcPr>
          <w:p w14:paraId="24C6439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独立显卡显存类型</w:t>
            </w:r>
          </w:p>
        </w:tc>
        <w:tc>
          <w:tcPr>
            <w:tcW w:w="3935" w:type="dxa"/>
            <w:noWrap w:val="0"/>
            <w:vAlign w:val="center"/>
          </w:tcPr>
          <w:p w14:paraId="7D5B5C8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DDR4/LPDDR4/GDDR5/GDDR6</w:t>
            </w:r>
          </w:p>
        </w:tc>
      </w:tr>
      <w:tr w14:paraId="6175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CAC8A9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21</w:t>
            </w:r>
          </w:p>
        </w:tc>
        <w:tc>
          <w:tcPr>
            <w:tcW w:w="3450" w:type="dxa"/>
            <w:noWrap w:val="0"/>
            <w:vAlign w:val="center"/>
          </w:tcPr>
          <w:p w14:paraId="5451866D">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独立显卡显示芯片核心频率</w:t>
            </w:r>
          </w:p>
        </w:tc>
        <w:tc>
          <w:tcPr>
            <w:tcW w:w="3935" w:type="dxa"/>
            <w:noWrap w:val="0"/>
            <w:vAlign w:val="center"/>
          </w:tcPr>
          <w:p w14:paraId="294B79D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≥300MHz</w:t>
            </w:r>
          </w:p>
        </w:tc>
      </w:tr>
      <w:tr w14:paraId="4641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41497C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22</w:t>
            </w:r>
          </w:p>
        </w:tc>
        <w:tc>
          <w:tcPr>
            <w:tcW w:w="3450" w:type="dxa"/>
            <w:noWrap w:val="0"/>
            <w:vAlign w:val="center"/>
          </w:tcPr>
          <w:p w14:paraId="07A86EF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独立显卡显存等效频率</w:t>
            </w:r>
          </w:p>
        </w:tc>
        <w:tc>
          <w:tcPr>
            <w:tcW w:w="3935" w:type="dxa"/>
            <w:noWrap w:val="0"/>
            <w:vAlign w:val="center"/>
          </w:tcPr>
          <w:p w14:paraId="742B355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≥1000MT/s</w:t>
            </w:r>
          </w:p>
        </w:tc>
      </w:tr>
      <w:tr w14:paraId="25E8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276649A">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23</w:t>
            </w:r>
          </w:p>
        </w:tc>
        <w:tc>
          <w:tcPr>
            <w:tcW w:w="3450" w:type="dxa"/>
            <w:noWrap w:val="0"/>
            <w:vAlign w:val="center"/>
          </w:tcPr>
          <w:p w14:paraId="49F6A65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显示器和机身颜色</w:t>
            </w:r>
          </w:p>
        </w:tc>
        <w:tc>
          <w:tcPr>
            <w:tcW w:w="3935" w:type="dxa"/>
            <w:noWrap w:val="0"/>
            <w:vAlign w:val="center"/>
          </w:tcPr>
          <w:p w14:paraId="35000F8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黑色/灰色/银色等商务色系均可</w:t>
            </w:r>
          </w:p>
        </w:tc>
      </w:tr>
      <w:tr w14:paraId="451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6D37B88">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24</w:t>
            </w:r>
          </w:p>
        </w:tc>
        <w:tc>
          <w:tcPr>
            <w:tcW w:w="3450" w:type="dxa"/>
            <w:noWrap w:val="0"/>
            <w:vAlign w:val="center"/>
          </w:tcPr>
          <w:p w14:paraId="28C6B98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内置集成声卡</w:t>
            </w:r>
          </w:p>
        </w:tc>
        <w:tc>
          <w:tcPr>
            <w:tcW w:w="3935" w:type="dxa"/>
            <w:noWrap w:val="0"/>
            <w:vAlign w:val="center"/>
          </w:tcPr>
          <w:p w14:paraId="6CB930B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7D8C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3DAD927">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25</w:t>
            </w:r>
          </w:p>
        </w:tc>
        <w:tc>
          <w:tcPr>
            <w:tcW w:w="3450" w:type="dxa"/>
            <w:noWrap w:val="0"/>
            <w:vAlign w:val="center"/>
          </w:tcPr>
          <w:p w14:paraId="2E5A27D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有线网卡数量</w:t>
            </w:r>
          </w:p>
        </w:tc>
        <w:tc>
          <w:tcPr>
            <w:tcW w:w="3935" w:type="dxa"/>
            <w:noWrap w:val="0"/>
            <w:vAlign w:val="center"/>
          </w:tcPr>
          <w:p w14:paraId="0A9DC88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5F4C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67707AE">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26</w:t>
            </w:r>
          </w:p>
        </w:tc>
        <w:tc>
          <w:tcPr>
            <w:tcW w:w="3450" w:type="dxa"/>
            <w:noWrap w:val="0"/>
            <w:vAlign w:val="center"/>
          </w:tcPr>
          <w:p w14:paraId="06562CD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鼠标</w:t>
            </w:r>
          </w:p>
        </w:tc>
        <w:tc>
          <w:tcPr>
            <w:tcW w:w="3935" w:type="dxa"/>
            <w:noWrap w:val="0"/>
            <w:vAlign w:val="center"/>
          </w:tcPr>
          <w:p w14:paraId="29AF6D7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08F0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6F5ED4A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27</w:t>
            </w:r>
          </w:p>
        </w:tc>
        <w:tc>
          <w:tcPr>
            <w:tcW w:w="3450" w:type="dxa"/>
            <w:noWrap w:val="0"/>
            <w:vAlign w:val="center"/>
          </w:tcPr>
          <w:p w14:paraId="3FB8308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w:t>
            </w:r>
          </w:p>
        </w:tc>
        <w:tc>
          <w:tcPr>
            <w:tcW w:w="3935" w:type="dxa"/>
            <w:noWrap w:val="0"/>
            <w:vAlign w:val="center"/>
          </w:tcPr>
          <w:p w14:paraId="2A9D240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56E5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D8E3387">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28</w:t>
            </w:r>
          </w:p>
        </w:tc>
        <w:tc>
          <w:tcPr>
            <w:tcW w:w="3450" w:type="dxa"/>
            <w:noWrap w:val="0"/>
            <w:vAlign w:val="center"/>
          </w:tcPr>
          <w:p w14:paraId="60EFFFA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键盘按键数目</w:t>
            </w:r>
          </w:p>
        </w:tc>
        <w:tc>
          <w:tcPr>
            <w:tcW w:w="3935" w:type="dxa"/>
            <w:noWrap w:val="0"/>
            <w:vAlign w:val="center"/>
          </w:tcPr>
          <w:p w14:paraId="64E0682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104 键</w:t>
            </w:r>
          </w:p>
        </w:tc>
      </w:tr>
      <w:tr w14:paraId="4C17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24AD4F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29</w:t>
            </w:r>
          </w:p>
        </w:tc>
        <w:tc>
          <w:tcPr>
            <w:tcW w:w="3450" w:type="dxa"/>
            <w:noWrap w:val="0"/>
            <w:vAlign w:val="center"/>
          </w:tcPr>
          <w:p w14:paraId="151416F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有线键盘连接线</w:t>
            </w:r>
          </w:p>
        </w:tc>
        <w:tc>
          <w:tcPr>
            <w:tcW w:w="3935" w:type="dxa"/>
            <w:noWrap w:val="0"/>
            <w:vAlign w:val="center"/>
          </w:tcPr>
          <w:p w14:paraId="4AF6B5B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≥1.5 米</w:t>
            </w:r>
          </w:p>
        </w:tc>
      </w:tr>
      <w:tr w14:paraId="16C2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A9763A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30</w:t>
            </w:r>
          </w:p>
        </w:tc>
        <w:tc>
          <w:tcPr>
            <w:tcW w:w="3450" w:type="dxa"/>
            <w:noWrap w:val="0"/>
            <w:vAlign w:val="center"/>
          </w:tcPr>
          <w:p w14:paraId="6369FF8D">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USB 接口数量</w:t>
            </w:r>
          </w:p>
        </w:tc>
        <w:tc>
          <w:tcPr>
            <w:tcW w:w="3935" w:type="dxa"/>
            <w:noWrap w:val="0"/>
            <w:vAlign w:val="center"/>
          </w:tcPr>
          <w:p w14:paraId="44DCAEE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≥8 个，其中 USB3.0 及以上标准接口≥4 个</w:t>
            </w:r>
          </w:p>
        </w:tc>
      </w:tr>
      <w:tr w14:paraId="287A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C6C766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31</w:t>
            </w:r>
          </w:p>
        </w:tc>
        <w:tc>
          <w:tcPr>
            <w:tcW w:w="3450" w:type="dxa"/>
            <w:noWrap w:val="0"/>
            <w:vAlign w:val="center"/>
          </w:tcPr>
          <w:p w14:paraId="01E1AF5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摄像头数量</w:t>
            </w:r>
          </w:p>
        </w:tc>
        <w:tc>
          <w:tcPr>
            <w:tcW w:w="3935" w:type="dxa"/>
            <w:noWrap w:val="0"/>
            <w:vAlign w:val="center"/>
          </w:tcPr>
          <w:p w14:paraId="72A86B2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≥1，详见摄像头参数。</w:t>
            </w:r>
          </w:p>
        </w:tc>
      </w:tr>
      <w:tr w14:paraId="11D7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DCBA79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32</w:t>
            </w:r>
          </w:p>
        </w:tc>
        <w:tc>
          <w:tcPr>
            <w:tcW w:w="3450" w:type="dxa"/>
            <w:noWrap w:val="0"/>
            <w:vAlign w:val="center"/>
          </w:tcPr>
          <w:p w14:paraId="58C5D97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HDMI 接口</w:t>
            </w:r>
          </w:p>
        </w:tc>
        <w:tc>
          <w:tcPr>
            <w:tcW w:w="3935" w:type="dxa"/>
            <w:noWrap w:val="0"/>
            <w:vAlign w:val="center"/>
          </w:tcPr>
          <w:p w14:paraId="4273283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717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044582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33</w:t>
            </w:r>
          </w:p>
        </w:tc>
        <w:tc>
          <w:tcPr>
            <w:tcW w:w="3450" w:type="dxa"/>
            <w:noWrap w:val="0"/>
            <w:vAlign w:val="center"/>
          </w:tcPr>
          <w:p w14:paraId="3AB3A36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VGA 接口</w:t>
            </w:r>
          </w:p>
        </w:tc>
        <w:tc>
          <w:tcPr>
            <w:tcW w:w="3935" w:type="dxa"/>
            <w:noWrap w:val="0"/>
            <w:vAlign w:val="center"/>
          </w:tcPr>
          <w:p w14:paraId="26C0407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0737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220F05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34</w:t>
            </w:r>
          </w:p>
        </w:tc>
        <w:tc>
          <w:tcPr>
            <w:tcW w:w="3450" w:type="dxa"/>
            <w:noWrap w:val="0"/>
            <w:vAlign w:val="center"/>
          </w:tcPr>
          <w:p w14:paraId="25975D8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网络接口</w:t>
            </w:r>
          </w:p>
        </w:tc>
        <w:tc>
          <w:tcPr>
            <w:tcW w:w="3935" w:type="dxa"/>
            <w:noWrap w:val="0"/>
            <w:vAlign w:val="center"/>
          </w:tcPr>
          <w:p w14:paraId="5E88FB9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4BF9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B8664A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35</w:t>
            </w:r>
          </w:p>
        </w:tc>
        <w:tc>
          <w:tcPr>
            <w:tcW w:w="3450" w:type="dxa"/>
            <w:noWrap w:val="0"/>
            <w:vAlign w:val="center"/>
          </w:tcPr>
          <w:p w14:paraId="7BC12A5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整机噪音</w:t>
            </w:r>
          </w:p>
        </w:tc>
        <w:tc>
          <w:tcPr>
            <w:tcW w:w="3935" w:type="dxa"/>
            <w:noWrap w:val="0"/>
            <w:vAlign w:val="center"/>
          </w:tcPr>
          <w:p w14:paraId="10EFA1E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产品工作在空闲状态下，产品的声功率级应≤3.5Bel</w:t>
            </w:r>
          </w:p>
        </w:tc>
      </w:tr>
      <w:tr w14:paraId="2C1B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B767BDC">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36</w:t>
            </w:r>
          </w:p>
        </w:tc>
        <w:tc>
          <w:tcPr>
            <w:tcW w:w="3450" w:type="dxa"/>
            <w:noWrap w:val="0"/>
            <w:vAlign w:val="center"/>
          </w:tcPr>
          <w:p w14:paraId="7C6F4EB9">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★MTBF测试</w:t>
            </w:r>
          </w:p>
        </w:tc>
        <w:tc>
          <w:tcPr>
            <w:tcW w:w="3935" w:type="dxa"/>
            <w:noWrap w:val="0"/>
            <w:vAlign w:val="center"/>
          </w:tcPr>
          <w:p w14:paraId="0D356FB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MTBF(m1)≥10万小时</w:t>
            </w:r>
          </w:p>
        </w:tc>
      </w:tr>
      <w:tr w14:paraId="66B8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5B8C4FE">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37</w:t>
            </w:r>
          </w:p>
        </w:tc>
        <w:tc>
          <w:tcPr>
            <w:tcW w:w="3450" w:type="dxa"/>
            <w:noWrap w:val="0"/>
            <w:vAlign w:val="center"/>
          </w:tcPr>
          <w:p w14:paraId="5D32ADDD">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操作系统</w:t>
            </w:r>
            <w:bookmarkStart w:id="408" w:name="_GoBack"/>
            <w:bookmarkEnd w:id="408"/>
          </w:p>
        </w:tc>
        <w:tc>
          <w:tcPr>
            <w:tcW w:w="3935" w:type="dxa"/>
            <w:noWrap w:val="0"/>
            <w:vAlign w:val="center"/>
          </w:tcPr>
          <w:p w14:paraId="68D640F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预装适用于学校的正式版麒麟/统信 UOS操作系统（最新版且永久授权）</w:t>
            </w:r>
          </w:p>
        </w:tc>
      </w:tr>
      <w:tr w14:paraId="15CF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40EE8D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38</w:t>
            </w:r>
          </w:p>
        </w:tc>
        <w:tc>
          <w:tcPr>
            <w:tcW w:w="3450" w:type="dxa"/>
            <w:noWrap w:val="0"/>
            <w:vAlign w:val="center"/>
          </w:tcPr>
          <w:p w14:paraId="2E936F6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兼容常用软件</w:t>
            </w:r>
          </w:p>
        </w:tc>
        <w:tc>
          <w:tcPr>
            <w:tcW w:w="3935" w:type="dxa"/>
            <w:noWrap w:val="0"/>
            <w:vAlign w:val="center"/>
          </w:tcPr>
          <w:p w14:paraId="34798C7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系统应用商店自带或支持以本地客户端方式安装windows应用金山画王、剪映、photoshop、MIND+、Cooledit、App Inventor离线版</w:t>
            </w:r>
          </w:p>
        </w:tc>
      </w:tr>
      <w:tr w14:paraId="785E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F1CB8AC">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39</w:t>
            </w:r>
          </w:p>
        </w:tc>
        <w:tc>
          <w:tcPr>
            <w:tcW w:w="3450" w:type="dxa"/>
            <w:noWrap w:val="0"/>
            <w:vAlign w:val="center"/>
          </w:tcPr>
          <w:p w14:paraId="09798A1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预装正版电子教室软件</w:t>
            </w:r>
          </w:p>
        </w:tc>
        <w:tc>
          <w:tcPr>
            <w:tcW w:w="3935" w:type="dxa"/>
            <w:noWrap w:val="0"/>
            <w:vAlign w:val="center"/>
          </w:tcPr>
          <w:p w14:paraId="1DD2E67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详见电子教室软件参数，可与机房管理软件合为一个软件</w:t>
            </w:r>
          </w:p>
        </w:tc>
      </w:tr>
      <w:tr w14:paraId="5E57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6BF5F6A">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40</w:t>
            </w:r>
          </w:p>
        </w:tc>
        <w:tc>
          <w:tcPr>
            <w:tcW w:w="3450" w:type="dxa"/>
            <w:noWrap w:val="0"/>
            <w:vAlign w:val="center"/>
          </w:tcPr>
          <w:p w14:paraId="7C6E5A3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预装正版机房管理软件</w:t>
            </w:r>
          </w:p>
        </w:tc>
        <w:tc>
          <w:tcPr>
            <w:tcW w:w="3935" w:type="dxa"/>
            <w:noWrap w:val="0"/>
            <w:vAlign w:val="center"/>
          </w:tcPr>
          <w:p w14:paraId="3D95164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详见机房管理软件参数，可与电子教室软件合为一个软件</w:t>
            </w:r>
          </w:p>
        </w:tc>
      </w:tr>
      <w:tr w14:paraId="3770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140975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41</w:t>
            </w:r>
          </w:p>
        </w:tc>
        <w:tc>
          <w:tcPr>
            <w:tcW w:w="3450" w:type="dxa"/>
            <w:noWrap w:val="0"/>
            <w:vAlign w:val="center"/>
          </w:tcPr>
          <w:p w14:paraId="36CB0ED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关键部件安全要求</w:t>
            </w:r>
          </w:p>
        </w:tc>
        <w:tc>
          <w:tcPr>
            <w:tcW w:w="3935" w:type="dxa"/>
            <w:noWrap w:val="0"/>
            <w:vAlign w:val="center"/>
          </w:tcPr>
          <w:p w14:paraId="5DD10BE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CPU 和操作系统等关键部件应当符合安全可靠测评要求</w:t>
            </w:r>
          </w:p>
        </w:tc>
      </w:tr>
      <w:tr w14:paraId="27E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5EB497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42</w:t>
            </w:r>
          </w:p>
        </w:tc>
        <w:tc>
          <w:tcPr>
            <w:tcW w:w="3450" w:type="dxa"/>
            <w:noWrap w:val="0"/>
            <w:vAlign w:val="center"/>
          </w:tcPr>
          <w:p w14:paraId="3B4FF3F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是否具有节能认证证书</w:t>
            </w:r>
          </w:p>
        </w:tc>
        <w:tc>
          <w:tcPr>
            <w:tcW w:w="3935" w:type="dxa"/>
            <w:noWrap w:val="0"/>
            <w:vAlign w:val="center"/>
          </w:tcPr>
          <w:p w14:paraId="7889EED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538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FAD8E7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43</w:t>
            </w:r>
          </w:p>
        </w:tc>
        <w:tc>
          <w:tcPr>
            <w:tcW w:w="3450" w:type="dxa"/>
            <w:noWrap w:val="0"/>
            <w:vAlign w:val="center"/>
          </w:tcPr>
          <w:p w14:paraId="029259B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是否为进口产品</w:t>
            </w:r>
          </w:p>
        </w:tc>
        <w:tc>
          <w:tcPr>
            <w:tcW w:w="3935" w:type="dxa"/>
            <w:noWrap w:val="0"/>
            <w:vAlign w:val="center"/>
          </w:tcPr>
          <w:p w14:paraId="37B7623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否</w:t>
            </w:r>
          </w:p>
        </w:tc>
      </w:tr>
      <w:tr w14:paraId="7F60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C5DFA8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44</w:t>
            </w:r>
          </w:p>
        </w:tc>
        <w:tc>
          <w:tcPr>
            <w:tcW w:w="3450" w:type="dxa"/>
            <w:noWrap w:val="0"/>
            <w:vAlign w:val="center"/>
          </w:tcPr>
          <w:p w14:paraId="6AD9E2E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其他要求</w:t>
            </w:r>
          </w:p>
        </w:tc>
        <w:tc>
          <w:tcPr>
            <w:tcW w:w="3935" w:type="dxa"/>
            <w:noWrap w:val="0"/>
            <w:vAlign w:val="center"/>
          </w:tcPr>
          <w:p w14:paraId="6F4E23B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财政部《台式计算机政府采购需求标准》中规定的除机械硬盘以外的其他标*内容</w:t>
            </w:r>
          </w:p>
        </w:tc>
      </w:tr>
    </w:tbl>
    <w:p w14:paraId="4695A990">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p>
    <w:p w14:paraId="6AC5D479">
      <w:pPr>
        <w:widowControl/>
        <w:numPr>
          <w:ilvl w:val="0"/>
          <w:numId w:val="6"/>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default" w:ascii="宋体"/>
          <w:color w:val="000000"/>
          <w:sz w:val="22"/>
          <w:lang w:val="en-US" w:eastAsia="zh-CN"/>
        </w:rPr>
        <w:t>学生机2</w:t>
      </w:r>
    </w:p>
    <w:tbl>
      <w:tblPr>
        <w:tblStyle w:val="63"/>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607"/>
        <w:gridCol w:w="3802"/>
      </w:tblGrid>
      <w:tr w14:paraId="6326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339F9685">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3607" w:type="dxa"/>
            <w:noWrap w:val="0"/>
            <w:vAlign w:val="center"/>
          </w:tcPr>
          <w:p w14:paraId="1E66FE19">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指标项目</w:t>
            </w:r>
          </w:p>
        </w:tc>
        <w:tc>
          <w:tcPr>
            <w:tcW w:w="3802" w:type="dxa"/>
            <w:noWrap w:val="0"/>
            <w:vAlign w:val="center"/>
          </w:tcPr>
          <w:p w14:paraId="4C112FE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13E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15D35AC4">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3607" w:type="dxa"/>
            <w:noWrap w:val="0"/>
            <w:vAlign w:val="center"/>
          </w:tcPr>
          <w:p w14:paraId="392005A5">
            <w:pPr>
              <w:widowControl/>
              <w:numPr>
                <w:ilvl w:val="0"/>
                <w:numId w:val="0"/>
              </w:numPr>
              <w:autoSpaceDE w:val="0"/>
              <w:autoSpaceDN w:val="0"/>
              <w:adjustRightInd w:val="0"/>
              <w:snapToGrid w:val="0"/>
              <w:spacing w:line="440" w:lineRule="atLeast"/>
              <w:jc w:val="both"/>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CPU信息</w:t>
            </w:r>
          </w:p>
        </w:tc>
        <w:tc>
          <w:tcPr>
            <w:tcW w:w="3802" w:type="dxa"/>
            <w:noWrap w:val="0"/>
            <w:vAlign w:val="top"/>
          </w:tcPr>
          <w:p w14:paraId="427E2221">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Intel ≥i5 13400 或 AMD ≥R5 7500，CPU主频≥2.5GHz，核数≥6</w:t>
            </w:r>
          </w:p>
        </w:tc>
      </w:tr>
      <w:tr w14:paraId="6718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9D270D4">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3607" w:type="dxa"/>
            <w:noWrap w:val="0"/>
            <w:vAlign w:val="center"/>
          </w:tcPr>
          <w:p w14:paraId="5375A86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显示屏尺寸（英寸）</w:t>
            </w:r>
          </w:p>
        </w:tc>
        <w:tc>
          <w:tcPr>
            <w:tcW w:w="3802" w:type="dxa"/>
            <w:noWrap w:val="0"/>
            <w:vAlign w:val="center"/>
          </w:tcPr>
          <w:p w14:paraId="251B6C1A">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≥23</w:t>
            </w:r>
          </w:p>
        </w:tc>
      </w:tr>
      <w:tr w14:paraId="6755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E950DE0">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w:t>
            </w:r>
          </w:p>
        </w:tc>
        <w:tc>
          <w:tcPr>
            <w:tcW w:w="3607" w:type="dxa"/>
            <w:noWrap w:val="0"/>
            <w:vAlign w:val="center"/>
          </w:tcPr>
          <w:p w14:paraId="5E4C280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显示屏分辨率</w:t>
            </w:r>
          </w:p>
        </w:tc>
        <w:tc>
          <w:tcPr>
            <w:tcW w:w="3802" w:type="dxa"/>
            <w:noWrap w:val="0"/>
            <w:vAlign w:val="center"/>
          </w:tcPr>
          <w:p w14:paraId="403D4B62">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≥1920*1080</w:t>
            </w:r>
          </w:p>
        </w:tc>
      </w:tr>
      <w:tr w14:paraId="229A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31C06DB3">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w:t>
            </w:r>
          </w:p>
        </w:tc>
        <w:tc>
          <w:tcPr>
            <w:tcW w:w="3607" w:type="dxa"/>
            <w:noWrap w:val="0"/>
            <w:vAlign w:val="center"/>
          </w:tcPr>
          <w:p w14:paraId="16CE0103">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显示屏色准</w:t>
            </w:r>
          </w:p>
        </w:tc>
        <w:tc>
          <w:tcPr>
            <w:tcW w:w="3802" w:type="dxa"/>
            <w:noWrap w:val="0"/>
            <w:vAlign w:val="center"/>
          </w:tcPr>
          <w:p w14:paraId="236E850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最大△E ≤4</w:t>
            </w:r>
          </w:p>
        </w:tc>
      </w:tr>
      <w:tr w14:paraId="39AC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EB01AD7">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5</w:t>
            </w:r>
          </w:p>
        </w:tc>
        <w:tc>
          <w:tcPr>
            <w:tcW w:w="3607" w:type="dxa"/>
            <w:noWrap w:val="0"/>
            <w:vAlign w:val="center"/>
          </w:tcPr>
          <w:p w14:paraId="090716D9">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显示屏响应时间（ms）</w:t>
            </w:r>
          </w:p>
        </w:tc>
        <w:tc>
          <w:tcPr>
            <w:tcW w:w="3802" w:type="dxa"/>
            <w:noWrap w:val="0"/>
            <w:vAlign w:val="center"/>
          </w:tcPr>
          <w:p w14:paraId="19A8C27C">
            <w:pPr>
              <w:keepNext w:val="0"/>
              <w:keepLines w:val="0"/>
              <w:widowControl/>
              <w:suppressLineNumbers w:val="0"/>
              <w:jc w:val="left"/>
              <w:textAlignment w:val="center"/>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≤6</w:t>
            </w:r>
          </w:p>
        </w:tc>
      </w:tr>
      <w:tr w14:paraId="319B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ED2D97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6</w:t>
            </w:r>
          </w:p>
        </w:tc>
        <w:tc>
          <w:tcPr>
            <w:tcW w:w="3607" w:type="dxa"/>
            <w:noWrap w:val="0"/>
            <w:vAlign w:val="center"/>
          </w:tcPr>
          <w:p w14:paraId="507450D3">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显示屏可视角度</w:t>
            </w:r>
          </w:p>
        </w:tc>
        <w:tc>
          <w:tcPr>
            <w:tcW w:w="3802" w:type="dxa"/>
            <w:noWrap w:val="0"/>
            <w:vAlign w:val="center"/>
          </w:tcPr>
          <w:p w14:paraId="0349A81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≥170°/160°</w:t>
            </w:r>
          </w:p>
        </w:tc>
      </w:tr>
      <w:tr w14:paraId="40A2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0C2138F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7</w:t>
            </w:r>
          </w:p>
        </w:tc>
        <w:tc>
          <w:tcPr>
            <w:tcW w:w="3607" w:type="dxa"/>
            <w:noWrap w:val="0"/>
            <w:vAlign w:val="center"/>
          </w:tcPr>
          <w:p w14:paraId="0C6A0CBC">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显示屏材质</w:t>
            </w:r>
          </w:p>
        </w:tc>
        <w:tc>
          <w:tcPr>
            <w:tcW w:w="3802" w:type="dxa"/>
            <w:noWrap w:val="0"/>
            <w:vAlign w:val="center"/>
          </w:tcPr>
          <w:p w14:paraId="74765A27">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VA/IPS</w:t>
            </w:r>
          </w:p>
        </w:tc>
      </w:tr>
      <w:tr w14:paraId="1CA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571D467">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8</w:t>
            </w:r>
          </w:p>
        </w:tc>
        <w:tc>
          <w:tcPr>
            <w:tcW w:w="3607" w:type="dxa"/>
            <w:noWrap w:val="0"/>
            <w:vAlign w:val="center"/>
          </w:tcPr>
          <w:p w14:paraId="2BDAC8BB">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显示屏屏幕比例</w:t>
            </w:r>
          </w:p>
        </w:tc>
        <w:tc>
          <w:tcPr>
            <w:tcW w:w="3802" w:type="dxa"/>
            <w:noWrap w:val="0"/>
            <w:vAlign w:val="center"/>
          </w:tcPr>
          <w:p w14:paraId="2C6D07B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16:9</w:t>
            </w:r>
          </w:p>
        </w:tc>
      </w:tr>
      <w:tr w14:paraId="4E99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16B90F1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9</w:t>
            </w:r>
          </w:p>
        </w:tc>
        <w:tc>
          <w:tcPr>
            <w:tcW w:w="3607" w:type="dxa"/>
            <w:noWrap w:val="0"/>
            <w:vAlign w:val="center"/>
          </w:tcPr>
          <w:p w14:paraId="057DBAA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显示屏刷新率</w:t>
            </w:r>
          </w:p>
        </w:tc>
        <w:tc>
          <w:tcPr>
            <w:tcW w:w="3802" w:type="dxa"/>
            <w:noWrap w:val="0"/>
            <w:vAlign w:val="center"/>
          </w:tcPr>
          <w:p w14:paraId="03B68473">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≥75Hz</w:t>
            </w:r>
          </w:p>
        </w:tc>
      </w:tr>
      <w:tr w14:paraId="6D78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3BD6B6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10</w:t>
            </w:r>
          </w:p>
        </w:tc>
        <w:tc>
          <w:tcPr>
            <w:tcW w:w="3607" w:type="dxa"/>
            <w:noWrap w:val="0"/>
            <w:vAlign w:val="center"/>
          </w:tcPr>
          <w:p w14:paraId="6000361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显示屏对比度</w:t>
            </w:r>
          </w:p>
        </w:tc>
        <w:tc>
          <w:tcPr>
            <w:tcW w:w="3802" w:type="dxa"/>
            <w:noWrap w:val="0"/>
            <w:vAlign w:val="center"/>
          </w:tcPr>
          <w:p w14:paraId="2F00043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≥500:1</w:t>
            </w:r>
          </w:p>
        </w:tc>
      </w:tr>
      <w:tr w14:paraId="0B00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8F84EF6">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11</w:t>
            </w:r>
          </w:p>
        </w:tc>
        <w:tc>
          <w:tcPr>
            <w:tcW w:w="3607" w:type="dxa"/>
            <w:noWrap w:val="0"/>
            <w:vAlign w:val="center"/>
          </w:tcPr>
          <w:p w14:paraId="59F6DD62">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内存读写速率</w:t>
            </w:r>
          </w:p>
        </w:tc>
        <w:tc>
          <w:tcPr>
            <w:tcW w:w="3802" w:type="dxa"/>
            <w:noWrap w:val="0"/>
            <w:vAlign w:val="center"/>
          </w:tcPr>
          <w:p w14:paraId="760AF21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≥3200MT/s</w:t>
            </w:r>
          </w:p>
        </w:tc>
      </w:tr>
      <w:tr w14:paraId="5C4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FD79BCF">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12</w:t>
            </w:r>
          </w:p>
        </w:tc>
        <w:tc>
          <w:tcPr>
            <w:tcW w:w="3607" w:type="dxa"/>
            <w:noWrap w:val="0"/>
            <w:vAlign w:val="center"/>
          </w:tcPr>
          <w:p w14:paraId="5A3D3F77">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内存扩展接口 (板载内存不涉及)</w:t>
            </w:r>
          </w:p>
        </w:tc>
        <w:tc>
          <w:tcPr>
            <w:tcW w:w="3802" w:type="dxa"/>
            <w:noWrap w:val="0"/>
            <w:vAlign w:val="center"/>
          </w:tcPr>
          <w:p w14:paraId="2A48BD5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w:t>
            </w:r>
          </w:p>
        </w:tc>
      </w:tr>
      <w:tr w14:paraId="40BD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CE01D4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13</w:t>
            </w:r>
          </w:p>
        </w:tc>
        <w:tc>
          <w:tcPr>
            <w:tcW w:w="3607" w:type="dxa"/>
            <w:noWrap w:val="0"/>
            <w:vAlign w:val="center"/>
          </w:tcPr>
          <w:p w14:paraId="39FF415C">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内存插槽满配时提供的最高内存总容量</w:t>
            </w:r>
          </w:p>
        </w:tc>
        <w:tc>
          <w:tcPr>
            <w:tcW w:w="3802" w:type="dxa"/>
            <w:noWrap w:val="0"/>
            <w:vAlign w:val="center"/>
          </w:tcPr>
          <w:p w14:paraId="4394AB1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≥32GB</w:t>
            </w:r>
          </w:p>
        </w:tc>
      </w:tr>
      <w:tr w14:paraId="775D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EB56510">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14</w:t>
            </w:r>
          </w:p>
        </w:tc>
        <w:tc>
          <w:tcPr>
            <w:tcW w:w="3607" w:type="dxa"/>
            <w:noWrap w:val="0"/>
            <w:vAlign w:val="center"/>
          </w:tcPr>
          <w:p w14:paraId="52598479">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内存配置容量</w:t>
            </w:r>
          </w:p>
        </w:tc>
        <w:tc>
          <w:tcPr>
            <w:tcW w:w="3802" w:type="dxa"/>
            <w:noWrap w:val="0"/>
            <w:vAlign w:val="center"/>
          </w:tcPr>
          <w:p w14:paraId="319FEFE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≥16GB</w:t>
            </w:r>
          </w:p>
        </w:tc>
      </w:tr>
      <w:tr w14:paraId="1783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8695D05">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15</w:t>
            </w:r>
          </w:p>
        </w:tc>
        <w:tc>
          <w:tcPr>
            <w:tcW w:w="3607" w:type="dxa"/>
            <w:noWrap w:val="0"/>
            <w:vAlign w:val="center"/>
          </w:tcPr>
          <w:p w14:paraId="6C44A25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固态存储容量</w:t>
            </w:r>
          </w:p>
        </w:tc>
        <w:tc>
          <w:tcPr>
            <w:tcW w:w="3802" w:type="dxa"/>
            <w:noWrap w:val="0"/>
            <w:vAlign w:val="center"/>
          </w:tcPr>
          <w:p w14:paraId="2C42C02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≥256GB</w:t>
            </w:r>
          </w:p>
        </w:tc>
      </w:tr>
      <w:tr w14:paraId="5211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3779DC36">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16</w:t>
            </w:r>
          </w:p>
        </w:tc>
        <w:tc>
          <w:tcPr>
            <w:tcW w:w="3607" w:type="dxa"/>
            <w:noWrap w:val="0"/>
            <w:vAlign w:val="center"/>
          </w:tcPr>
          <w:p w14:paraId="328B560D">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固态硬盘寿命</w:t>
            </w:r>
          </w:p>
        </w:tc>
        <w:tc>
          <w:tcPr>
            <w:tcW w:w="3802" w:type="dxa"/>
            <w:noWrap w:val="0"/>
            <w:vAlign w:val="center"/>
          </w:tcPr>
          <w:p w14:paraId="479A63C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 xml:space="preserve">TBW≥120TB </w:t>
            </w:r>
          </w:p>
        </w:tc>
      </w:tr>
      <w:tr w14:paraId="48F3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10124C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17</w:t>
            </w:r>
          </w:p>
        </w:tc>
        <w:tc>
          <w:tcPr>
            <w:tcW w:w="3607" w:type="dxa"/>
            <w:noWrap w:val="0"/>
            <w:vAlign w:val="center"/>
          </w:tcPr>
          <w:p w14:paraId="176A6AF4">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显卡类型</w:t>
            </w:r>
          </w:p>
        </w:tc>
        <w:tc>
          <w:tcPr>
            <w:tcW w:w="3802" w:type="dxa"/>
            <w:noWrap w:val="0"/>
            <w:vAlign w:val="center"/>
          </w:tcPr>
          <w:p w14:paraId="7B8D5FD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w:t>
            </w:r>
          </w:p>
        </w:tc>
      </w:tr>
      <w:tr w14:paraId="2BB3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86F50EE">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18</w:t>
            </w:r>
          </w:p>
        </w:tc>
        <w:tc>
          <w:tcPr>
            <w:tcW w:w="3607" w:type="dxa"/>
            <w:noWrap w:val="0"/>
            <w:vAlign w:val="center"/>
          </w:tcPr>
          <w:p w14:paraId="686434C3">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独立显卡显存容量</w:t>
            </w:r>
          </w:p>
        </w:tc>
        <w:tc>
          <w:tcPr>
            <w:tcW w:w="3802" w:type="dxa"/>
            <w:noWrap w:val="0"/>
            <w:vAlign w:val="center"/>
          </w:tcPr>
          <w:p w14:paraId="2814772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≥2GB</w:t>
            </w:r>
          </w:p>
        </w:tc>
      </w:tr>
      <w:tr w14:paraId="18B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222DB9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19</w:t>
            </w:r>
          </w:p>
        </w:tc>
        <w:tc>
          <w:tcPr>
            <w:tcW w:w="3607" w:type="dxa"/>
            <w:noWrap w:val="0"/>
            <w:vAlign w:val="center"/>
          </w:tcPr>
          <w:p w14:paraId="3351CAFD">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独立显卡显存位宽（bit）</w:t>
            </w:r>
          </w:p>
        </w:tc>
        <w:tc>
          <w:tcPr>
            <w:tcW w:w="3802" w:type="dxa"/>
            <w:noWrap w:val="0"/>
            <w:vAlign w:val="center"/>
          </w:tcPr>
          <w:p w14:paraId="23D6D75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≥64</w:t>
            </w:r>
          </w:p>
        </w:tc>
      </w:tr>
      <w:tr w14:paraId="2264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560453C">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20</w:t>
            </w:r>
          </w:p>
        </w:tc>
        <w:tc>
          <w:tcPr>
            <w:tcW w:w="3607" w:type="dxa"/>
            <w:noWrap w:val="0"/>
            <w:vAlign w:val="center"/>
          </w:tcPr>
          <w:p w14:paraId="76BCF7D3">
            <w:pPr>
              <w:keepNext w:val="0"/>
              <w:keepLines w:val="0"/>
              <w:widowControl/>
              <w:suppressLineNumbers w:val="0"/>
              <w:jc w:val="both"/>
              <w:textAlignment w:val="center"/>
              <w:rPr>
                <w:rFonts w:hint="default"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独立显卡显存类型</w:t>
            </w:r>
          </w:p>
        </w:tc>
        <w:tc>
          <w:tcPr>
            <w:tcW w:w="3802" w:type="dxa"/>
            <w:noWrap w:val="0"/>
            <w:vAlign w:val="center"/>
          </w:tcPr>
          <w:p w14:paraId="16824F6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DDR4/LPDDR4/GDDR5/GDDR6</w:t>
            </w:r>
          </w:p>
        </w:tc>
      </w:tr>
      <w:tr w14:paraId="4DB8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057A20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21</w:t>
            </w:r>
          </w:p>
        </w:tc>
        <w:tc>
          <w:tcPr>
            <w:tcW w:w="3607" w:type="dxa"/>
            <w:noWrap w:val="0"/>
            <w:vAlign w:val="center"/>
          </w:tcPr>
          <w:p w14:paraId="6CE48493">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独立显卡显示芯片核心频率</w:t>
            </w:r>
          </w:p>
        </w:tc>
        <w:tc>
          <w:tcPr>
            <w:tcW w:w="3802" w:type="dxa"/>
            <w:noWrap w:val="0"/>
            <w:vAlign w:val="center"/>
          </w:tcPr>
          <w:p w14:paraId="3B0B151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≥300MHz</w:t>
            </w:r>
          </w:p>
        </w:tc>
      </w:tr>
      <w:tr w14:paraId="2470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7E38A2E">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22</w:t>
            </w:r>
          </w:p>
        </w:tc>
        <w:tc>
          <w:tcPr>
            <w:tcW w:w="3607" w:type="dxa"/>
            <w:noWrap w:val="0"/>
            <w:vAlign w:val="center"/>
          </w:tcPr>
          <w:p w14:paraId="3A76333D">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独立显卡显存等效频率</w:t>
            </w:r>
          </w:p>
        </w:tc>
        <w:tc>
          <w:tcPr>
            <w:tcW w:w="3802" w:type="dxa"/>
            <w:noWrap w:val="0"/>
            <w:vAlign w:val="center"/>
          </w:tcPr>
          <w:p w14:paraId="7C8A7DE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≥1000MT/s</w:t>
            </w:r>
          </w:p>
        </w:tc>
      </w:tr>
      <w:tr w14:paraId="1EDB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05C73210">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23</w:t>
            </w:r>
          </w:p>
        </w:tc>
        <w:tc>
          <w:tcPr>
            <w:tcW w:w="3607" w:type="dxa"/>
            <w:noWrap w:val="0"/>
            <w:vAlign w:val="center"/>
          </w:tcPr>
          <w:p w14:paraId="448C2304">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显示器和机身颜色</w:t>
            </w:r>
          </w:p>
        </w:tc>
        <w:tc>
          <w:tcPr>
            <w:tcW w:w="3802" w:type="dxa"/>
            <w:noWrap w:val="0"/>
            <w:vAlign w:val="center"/>
          </w:tcPr>
          <w:p w14:paraId="30445B1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黑色/灰色/银色等商务色系均可</w:t>
            </w:r>
          </w:p>
        </w:tc>
      </w:tr>
      <w:tr w14:paraId="2131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67FB44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24</w:t>
            </w:r>
          </w:p>
        </w:tc>
        <w:tc>
          <w:tcPr>
            <w:tcW w:w="3607" w:type="dxa"/>
            <w:noWrap w:val="0"/>
            <w:vAlign w:val="center"/>
          </w:tcPr>
          <w:p w14:paraId="0DB1FB48">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内置集成声卡</w:t>
            </w:r>
          </w:p>
        </w:tc>
        <w:tc>
          <w:tcPr>
            <w:tcW w:w="3802" w:type="dxa"/>
            <w:noWrap w:val="0"/>
            <w:vAlign w:val="center"/>
          </w:tcPr>
          <w:p w14:paraId="3CA4F14E">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4AC5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0DA3327">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25</w:t>
            </w:r>
          </w:p>
        </w:tc>
        <w:tc>
          <w:tcPr>
            <w:tcW w:w="3607" w:type="dxa"/>
            <w:noWrap w:val="0"/>
            <w:vAlign w:val="center"/>
          </w:tcPr>
          <w:p w14:paraId="0F7AB1AB">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有线网卡数量</w:t>
            </w:r>
          </w:p>
        </w:tc>
        <w:tc>
          <w:tcPr>
            <w:tcW w:w="3802" w:type="dxa"/>
            <w:noWrap w:val="0"/>
            <w:vAlign w:val="center"/>
          </w:tcPr>
          <w:p w14:paraId="3F6C1E5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595B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439D574">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26</w:t>
            </w:r>
          </w:p>
        </w:tc>
        <w:tc>
          <w:tcPr>
            <w:tcW w:w="3607" w:type="dxa"/>
            <w:noWrap w:val="0"/>
            <w:vAlign w:val="center"/>
          </w:tcPr>
          <w:p w14:paraId="764FF5D9">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鼠标</w:t>
            </w:r>
          </w:p>
        </w:tc>
        <w:tc>
          <w:tcPr>
            <w:tcW w:w="3802" w:type="dxa"/>
            <w:noWrap w:val="0"/>
            <w:vAlign w:val="center"/>
          </w:tcPr>
          <w:p w14:paraId="4E3CDCA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3CC2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12AD611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27</w:t>
            </w:r>
          </w:p>
        </w:tc>
        <w:tc>
          <w:tcPr>
            <w:tcW w:w="3607" w:type="dxa"/>
            <w:noWrap w:val="0"/>
            <w:vAlign w:val="center"/>
          </w:tcPr>
          <w:p w14:paraId="270DFA88">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w:t>
            </w:r>
          </w:p>
        </w:tc>
        <w:tc>
          <w:tcPr>
            <w:tcW w:w="3802" w:type="dxa"/>
            <w:noWrap w:val="0"/>
            <w:vAlign w:val="center"/>
          </w:tcPr>
          <w:p w14:paraId="4FCA5A6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6D7E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056337E">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28</w:t>
            </w:r>
          </w:p>
        </w:tc>
        <w:tc>
          <w:tcPr>
            <w:tcW w:w="3607" w:type="dxa"/>
            <w:noWrap w:val="0"/>
            <w:vAlign w:val="center"/>
          </w:tcPr>
          <w:p w14:paraId="3A982F5B">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键盘按键数目</w:t>
            </w:r>
          </w:p>
        </w:tc>
        <w:tc>
          <w:tcPr>
            <w:tcW w:w="3802" w:type="dxa"/>
            <w:noWrap w:val="0"/>
            <w:vAlign w:val="center"/>
          </w:tcPr>
          <w:p w14:paraId="6FB9FE5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104 键</w:t>
            </w:r>
          </w:p>
        </w:tc>
      </w:tr>
      <w:tr w14:paraId="0122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34F93D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29</w:t>
            </w:r>
          </w:p>
        </w:tc>
        <w:tc>
          <w:tcPr>
            <w:tcW w:w="3607" w:type="dxa"/>
            <w:noWrap w:val="0"/>
            <w:vAlign w:val="center"/>
          </w:tcPr>
          <w:p w14:paraId="338E9AAE">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有线键盘连接线</w:t>
            </w:r>
          </w:p>
        </w:tc>
        <w:tc>
          <w:tcPr>
            <w:tcW w:w="3802" w:type="dxa"/>
            <w:noWrap w:val="0"/>
            <w:vAlign w:val="center"/>
          </w:tcPr>
          <w:p w14:paraId="2888985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≥1.5 米</w:t>
            </w:r>
          </w:p>
        </w:tc>
      </w:tr>
      <w:tr w14:paraId="5BB4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4E58A8A">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30</w:t>
            </w:r>
          </w:p>
        </w:tc>
        <w:tc>
          <w:tcPr>
            <w:tcW w:w="3607" w:type="dxa"/>
            <w:noWrap w:val="0"/>
            <w:vAlign w:val="center"/>
          </w:tcPr>
          <w:p w14:paraId="1A2FFC10">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USB 接口数量</w:t>
            </w:r>
          </w:p>
        </w:tc>
        <w:tc>
          <w:tcPr>
            <w:tcW w:w="3802" w:type="dxa"/>
            <w:noWrap w:val="0"/>
            <w:vAlign w:val="center"/>
          </w:tcPr>
          <w:p w14:paraId="6A6EC4E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≥8 个，其中 USB3.0 及以上标准接口≥4 个</w:t>
            </w:r>
          </w:p>
        </w:tc>
      </w:tr>
      <w:tr w14:paraId="327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A0FA6C0">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31</w:t>
            </w:r>
          </w:p>
        </w:tc>
        <w:tc>
          <w:tcPr>
            <w:tcW w:w="3607" w:type="dxa"/>
            <w:noWrap w:val="0"/>
            <w:vAlign w:val="center"/>
          </w:tcPr>
          <w:p w14:paraId="7A551B4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摄像头数量</w:t>
            </w:r>
          </w:p>
        </w:tc>
        <w:tc>
          <w:tcPr>
            <w:tcW w:w="3802" w:type="dxa"/>
            <w:noWrap w:val="0"/>
            <w:vAlign w:val="center"/>
          </w:tcPr>
          <w:p w14:paraId="05D5E58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≥1，详见摄像头参数。</w:t>
            </w:r>
          </w:p>
        </w:tc>
      </w:tr>
      <w:tr w14:paraId="442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38CE884A">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32</w:t>
            </w:r>
          </w:p>
        </w:tc>
        <w:tc>
          <w:tcPr>
            <w:tcW w:w="3607" w:type="dxa"/>
            <w:noWrap w:val="0"/>
            <w:vAlign w:val="center"/>
          </w:tcPr>
          <w:p w14:paraId="4343F0E2">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HDMI 接口</w:t>
            </w:r>
          </w:p>
        </w:tc>
        <w:tc>
          <w:tcPr>
            <w:tcW w:w="3802" w:type="dxa"/>
            <w:noWrap w:val="0"/>
            <w:vAlign w:val="center"/>
          </w:tcPr>
          <w:p w14:paraId="75DB2E7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5CA5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153570C4">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33</w:t>
            </w:r>
          </w:p>
        </w:tc>
        <w:tc>
          <w:tcPr>
            <w:tcW w:w="3607" w:type="dxa"/>
            <w:noWrap w:val="0"/>
            <w:vAlign w:val="center"/>
          </w:tcPr>
          <w:p w14:paraId="772F0700">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VGA 接口</w:t>
            </w:r>
          </w:p>
        </w:tc>
        <w:tc>
          <w:tcPr>
            <w:tcW w:w="3802" w:type="dxa"/>
            <w:noWrap w:val="0"/>
            <w:vAlign w:val="center"/>
          </w:tcPr>
          <w:p w14:paraId="0C58FEE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5AF5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916CE0C">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34</w:t>
            </w:r>
          </w:p>
        </w:tc>
        <w:tc>
          <w:tcPr>
            <w:tcW w:w="3607" w:type="dxa"/>
            <w:noWrap w:val="0"/>
            <w:vAlign w:val="center"/>
          </w:tcPr>
          <w:p w14:paraId="02955603">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网络接口</w:t>
            </w:r>
          </w:p>
        </w:tc>
        <w:tc>
          <w:tcPr>
            <w:tcW w:w="3802" w:type="dxa"/>
            <w:noWrap w:val="0"/>
            <w:vAlign w:val="center"/>
          </w:tcPr>
          <w:p w14:paraId="69AF488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2431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AA65DE3">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35</w:t>
            </w:r>
          </w:p>
        </w:tc>
        <w:tc>
          <w:tcPr>
            <w:tcW w:w="3607" w:type="dxa"/>
            <w:noWrap w:val="0"/>
            <w:vAlign w:val="center"/>
          </w:tcPr>
          <w:p w14:paraId="758122FE">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整机噪音</w:t>
            </w:r>
          </w:p>
        </w:tc>
        <w:tc>
          <w:tcPr>
            <w:tcW w:w="3802" w:type="dxa"/>
            <w:noWrap w:val="0"/>
            <w:vAlign w:val="center"/>
          </w:tcPr>
          <w:p w14:paraId="079240E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产品工作在空闲状态下，产品的声功率级应≤3.5Bel</w:t>
            </w:r>
          </w:p>
        </w:tc>
      </w:tr>
      <w:tr w14:paraId="755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B6846CE">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36</w:t>
            </w:r>
          </w:p>
        </w:tc>
        <w:tc>
          <w:tcPr>
            <w:tcW w:w="3607" w:type="dxa"/>
            <w:noWrap w:val="0"/>
            <w:vAlign w:val="center"/>
          </w:tcPr>
          <w:p w14:paraId="26240FAC">
            <w:pPr>
              <w:keepNext w:val="0"/>
              <w:keepLines w:val="0"/>
              <w:widowControl/>
              <w:suppressLineNumbers w:val="0"/>
              <w:jc w:val="left"/>
              <w:textAlignment w:val="center"/>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★MTBF测试</w:t>
            </w:r>
          </w:p>
        </w:tc>
        <w:tc>
          <w:tcPr>
            <w:tcW w:w="3802" w:type="dxa"/>
            <w:noWrap w:val="0"/>
            <w:vAlign w:val="center"/>
          </w:tcPr>
          <w:p w14:paraId="24E0ECF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MTBF(m1)≥10万小时</w:t>
            </w:r>
          </w:p>
        </w:tc>
      </w:tr>
      <w:tr w14:paraId="0F94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346C7F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37</w:t>
            </w:r>
          </w:p>
        </w:tc>
        <w:tc>
          <w:tcPr>
            <w:tcW w:w="3607" w:type="dxa"/>
            <w:noWrap w:val="0"/>
            <w:vAlign w:val="center"/>
          </w:tcPr>
          <w:p w14:paraId="14636CB3">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操作系统</w:t>
            </w:r>
          </w:p>
        </w:tc>
        <w:tc>
          <w:tcPr>
            <w:tcW w:w="3802" w:type="dxa"/>
            <w:noWrap w:val="0"/>
            <w:vAlign w:val="center"/>
          </w:tcPr>
          <w:p w14:paraId="498D5347">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预装适用于学校的正式版windows11（最新版且永久授权）</w:t>
            </w:r>
          </w:p>
        </w:tc>
      </w:tr>
      <w:tr w14:paraId="7A61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57D69C5">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38</w:t>
            </w:r>
          </w:p>
        </w:tc>
        <w:tc>
          <w:tcPr>
            <w:tcW w:w="3607" w:type="dxa"/>
            <w:noWrap w:val="0"/>
            <w:vAlign w:val="center"/>
          </w:tcPr>
          <w:p w14:paraId="5EB3D95E">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预装正版电子教室软件</w:t>
            </w:r>
          </w:p>
        </w:tc>
        <w:tc>
          <w:tcPr>
            <w:tcW w:w="3802" w:type="dxa"/>
            <w:noWrap w:val="0"/>
            <w:vAlign w:val="center"/>
          </w:tcPr>
          <w:p w14:paraId="4091B49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详见电子教室软件参数，可与机房管理软件合为一个软件</w:t>
            </w:r>
          </w:p>
        </w:tc>
      </w:tr>
      <w:tr w14:paraId="7D5A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8713DB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39</w:t>
            </w:r>
          </w:p>
        </w:tc>
        <w:tc>
          <w:tcPr>
            <w:tcW w:w="3607" w:type="dxa"/>
            <w:noWrap w:val="0"/>
            <w:vAlign w:val="center"/>
          </w:tcPr>
          <w:p w14:paraId="36E8C44C">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预装正版机房管理软件</w:t>
            </w:r>
          </w:p>
        </w:tc>
        <w:tc>
          <w:tcPr>
            <w:tcW w:w="3802" w:type="dxa"/>
            <w:noWrap w:val="0"/>
            <w:vAlign w:val="center"/>
          </w:tcPr>
          <w:p w14:paraId="4486C67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详见机房管理软件参数，可与电子教室软件合为一个软件</w:t>
            </w:r>
          </w:p>
        </w:tc>
      </w:tr>
      <w:tr w14:paraId="754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A4BA14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40</w:t>
            </w:r>
          </w:p>
        </w:tc>
        <w:tc>
          <w:tcPr>
            <w:tcW w:w="3607" w:type="dxa"/>
            <w:noWrap w:val="0"/>
            <w:vAlign w:val="center"/>
          </w:tcPr>
          <w:p w14:paraId="5D4A9D29">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是否具有节能认证证书</w:t>
            </w:r>
          </w:p>
        </w:tc>
        <w:tc>
          <w:tcPr>
            <w:tcW w:w="3802" w:type="dxa"/>
            <w:noWrap w:val="0"/>
            <w:vAlign w:val="center"/>
          </w:tcPr>
          <w:p w14:paraId="05E5640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3A6B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2288D0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41</w:t>
            </w:r>
          </w:p>
        </w:tc>
        <w:tc>
          <w:tcPr>
            <w:tcW w:w="3607" w:type="dxa"/>
            <w:noWrap w:val="0"/>
            <w:vAlign w:val="center"/>
          </w:tcPr>
          <w:p w14:paraId="6AA1055D">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是否为进口产品</w:t>
            </w:r>
          </w:p>
        </w:tc>
        <w:tc>
          <w:tcPr>
            <w:tcW w:w="3802" w:type="dxa"/>
            <w:noWrap w:val="0"/>
            <w:vAlign w:val="center"/>
          </w:tcPr>
          <w:p w14:paraId="54CE359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否</w:t>
            </w:r>
          </w:p>
        </w:tc>
      </w:tr>
      <w:tr w14:paraId="4349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0895B9D">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42</w:t>
            </w:r>
          </w:p>
        </w:tc>
        <w:tc>
          <w:tcPr>
            <w:tcW w:w="3607" w:type="dxa"/>
            <w:noWrap w:val="0"/>
            <w:vAlign w:val="center"/>
          </w:tcPr>
          <w:p w14:paraId="12CECB17">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其他要求</w:t>
            </w:r>
          </w:p>
        </w:tc>
        <w:tc>
          <w:tcPr>
            <w:tcW w:w="3802" w:type="dxa"/>
            <w:noWrap w:val="0"/>
            <w:vAlign w:val="center"/>
          </w:tcPr>
          <w:p w14:paraId="7C7A167E">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财政部《台式计算机政府采购需求标准》中规定的除机械硬盘、安全可靠测评要求外其他标*内容</w:t>
            </w:r>
          </w:p>
        </w:tc>
      </w:tr>
    </w:tbl>
    <w:p w14:paraId="718B547F">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p>
    <w:p w14:paraId="5917711C">
      <w:pPr>
        <w:widowControl/>
        <w:numPr>
          <w:ilvl w:val="0"/>
          <w:numId w:val="6"/>
        </w:numPr>
        <w:autoSpaceDE w:val="0"/>
        <w:autoSpaceDN w:val="0"/>
        <w:adjustRightInd w:val="0"/>
        <w:snapToGrid w:val="0"/>
        <w:spacing w:line="440" w:lineRule="atLeast"/>
        <w:ind w:left="0" w:leftChars="0" w:firstLine="0" w:firstLineChars="0"/>
        <w:textAlignment w:val="bottom"/>
        <w:outlineLvl w:val="1"/>
        <w:rPr>
          <w:rFonts w:hint="default" w:ascii="宋体" w:eastAsia="宋体" w:cs="Arial"/>
          <w:color w:val="000000"/>
          <w:sz w:val="22"/>
          <w:lang w:val="en-US" w:eastAsia="zh-CN"/>
        </w:rPr>
      </w:pPr>
      <w:r>
        <w:rPr>
          <w:rFonts w:hint="eastAsia" w:ascii="宋体" w:eastAsia="宋体" w:cs="Arial"/>
          <w:color w:val="000000"/>
          <w:sz w:val="22"/>
          <w:lang w:val="en-US" w:eastAsia="zh-CN"/>
        </w:rPr>
        <w:t>教师机</w:t>
      </w:r>
    </w:p>
    <w:tbl>
      <w:tblPr>
        <w:tblStyle w:val="63"/>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450"/>
        <w:gridCol w:w="3935"/>
      </w:tblGrid>
      <w:tr w14:paraId="4111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4EFA36C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3450" w:type="dxa"/>
            <w:noWrap w:val="0"/>
            <w:vAlign w:val="center"/>
          </w:tcPr>
          <w:p w14:paraId="1DD29D98">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指标项目</w:t>
            </w:r>
          </w:p>
        </w:tc>
        <w:tc>
          <w:tcPr>
            <w:tcW w:w="3935" w:type="dxa"/>
            <w:noWrap w:val="0"/>
            <w:vAlign w:val="center"/>
          </w:tcPr>
          <w:p w14:paraId="76FBFD9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614E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8D9153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3450" w:type="dxa"/>
            <w:noWrap w:val="0"/>
            <w:vAlign w:val="top"/>
          </w:tcPr>
          <w:p w14:paraId="3EFE70B9">
            <w:pPr>
              <w:widowControl/>
              <w:numPr>
                <w:ilvl w:val="0"/>
                <w:numId w:val="0"/>
              </w:numPr>
              <w:autoSpaceDE w:val="0"/>
              <w:autoSpaceDN w:val="0"/>
              <w:adjustRightInd w:val="0"/>
              <w:snapToGrid w:val="0"/>
              <w:spacing w:line="440" w:lineRule="atLeast"/>
              <w:ind w:left="0" w:leftChars="0" w:firstLine="0" w:firstLineChars="0"/>
              <w:textAlignment w:val="bottom"/>
              <w:outlineLvl w:val="1"/>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CPU信息</w:t>
            </w:r>
          </w:p>
        </w:tc>
        <w:tc>
          <w:tcPr>
            <w:tcW w:w="3935" w:type="dxa"/>
            <w:noWrap w:val="0"/>
            <w:vAlign w:val="top"/>
          </w:tcPr>
          <w:p w14:paraId="166C2559">
            <w:pPr>
              <w:widowControl/>
              <w:numPr>
                <w:ilvl w:val="0"/>
                <w:numId w:val="0"/>
              </w:numPr>
              <w:autoSpaceDE w:val="0"/>
              <w:autoSpaceDN w:val="0"/>
              <w:adjustRightInd w:val="0"/>
              <w:snapToGrid w:val="0"/>
              <w:spacing w:line="440" w:lineRule="atLeast"/>
              <w:ind w:left="0" w:leftChars="0" w:firstLine="0" w:firstLineChars="0"/>
              <w:textAlignment w:val="bottom"/>
              <w:outlineLvl w:val="1"/>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auto"/>
                <w:sz w:val="21"/>
                <w:szCs w:val="21"/>
                <w:vertAlign w:val="baseline"/>
                <w:lang w:val="en-US" w:eastAsia="zh-CN"/>
              </w:rPr>
              <w:t>X86兼容架构</w:t>
            </w:r>
            <w:r>
              <w:rPr>
                <w:rFonts w:hint="eastAsia" w:ascii="华文宋体" w:hAnsi="华文宋体" w:eastAsia="华文宋体" w:cs="华文宋体"/>
                <w:color w:val="000000"/>
                <w:sz w:val="21"/>
                <w:szCs w:val="21"/>
                <w:vertAlign w:val="baseline"/>
                <w:lang w:val="en-US" w:eastAsia="zh-CN"/>
              </w:rPr>
              <w:t>，主频（基准时钟频率）≥3GHz，核数≥8，线程≥16，L2缓存≥4MB，L3缓存≥16MB，内存通道数2，典型功耗≤70w</w:t>
            </w:r>
          </w:p>
        </w:tc>
      </w:tr>
      <w:tr w14:paraId="225C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CA7AA0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3450" w:type="dxa"/>
            <w:noWrap w:val="0"/>
            <w:vAlign w:val="center"/>
          </w:tcPr>
          <w:p w14:paraId="20E2CBC4">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显示屏尺寸（英寸）</w:t>
            </w:r>
          </w:p>
        </w:tc>
        <w:tc>
          <w:tcPr>
            <w:tcW w:w="3935" w:type="dxa"/>
            <w:noWrap w:val="0"/>
            <w:vAlign w:val="center"/>
          </w:tcPr>
          <w:p w14:paraId="03FBA0A8">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≥23</w:t>
            </w:r>
          </w:p>
        </w:tc>
      </w:tr>
      <w:tr w14:paraId="37F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DF797CF">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w:t>
            </w:r>
          </w:p>
        </w:tc>
        <w:tc>
          <w:tcPr>
            <w:tcW w:w="3450" w:type="dxa"/>
            <w:noWrap w:val="0"/>
            <w:vAlign w:val="center"/>
          </w:tcPr>
          <w:p w14:paraId="721D482E">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显示屏分辨率</w:t>
            </w:r>
          </w:p>
        </w:tc>
        <w:tc>
          <w:tcPr>
            <w:tcW w:w="3935" w:type="dxa"/>
            <w:noWrap w:val="0"/>
            <w:vAlign w:val="center"/>
          </w:tcPr>
          <w:p w14:paraId="75A62EF9">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≥1920*1080</w:t>
            </w:r>
          </w:p>
        </w:tc>
      </w:tr>
      <w:tr w14:paraId="1DD0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B37E07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w:t>
            </w:r>
          </w:p>
        </w:tc>
        <w:tc>
          <w:tcPr>
            <w:tcW w:w="3450" w:type="dxa"/>
            <w:noWrap w:val="0"/>
            <w:vAlign w:val="center"/>
          </w:tcPr>
          <w:p w14:paraId="305BED2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显示屏色准</w:t>
            </w:r>
          </w:p>
        </w:tc>
        <w:tc>
          <w:tcPr>
            <w:tcW w:w="3935" w:type="dxa"/>
            <w:noWrap w:val="0"/>
            <w:vAlign w:val="center"/>
          </w:tcPr>
          <w:p w14:paraId="57AC2CF5">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最大△E ≤4</w:t>
            </w:r>
          </w:p>
        </w:tc>
      </w:tr>
      <w:tr w14:paraId="59AB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339D25F2">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5</w:t>
            </w:r>
          </w:p>
        </w:tc>
        <w:tc>
          <w:tcPr>
            <w:tcW w:w="3450" w:type="dxa"/>
            <w:noWrap w:val="0"/>
            <w:vAlign w:val="center"/>
          </w:tcPr>
          <w:p w14:paraId="3D22E6D1">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显示屏响应时间（ms）</w:t>
            </w:r>
          </w:p>
        </w:tc>
        <w:tc>
          <w:tcPr>
            <w:tcW w:w="3935" w:type="dxa"/>
            <w:noWrap w:val="0"/>
            <w:vAlign w:val="center"/>
          </w:tcPr>
          <w:p w14:paraId="7B112F53">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≤6</w:t>
            </w:r>
          </w:p>
        </w:tc>
      </w:tr>
      <w:tr w14:paraId="7CC3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9048669">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6</w:t>
            </w:r>
          </w:p>
        </w:tc>
        <w:tc>
          <w:tcPr>
            <w:tcW w:w="3450" w:type="dxa"/>
            <w:noWrap w:val="0"/>
            <w:vAlign w:val="center"/>
          </w:tcPr>
          <w:p w14:paraId="7CC12FB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显示屏可视角度</w:t>
            </w:r>
          </w:p>
        </w:tc>
        <w:tc>
          <w:tcPr>
            <w:tcW w:w="3935" w:type="dxa"/>
            <w:noWrap w:val="0"/>
            <w:vAlign w:val="center"/>
          </w:tcPr>
          <w:p w14:paraId="0F1AC1B1">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≥170°/160°</w:t>
            </w:r>
          </w:p>
        </w:tc>
      </w:tr>
      <w:tr w14:paraId="4FF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F7238E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7</w:t>
            </w:r>
          </w:p>
        </w:tc>
        <w:tc>
          <w:tcPr>
            <w:tcW w:w="3450" w:type="dxa"/>
            <w:noWrap w:val="0"/>
            <w:vAlign w:val="center"/>
          </w:tcPr>
          <w:p w14:paraId="204165DD">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显示屏材质</w:t>
            </w:r>
          </w:p>
        </w:tc>
        <w:tc>
          <w:tcPr>
            <w:tcW w:w="3935" w:type="dxa"/>
            <w:noWrap w:val="0"/>
            <w:vAlign w:val="center"/>
          </w:tcPr>
          <w:p w14:paraId="6942CFBA">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VA/IPS</w:t>
            </w:r>
          </w:p>
        </w:tc>
      </w:tr>
      <w:tr w14:paraId="60DA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0529F1F">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8</w:t>
            </w:r>
          </w:p>
        </w:tc>
        <w:tc>
          <w:tcPr>
            <w:tcW w:w="3450" w:type="dxa"/>
            <w:noWrap w:val="0"/>
            <w:vAlign w:val="center"/>
          </w:tcPr>
          <w:p w14:paraId="6F50FE3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屏幕比例</w:t>
            </w:r>
          </w:p>
        </w:tc>
        <w:tc>
          <w:tcPr>
            <w:tcW w:w="3935" w:type="dxa"/>
            <w:noWrap w:val="0"/>
            <w:vAlign w:val="center"/>
          </w:tcPr>
          <w:p w14:paraId="7E89B688">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16:9</w:t>
            </w:r>
          </w:p>
        </w:tc>
      </w:tr>
      <w:tr w14:paraId="36B0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8EE0AB5">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9</w:t>
            </w:r>
          </w:p>
        </w:tc>
        <w:tc>
          <w:tcPr>
            <w:tcW w:w="3450" w:type="dxa"/>
            <w:noWrap w:val="0"/>
            <w:vAlign w:val="center"/>
          </w:tcPr>
          <w:p w14:paraId="50F1726D">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显示屏刷新率</w:t>
            </w:r>
          </w:p>
        </w:tc>
        <w:tc>
          <w:tcPr>
            <w:tcW w:w="3935" w:type="dxa"/>
            <w:noWrap w:val="0"/>
            <w:vAlign w:val="center"/>
          </w:tcPr>
          <w:p w14:paraId="56E414A8">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≥75Hz</w:t>
            </w:r>
          </w:p>
        </w:tc>
      </w:tr>
      <w:tr w14:paraId="4497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E13777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10</w:t>
            </w:r>
          </w:p>
        </w:tc>
        <w:tc>
          <w:tcPr>
            <w:tcW w:w="3450" w:type="dxa"/>
            <w:noWrap w:val="0"/>
            <w:vAlign w:val="center"/>
          </w:tcPr>
          <w:p w14:paraId="440B4791">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显示屏对比度</w:t>
            </w:r>
          </w:p>
        </w:tc>
        <w:tc>
          <w:tcPr>
            <w:tcW w:w="3935" w:type="dxa"/>
            <w:noWrap w:val="0"/>
            <w:vAlign w:val="center"/>
          </w:tcPr>
          <w:p w14:paraId="52E1E3EF">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≥500:1</w:t>
            </w:r>
          </w:p>
        </w:tc>
      </w:tr>
      <w:tr w14:paraId="5495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4100F923">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11</w:t>
            </w:r>
          </w:p>
        </w:tc>
        <w:tc>
          <w:tcPr>
            <w:tcW w:w="3450" w:type="dxa"/>
            <w:noWrap w:val="0"/>
            <w:vAlign w:val="center"/>
          </w:tcPr>
          <w:p w14:paraId="518C2F0D">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内存读写速率</w:t>
            </w:r>
          </w:p>
        </w:tc>
        <w:tc>
          <w:tcPr>
            <w:tcW w:w="3935" w:type="dxa"/>
            <w:noWrap w:val="0"/>
            <w:vAlign w:val="center"/>
          </w:tcPr>
          <w:p w14:paraId="757B0CF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≥3200MT/s</w:t>
            </w:r>
          </w:p>
        </w:tc>
      </w:tr>
      <w:tr w14:paraId="0BFC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5319A82">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12</w:t>
            </w:r>
          </w:p>
        </w:tc>
        <w:tc>
          <w:tcPr>
            <w:tcW w:w="3450" w:type="dxa"/>
            <w:noWrap w:val="0"/>
            <w:vAlign w:val="center"/>
          </w:tcPr>
          <w:p w14:paraId="63565470">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内存扩展接口 (板载内存不涉及)</w:t>
            </w:r>
          </w:p>
        </w:tc>
        <w:tc>
          <w:tcPr>
            <w:tcW w:w="3935" w:type="dxa"/>
            <w:noWrap w:val="0"/>
            <w:vAlign w:val="center"/>
          </w:tcPr>
          <w:p w14:paraId="218EF0D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w:t>
            </w:r>
          </w:p>
        </w:tc>
      </w:tr>
      <w:tr w14:paraId="486D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49DEDD5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13</w:t>
            </w:r>
          </w:p>
        </w:tc>
        <w:tc>
          <w:tcPr>
            <w:tcW w:w="3450" w:type="dxa"/>
            <w:noWrap w:val="0"/>
            <w:vAlign w:val="center"/>
          </w:tcPr>
          <w:p w14:paraId="2351BCE6">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内存插槽满配时提供的最高内存总容量</w:t>
            </w:r>
          </w:p>
        </w:tc>
        <w:tc>
          <w:tcPr>
            <w:tcW w:w="3935" w:type="dxa"/>
            <w:noWrap w:val="0"/>
            <w:vAlign w:val="center"/>
          </w:tcPr>
          <w:p w14:paraId="45398B5D">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≥32GB</w:t>
            </w:r>
          </w:p>
        </w:tc>
      </w:tr>
      <w:tr w14:paraId="6F34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3C97CCC">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14</w:t>
            </w:r>
          </w:p>
        </w:tc>
        <w:tc>
          <w:tcPr>
            <w:tcW w:w="3450" w:type="dxa"/>
            <w:noWrap w:val="0"/>
            <w:vAlign w:val="center"/>
          </w:tcPr>
          <w:p w14:paraId="5455A4CA">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内存配置容量</w:t>
            </w:r>
          </w:p>
        </w:tc>
        <w:tc>
          <w:tcPr>
            <w:tcW w:w="3935" w:type="dxa"/>
            <w:noWrap w:val="0"/>
            <w:vAlign w:val="center"/>
          </w:tcPr>
          <w:p w14:paraId="00D346B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≥16GB</w:t>
            </w:r>
          </w:p>
        </w:tc>
      </w:tr>
      <w:tr w14:paraId="4AE8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0EFB16F">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15</w:t>
            </w:r>
          </w:p>
        </w:tc>
        <w:tc>
          <w:tcPr>
            <w:tcW w:w="3450" w:type="dxa"/>
            <w:noWrap w:val="0"/>
            <w:vAlign w:val="center"/>
          </w:tcPr>
          <w:p w14:paraId="719DA05E">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机械硬盘接口方式</w:t>
            </w:r>
          </w:p>
        </w:tc>
        <w:tc>
          <w:tcPr>
            <w:tcW w:w="3935" w:type="dxa"/>
            <w:noWrap w:val="0"/>
            <w:vAlign w:val="center"/>
          </w:tcPr>
          <w:p w14:paraId="76DBA51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SATAIII</w:t>
            </w:r>
          </w:p>
        </w:tc>
      </w:tr>
      <w:tr w14:paraId="6E2F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7C92BE1">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16</w:t>
            </w:r>
          </w:p>
        </w:tc>
        <w:tc>
          <w:tcPr>
            <w:tcW w:w="3450" w:type="dxa"/>
            <w:noWrap w:val="0"/>
            <w:vAlign w:val="center"/>
          </w:tcPr>
          <w:p w14:paraId="5D5C12F1">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机械硬盘转速（RPM）</w:t>
            </w:r>
          </w:p>
        </w:tc>
        <w:tc>
          <w:tcPr>
            <w:tcW w:w="3935" w:type="dxa"/>
            <w:noWrap w:val="0"/>
            <w:vAlign w:val="center"/>
          </w:tcPr>
          <w:p w14:paraId="6F4ADB4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≥5400</w:t>
            </w:r>
          </w:p>
        </w:tc>
      </w:tr>
      <w:tr w14:paraId="21A9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7223186">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17</w:t>
            </w:r>
          </w:p>
        </w:tc>
        <w:tc>
          <w:tcPr>
            <w:tcW w:w="3450" w:type="dxa"/>
            <w:noWrap w:val="0"/>
            <w:vAlign w:val="center"/>
          </w:tcPr>
          <w:p w14:paraId="391B015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机械硬盘总容量</w:t>
            </w:r>
          </w:p>
        </w:tc>
        <w:tc>
          <w:tcPr>
            <w:tcW w:w="3935" w:type="dxa"/>
            <w:noWrap w:val="0"/>
            <w:vAlign w:val="center"/>
          </w:tcPr>
          <w:p w14:paraId="3638743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≥1TB</w:t>
            </w:r>
          </w:p>
        </w:tc>
      </w:tr>
      <w:tr w14:paraId="2113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B3292F4">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18</w:t>
            </w:r>
          </w:p>
        </w:tc>
        <w:tc>
          <w:tcPr>
            <w:tcW w:w="3450" w:type="dxa"/>
            <w:noWrap w:val="0"/>
            <w:vAlign w:val="center"/>
          </w:tcPr>
          <w:p w14:paraId="06466DE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固态存储容量</w:t>
            </w:r>
          </w:p>
        </w:tc>
        <w:tc>
          <w:tcPr>
            <w:tcW w:w="3935" w:type="dxa"/>
            <w:noWrap w:val="0"/>
            <w:vAlign w:val="center"/>
          </w:tcPr>
          <w:p w14:paraId="05E34E8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≥256GB</w:t>
            </w:r>
          </w:p>
        </w:tc>
      </w:tr>
      <w:tr w14:paraId="6F91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308308C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19</w:t>
            </w:r>
          </w:p>
        </w:tc>
        <w:tc>
          <w:tcPr>
            <w:tcW w:w="3450" w:type="dxa"/>
            <w:noWrap w:val="0"/>
            <w:vAlign w:val="center"/>
          </w:tcPr>
          <w:p w14:paraId="2ACDF92F">
            <w:pPr>
              <w:keepNext w:val="0"/>
              <w:keepLines w:val="0"/>
              <w:widowControl/>
              <w:suppressLineNumbers w:val="0"/>
              <w:jc w:val="both"/>
              <w:textAlignment w:val="center"/>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固态硬盘寿命</w:t>
            </w:r>
          </w:p>
        </w:tc>
        <w:tc>
          <w:tcPr>
            <w:tcW w:w="3935" w:type="dxa"/>
            <w:noWrap w:val="0"/>
            <w:vAlign w:val="center"/>
          </w:tcPr>
          <w:p w14:paraId="6F2D1DF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 xml:space="preserve">TBW≥120TB </w:t>
            </w:r>
          </w:p>
        </w:tc>
      </w:tr>
      <w:tr w14:paraId="42D4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4047FB7">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20</w:t>
            </w:r>
          </w:p>
        </w:tc>
        <w:tc>
          <w:tcPr>
            <w:tcW w:w="3450" w:type="dxa"/>
            <w:noWrap w:val="0"/>
            <w:vAlign w:val="center"/>
          </w:tcPr>
          <w:p w14:paraId="78737DAB">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显卡类型</w:t>
            </w:r>
          </w:p>
        </w:tc>
        <w:tc>
          <w:tcPr>
            <w:tcW w:w="3935" w:type="dxa"/>
            <w:noWrap w:val="0"/>
            <w:vAlign w:val="center"/>
          </w:tcPr>
          <w:p w14:paraId="1EEE2B5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w:t>
            </w:r>
          </w:p>
        </w:tc>
      </w:tr>
      <w:tr w14:paraId="042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06D1AD91">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21</w:t>
            </w:r>
          </w:p>
        </w:tc>
        <w:tc>
          <w:tcPr>
            <w:tcW w:w="3450" w:type="dxa"/>
            <w:noWrap w:val="0"/>
            <w:vAlign w:val="center"/>
          </w:tcPr>
          <w:p w14:paraId="6BD512CC">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独立显卡显存容量</w:t>
            </w:r>
          </w:p>
        </w:tc>
        <w:tc>
          <w:tcPr>
            <w:tcW w:w="3935" w:type="dxa"/>
            <w:noWrap w:val="0"/>
            <w:vAlign w:val="center"/>
          </w:tcPr>
          <w:p w14:paraId="6CB5D28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≥2GB</w:t>
            </w:r>
          </w:p>
        </w:tc>
      </w:tr>
      <w:tr w14:paraId="6B18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07A5C77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22</w:t>
            </w:r>
          </w:p>
        </w:tc>
        <w:tc>
          <w:tcPr>
            <w:tcW w:w="3450" w:type="dxa"/>
            <w:noWrap w:val="0"/>
            <w:vAlign w:val="center"/>
          </w:tcPr>
          <w:p w14:paraId="7343A19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独立显卡显存位宽（bit）</w:t>
            </w:r>
          </w:p>
        </w:tc>
        <w:tc>
          <w:tcPr>
            <w:tcW w:w="3935" w:type="dxa"/>
            <w:noWrap w:val="0"/>
            <w:vAlign w:val="center"/>
          </w:tcPr>
          <w:p w14:paraId="37A48D8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≥64</w:t>
            </w:r>
          </w:p>
        </w:tc>
      </w:tr>
      <w:tr w14:paraId="1A80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460F2BC9">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23</w:t>
            </w:r>
          </w:p>
        </w:tc>
        <w:tc>
          <w:tcPr>
            <w:tcW w:w="3450" w:type="dxa"/>
            <w:noWrap w:val="0"/>
            <w:vAlign w:val="center"/>
          </w:tcPr>
          <w:p w14:paraId="0275B56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独立显卡显存类型</w:t>
            </w:r>
          </w:p>
        </w:tc>
        <w:tc>
          <w:tcPr>
            <w:tcW w:w="3935" w:type="dxa"/>
            <w:noWrap w:val="0"/>
            <w:vAlign w:val="center"/>
          </w:tcPr>
          <w:p w14:paraId="2D7831D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DDR4/LPDDR4/GDDR5/GDDR6</w:t>
            </w:r>
          </w:p>
        </w:tc>
      </w:tr>
      <w:tr w14:paraId="4C72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68AB4D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24</w:t>
            </w:r>
          </w:p>
        </w:tc>
        <w:tc>
          <w:tcPr>
            <w:tcW w:w="3450" w:type="dxa"/>
            <w:noWrap w:val="0"/>
            <w:vAlign w:val="center"/>
          </w:tcPr>
          <w:p w14:paraId="329B3B0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独立显卡显示芯片核心频率</w:t>
            </w:r>
          </w:p>
        </w:tc>
        <w:tc>
          <w:tcPr>
            <w:tcW w:w="3935" w:type="dxa"/>
            <w:noWrap w:val="0"/>
            <w:vAlign w:val="center"/>
          </w:tcPr>
          <w:p w14:paraId="244FAE0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≥300MHz</w:t>
            </w:r>
          </w:p>
        </w:tc>
      </w:tr>
      <w:tr w14:paraId="360B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A9E7937">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25</w:t>
            </w:r>
          </w:p>
        </w:tc>
        <w:tc>
          <w:tcPr>
            <w:tcW w:w="3450" w:type="dxa"/>
            <w:noWrap w:val="0"/>
            <w:vAlign w:val="center"/>
          </w:tcPr>
          <w:p w14:paraId="431BE35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独立显卡显存等效频率</w:t>
            </w:r>
          </w:p>
        </w:tc>
        <w:tc>
          <w:tcPr>
            <w:tcW w:w="3935" w:type="dxa"/>
            <w:noWrap w:val="0"/>
            <w:vAlign w:val="center"/>
          </w:tcPr>
          <w:p w14:paraId="32D4D29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≥1000MT/s</w:t>
            </w:r>
          </w:p>
        </w:tc>
      </w:tr>
      <w:tr w14:paraId="719C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2A0C4B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26</w:t>
            </w:r>
          </w:p>
        </w:tc>
        <w:tc>
          <w:tcPr>
            <w:tcW w:w="3450" w:type="dxa"/>
            <w:noWrap w:val="0"/>
            <w:vAlign w:val="center"/>
          </w:tcPr>
          <w:p w14:paraId="6E7024B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显示器和机身颜色</w:t>
            </w:r>
          </w:p>
        </w:tc>
        <w:tc>
          <w:tcPr>
            <w:tcW w:w="3935" w:type="dxa"/>
            <w:noWrap w:val="0"/>
            <w:vAlign w:val="center"/>
          </w:tcPr>
          <w:p w14:paraId="726C4E5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黑色/灰色/银色等商务色系均可</w:t>
            </w:r>
          </w:p>
        </w:tc>
      </w:tr>
      <w:tr w14:paraId="59D0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7D8E67D">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27</w:t>
            </w:r>
          </w:p>
        </w:tc>
        <w:tc>
          <w:tcPr>
            <w:tcW w:w="3450" w:type="dxa"/>
            <w:noWrap w:val="0"/>
            <w:vAlign w:val="center"/>
          </w:tcPr>
          <w:p w14:paraId="45DD18B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内置集成声卡</w:t>
            </w:r>
          </w:p>
        </w:tc>
        <w:tc>
          <w:tcPr>
            <w:tcW w:w="3935" w:type="dxa"/>
            <w:noWrap w:val="0"/>
            <w:vAlign w:val="center"/>
          </w:tcPr>
          <w:p w14:paraId="47A0BA6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63B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F5BCA0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28</w:t>
            </w:r>
          </w:p>
        </w:tc>
        <w:tc>
          <w:tcPr>
            <w:tcW w:w="3450" w:type="dxa"/>
            <w:noWrap w:val="0"/>
            <w:vAlign w:val="center"/>
          </w:tcPr>
          <w:p w14:paraId="495DF79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有线网卡数量</w:t>
            </w:r>
          </w:p>
        </w:tc>
        <w:tc>
          <w:tcPr>
            <w:tcW w:w="3935" w:type="dxa"/>
            <w:noWrap w:val="0"/>
            <w:vAlign w:val="center"/>
          </w:tcPr>
          <w:p w14:paraId="281254E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3410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3EF990F">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29</w:t>
            </w:r>
          </w:p>
        </w:tc>
        <w:tc>
          <w:tcPr>
            <w:tcW w:w="3450" w:type="dxa"/>
            <w:noWrap w:val="0"/>
            <w:vAlign w:val="center"/>
          </w:tcPr>
          <w:p w14:paraId="17A6B4B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鼠标</w:t>
            </w:r>
          </w:p>
        </w:tc>
        <w:tc>
          <w:tcPr>
            <w:tcW w:w="3935" w:type="dxa"/>
            <w:noWrap w:val="0"/>
            <w:vAlign w:val="center"/>
          </w:tcPr>
          <w:p w14:paraId="1E7ED89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628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4E8FE4D">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30</w:t>
            </w:r>
          </w:p>
        </w:tc>
        <w:tc>
          <w:tcPr>
            <w:tcW w:w="3450" w:type="dxa"/>
            <w:noWrap w:val="0"/>
            <w:vAlign w:val="center"/>
          </w:tcPr>
          <w:p w14:paraId="6EB8579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w:t>
            </w:r>
          </w:p>
        </w:tc>
        <w:tc>
          <w:tcPr>
            <w:tcW w:w="3935" w:type="dxa"/>
            <w:noWrap w:val="0"/>
            <w:vAlign w:val="center"/>
          </w:tcPr>
          <w:p w14:paraId="630AB6B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有线（USB)</w:t>
            </w:r>
          </w:p>
        </w:tc>
      </w:tr>
      <w:tr w14:paraId="14EF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598416D4">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31</w:t>
            </w:r>
          </w:p>
        </w:tc>
        <w:tc>
          <w:tcPr>
            <w:tcW w:w="3450" w:type="dxa"/>
            <w:noWrap w:val="0"/>
            <w:vAlign w:val="center"/>
          </w:tcPr>
          <w:p w14:paraId="6AD3EE5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键盘按键数目</w:t>
            </w:r>
          </w:p>
        </w:tc>
        <w:tc>
          <w:tcPr>
            <w:tcW w:w="3935" w:type="dxa"/>
            <w:noWrap w:val="0"/>
            <w:vAlign w:val="center"/>
          </w:tcPr>
          <w:p w14:paraId="29ABE2A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104 键</w:t>
            </w:r>
          </w:p>
        </w:tc>
      </w:tr>
      <w:tr w14:paraId="0D91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2761CA9">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32</w:t>
            </w:r>
          </w:p>
        </w:tc>
        <w:tc>
          <w:tcPr>
            <w:tcW w:w="3450" w:type="dxa"/>
            <w:noWrap w:val="0"/>
            <w:vAlign w:val="center"/>
          </w:tcPr>
          <w:p w14:paraId="0DCCBCB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有线键盘连接线</w:t>
            </w:r>
          </w:p>
        </w:tc>
        <w:tc>
          <w:tcPr>
            <w:tcW w:w="3935" w:type="dxa"/>
            <w:noWrap w:val="0"/>
            <w:vAlign w:val="center"/>
          </w:tcPr>
          <w:p w14:paraId="2CF45CF8">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≥1.5 米</w:t>
            </w:r>
          </w:p>
        </w:tc>
      </w:tr>
      <w:tr w14:paraId="4EEE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F22C7D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33</w:t>
            </w:r>
          </w:p>
        </w:tc>
        <w:tc>
          <w:tcPr>
            <w:tcW w:w="3450" w:type="dxa"/>
            <w:noWrap w:val="0"/>
            <w:vAlign w:val="center"/>
          </w:tcPr>
          <w:p w14:paraId="71E1060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USB 接口数量</w:t>
            </w:r>
          </w:p>
        </w:tc>
        <w:tc>
          <w:tcPr>
            <w:tcW w:w="3935" w:type="dxa"/>
            <w:noWrap w:val="0"/>
            <w:vAlign w:val="center"/>
          </w:tcPr>
          <w:p w14:paraId="34155AC1">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≥8 个，其中 USB3.0 及以上标准接口≥4 个</w:t>
            </w:r>
          </w:p>
        </w:tc>
      </w:tr>
      <w:tr w14:paraId="3CF6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A64B91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34</w:t>
            </w:r>
          </w:p>
        </w:tc>
        <w:tc>
          <w:tcPr>
            <w:tcW w:w="3450" w:type="dxa"/>
            <w:noWrap w:val="0"/>
            <w:vAlign w:val="center"/>
          </w:tcPr>
          <w:p w14:paraId="126E777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HDMI 接口</w:t>
            </w:r>
          </w:p>
        </w:tc>
        <w:tc>
          <w:tcPr>
            <w:tcW w:w="3935" w:type="dxa"/>
            <w:noWrap w:val="0"/>
            <w:vAlign w:val="center"/>
          </w:tcPr>
          <w:p w14:paraId="43593ED3">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2C5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5FFBE40">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35</w:t>
            </w:r>
          </w:p>
        </w:tc>
        <w:tc>
          <w:tcPr>
            <w:tcW w:w="3450" w:type="dxa"/>
            <w:noWrap w:val="0"/>
            <w:vAlign w:val="center"/>
          </w:tcPr>
          <w:p w14:paraId="3312C27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VGA 接口</w:t>
            </w:r>
          </w:p>
        </w:tc>
        <w:tc>
          <w:tcPr>
            <w:tcW w:w="3935" w:type="dxa"/>
            <w:noWrap w:val="0"/>
            <w:vAlign w:val="center"/>
          </w:tcPr>
          <w:p w14:paraId="49B4B69E">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19B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87DB559">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36</w:t>
            </w:r>
          </w:p>
        </w:tc>
        <w:tc>
          <w:tcPr>
            <w:tcW w:w="3450" w:type="dxa"/>
            <w:noWrap w:val="0"/>
            <w:vAlign w:val="center"/>
          </w:tcPr>
          <w:p w14:paraId="49993A5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网络接口</w:t>
            </w:r>
          </w:p>
        </w:tc>
        <w:tc>
          <w:tcPr>
            <w:tcW w:w="3935" w:type="dxa"/>
            <w:noWrap w:val="0"/>
            <w:vAlign w:val="center"/>
          </w:tcPr>
          <w:p w14:paraId="1F61C93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w:t>
            </w:r>
          </w:p>
        </w:tc>
      </w:tr>
      <w:tr w14:paraId="2AD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0F4F949A">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37</w:t>
            </w:r>
          </w:p>
        </w:tc>
        <w:tc>
          <w:tcPr>
            <w:tcW w:w="3450" w:type="dxa"/>
            <w:noWrap w:val="0"/>
            <w:vAlign w:val="center"/>
          </w:tcPr>
          <w:p w14:paraId="7A1B1FD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w:t>
            </w:r>
            <w:r>
              <w:rPr>
                <w:rFonts w:hint="eastAsia" w:ascii="华文宋体" w:hAnsi="华文宋体" w:eastAsia="华文宋体" w:cs="华文宋体"/>
                <w:i w:val="0"/>
                <w:iCs w:val="0"/>
                <w:color w:val="000000"/>
                <w:kern w:val="0"/>
                <w:sz w:val="21"/>
                <w:szCs w:val="21"/>
                <w:u w:val="none"/>
                <w:lang w:val="en-US" w:eastAsia="zh-CN" w:bidi="ar"/>
              </w:rPr>
              <w:t>整机噪音</w:t>
            </w:r>
          </w:p>
        </w:tc>
        <w:tc>
          <w:tcPr>
            <w:tcW w:w="3935" w:type="dxa"/>
            <w:noWrap w:val="0"/>
            <w:vAlign w:val="center"/>
          </w:tcPr>
          <w:p w14:paraId="1D93F9C6">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产品工作在空闲状态下，产品的声功率级应≤3.5Bel</w:t>
            </w:r>
          </w:p>
        </w:tc>
      </w:tr>
      <w:tr w14:paraId="6760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168A15B3">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38</w:t>
            </w:r>
          </w:p>
        </w:tc>
        <w:tc>
          <w:tcPr>
            <w:tcW w:w="3450" w:type="dxa"/>
            <w:noWrap w:val="0"/>
            <w:vAlign w:val="center"/>
          </w:tcPr>
          <w:p w14:paraId="1F24988D">
            <w:pPr>
              <w:keepNext w:val="0"/>
              <w:keepLines w:val="0"/>
              <w:widowControl/>
              <w:suppressLineNumbers w:val="0"/>
              <w:jc w:val="left"/>
              <w:textAlignment w:val="center"/>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★MTBF测试</w:t>
            </w:r>
          </w:p>
        </w:tc>
        <w:tc>
          <w:tcPr>
            <w:tcW w:w="3935" w:type="dxa"/>
            <w:noWrap w:val="0"/>
            <w:vAlign w:val="center"/>
          </w:tcPr>
          <w:p w14:paraId="5B34E4C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MTBF(m1)≥10万小时</w:t>
            </w:r>
          </w:p>
        </w:tc>
      </w:tr>
      <w:tr w14:paraId="30C3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59277E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39</w:t>
            </w:r>
          </w:p>
        </w:tc>
        <w:tc>
          <w:tcPr>
            <w:tcW w:w="3450" w:type="dxa"/>
            <w:noWrap w:val="0"/>
            <w:vAlign w:val="center"/>
          </w:tcPr>
          <w:p w14:paraId="197EA83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操作系统</w:t>
            </w:r>
          </w:p>
        </w:tc>
        <w:tc>
          <w:tcPr>
            <w:tcW w:w="3935" w:type="dxa"/>
            <w:noWrap w:val="0"/>
            <w:vAlign w:val="center"/>
          </w:tcPr>
          <w:p w14:paraId="5047294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预装适用于学校的正版麒麟/统信 UOS（最新版且永久授权）</w:t>
            </w:r>
          </w:p>
        </w:tc>
      </w:tr>
      <w:tr w14:paraId="0BDB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0272E62">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40</w:t>
            </w:r>
          </w:p>
        </w:tc>
        <w:tc>
          <w:tcPr>
            <w:tcW w:w="3450" w:type="dxa"/>
            <w:noWrap w:val="0"/>
            <w:vAlign w:val="center"/>
          </w:tcPr>
          <w:p w14:paraId="51F1BB25">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办公软件</w:t>
            </w:r>
          </w:p>
        </w:tc>
        <w:tc>
          <w:tcPr>
            <w:tcW w:w="3935" w:type="dxa"/>
            <w:noWrap w:val="0"/>
            <w:vAlign w:val="center"/>
          </w:tcPr>
          <w:p w14:paraId="6DDEE89A">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预装适用于学校的正版办公软件，详见办公软件参数</w:t>
            </w:r>
          </w:p>
        </w:tc>
      </w:tr>
      <w:tr w14:paraId="0488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CFCF023">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41</w:t>
            </w:r>
          </w:p>
        </w:tc>
        <w:tc>
          <w:tcPr>
            <w:tcW w:w="3450" w:type="dxa"/>
            <w:noWrap w:val="0"/>
            <w:vAlign w:val="center"/>
          </w:tcPr>
          <w:p w14:paraId="413D9BFE">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关键部件安全要求</w:t>
            </w:r>
          </w:p>
        </w:tc>
        <w:tc>
          <w:tcPr>
            <w:tcW w:w="3935" w:type="dxa"/>
            <w:noWrap w:val="0"/>
            <w:vAlign w:val="center"/>
          </w:tcPr>
          <w:p w14:paraId="3CA47704">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CPU 和操作系统等关键部件应当符合安全可靠测评要求</w:t>
            </w:r>
          </w:p>
        </w:tc>
      </w:tr>
      <w:tr w14:paraId="33E9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FA7FE69">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42</w:t>
            </w:r>
          </w:p>
        </w:tc>
        <w:tc>
          <w:tcPr>
            <w:tcW w:w="3450" w:type="dxa"/>
            <w:noWrap w:val="0"/>
            <w:vAlign w:val="center"/>
          </w:tcPr>
          <w:p w14:paraId="6A951E8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是否具有节能认证证书</w:t>
            </w:r>
          </w:p>
        </w:tc>
        <w:tc>
          <w:tcPr>
            <w:tcW w:w="3935" w:type="dxa"/>
            <w:noWrap w:val="0"/>
            <w:vAlign w:val="center"/>
          </w:tcPr>
          <w:p w14:paraId="23ADBF0D">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w:t>
            </w:r>
          </w:p>
        </w:tc>
      </w:tr>
      <w:tr w14:paraId="4FCD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79F1A2BB">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43</w:t>
            </w:r>
          </w:p>
        </w:tc>
        <w:tc>
          <w:tcPr>
            <w:tcW w:w="3450" w:type="dxa"/>
            <w:noWrap w:val="0"/>
            <w:vAlign w:val="center"/>
          </w:tcPr>
          <w:p w14:paraId="31BF26E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是否为进口产品</w:t>
            </w:r>
          </w:p>
        </w:tc>
        <w:tc>
          <w:tcPr>
            <w:tcW w:w="3935" w:type="dxa"/>
            <w:noWrap w:val="0"/>
            <w:vAlign w:val="center"/>
          </w:tcPr>
          <w:p w14:paraId="7CEE88E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否</w:t>
            </w:r>
          </w:p>
        </w:tc>
      </w:tr>
      <w:tr w14:paraId="5D4D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00138606">
            <w:pPr>
              <w:widowControl/>
              <w:numPr>
                <w:ilvl w:val="0"/>
                <w:numId w:val="0"/>
              </w:numPr>
              <w:autoSpaceDE w:val="0"/>
              <w:autoSpaceDN w:val="0"/>
              <w:adjustRightInd w:val="0"/>
              <w:snapToGrid w:val="0"/>
              <w:spacing w:line="440" w:lineRule="atLeast"/>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44</w:t>
            </w:r>
          </w:p>
        </w:tc>
        <w:tc>
          <w:tcPr>
            <w:tcW w:w="3450" w:type="dxa"/>
            <w:noWrap w:val="0"/>
            <w:vAlign w:val="center"/>
          </w:tcPr>
          <w:p w14:paraId="3C7FD430">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其他要求</w:t>
            </w:r>
          </w:p>
        </w:tc>
        <w:tc>
          <w:tcPr>
            <w:tcW w:w="3935" w:type="dxa"/>
            <w:noWrap w:val="0"/>
            <w:vAlign w:val="center"/>
          </w:tcPr>
          <w:p w14:paraId="45BA245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财政部《台式计算机政府采购需求标准》中规定的其他*内容</w:t>
            </w:r>
          </w:p>
        </w:tc>
      </w:tr>
    </w:tbl>
    <w:p w14:paraId="04B91AFF">
      <w:pPr>
        <w:widowControl/>
        <w:numPr>
          <w:ilvl w:val="0"/>
          <w:numId w:val="0"/>
        </w:numPr>
        <w:autoSpaceDE w:val="0"/>
        <w:autoSpaceDN w:val="0"/>
        <w:adjustRightInd w:val="0"/>
        <w:snapToGrid w:val="0"/>
        <w:spacing w:line="440" w:lineRule="atLeast"/>
        <w:ind w:leftChars="0"/>
        <w:textAlignment w:val="bottom"/>
        <w:outlineLvl w:val="1"/>
        <w:rPr>
          <w:rFonts w:hint="default" w:ascii="宋体" w:eastAsia="宋体" w:cs="Arial"/>
          <w:color w:val="000000"/>
          <w:sz w:val="22"/>
          <w:lang w:val="en-US" w:eastAsia="zh-CN"/>
        </w:rPr>
      </w:pPr>
    </w:p>
    <w:p w14:paraId="7B0E89D8">
      <w:pPr>
        <w:widowControl/>
        <w:numPr>
          <w:ilvl w:val="0"/>
          <w:numId w:val="6"/>
        </w:numPr>
        <w:autoSpaceDE w:val="0"/>
        <w:autoSpaceDN w:val="0"/>
        <w:adjustRightInd w:val="0"/>
        <w:snapToGrid w:val="0"/>
        <w:spacing w:line="440" w:lineRule="atLeast"/>
        <w:ind w:left="0" w:leftChars="0" w:firstLine="0" w:firstLineChars="0"/>
        <w:textAlignment w:val="bottom"/>
        <w:outlineLvl w:val="1"/>
        <w:rPr>
          <w:rFonts w:hint="default" w:ascii="宋体"/>
          <w:color w:val="000000"/>
          <w:sz w:val="22"/>
          <w:lang w:val="en-US" w:eastAsia="zh-CN"/>
        </w:rPr>
      </w:pPr>
      <w:r>
        <w:rPr>
          <w:rFonts w:hint="default" w:ascii="宋体"/>
          <w:color w:val="000000"/>
          <w:sz w:val="22"/>
          <w:lang w:val="en-US" w:eastAsia="zh-CN"/>
        </w:rPr>
        <w:t>电子教室软件参数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077"/>
        <w:gridCol w:w="6380"/>
      </w:tblGrid>
      <w:tr w14:paraId="6C1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F5E827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1077" w:type="dxa"/>
            <w:noWrap w:val="0"/>
            <w:vAlign w:val="center"/>
          </w:tcPr>
          <w:p w14:paraId="7B41D37D">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指标项目</w:t>
            </w:r>
          </w:p>
        </w:tc>
        <w:tc>
          <w:tcPr>
            <w:tcW w:w="6380" w:type="dxa"/>
            <w:noWrap w:val="0"/>
            <w:vAlign w:val="center"/>
          </w:tcPr>
          <w:p w14:paraId="0D11F58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5252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6BF7D8AB">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1077" w:type="dxa"/>
            <w:noWrap w:val="0"/>
            <w:vAlign w:val="center"/>
          </w:tcPr>
          <w:p w14:paraId="0AE9BCFD">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教学功能</w:t>
            </w:r>
          </w:p>
        </w:tc>
        <w:tc>
          <w:tcPr>
            <w:tcW w:w="6380" w:type="dxa"/>
            <w:noWrap w:val="0"/>
            <w:vAlign w:val="top"/>
          </w:tcPr>
          <w:p w14:paraId="5202E203">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①支持将教师机的画面以及声音广播给全班学生；</w:t>
            </w:r>
          </w:p>
          <w:p w14:paraId="25EF9E3A">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②广播过程中，支持截取屏幕内容供学生答题，并在学生回答后在教师端展示答题数据；</w:t>
            </w:r>
          </w:p>
          <w:p w14:paraId="6F548DC1">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③支持将指定学生的屏幕画面广播给其他学生：</w:t>
            </w:r>
          </w:p>
          <w:p w14:paraId="7F563844">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④支持教师将手机画面或者手机摄像头画面广播到教师端、学生端；</w:t>
            </w:r>
          </w:p>
          <w:p w14:paraId="3014A13D">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⑤广播教学时支持画笔、橡皮擦等授课工具</w:t>
            </w:r>
          </w:p>
          <w:p w14:paraId="196ADA91">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⑥支持教师把文件批量共享给授课班级</w:t>
            </w:r>
          </w:p>
        </w:tc>
      </w:tr>
      <w:tr w14:paraId="088A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92C5485">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1077" w:type="dxa"/>
            <w:noWrap w:val="0"/>
            <w:vAlign w:val="center"/>
          </w:tcPr>
          <w:p w14:paraId="6E8800F3">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管控功能</w:t>
            </w:r>
          </w:p>
        </w:tc>
        <w:tc>
          <w:tcPr>
            <w:tcW w:w="6380" w:type="dxa"/>
            <w:noWrap w:val="0"/>
            <w:vAlign w:val="top"/>
          </w:tcPr>
          <w:p w14:paraId="1E979C97">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①支持账号密码或提供无账号登录选项，方便及时开课教学。</w:t>
            </w:r>
          </w:p>
          <w:p w14:paraId="46E51C38">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②支持在管理后台导入、增加、删除、更改、查询班级学生名单</w:t>
            </w:r>
          </w:p>
          <w:p w14:paraId="2828254C">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③教师可以选定学生执行黑屏操作；</w:t>
            </w:r>
          </w:p>
          <w:p w14:paraId="20FB6349">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④教师可以远程控制学生端的画面操作；</w:t>
            </w:r>
          </w:p>
          <w:p w14:paraId="5C2B0A15">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⑤教师可以设置应用程序白名单、访问网站的白名单；</w:t>
            </w:r>
          </w:p>
          <w:p w14:paraId="07BA3B22">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⑥开启授课后自动获取授课学生设备安装的应用环境，教师可以直接禁用管理学生设备的实际真实应用；</w:t>
            </w:r>
          </w:p>
          <w:p w14:paraId="2528D640">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⑦学生端断网后自接锁屏，锁屏后可通过密码解锁；</w:t>
            </w:r>
          </w:p>
          <w:p w14:paraId="78A04682">
            <w:pPr>
              <w:widowControl/>
              <w:numPr>
                <w:ilvl w:val="0"/>
                <w:numId w:val="0"/>
              </w:numPr>
              <w:autoSpaceDE w:val="0"/>
              <w:autoSpaceDN w:val="0"/>
              <w:adjustRightInd w:val="0"/>
              <w:snapToGrid w:val="0"/>
              <w:spacing w:line="440" w:lineRule="atLeast"/>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⑧学生端可自动启动，无教师授权密码学生端无法取消自启动、无法退出、无法卸载</w:t>
            </w:r>
          </w:p>
        </w:tc>
      </w:tr>
    </w:tbl>
    <w:p w14:paraId="5D21C093">
      <w:pPr>
        <w:widowControl/>
        <w:numPr>
          <w:ilvl w:val="0"/>
          <w:numId w:val="0"/>
        </w:numPr>
        <w:autoSpaceDE w:val="0"/>
        <w:autoSpaceDN w:val="0"/>
        <w:adjustRightInd w:val="0"/>
        <w:snapToGrid w:val="0"/>
        <w:spacing w:line="440" w:lineRule="atLeast"/>
        <w:ind w:leftChars="0"/>
        <w:textAlignment w:val="bottom"/>
        <w:outlineLvl w:val="1"/>
        <w:rPr>
          <w:rFonts w:hint="default" w:ascii="宋体"/>
          <w:color w:val="000000"/>
          <w:sz w:val="22"/>
          <w:lang w:val="en-US" w:eastAsia="zh-CN"/>
        </w:rPr>
      </w:pPr>
    </w:p>
    <w:p w14:paraId="6006787B">
      <w:pPr>
        <w:widowControl/>
        <w:numPr>
          <w:ilvl w:val="0"/>
          <w:numId w:val="6"/>
        </w:numPr>
        <w:autoSpaceDE w:val="0"/>
        <w:autoSpaceDN w:val="0"/>
        <w:adjustRightInd w:val="0"/>
        <w:snapToGrid w:val="0"/>
        <w:spacing w:line="440" w:lineRule="atLeast"/>
        <w:ind w:left="0" w:leftChars="0" w:firstLine="0" w:firstLineChars="0"/>
        <w:textAlignment w:val="bottom"/>
        <w:outlineLvl w:val="1"/>
        <w:rPr>
          <w:rFonts w:hint="eastAsia" w:ascii="宋体"/>
          <w:color w:val="000000"/>
          <w:sz w:val="22"/>
          <w:lang w:val="en-US" w:eastAsia="zh-CN"/>
        </w:rPr>
      </w:pPr>
      <w:r>
        <w:rPr>
          <w:rFonts w:hint="eastAsia" w:ascii="宋体"/>
          <w:color w:val="000000"/>
          <w:sz w:val="22"/>
          <w:lang w:val="en-US" w:eastAsia="zh-CN"/>
        </w:rPr>
        <w:t>机房管理软件参数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11"/>
        <w:gridCol w:w="6407"/>
      </w:tblGrid>
      <w:tr w14:paraId="012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9E75E51">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1111" w:type="dxa"/>
            <w:noWrap w:val="0"/>
            <w:vAlign w:val="center"/>
          </w:tcPr>
          <w:p w14:paraId="242FCD7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指标项目</w:t>
            </w:r>
          </w:p>
        </w:tc>
        <w:tc>
          <w:tcPr>
            <w:tcW w:w="6407" w:type="dxa"/>
            <w:noWrap w:val="0"/>
            <w:vAlign w:val="center"/>
          </w:tcPr>
          <w:p w14:paraId="1EAC1095">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1B1C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17D7EDC7">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1111" w:type="dxa"/>
            <w:noWrap w:val="0"/>
            <w:vAlign w:val="center"/>
          </w:tcPr>
          <w:p w14:paraId="175777D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部署与</w:t>
            </w:r>
          </w:p>
          <w:p w14:paraId="2965736C">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运维</w:t>
            </w:r>
          </w:p>
        </w:tc>
        <w:tc>
          <w:tcPr>
            <w:tcW w:w="6407" w:type="dxa"/>
            <w:noWrap w:val="0"/>
            <w:vAlign w:val="center"/>
          </w:tcPr>
          <w:p w14:paraId="4C00259A">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①支持P2P同传，同传的设备可互相分享数据；</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②千兆环境下同传平均速度≥100MB/s以上，百兆环境下同传平均速度≥10MB/S；</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③支持跨系统跨芯片统一管理，多镜像管理部署；</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④支持单次、每次开机与快捷方式等多种还原方式；</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⑤支持增量同传和断点续传，教学环境更新仅传输增量部分;</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⑥学生端可自动启动，无教师授权密码学生端无法取消自启动、无法退出、无法卸载</w:t>
            </w:r>
          </w:p>
        </w:tc>
      </w:tr>
      <w:tr w14:paraId="6634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05F84F28">
            <w:pPr>
              <w:widowControl/>
              <w:numPr>
                <w:ilvl w:val="0"/>
                <w:numId w:val="0"/>
              </w:numPr>
              <w:autoSpaceDE w:val="0"/>
              <w:autoSpaceDN w:val="0"/>
              <w:adjustRightInd w:val="0"/>
              <w:snapToGrid w:val="0"/>
              <w:spacing w:line="440" w:lineRule="atLeast"/>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1111" w:type="dxa"/>
            <w:noWrap w:val="0"/>
            <w:vAlign w:val="center"/>
          </w:tcPr>
          <w:p w14:paraId="619220EB">
            <w:pPr>
              <w:keepNext w:val="0"/>
              <w:keepLines w:val="0"/>
              <w:widowControl/>
              <w:suppressLineNumbers w:val="0"/>
              <w:jc w:val="left"/>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信息收集与管理</w:t>
            </w:r>
          </w:p>
        </w:tc>
        <w:tc>
          <w:tcPr>
            <w:tcW w:w="6407" w:type="dxa"/>
            <w:noWrap w:val="0"/>
            <w:vAlign w:val="center"/>
          </w:tcPr>
          <w:p w14:paraId="6A4468A4">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auto"/>
                <w:kern w:val="0"/>
                <w:sz w:val="21"/>
                <w:szCs w:val="21"/>
                <w:u w:val="none"/>
                <w:lang w:val="en-US" w:eastAsia="zh-CN" w:bidi="ar"/>
              </w:rPr>
              <w:t>①可统计机房资产，自定义设备信息；</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②实时状态监控、网络参数自定义、启动镜像节点选择、多种启动模式以及还原模式设定；</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③根据不同需求对不同群组进行个性化配置和控制；</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④服务器端和客户端操作日志记录搜集，方便管理、查询和追踪；</w:t>
            </w:r>
          </w:p>
        </w:tc>
      </w:tr>
    </w:tbl>
    <w:p w14:paraId="345EB3C6">
      <w:pPr>
        <w:widowControl/>
        <w:numPr>
          <w:ilvl w:val="0"/>
          <w:numId w:val="0"/>
        </w:numPr>
        <w:autoSpaceDE w:val="0"/>
        <w:autoSpaceDN w:val="0"/>
        <w:adjustRightInd w:val="0"/>
        <w:snapToGrid w:val="0"/>
        <w:spacing w:line="440" w:lineRule="atLeast"/>
        <w:ind w:leftChars="0"/>
        <w:textAlignment w:val="bottom"/>
        <w:outlineLvl w:val="1"/>
        <w:rPr>
          <w:rFonts w:hint="eastAsia" w:ascii="宋体"/>
          <w:color w:val="000000"/>
          <w:sz w:val="22"/>
          <w:lang w:val="en-US" w:eastAsia="zh-CN"/>
        </w:rPr>
      </w:pPr>
    </w:p>
    <w:p w14:paraId="5488DE4D">
      <w:pPr>
        <w:widowControl/>
        <w:numPr>
          <w:ilvl w:val="0"/>
          <w:numId w:val="6"/>
        </w:numPr>
        <w:autoSpaceDE w:val="0"/>
        <w:autoSpaceDN w:val="0"/>
        <w:adjustRightInd w:val="0"/>
        <w:snapToGrid w:val="0"/>
        <w:spacing w:line="440" w:lineRule="atLeast"/>
        <w:ind w:left="0" w:leftChars="0" w:firstLine="0" w:firstLineChars="0"/>
        <w:textAlignment w:val="bottom"/>
        <w:outlineLvl w:val="1"/>
        <w:rPr>
          <w:rFonts w:hint="eastAsia" w:ascii="宋体"/>
          <w:color w:val="000000"/>
          <w:sz w:val="22"/>
          <w:lang w:val="en-US" w:eastAsia="zh-CN"/>
        </w:rPr>
      </w:pPr>
      <w:r>
        <w:rPr>
          <w:rFonts w:hint="eastAsia" w:ascii="宋体"/>
          <w:color w:val="000000"/>
          <w:sz w:val="22"/>
          <w:lang w:val="en-US" w:eastAsia="zh-CN"/>
        </w:rPr>
        <w:t>办公软件参数</w:t>
      </w:r>
    </w:p>
    <w:tbl>
      <w:tblPr>
        <w:tblStyle w:val="62"/>
        <w:tblW w:w="0" w:type="auto"/>
        <w:jc w:val="center"/>
        <w:tblLayout w:type="autofit"/>
        <w:tblCellMar>
          <w:top w:w="0" w:type="dxa"/>
          <w:left w:w="108" w:type="dxa"/>
          <w:bottom w:w="0" w:type="dxa"/>
          <w:right w:w="108" w:type="dxa"/>
        </w:tblCellMar>
      </w:tblPr>
      <w:tblGrid>
        <w:gridCol w:w="786"/>
        <w:gridCol w:w="1206"/>
        <w:gridCol w:w="6503"/>
      </w:tblGrid>
      <w:tr w14:paraId="5AC44DCE">
        <w:tblPrEx>
          <w:tblCellMar>
            <w:top w:w="0" w:type="dxa"/>
            <w:left w:w="108" w:type="dxa"/>
            <w:bottom w:w="0" w:type="dxa"/>
            <w:right w:w="108" w:type="dxa"/>
          </w:tblCellMar>
        </w:tblPrEx>
        <w:trPr>
          <w:trHeight w:val="224"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464440C">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121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5F71E6">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w:t>
            </w:r>
          </w:p>
        </w:tc>
        <w:tc>
          <w:tcPr>
            <w:tcW w:w="651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49F4E4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27628A67">
        <w:tblPrEx>
          <w:tblCellMar>
            <w:top w:w="0" w:type="dxa"/>
            <w:left w:w="108" w:type="dxa"/>
            <w:bottom w:w="0" w:type="dxa"/>
            <w:right w:w="108" w:type="dxa"/>
          </w:tblCellMar>
        </w:tblPrEx>
        <w:trPr>
          <w:trHeight w:val="70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0B5B88F5">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E8BC2E5">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兼容性要求</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65E4875E">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兼容.doc.docx.dot.wps.xls.xlsx.xlt.et.ppt.pptx.pps.dps等文档。</w:t>
            </w:r>
          </w:p>
        </w:tc>
      </w:tr>
      <w:tr w14:paraId="0ADA3487">
        <w:tblPrEx>
          <w:tblCellMar>
            <w:top w:w="0" w:type="dxa"/>
            <w:left w:w="108" w:type="dxa"/>
            <w:bottom w:w="0" w:type="dxa"/>
            <w:right w:w="108" w:type="dxa"/>
          </w:tblCellMar>
        </w:tblPrEx>
        <w:trPr>
          <w:trHeight w:val="70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BFA9ECB">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383C3C7">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color w:val="000000"/>
                <w:sz w:val="21"/>
                <w:szCs w:val="21"/>
                <w:vertAlign w:val="baseline"/>
                <w:lang w:val="en-US" w:eastAsia="zh-CN"/>
              </w:rPr>
              <w:t>标准规范</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475DEF88">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支持GB18030国家编码标准、UOF及OFD国家标准、OOXML国际标准等系列国际标准。</w:t>
            </w:r>
          </w:p>
        </w:tc>
      </w:tr>
      <w:tr w14:paraId="5DBD3A60">
        <w:tblPrEx>
          <w:tblCellMar>
            <w:top w:w="0" w:type="dxa"/>
            <w:left w:w="108" w:type="dxa"/>
            <w:bottom w:w="0" w:type="dxa"/>
            <w:right w:w="108" w:type="dxa"/>
          </w:tblCellMar>
        </w:tblPrEx>
        <w:trPr>
          <w:trHeight w:val="70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C8392AC">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56E9808">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备课功能</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49B6B1CE">
            <w:pPr>
              <w:keepNext w:val="0"/>
              <w:keepLines w:val="0"/>
              <w:widowControl/>
              <w:numPr>
                <w:ilvl w:val="0"/>
                <w:numId w:val="7"/>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支持教学备课功能，支持教师个人备课、集体备课功能；</w:t>
            </w:r>
          </w:p>
          <w:p w14:paraId="31E9F588">
            <w:pPr>
              <w:keepNext w:val="0"/>
              <w:keepLines w:val="0"/>
              <w:widowControl/>
              <w:numPr>
                <w:ilvl w:val="0"/>
                <w:numId w:val="7"/>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个人备课支持教师创建备课框架，选择学段、学科、教材版等；</w:t>
            </w:r>
          </w:p>
          <w:p w14:paraId="7AFEB675">
            <w:pPr>
              <w:keepNext w:val="0"/>
              <w:keepLines w:val="0"/>
              <w:widowControl/>
              <w:numPr>
                <w:ilvl w:val="0"/>
                <w:numId w:val="7"/>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集体备课支持选择教研组创建集体备课任务。</w:t>
            </w:r>
          </w:p>
        </w:tc>
      </w:tr>
      <w:tr w14:paraId="614E0FC4">
        <w:tblPrEx>
          <w:tblCellMar>
            <w:top w:w="0" w:type="dxa"/>
            <w:left w:w="108" w:type="dxa"/>
            <w:bottom w:w="0" w:type="dxa"/>
            <w:right w:w="108" w:type="dxa"/>
          </w:tblCellMar>
        </w:tblPrEx>
        <w:trPr>
          <w:trHeight w:val="70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8ABF486">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4</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0FD7030">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kern w:val="2"/>
                <w:sz w:val="21"/>
                <w:szCs w:val="21"/>
                <w:vertAlign w:val="baseline"/>
                <w:lang w:val="en-US" w:eastAsia="zh-CN" w:bidi="ar-SA"/>
              </w:rPr>
            </w:pPr>
            <w:r>
              <w:rPr>
                <w:rFonts w:hint="eastAsia" w:ascii="华文宋体" w:hAnsi="华文宋体" w:eastAsia="华文宋体" w:cs="华文宋体"/>
                <w:color w:val="000000"/>
                <w:sz w:val="21"/>
                <w:szCs w:val="21"/>
                <w:vertAlign w:val="baseline"/>
                <w:lang w:val="en-US" w:eastAsia="zh-CN"/>
              </w:rPr>
              <w:t>云文档空间</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71F899AE">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为教职工提供专属账号服务，提供云文档空间具备不少于20GB/人的存储容量</w:t>
            </w:r>
          </w:p>
        </w:tc>
      </w:tr>
      <w:tr w14:paraId="1BBECB2E">
        <w:tblPrEx>
          <w:tblCellMar>
            <w:top w:w="0" w:type="dxa"/>
            <w:left w:w="108" w:type="dxa"/>
            <w:bottom w:w="0" w:type="dxa"/>
            <w:right w:w="108" w:type="dxa"/>
          </w:tblCellMar>
        </w:tblPrEx>
        <w:trPr>
          <w:trHeight w:val="670"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40F24766">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5</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BA48508">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文字处理</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2A3CCF26">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kern w:val="2"/>
                <w:sz w:val="21"/>
                <w:szCs w:val="21"/>
                <w:vertAlign w:val="baseline"/>
                <w:lang w:val="en-US" w:eastAsia="zh-CN" w:bidi="ar-SA"/>
              </w:rPr>
              <w:t>1.</w:t>
            </w:r>
            <w:r>
              <w:rPr>
                <w:rFonts w:hint="eastAsia" w:ascii="华文宋体" w:hAnsi="华文宋体" w:eastAsia="华文宋体" w:cs="华文宋体"/>
                <w:color w:val="000000"/>
                <w:sz w:val="21"/>
                <w:szCs w:val="21"/>
                <w:vertAlign w:val="baseline"/>
                <w:lang w:val="en-US" w:eastAsia="zh-CN"/>
              </w:rPr>
              <w:t>支持标准文档编辑处理功能；</w:t>
            </w:r>
          </w:p>
          <w:p w14:paraId="4BCAFB05">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kern w:val="2"/>
                <w:sz w:val="21"/>
                <w:szCs w:val="21"/>
                <w:vertAlign w:val="baseline"/>
                <w:lang w:val="en-US" w:eastAsia="zh-CN" w:bidi="ar-SA"/>
              </w:rPr>
              <w:t>2.</w:t>
            </w:r>
            <w:r>
              <w:rPr>
                <w:rFonts w:hint="eastAsia" w:ascii="华文宋体" w:hAnsi="华文宋体" w:eastAsia="华文宋体" w:cs="华文宋体"/>
                <w:color w:val="000000"/>
                <w:sz w:val="21"/>
                <w:szCs w:val="21"/>
                <w:vertAlign w:val="baseline"/>
                <w:lang w:val="en-US" w:eastAsia="zh-CN"/>
              </w:rPr>
              <w:t>支持插入表格、图片、公式、符号、附件等功能；</w:t>
            </w:r>
          </w:p>
          <w:p w14:paraId="7B266500">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kern w:val="2"/>
                <w:sz w:val="21"/>
                <w:szCs w:val="21"/>
                <w:vertAlign w:val="baseline"/>
                <w:lang w:val="en-US" w:eastAsia="zh-CN" w:bidi="ar-SA"/>
              </w:rPr>
              <w:t>3.</w:t>
            </w:r>
            <w:r>
              <w:rPr>
                <w:rFonts w:hint="eastAsia" w:ascii="华文宋体" w:hAnsi="华文宋体" w:eastAsia="华文宋体" w:cs="华文宋体"/>
                <w:color w:val="000000"/>
                <w:sz w:val="21"/>
                <w:szCs w:val="21"/>
                <w:vertAlign w:val="baseline"/>
                <w:lang w:val="en-US" w:eastAsia="zh-CN"/>
              </w:rPr>
              <w:t>支持页面页边距、纸张方向、背景、水印等功能；</w:t>
            </w:r>
          </w:p>
          <w:p w14:paraId="4CFDEC95">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kern w:val="2"/>
                <w:sz w:val="21"/>
                <w:szCs w:val="21"/>
                <w:vertAlign w:val="baseline"/>
                <w:lang w:val="en-US" w:eastAsia="zh-CN" w:bidi="ar-SA"/>
              </w:rPr>
              <w:t>4.</w:t>
            </w:r>
            <w:r>
              <w:rPr>
                <w:rFonts w:hint="eastAsia" w:ascii="华文宋体" w:hAnsi="华文宋体" w:eastAsia="华文宋体" w:cs="华文宋体"/>
                <w:color w:val="000000"/>
                <w:sz w:val="21"/>
                <w:szCs w:val="21"/>
                <w:vertAlign w:val="baseline"/>
                <w:lang w:val="en-US" w:eastAsia="zh-CN"/>
              </w:rPr>
              <w:t>支持引用目录、脚注等功能；</w:t>
            </w:r>
          </w:p>
          <w:p w14:paraId="7595D10C">
            <w:pPr>
              <w:keepNext w:val="0"/>
              <w:keepLines w:val="0"/>
              <w:widowControl/>
              <w:numPr>
                <w:ilvl w:val="0"/>
                <w:numId w:val="0"/>
              </w:numPr>
              <w:suppressLineNumbers w:val="0"/>
              <w:ind w:left="0" w:leftChars="0" w:firstLine="0"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kern w:val="2"/>
                <w:sz w:val="21"/>
                <w:szCs w:val="21"/>
                <w:vertAlign w:val="baseline"/>
                <w:lang w:val="en-US" w:eastAsia="zh-CN" w:bidi="ar-SA"/>
              </w:rPr>
              <w:t>5.</w:t>
            </w:r>
            <w:r>
              <w:rPr>
                <w:rFonts w:hint="eastAsia" w:ascii="华文宋体" w:hAnsi="华文宋体" w:eastAsia="华文宋体" w:cs="华文宋体"/>
                <w:color w:val="000000"/>
                <w:sz w:val="21"/>
                <w:szCs w:val="21"/>
                <w:vertAlign w:val="baseline"/>
                <w:lang w:val="en-US" w:eastAsia="zh-CN"/>
              </w:rPr>
              <w:t>支持审阅修订、文档加密等功能。</w:t>
            </w:r>
          </w:p>
        </w:tc>
      </w:tr>
      <w:tr w14:paraId="1D0B6BDB">
        <w:tblPrEx>
          <w:tblCellMar>
            <w:top w:w="0" w:type="dxa"/>
            <w:left w:w="108" w:type="dxa"/>
            <w:bottom w:w="0" w:type="dxa"/>
            <w:right w:w="108" w:type="dxa"/>
          </w:tblCellMar>
        </w:tblPrEx>
        <w:trPr>
          <w:trHeight w:val="3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968BF9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6</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13E0D9F">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演示文稿</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611F3C80">
            <w:pPr>
              <w:keepNext w:val="0"/>
              <w:keepLines w:val="0"/>
              <w:widowControl/>
              <w:numPr>
                <w:ilvl w:val="0"/>
                <w:numId w:val="8"/>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演示文稿模块支持双击幻灯片页启动播放的功能；</w:t>
            </w:r>
          </w:p>
          <w:p w14:paraId="6BAD6B13">
            <w:pPr>
              <w:keepNext w:val="0"/>
              <w:keepLines w:val="0"/>
              <w:widowControl/>
              <w:numPr>
                <w:ilvl w:val="0"/>
                <w:numId w:val="8"/>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提供一键批量替换演示文稿中的字体的功能；</w:t>
            </w:r>
          </w:p>
          <w:p w14:paraId="1A86D7FE">
            <w:pPr>
              <w:keepNext w:val="0"/>
              <w:keepLines w:val="0"/>
              <w:widowControl/>
              <w:numPr>
                <w:ilvl w:val="0"/>
                <w:numId w:val="8"/>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提供放大镜、荧光笔、触发器、动画效果、母版编辑等功能；</w:t>
            </w:r>
          </w:p>
          <w:p w14:paraId="3C221147">
            <w:pPr>
              <w:keepNext w:val="0"/>
              <w:keepLines w:val="0"/>
              <w:widowControl/>
              <w:numPr>
                <w:ilvl w:val="0"/>
                <w:numId w:val="8"/>
              </w:numPr>
              <w:suppressLineNumbers w:val="0"/>
              <w:ind w:left="0" w:leftChars="0" w:firstLine="0"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演示模块支持背景音乐功能，PPT放映的全程中进行播放。</w:t>
            </w:r>
          </w:p>
        </w:tc>
      </w:tr>
      <w:tr w14:paraId="529504C3">
        <w:tblPrEx>
          <w:tblCellMar>
            <w:top w:w="0" w:type="dxa"/>
            <w:left w:w="108" w:type="dxa"/>
            <w:bottom w:w="0" w:type="dxa"/>
            <w:right w:w="108" w:type="dxa"/>
          </w:tblCellMar>
        </w:tblPrEx>
        <w:trPr>
          <w:trHeight w:val="19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D1D4E39">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7</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A8C713E">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电子表格</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26D18A3A">
            <w:pPr>
              <w:keepNext w:val="0"/>
              <w:keepLines w:val="0"/>
              <w:widowControl/>
              <w:numPr>
                <w:ilvl w:val="0"/>
                <w:numId w:val="9"/>
              </w:numPr>
              <w:suppressLineNumbers w:val="0"/>
              <w:ind w:left="425" w:leftChars="0" w:hanging="425"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提供阅读模式及颜色可自定义；</w:t>
            </w:r>
          </w:p>
          <w:p w14:paraId="36BA70DC">
            <w:pPr>
              <w:keepNext w:val="0"/>
              <w:keepLines w:val="0"/>
              <w:widowControl/>
              <w:numPr>
                <w:ilvl w:val="0"/>
                <w:numId w:val="9"/>
              </w:numPr>
              <w:suppressLineNumbers w:val="0"/>
              <w:ind w:left="425" w:leftChars="0" w:hanging="425"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提供兼容微软的照相机功能，将单元格或单元格区域链接到图片对象，并直观的显示两个对象间的动态变化；</w:t>
            </w:r>
          </w:p>
          <w:p w14:paraId="7F56C5FC">
            <w:pPr>
              <w:keepNext w:val="0"/>
              <w:keepLines w:val="0"/>
              <w:widowControl/>
              <w:numPr>
                <w:ilvl w:val="0"/>
                <w:numId w:val="9"/>
              </w:numPr>
              <w:suppressLineNumbers w:val="0"/>
              <w:ind w:left="425" w:leftChars="0" w:hanging="425" w:firstLineChars="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表格模块支持数据计算，提供数据有效性、排序、筛选（包括单项筛选功能）、分类汇总，组及分组显示等功能；</w:t>
            </w:r>
          </w:p>
          <w:p w14:paraId="1C37B0EA">
            <w:pPr>
              <w:keepNext w:val="0"/>
              <w:keepLines w:val="0"/>
              <w:widowControl/>
              <w:numPr>
                <w:ilvl w:val="0"/>
                <w:numId w:val="9"/>
              </w:numPr>
              <w:suppressLineNumbers w:val="0"/>
              <w:ind w:left="425" w:leftChars="0" w:hanging="425" w:firstLineChars="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能够良好兼容MS Excel函数，支持函数不少于300个，提供函数向导工具。</w:t>
            </w:r>
          </w:p>
        </w:tc>
      </w:tr>
    </w:tbl>
    <w:p w14:paraId="4D6BEF98">
      <w:pPr>
        <w:widowControl/>
        <w:numPr>
          <w:ilvl w:val="0"/>
          <w:numId w:val="0"/>
        </w:numPr>
        <w:autoSpaceDE w:val="0"/>
        <w:autoSpaceDN w:val="0"/>
        <w:adjustRightInd w:val="0"/>
        <w:snapToGrid w:val="0"/>
        <w:spacing w:line="440" w:lineRule="atLeast"/>
        <w:ind w:leftChars="0"/>
        <w:textAlignment w:val="bottom"/>
        <w:outlineLvl w:val="1"/>
        <w:rPr>
          <w:rFonts w:hint="default" w:ascii="宋体"/>
          <w:color w:val="000000"/>
          <w:sz w:val="22"/>
          <w:lang w:val="en-US" w:eastAsia="zh-CN"/>
        </w:rPr>
      </w:pPr>
    </w:p>
    <w:p w14:paraId="2B180B28">
      <w:pPr>
        <w:pStyle w:val="970"/>
        <w:numPr>
          <w:ilvl w:val="0"/>
          <w:numId w:val="0"/>
        </w:numPr>
        <w:ind w:left="0" w:leftChars="0" w:firstLine="0" w:firstLineChars="0"/>
        <w:rPr>
          <w:rFonts w:hint="eastAsia" w:ascii="宋体" w:hAnsi="Times New Roman" w:eastAsia="宋体" w:cs="Times New Roman"/>
          <w:color w:val="000000"/>
          <w:kern w:val="2"/>
          <w:sz w:val="22"/>
          <w:szCs w:val="24"/>
          <w:lang w:val="en-US" w:eastAsia="zh-CN" w:bidi="ar-SA"/>
        </w:rPr>
      </w:pPr>
      <w:r>
        <w:rPr>
          <w:rFonts w:hint="eastAsia" w:ascii="宋体" w:hAnsi="Times New Roman" w:eastAsia="宋体" w:cs="Times New Roman"/>
          <w:color w:val="000000"/>
          <w:kern w:val="2"/>
          <w:sz w:val="22"/>
          <w:szCs w:val="24"/>
          <w:lang w:val="en-US" w:eastAsia="zh-CN" w:bidi="ar-SA"/>
        </w:rPr>
        <w:t>7.摄像头参数</w:t>
      </w:r>
    </w:p>
    <w:tbl>
      <w:tblPr>
        <w:tblStyle w:val="62"/>
        <w:tblW w:w="0" w:type="auto"/>
        <w:jc w:val="center"/>
        <w:tblLayout w:type="autofit"/>
        <w:tblCellMar>
          <w:top w:w="0" w:type="dxa"/>
          <w:left w:w="108" w:type="dxa"/>
          <w:bottom w:w="0" w:type="dxa"/>
          <w:right w:w="108" w:type="dxa"/>
        </w:tblCellMar>
      </w:tblPr>
      <w:tblGrid>
        <w:gridCol w:w="789"/>
        <w:gridCol w:w="1436"/>
        <w:gridCol w:w="6270"/>
      </w:tblGrid>
      <w:tr w14:paraId="06C0D2CC">
        <w:tblPrEx>
          <w:tblCellMar>
            <w:top w:w="0" w:type="dxa"/>
            <w:left w:w="108" w:type="dxa"/>
            <w:bottom w:w="0" w:type="dxa"/>
            <w:right w:w="108" w:type="dxa"/>
          </w:tblCellMar>
        </w:tblPrEx>
        <w:trPr>
          <w:trHeight w:val="224"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1B165EA">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序号</w:t>
            </w:r>
          </w:p>
        </w:tc>
        <w:tc>
          <w:tcPr>
            <w:tcW w:w="144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D4E8F0F">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指标项</w:t>
            </w:r>
          </w:p>
        </w:tc>
        <w:tc>
          <w:tcPr>
            <w:tcW w:w="62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747BBE3">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指标要求</w:t>
            </w:r>
          </w:p>
        </w:tc>
      </w:tr>
      <w:tr w14:paraId="221AD541">
        <w:tblPrEx>
          <w:tblCellMar>
            <w:top w:w="0" w:type="dxa"/>
            <w:left w:w="108" w:type="dxa"/>
            <w:bottom w:w="0" w:type="dxa"/>
            <w:right w:w="108" w:type="dxa"/>
          </w:tblCellMar>
        </w:tblPrEx>
        <w:trPr>
          <w:trHeight w:val="62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1F0BB27">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EE5B185">
            <w:pPr>
              <w:keepNext w:val="0"/>
              <w:keepLines w:val="0"/>
              <w:widowControl/>
              <w:suppressLineNumbers w:val="0"/>
              <w:jc w:val="center"/>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兼容性要求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0385FCC">
            <w:pPr>
              <w:keepNext w:val="0"/>
              <w:keepLines w:val="0"/>
              <w:widowControl/>
              <w:suppressLineNumbers w:val="0"/>
              <w:jc w:val="both"/>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兼容windows、Ubuntu、统信、麒麟等Linux系统</w:t>
            </w:r>
          </w:p>
        </w:tc>
      </w:tr>
      <w:tr w14:paraId="6E4A35EB">
        <w:tblPrEx>
          <w:tblCellMar>
            <w:top w:w="0" w:type="dxa"/>
            <w:left w:w="108" w:type="dxa"/>
            <w:bottom w:w="0" w:type="dxa"/>
            <w:right w:w="108" w:type="dxa"/>
          </w:tblCellMar>
        </w:tblPrEx>
        <w:trPr>
          <w:trHeight w:val="62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05050577">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003799">
            <w:pPr>
              <w:keepNext w:val="0"/>
              <w:keepLines w:val="0"/>
              <w:widowControl/>
              <w:suppressLineNumbers w:val="0"/>
              <w:jc w:val="center"/>
              <w:textAlignment w:val="center"/>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i w:val="0"/>
                <w:iCs w:val="0"/>
                <w:color w:val="000000"/>
                <w:kern w:val="0"/>
                <w:sz w:val="21"/>
                <w:szCs w:val="21"/>
                <w:u w:val="none"/>
                <w:lang w:val="en-US" w:eastAsia="zh-CN" w:bidi="ar"/>
              </w:rPr>
              <w:t>分辨率</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9964FBD">
            <w:pPr>
              <w:pStyle w:val="970"/>
              <w:ind w:left="0" w:leftChars="0" w:firstLine="0" w:firstLineChars="0"/>
              <w:jc w:val="both"/>
              <w:rPr>
                <w:rFonts w:hint="default"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≥1920*1080</w:t>
            </w:r>
          </w:p>
        </w:tc>
      </w:tr>
      <w:tr w14:paraId="5FBA28AE">
        <w:tblPrEx>
          <w:tblCellMar>
            <w:top w:w="0" w:type="dxa"/>
            <w:left w:w="108" w:type="dxa"/>
            <w:bottom w:w="0" w:type="dxa"/>
            <w:right w:w="108" w:type="dxa"/>
          </w:tblCellMar>
        </w:tblPrEx>
        <w:trPr>
          <w:trHeight w:val="62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20E9A0F">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default"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414B90">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接口</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940F205">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USB 2.0或USB3.0</w:t>
            </w:r>
            <w:r>
              <w:rPr>
                <w:rFonts w:hint="eastAsia" w:ascii="华文宋体" w:hAnsi="华文宋体" w:eastAsia="华文宋体" w:cs="华文宋体"/>
                <w:color w:val="000000"/>
                <w:sz w:val="21"/>
                <w:szCs w:val="21"/>
                <w:vertAlign w:val="baseline"/>
                <w:lang w:val="en-US" w:eastAsia="zh-CN"/>
              </w:rPr>
              <w:t>接口</w:t>
            </w:r>
          </w:p>
        </w:tc>
      </w:tr>
      <w:tr w14:paraId="63207F0B">
        <w:tblPrEx>
          <w:tblCellMar>
            <w:top w:w="0" w:type="dxa"/>
            <w:left w:w="108" w:type="dxa"/>
            <w:bottom w:w="0" w:type="dxa"/>
            <w:right w:w="108" w:type="dxa"/>
          </w:tblCellMar>
        </w:tblPrEx>
        <w:trPr>
          <w:trHeight w:val="62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6D60A26">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2757F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安装方式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218D3B5">
            <w:pPr>
              <w:keepNext w:val="0"/>
              <w:keepLines w:val="0"/>
              <w:widowControl/>
              <w:suppressLineNumbers w:val="0"/>
              <w:jc w:val="both"/>
              <w:textAlignment w:val="center"/>
              <w:rPr>
                <w:rFonts w:hint="default"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支持夹在显示器上和桌面三脚架安装，带桌面三脚架</w:t>
            </w:r>
          </w:p>
        </w:tc>
      </w:tr>
      <w:tr w14:paraId="067C8F14">
        <w:tblPrEx>
          <w:tblCellMar>
            <w:top w:w="0" w:type="dxa"/>
            <w:left w:w="108" w:type="dxa"/>
            <w:bottom w:w="0" w:type="dxa"/>
            <w:right w:w="108" w:type="dxa"/>
          </w:tblCellMar>
        </w:tblPrEx>
        <w:trPr>
          <w:trHeight w:val="62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6BB1B88">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1AC9C19">
            <w:pPr>
              <w:widowControl/>
              <w:numPr>
                <w:ilvl w:val="0"/>
                <w:numId w:val="0"/>
              </w:numPr>
              <w:autoSpaceDE w:val="0"/>
              <w:autoSpaceDN w:val="0"/>
              <w:adjustRightInd w:val="0"/>
              <w:snapToGrid w:val="0"/>
              <w:spacing w:line="440" w:lineRule="atLeast"/>
              <w:ind w:left="0" w:leftChars="0" w:firstLine="0" w:firstLineChars="0"/>
              <w:jc w:val="center"/>
              <w:textAlignment w:val="bottom"/>
              <w:outlineLvl w:val="1"/>
              <w:rPr>
                <w:rFonts w:hint="eastAsia" w:ascii="华文宋体" w:hAnsi="华文宋体" w:eastAsia="华文宋体" w:cs="华文宋体"/>
                <w:color w:val="000000"/>
                <w:sz w:val="21"/>
                <w:szCs w:val="21"/>
                <w:vertAlign w:val="baseline"/>
                <w:lang w:val="en-US" w:eastAsia="zh-CN"/>
              </w:rPr>
            </w:pPr>
            <w:r>
              <w:rPr>
                <w:rFonts w:hint="eastAsia" w:ascii="华文宋体" w:hAnsi="华文宋体" w:eastAsia="华文宋体" w:cs="华文宋体"/>
                <w:color w:val="000000"/>
                <w:sz w:val="21"/>
                <w:szCs w:val="21"/>
                <w:vertAlign w:val="baseline"/>
                <w:lang w:val="en-US" w:eastAsia="zh-CN"/>
              </w:rPr>
              <w:t>其他要求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A9B5B74">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视场角≥120°；</w:t>
            </w:r>
          </w:p>
          <w:p w14:paraId="5A2C477B">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自动对焦；</w:t>
            </w:r>
          </w:p>
          <w:p w14:paraId="70650CA8">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自带麦克风；</w:t>
            </w:r>
          </w:p>
          <w:p w14:paraId="1821766A">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带隐私保护盖；</w:t>
            </w:r>
          </w:p>
          <w:p w14:paraId="6DE15A8D">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视角水平可360°全向旋转；</w:t>
            </w:r>
          </w:p>
          <w:p w14:paraId="0717CC8E">
            <w:pPr>
              <w:keepNext w:val="0"/>
              <w:keepLines w:val="0"/>
              <w:widowControl/>
              <w:suppressLineNumbers w:val="0"/>
              <w:jc w:val="both"/>
              <w:textAlignment w:val="center"/>
              <w:rPr>
                <w:rFonts w:hint="default"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上下调节角度≥15°。</w:t>
            </w:r>
          </w:p>
        </w:tc>
      </w:tr>
    </w:tbl>
    <w:p w14:paraId="2B1238D1">
      <w:pPr>
        <w:pStyle w:val="970"/>
        <w:ind w:left="0" w:leftChars="0" w:firstLine="0" w:firstLineChars="0"/>
        <w:rPr>
          <w:rFonts w:hint="default" w:ascii="宋体"/>
          <w:color w:val="000000"/>
          <w:sz w:val="22"/>
          <w:lang w:val="en-US" w:eastAsia="zh-CN"/>
        </w:rPr>
      </w:pPr>
    </w:p>
    <w:p w14:paraId="4275E554">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hAnsi="Times New Roman" w:eastAsia="宋体" w:cs="Times New Roman"/>
          <w:color w:val="000000"/>
          <w:kern w:val="2"/>
          <w:sz w:val="22"/>
          <w:szCs w:val="24"/>
          <w:lang w:val="en-US" w:eastAsia="zh-CN" w:bidi="ar-SA"/>
        </w:rPr>
        <w:t>三、</w:t>
      </w:r>
      <w:r>
        <w:rPr>
          <w:rFonts w:hint="default" w:ascii="宋体"/>
          <w:color w:val="000000"/>
          <w:sz w:val="22"/>
          <w:lang w:val="en-US" w:eastAsia="zh-CN"/>
        </w:rPr>
        <w:t>质保要求</w:t>
      </w:r>
    </w:p>
    <w:tbl>
      <w:tblPr>
        <w:tblStyle w:val="62"/>
        <w:tblW w:w="8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1063"/>
        <w:gridCol w:w="6403"/>
      </w:tblGrid>
      <w:tr w14:paraId="4174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14:paraId="5A7E6974">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0FB6CBA">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内容</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14:paraId="7ED7A86C">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服务要求标准</w:t>
            </w:r>
          </w:p>
        </w:tc>
      </w:tr>
      <w:tr w14:paraId="419B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14:paraId="08EFED8E">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6B1C664">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整机质量服务要求</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14:paraId="0E0C46AE">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免费服务周期（含换件和维修、软件）≥</w:t>
            </w:r>
            <w:r>
              <w:rPr>
                <w:rStyle w:val="312"/>
                <w:rFonts w:hint="eastAsia" w:ascii="华文宋体" w:hAnsi="华文宋体" w:eastAsia="华文宋体" w:cs="华文宋体"/>
                <w:sz w:val="21"/>
                <w:szCs w:val="21"/>
                <w:highlight w:val="none"/>
                <w:lang w:val="en-US" w:eastAsia="zh-CN" w:bidi="ar"/>
              </w:rPr>
              <w:t>3</w:t>
            </w:r>
            <w:r>
              <w:rPr>
                <w:rStyle w:val="329"/>
                <w:rFonts w:hint="eastAsia" w:ascii="华文宋体" w:hAnsi="华文宋体" w:eastAsia="华文宋体" w:cs="华文宋体"/>
                <w:sz w:val="21"/>
                <w:szCs w:val="21"/>
                <w:highlight w:val="none"/>
                <w:lang w:val="en-US" w:eastAsia="zh-CN" w:bidi="ar"/>
              </w:rPr>
              <w:t>年</w:t>
            </w:r>
            <w:r>
              <w:rPr>
                <w:rStyle w:val="329"/>
                <w:rFonts w:hint="eastAsia" w:ascii="华文宋体" w:hAnsi="华文宋体" w:eastAsia="华文宋体" w:cs="华文宋体"/>
                <w:sz w:val="21"/>
                <w:szCs w:val="21"/>
                <w:lang w:val="en-US" w:eastAsia="zh-CN" w:bidi="ar"/>
              </w:rPr>
              <w:t>，供货时提供质保证明并加盖公章。</w:t>
            </w:r>
          </w:p>
        </w:tc>
      </w:tr>
      <w:tr w14:paraId="6FBB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7"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4E459164">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B90500F">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服务标准</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14:paraId="5A320290">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 xml:space="preserve">售后服务标准必须与该产品出厂市场标准服务一致,同时还应包括: </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 xml:space="preserve">a)供应商提供电话、电子邮件、远程连接、上门服务等多种形式服务； </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b)供应商保证若所供货物在质保期内出现故障，在60分钟内响应，4小时内到达现场并修复。如12小时内无法解决故障，在48小时内提供同品牌、性能的替换设备供采购方使用以确保用户正常工作；</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 xml:space="preserve">c)建立全国技术服务体系和服务团体，符合专业服务体系标准要求，提供原厂中文服务； </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 xml:space="preserve">d)服务周期内提供产品的维修、换件和升级服务； </w:t>
            </w:r>
            <w:r>
              <w:rPr>
                <w:rFonts w:hint="eastAsia" w:ascii="华文宋体" w:hAnsi="华文宋体" w:eastAsia="华文宋体" w:cs="华文宋体"/>
                <w:i w:val="0"/>
                <w:iCs w:val="0"/>
                <w:color w:val="000000"/>
                <w:kern w:val="0"/>
                <w:sz w:val="21"/>
                <w:szCs w:val="21"/>
                <w:u w:val="none"/>
                <w:lang w:val="en-US" w:eastAsia="zh-CN" w:bidi="ar"/>
              </w:rPr>
              <w:br w:type="textWrapping"/>
            </w:r>
            <w:r>
              <w:rPr>
                <w:rFonts w:hint="eastAsia" w:ascii="华文宋体" w:hAnsi="华文宋体" w:eastAsia="华文宋体" w:cs="华文宋体"/>
                <w:i w:val="0"/>
                <w:iCs w:val="0"/>
                <w:color w:val="000000"/>
                <w:kern w:val="0"/>
                <w:sz w:val="21"/>
                <w:szCs w:val="21"/>
                <w:u w:val="none"/>
                <w:lang w:val="en-US" w:eastAsia="zh-CN" w:bidi="ar"/>
              </w:rPr>
              <w:t>e)免费送货到指定的地点。</w:t>
            </w:r>
          </w:p>
        </w:tc>
      </w:tr>
    </w:tbl>
    <w:p w14:paraId="5D334BD5">
      <w:pPr>
        <w:tabs>
          <w:tab w:val="left" w:pos="0"/>
        </w:tabs>
        <w:spacing w:line="360" w:lineRule="auto"/>
        <w:rPr>
          <w:rFonts w:hint="default" w:ascii="宋体" w:hAnsi="宋体" w:eastAsia="宋体" w:cs="宋体"/>
          <w:color w:val="auto"/>
          <w:kern w:val="0"/>
          <w:sz w:val="24"/>
          <w:highlight w:val="none"/>
          <w:lang w:val="en-US" w:eastAsia="zh-CN"/>
        </w:rPr>
      </w:pPr>
    </w:p>
    <w:p w14:paraId="08C30473">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s="Times New Roman"/>
          <w:color w:val="000000"/>
          <w:kern w:val="2"/>
          <w:sz w:val="22"/>
          <w:szCs w:val="24"/>
          <w:lang w:val="en-US" w:eastAsia="zh-CN" w:bidi="ar-SA"/>
        </w:rPr>
        <w:t>四</w:t>
      </w:r>
      <w:r>
        <w:rPr>
          <w:rFonts w:hint="eastAsia" w:ascii="宋体" w:hAnsi="Times New Roman" w:eastAsia="宋体" w:cs="Times New Roman"/>
          <w:color w:val="000000"/>
          <w:kern w:val="2"/>
          <w:sz w:val="22"/>
          <w:szCs w:val="24"/>
          <w:lang w:val="en-US" w:eastAsia="zh-CN" w:bidi="ar-SA"/>
        </w:rPr>
        <w:t>、</w:t>
      </w:r>
      <w:r>
        <w:rPr>
          <w:rFonts w:hint="eastAsia" w:ascii="宋体"/>
          <w:color w:val="000000"/>
          <w:sz w:val="22"/>
          <w:lang w:val="en-US" w:eastAsia="zh-CN"/>
        </w:rPr>
        <w:t>商务要求（技术参数里另有注明的以技术参数为准）</w:t>
      </w:r>
    </w:p>
    <w:tbl>
      <w:tblPr>
        <w:tblStyle w:val="62"/>
        <w:tblW w:w="84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59"/>
        <w:gridCol w:w="7133"/>
      </w:tblGrid>
      <w:tr w14:paraId="68A4D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BE9CAB">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bookmarkStart w:id="27" w:name="_Hlk51759376"/>
            <w:r>
              <w:rPr>
                <w:rFonts w:hint="eastAsia" w:ascii="宋体"/>
                <w:color w:val="000000"/>
                <w:sz w:val="22"/>
                <w:lang w:val="en-US" w:eastAsia="zh-CN"/>
              </w:rPr>
              <w:t>▲支付方式</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003FA0">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合同生效、采购人收到中标人出具的合同金额40%（填写预付款比例）正规发票或收据以及具备实施条件后7个工作日内，向中标人支付合同总额40%的预付款；待中标人完成全部货物交付等服务，采购人验收合格并在满足以下条件的情况下，采购人支付剩余的合同款：</w:t>
            </w:r>
          </w:p>
          <w:p w14:paraId="2A165684">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zh-CN" w:eastAsia="zh-CN"/>
              </w:rPr>
            </w:pPr>
            <w:r>
              <w:rPr>
                <w:rFonts w:hint="eastAsia" w:ascii="宋体"/>
                <w:color w:val="000000"/>
                <w:sz w:val="22"/>
                <w:lang w:val="zh-CN" w:eastAsia="zh-CN"/>
              </w:rPr>
              <w:t>（1）货物交付安装完毕验收合格后并具备实施条件7个工作日内，支付至货物总价的100％。结算时，需提交下列资料：</w:t>
            </w:r>
          </w:p>
          <w:p w14:paraId="47406D36">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color w:val="000000"/>
                <w:sz w:val="22"/>
                <w:lang w:val="zh-CN" w:eastAsia="zh-CN"/>
              </w:rPr>
              <w:t>a.</w:t>
            </w:r>
            <w:r>
              <w:rPr>
                <w:rFonts w:hint="eastAsia" w:ascii="宋体"/>
                <w:color w:val="000000"/>
                <w:sz w:val="22"/>
                <w:lang w:val="en-US" w:eastAsia="zh-CN"/>
              </w:rPr>
              <w:t>中标人须开具剩余合同金额的正式发票（合计</w:t>
            </w:r>
            <w:r>
              <w:rPr>
                <w:rFonts w:hint="eastAsia" w:ascii="宋体"/>
                <w:color w:val="000000"/>
                <w:sz w:val="22"/>
                <w:highlight w:val="none"/>
                <w:lang w:val="zh-CN" w:eastAsia="zh-CN"/>
              </w:rPr>
              <w:t>合同总价100%的正式发票</w:t>
            </w:r>
            <w:r>
              <w:rPr>
                <w:rFonts w:hint="eastAsia" w:ascii="宋体"/>
                <w:color w:val="000000"/>
                <w:sz w:val="22"/>
                <w:lang w:val="en-US" w:eastAsia="zh-CN"/>
              </w:rPr>
              <w:t>）；</w:t>
            </w:r>
          </w:p>
          <w:p w14:paraId="31F83107">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zh-CN" w:eastAsia="zh-CN"/>
              </w:rPr>
            </w:pPr>
            <w:r>
              <w:rPr>
                <w:rFonts w:hint="eastAsia" w:ascii="宋体"/>
                <w:color w:val="000000"/>
                <w:sz w:val="22"/>
                <w:lang w:val="zh-CN" w:eastAsia="zh-CN"/>
              </w:rPr>
              <w:t>b.双方出具的项目验收合格证明；</w:t>
            </w:r>
          </w:p>
          <w:p w14:paraId="3C508738">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zh-CN" w:eastAsia="zh-CN"/>
              </w:rPr>
            </w:pPr>
            <w:r>
              <w:rPr>
                <w:rFonts w:hint="eastAsia" w:ascii="宋体"/>
                <w:color w:val="000000"/>
                <w:sz w:val="22"/>
                <w:lang w:val="zh-CN" w:eastAsia="zh-CN"/>
              </w:rPr>
              <w:t>（2）在项目实施过程中，若采购内容发生增减，</w:t>
            </w:r>
            <w:r>
              <w:rPr>
                <w:rFonts w:hint="eastAsia" w:ascii="宋体"/>
                <w:color w:val="000000"/>
                <w:sz w:val="22"/>
                <w:lang w:val="en-US" w:eastAsia="zh-CN"/>
              </w:rPr>
              <w:t>采购人</w:t>
            </w:r>
            <w:r>
              <w:rPr>
                <w:rFonts w:hint="eastAsia" w:ascii="宋体"/>
                <w:color w:val="000000"/>
                <w:sz w:val="22"/>
                <w:lang w:val="zh-CN" w:eastAsia="zh-CN"/>
              </w:rPr>
              <w:t>应及时通知</w:t>
            </w:r>
            <w:r>
              <w:rPr>
                <w:rFonts w:hint="eastAsia" w:ascii="宋体"/>
                <w:color w:val="000000"/>
                <w:sz w:val="22"/>
                <w:lang w:val="en-US" w:eastAsia="zh-CN"/>
              </w:rPr>
              <w:t>中标人</w:t>
            </w:r>
            <w:r>
              <w:rPr>
                <w:rFonts w:hint="eastAsia" w:ascii="宋体"/>
                <w:color w:val="000000"/>
                <w:sz w:val="22"/>
                <w:lang w:val="zh-CN" w:eastAsia="zh-CN"/>
              </w:rPr>
              <w:t>，按实际调整。增减内容的价格参照合同内相应设备的合同价结算。</w:t>
            </w:r>
          </w:p>
        </w:tc>
      </w:tr>
      <w:tr w14:paraId="1626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6CDB5">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供货期</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5175E">
            <w:pPr>
              <w:widowControl/>
              <w:numPr>
                <w:ilvl w:val="0"/>
                <w:numId w:val="0"/>
              </w:numPr>
              <w:autoSpaceDE w:val="0"/>
              <w:autoSpaceDN w:val="0"/>
              <w:adjustRightInd w:val="0"/>
              <w:snapToGrid w:val="0"/>
              <w:spacing w:line="440" w:lineRule="atLeast"/>
              <w:textAlignment w:val="bottom"/>
              <w:outlineLvl w:val="1"/>
              <w:rPr>
                <w:rFonts w:hint="eastAsia" w:ascii="宋体"/>
                <w:b/>
                <w:bCs/>
                <w:color w:val="000000"/>
                <w:sz w:val="22"/>
                <w:highlight w:val="none"/>
                <w:lang w:val="en-US" w:eastAsia="zh-CN"/>
              </w:rPr>
            </w:pPr>
            <w:r>
              <w:rPr>
                <w:rFonts w:hint="eastAsia" w:ascii="宋体"/>
                <w:b/>
                <w:bCs/>
                <w:color w:val="000000"/>
                <w:sz w:val="22"/>
                <w:highlight w:val="none"/>
                <w:lang w:val="en-US" w:eastAsia="zh-CN"/>
              </w:rPr>
              <w:t>一次性执行</w:t>
            </w:r>
          </w:p>
          <w:p w14:paraId="566F7BA9">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b/>
                <w:bCs/>
                <w:color w:val="000000"/>
                <w:sz w:val="22"/>
                <w:lang w:val="en-US" w:eastAsia="zh-CN"/>
              </w:rPr>
              <w:t>时间：采购人与中标人协商决定</w:t>
            </w:r>
          </w:p>
        </w:tc>
      </w:tr>
      <w:tr w14:paraId="0F29A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79D7F2">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交付时间与地点</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9E229">
            <w:pPr>
              <w:numPr>
                <w:ilvl w:val="0"/>
                <w:numId w:val="0"/>
              </w:numPr>
              <w:adjustRightInd w:val="0"/>
              <w:snapToGrid w:val="0"/>
              <w:spacing w:line="400" w:lineRule="atLeast"/>
              <w:ind w:leftChars="0"/>
              <w:outlineLvl w:val="1"/>
              <w:rPr>
                <w:rFonts w:hint="eastAsia" w:ascii="宋体" w:hAnsi="Times New Roman" w:eastAsia="宋体" w:cs="Times New Roman"/>
                <w:color w:val="000000"/>
                <w:sz w:val="21"/>
                <w:szCs w:val="21"/>
                <w:highlight w:val="none"/>
                <w:lang w:val="en-US" w:eastAsia="zh-CN"/>
              </w:rPr>
            </w:pPr>
            <w:r>
              <w:rPr>
                <w:rFonts w:hint="eastAsia" w:ascii="宋体" w:hAnsi="Times New Roman" w:eastAsia="宋体" w:cs="Times New Roman"/>
                <w:color w:val="000000"/>
                <w:sz w:val="21"/>
                <w:szCs w:val="21"/>
                <w:highlight w:val="none"/>
                <w:lang w:val="en-US" w:eastAsia="zh-CN"/>
              </w:rPr>
              <w:t>时间：合同签订后20工作日内</w:t>
            </w:r>
          </w:p>
          <w:p w14:paraId="28D77C68">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hAnsi="Times New Roman" w:eastAsia="宋体" w:cs="Times New Roman"/>
                <w:color w:val="000000"/>
                <w:sz w:val="21"/>
                <w:szCs w:val="21"/>
                <w:highlight w:val="none"/>
                <w:lang w:val="en-US" w:eastAsia="zh-CN"/>
              </w:rPr>
              <w:t>地点：各采购学校</w:t>
            </w:r>
          </w:p>
        </w:tc>
      </w:tr>
      <w:tr w14:paraId="0594A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E2786">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color w:val="000000"/>
                <w:sz w:val="22"/>
                <w:lang w:val="en-US" w:eastAsia="zh-CN"/>
              </w:rPr>
              <w:t>试运行要求</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AD0B6A">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lang w:val="en-US" w:eastAsia="zh-CN"/>
              </w:rPr>
            </w:pPr>
            <w:r>
              <w:rPr>
                <w:rFonts w:hint="eastAsia" w:ascii="宋体"/>
                <w:b/>
                <w:bCs/>
                <w:color w:val="000000"/>
                <w:sz w:val="22"/>
                <w:lang w:val="en-US" w:eastAsia="zh-CN"/>
              </w:rPr>
              <w:t>试运行期限：货物完成供货、安装及调试后，进入为期</w:t>
            </w:r>
            <w:r>
              <w:rPr>
                <w:rFonts w:hint="eastAsia" w:ascii="宋体"/>
                <w:b/>
                <w:bCs/>
                <w:color w:val="000000"/>
                <w:sz w:val="22"/>
                <w:highlight w:val="none"/>
                <w:lang w:val="en-US" w:eastAsia="zh-CN"/>
              </w:rPr>
              <w:t>20</w:t>
            </w:r>
            <w:r>
              <w:rPr>
                <w:rFonts w:hint="eastAsia" w:ascii="宋体"/>
                <w:b/>
                <w:bCs/>
                <w:color w:val="000000"/>
                <w:sz w:val="22"/>
                <w:lang w:val="en-US" w:eastAsia="zh-CN"/>
              </w:rPr>
              <w:t xml:space="preserve">个工作日的试运行阶段。 </w:t>
            </w:r>
          </w:p>
        </w:tc>
      </w:tr>
      <w:tr w14:paraId="26D98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D7620">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验收标准</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7EAC91">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1.合同履约验收参照《温州市政府采购履约验收办法》（温财采〔2020〕6号）相关规定。</w:t>
            </w:r>
          </w:p>
          <w:p w14:paraId="186FE547">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2.合同履约达到验收条件时，供应商按照合同约定向采购人书面发起验收申请，采购人或者其委托的采购代理机构（以下简称验收组织机构）在收到供应商验收申请五个工作日内启动项目验收，并书面通知供应商。技术复杂、专业性强或者重大民生、金额较大的项目验收准备时间，经政府采购合同双方当事人协商，可适当延长。</w:t>
            </w:r>
          </w:p>
          <w:p w14:paraId="656A2BCF">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3.验收组织机构可以邀请参加项目采购活动的其他供应商或第三方专业机构及专家参与验收。验收组织机构应当按照竞争性磋商文件、投标（响应）文件、采购合同、封存样品（如有）等约定的质量、数量、技术指标或者服务要求设置验收指标及其标准。未约定的，应当符合国家强制性规定、政策要求、安全标准、行业或企业有关标准等。</w:t>
            </w:r>
          </w:p>
          <w:p w14:paraId="6E03410A">
            <w:pPr>
              <w:widowControl/>
              <w:numPr>
                <w:ilvl w:val="0"/>
                <w:numId w:val="0"/>
              </w:numPr>
              <w:autoSpaceDE w:val="0"/>
              <w:autoSpaceDN w:val="0"/>
              <w:adjustRightInd w:val="0"/>
              <w:snapToGrid w:val="0"/>
              <w:spacing w:line="440" w:lineRule="atLeast"/>
              <w:textAlignment w:val="bottom"/>
              <w:outlineLvl w:val="1"/>
              <w:rPr>
                <w:rFonts w:hint="default" w:ascii="宋体"/>
                <w:color w:val="000000"/>
                <w:sz w:val="22"/>
                <w:highlight w:val="none"/>
                <w:lang w:val="en-US" w:eastAsia="zh-CN"/>
              </w:rPr>
            </w:pPr>
            <w:r>
              <w:rPr>
                <w:rFonts w:hint="eastAsia" w:ascii="宋体"/>
                <w:color w:val="000000"/>
                <w:sz w:val="22"/>
                <w:highlight w:val="none"/>
                <w:lang w:val="en-US" w:eastAsia="zh-CN"/>
              </w:rPr>
              <w:t>4.</w:t>
            </w:r>
            <w:r>
              <w:rPr>
                <w:rFonts w:hint="default" w:ascii="宋体"/>
                <w:color w:val="000000"/>
                <w:sz w:val="22"/>
                <w:highlight w:val="none"/>
                <w:lang w:val="en-US" w:eastAsia="zh-CN"/>
              </w:rPr>
              <w:t>履约验收</w:t>
            </w:r>
            <w:r>
              <w:rPr>
                <w:rFonts w:hint="eastAsia" w:ascii="宋体"/>
                <w:color w:val="000000"/>
                <w:sz w:val="22"/>
                <w:highlight w:val="none"/>
                <w:lang w:val="en-US" w:eastAsia="zh-CN"/>
              </w:rPr>
              <w:t>方式：</w:t>
            </w:r>
            <w:r>
              <w:rPr>
                <w:rFonts w:hint="default" w:ascii="宋体"/>
                <w:color w:val="000000"/>
                <w:sz w:val="22"/>
                <w:highlight w:val="none"/>
                <w:lang w:val="en-US" w:eastAsia="zh-CN"/>
              </w:rPr>
              <w:t>一般程序验收。</w:t>
            </w:r>
          </w:p>
          <w:p w14:paraId="02C32ED1">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highlight w:val="none"/>
                <w:lang w:val="en-US" w:eastAsia="zh-CN"/>
              </w:rPr>
              <w:t>5.</w:t>
            </w:r>
            <w:r>
              <w:rPr>
                <w:rFonts w:hint="default" w:ascii="宋体"/>
                <w:color w:val="000000"/>
                <w:sz w:val="22"/>
                <w:highlight w:val="none"/>
                <w:lang w:val="en-US" w:eastAsia="zh-CN"/>
              </w:rPr>
              <w:t>验收方法</w:t>
            </w:r>
            <w:r>
              <w:rPr>
                <w:rFonts w:hint="eastAsia" w:ascii="宋体"/>
                <w:color w:val="000000"/>
                <w:sz w:val="22"/>
                <w:highlight w:val="none"/>
                <w:lang w:val="en-US" w:eastAsia="zh-CN"/>
              </w:rPr>
              <w:t>：</w:t>
            </w:r>
            <w:r>
              <w:rPr>
                <w:rFonts w:hint="default" w:ascii="宋体"/>
                <w:color w:val="000000"/>
                <w:sz w:val="22"/>
                <w:highlight w:val="none"/>
                <w:lang w:val="en-US" w:eastAsia="zh-CN"/>
              </w:rPr>
              <w:t>分</w:t>
            </w:r>
            <w:r>
              <w:rPr>
                <w:rFonts w:hint="eastAsia" w:ascii="宋体"/>
                <w:color w:val="000000"/>
                <w:sz w:val="22"/>
                <w:highlight w:val="none"/>
                <w:lang w:val="en-US" w:eastAsia="zh-CN"/>
              </w:rPr>
              <w:t>段</w:t>
            </w:r>
            <w:r>
              <w:rPr>
                <w:rFonts w:hint="default" w:ascii="宋体"/>
                <w:color w:val="000000"/>
                <w:sz w:val="22"/>
                <w:highlight w:val="none"/>
                <w:lang w:val="en-US" w:eastAsia="zh-CN"/>
              </w:rPr>
              <w:t>验收</w:t>
            </w:r>
            <w:r>
              <w:rPr>
                <w:rFonts w:hint="eastAsia" w:ascii="宋体"/>
                <w:color w:val="000000"/>
                <w:sz w:val="22"/>
                <w:highlight w:val="none"/>
                <w:lang w:val="en-US" w:eastAsia="zh-CN"/>
              </w:rPr>
              <w:t>（安装调试结束交付用户、试运行结束）</w:t>
            </w:r>
            <w:r>
              <w:rPr>
                <w:rFonts w:hint="default" w:ascii="宋体"/>
                <w:color w:val="000000"/>
                <w:sz w:val="22"/>
                <w:highlight w:val="none"/>
                <w:lang w:val="en-US" w:eastAsia="zh-CN"/>
              </w:rPr>
              <w:t>。</w:t>
            </w:r>
          </w:p>
          <w:p w14:paraId="67E6C94D">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6.验收费用由中标人承担。</w:t>
            </w:r>
          </w:p>
        </w:tc>
      </w:tr>
      <w:tr w14:paraId="335B5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55CA7A">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售后服务</w:t>
            </w:r>
          </w:p>
          <w:p w14:paraId="1FD48C4E">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标准要求</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8717E2">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1.中标人保证本合同中所供应的商品是最新生产的符合国家技术规格和质量标准的出厂原装合格产品。如发生所供商品与合同不符，采购人有权拒收或退货，由此产生的一切责任和后果由中标人承担。</w:t>
            </w:r>
          </w:p>
          <w:p w14:paraId="384783C8">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2.质保期内因不能排除的故障而影响工作的情况每发生一次，其质保期相应延长60天，质保期内因设备本身缺陷造成各种故障应由中标人免费予以技术服务和维修（如有必要可进行更换），对于因此故障或因未能及时更换而产生的损失，均由中标人负责并赔偿。对达不到技术要求者，根据实际情况，采购人可选择以下方式处理：</w:t>
            </w:r>
          </w:p>
          <w:p w14:paraId="4C7B5AE1">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⑴更换：由中标人承担所发生的全部费用。</w:t>
            </w:r>
          </w:p>
          <w:p w14:paraId="1CD94CBB">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⑵贬值处理：由甲乙双方合议定价。</w:t>
            </w:r>
          </w:p>
          <w:p w14:paraId="293FA5BB">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⑶退货处理：中标人应退还采购人支付的合同款，同时应承担处理该货物的全部费用（运输、保险、检验、货款利息及银行手续费等）。</w:t>
            </w:r>
          </w:p>
          <w:p w14:paraId="1DF5C20B">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3.在质保期内，中标人应对货物出现的质量及安全问题负责处理解决并承担一切费用。</w:t>
            </w:r>
          </w:p>
        </w:tc>
      </w:tr>
      <w:tr w14:paraId="1A673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C962DA">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售后服务</w:t>
            </w:r>
          </w:p>
          <w:p w14:paraId="0337F677">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效率要求</w:t>
            </w:r>
          </w:p>
        </w:tc>
        <w:tc>
          <w:tcPr>
            <w:tcW w:w="71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E140B5">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1.提供7*24小时的服务响应，当发生故障时需2小时内响应，并在12小时内解决故障问题，无法解决的故障，需书面形式告知采购人。</w:t>
            </w:r>
          </w:p>
          <w:p w14:paraId="3497C0AC">
            <w:pPr>
              <w:widowControl/>
              <w:numPr>
                <w:ilvl w:val="0"/>
                <w:numId w:val="0"/>
              </w:numPr>
              <w:autoSpaceDE w:val="0"/>
              <w:autoSpaceDN w:val="0"/>
              <w:adjustRightInd w:val="0"/>
              <w:snapToGrid w:val="0"/>
              <w:spacing w:line="440" w:lineRule="atLeast"/>
              <w:textAlignment w:val="bottom"/>
              <w:outlineLvl w:val="1"/>
              <w:rPr>
                <w:rFonts w:hint="eastAsia" w:ascii="宋体"/>
                <w:color w:val="000000"/>
                <w:sz w:val="22"/>
                <w:lang w:val="en-US" w:eastAsia="zh-CN"/>
              </w:rPr>
            </w:pPr>
            <w:r>
              <w:rPr>
                <w:rFonts w:hint="eastAsia" w:ascii="宋体"/>
                <w:color w:val="000000"/>
                <w:sz w:val="22"/>
                <w:lang w:val="en-US" w:eastAsia="zh-CN"/>
              </w:rPr>
              <w:t>2.项目过程中所产生的搬运、运费、税、调试、差旅及各系统之间的联动费用由成交供应商提供。</w:t>
            </w:r>
          </w:p>
        </w:tc>
      </w:tr>
      <w:bookmarkEnd w:id="27"/>
    </w:tbl>
    <w:p w14:paraId="73528E3F">
      <w:pPr>
        <w:widowControl/>
        <w:numPr>
          <w:ilvl w:val="0"/>
          <w:numId w:val="10"/>
        </w:numPr>
        <w:autoSpaceDE w:val="0"/>
        <w:autoSpaceDN w:val="0"/>
        <w:adjustRightInd w:val="0"/>
        <w:snapToGrid w:val="0"/>
        <w:spacing w:line="440" w:lineRule="atLeast"/>
        <w:textAlignment w:val="bottom"/>
        <w:outlineLvl w:val="1"/>
        <w:rPr>
          <w:rFonts w:hint="eastAsia" w:ascii="宋体"/>
          <w:color w:val="000000"/>
          <w:sz w:val="22"/>
          <w:lang w:val="en-US" w:eastAsia="zh-CN"/>
        </w:rPr>
        <w:sectPr>
          <w:pgSz w:w="11907" w:h="16840"/>
          <w:pgMar w:top="1474" w:right="1814" w:bottom="1474" w:left="1814" w:header="851" w:footer="851" w:gutter="0"/>
          <w:cols w:space="720" w:num="1"/>
        </w:sectPr>
      </w:pPr>
    </w:p>
    <w:p w14:paraId="798DECFA">
      <w:pPr>
        <w:numPr>
          <w:ilvl w:val="0"/>
          <w:numId w:val="0"/>
        </w:numPr>
        <w:spacing w:line="360" w:lineRule="auto"/>
        <w:ind w:leftChars="0"/>
        <w:jc w:val="center"/>
        <w:outlineLvl w:val="0"/>
        <w:rPr>
          <w:rFonts w:ascii="宋体" w:hAnsi="宋体" w:cs="宋体"/>
          <w:b/>
          <w:color w:val="auto"/>
          <w:sz w:val="24"/>
        </w:rPr>
      </w:pPr>
      <w:r>
        <w:rPr>
          <w:rFonts w:hint="eastAsia" w:ascii="宋体" w:hAnsi="宋体" w:cs="宋体"/>
          <w:b/>
          <w:color w:val="auto"/>
          <w:sz w:val="36"/>
          <w:szCs w:val="36"/>
        </w:rPr>
        <w:t xml:space="preserve">第四部分   </w:t>
      </w:r>
      <w:bookmarkStart w:id="28" w:name="_Toc184308050"/>
      <w:bookmarkEnd w:id="28"/>
      <w:bookmarkStart w:id="29" w:name="_Toc184310330"/>
      <w:bookmarkEnd w:id="29"/>
      <w:bookmarkStart w:id="30" w:name="_Toc184310274"/>
      <w:bookmarkEnd w:id="30"/>
      <w:bookmarkStart w:id="31" w:name="_Toc184310334"/>
      <w:bookmarkEnd w:id="31"/>
      <w:bookmarkStart w:id="32" w:name="_Toc184314442"/>
      <w:bookmarkEnd w:id="32"/>
      <w:bookmarkStart w:id="33" w:name="_Toc184308107"/>
      <w:bookmarkEnd w:id="33"/>
      <w:bookmarkStart w:id="34" w:name="_Toc184310319"/>
      <w:bookmarkEnd w:id="34"/>
      <w:bookmarkStart w:id="35" w:name="_Toc184313273"/>
      <w:bookmarkEnd w:id="35"/>
      <w:bookmarkStart w:id="36" w:name="_Toc184308100"/>
      <w:bookmarkEnd w:id="36"/>
      <w:bookmarkStart w:id="37" w:name="_Toc184310280"/>
      <w:bookmarkEnd w:id="37"/>
      <w:bookmarkStart w:id="38" w:name="_Toc184313275"/>
      <w:bookmarkEnd w:id="38"/>
      <w:bookmarkStart w:id="39" w:name="_Toc184313304"/>
      <w:bookmarkEnd w:id="39"/>
      <w:bookmarkStart w:id="40" w:name="_Toc184314435"/>
      <w:bookmarkEnd w:id="40"/>
      <w:bookmarkStart w:id="41" w:name="_Toc184310326"/>
      <w:bookmarkEnd w:id="41"/>
      <w:bookmarkStart w:id="42" w:name="_Toc184312097"/>
      <w:bookmarkEnd w:id="42"/>
      <w:bookmarkStart w:id="43" w:name="_Toc184310283"/>
      <w:bookmarkEnd w:id="43"/>
      <w:bookmarkStart w:id="44" w:name="_Toc184313253"/>
      <w:bookmarkEnd w:id="44"/>
      <w:bookmarkStart w:id="45" w:name="_Toc184312096"/>
      <w:bookmarkEnd w:id="45"/>
      <w:bookmarkStart w:id="46" w:name="_Toc184312134"/>
      <w:bookmarkEnd w:id="46"/>
      <w:bookmarkStart w:id="47" w:name="_Toc184314427"/>
      <w:bookmarkEnd w:id="47"/>
      <w:bookmarkStart w:id="48" w:name="_Toc184314412"/>
      <w:bookmarkEnd w:id="48"/>
      <w:bookmarkStart w:id="49" w:name="_Toc184312100"/>
      <w:bookmarkEnd w:id="49"/>
      <w:bookmarkStart w:id="50" w:name="_Toc184314441"/>
      <w:bookmarkEnd w:id="50"/>
      <w:bookmarkStart w:id="51" w:name="_Toc184310284"/>
      <w:bookmarkEnd w:id="51"/>
      <w:bookmarkStart w:id="52" w:name="_Toc184312085"/>
      <w:bookmarkEnd w:id="52"/>
      <w:bookmarkStart w:id="53" w:name="_Toc184314481"/>
      <w:bookmarkEnd w:id="53"/>
      <w:bookmarkStart w:id="54" w:name="_Toc184312108"/>
      <w:bookmarkEnd w:id="54"/>
      <w:bookmarkStart w:id="55" w:name="_Toc184308065"/>
      <w:bookmarkEnd w:id="55"/>
      <w:bookmarkStart w:id="56" w:name="_Toc184312099"/>
      <w:bookmarkEnd w:id="56"/>
      <w:bookmarkStart w:id="57" w:name="_Toc184310272"/>
      <w:bookmarkEnd w:id="57"/>
      <w:bookmarkStart w:id="58" w:name="_Toc184313309"/>
      <w:bookmarkEnd w:id="58"/>
      <w:bookmarkStart w:id="59" w:name="_Toc184313289"/>
      <w:bookmarkEnd w:id="59"/>
      <w:bookmarkStart w:id="60" w:name="_Toc184310340"/>
      <w:bookmarkEnd w:id="60"/>
      <w:bookmarkStart w:id="61" w:name="_Toc184310307"/>
      <w:bookmarkEnd w:id="61"/>
      <w:bookmarkStart w:id="62" w:name="_Toc184310290"/>
      <w:bookmarkEnd w:id="62"/>
      <w:bookmarkStart w:id="63" w:name="_Toc184314477"/>
      <w:bookmarkEnd w:id="63"/>
      <w:bookmarkStart w:id="64" w:name="_Toc184312128"/>
      <w:bookmarkEnd w:id="64"/>
      <w:bookmarkStart w:id="65" w:name="_Toc184312084"/>
      <w:bookmarkEnd w:id="65"/>
      <w:bookmarkStart w:id="66" w:name="_Toc184314456"/>
      <w:bookmarkEnd w:id="66"/>
      <w:bookmarkStart w:id="67" w:name="_Toc184314471"/>
      <w:bookmarkEnd w:id="67"/>
      <w:bookmarkStart w:id="68" w:name="_Toc184310312"/>
      <w:bookmarkEnd w:id="68"/>
      <w:bookmarkStart w:id="69" w:name="_Toc184308064"/>
      <w:bookmarkEnd w:id="69"/>
      <w:bookmarkStart w:id="70" w:name="_Toc184310310"/>
      <w:bookmarkEnd w:id="70"/>
      <w:bookmarkStart w:id="71" w:name="_Toc184310333"/>
      <w:bookmarkEnd w:id="71"/>
      <w:bookmarkStart w:id="72" w:name="_Toc184310289"/>
      <w:bookmarkEnd w:id="72"/>
      <w:bookmarkStart w:id="73" w:name="_Toc184310327"/>
      <w:bookmarkEnd w:id="73"/>
      <w:bookmarkStart w:id="74" w:name="_Toc184312068"/>
      <w:bookmarkEnd w:id="74"/>
      <w:bookmarkStart w:id="75" w:name="_Toc184313291"/>
      <w:bookmarkEnd w:id="75"/>
      <w:bookmarkStart w:id="76" w:name="_Toc184308042"/>
      <w:bookmarkEnd w:id="76"/>
      <w:bookmarkStart w:id="77" w:name="_Toc184312086"/>
      <w:bookmarkEnd w:id="77"/>
      <w:bookmarkStart w:id="78" w:name="_Toc184314457"/>
      <w:bookmarkEnd w:id="78"/>
      <w:bookmarkStart w:id="79" w:name="_Toc184310273"/>
      <w:bookmarkEnd w:id="79"/>
      <w:bookmarkStart w:id="80" w:name="_Toc184313281"/>
      <w:bookmarkEnd w:id="80"/>
      <w:bookmarkStart w:id="81" w:name="_Toc184313269"/>
      <w:bookmarkEnd w:id="81"/>
      <w:bookmarkStart w:id="82" w:name="_Toc184308093"/>
      <w:bookmarkEnd w:id="82"/>
      <w:bookmarkStart w:id="83" w:name="_Toc184308084"/>
      <w:bookmarkEnd w:id="83"/>
      <w:bookmarkStart w:id="84" w:name="_Toc184312124"/>
      <w:bookmarkEnd w:id="84"/>
      <w:bookmarkStart w:id="85" w:name="_Toc184308061"/>
      <w:bookmarkEnd w:id="85"/>
      <w:bookmarkStart w:id="86" w:name="_Toc184308053"/>
      <w:bookmarkEnd w:id="86"/>
      <w:bookmarkStart w:id="87" w:name="_Toc184314470"/>
      <w:bookmarkEnd w:id="87"/>
      <w:bookmarkStart w:id="88" w:name="_Toc184312137"/>
      <w:bookmarkEnd w:id="88"/>
      <w:bookmarkStart w:id="89" w:name="_Toc184314411"/>
      <w:bookmarkEnd w:id="89"/>
      <w:bookmarkStart w:id="90" w:name="_Toc184310297"/>
      <w:bookmarkEnd w:id="90"/>
      <w:bookmarkStart w:id="91" w:name="_Toc184314437"/>
      <w:bookmarkEnd w:id="91"/>
      <w:bookmarkStart w:id="92" w:name="_Toc184308096"/>
      <w:bookmarkEnd w:id="92"/>
      <w:bookmarkStart w:id="93" w:name="_Toc184308059"/>
      <w:bookmarkEnd w:id="93"/>
      <w:bookmarkStart w:id="94" w:name="_Toc184310278"/>
      <w:bookmarkEnd w:id="94"/>
      <w:bookmarkStart w:id="95" w:name="_Toc184313262"/>
      <w:bookmarkEnd w:id="95"/>
      <w:bookmarkStart w:id="96" w:name="_Toc184310313"/>
      <w:bookmarkEnd w:id="96"/>
      <w:bookmarkStart w:id="97" w:name="_Toc184312118"/>
      <w:bookmarkEnd w:id="97"/>
      <w:bookmarkStart w:id="98" w:name="_Toc184314461"/>
      <w:bookmarkEnd w:id="98"/>
      <w:bookmarkStart w:id="99" w:name="_Toc184314482"/>
      <w:bookmarkEnd w:id="99"/>
      <w:bookmarkStart w:id="100" w:name="_Toc184308105"/>
      <w:bookmarkEnd w:id="100"/>
      <w:bookmarkStart w:id="101" w:name="_Toc184313259"/>
      <w:bookmarkEnd w:id="101"/>
      <w:bookmarkStart w:id="102" w:name="_Toc184313278"/>
      <w:bookmarkEnd w:id="102"/>
      <w:bookmarkStart w:id="103" w:name="_Toc184314420"/>
      <w:bookmarkEnd w:id="103"/>
      <w:bookmarkStart w:id="104" w:name="_Toc184312101"/>
      <w:bookmarkEnd w:id="104"/>
      <w:bookmarkStart w:id="105" w:name="_Toc184308104"/>
      <w:bookmarkEnd w:id="105"/>
      <w:bookmarkStart w:id="106" w:name="_Toc184313251"/>
      <w:bookmarkEnd w:id="106"/>
      <w:bookmarkStart w:id="107" w:name="_Toc184312110"/>
      <w:bookmarkEnd w:id="107"/>
      <w:bookmarkStart w:id="108" w:name="_Toc184312114"/>
      <w:bookmarkEnd w:id="108"/>
      <w:bookmarkStart w:id="109" w:name="_Toc184313238"/>
      <w:bookmarkEnd w:id="109"/>
      <w:bookmarkStart w:id="110" w:name="_Toc184310288"/>
      <w:bookmarkEnd w:id="110"/>
      <w:bookmarkStart w:id="111" w:name="_Toc184312095"/>
      <w:bookmarkEnd w:id="111"/>
      <w:bookmarkStart w:id="112" w:name="_Toc184308038"/>
      <w:bookmarkEnd w:id="112"/>
      <w:bookmarkStart w:id="113" w:name="_Toc184314462"/>
      <w:bookmarkEnd w:id="113"/>
      <w:bookmarkStart w:id="114" w:name="_Toc184312076"/>
      <w:bookmarkEnd w:id="114"/>
      <w:bookmarkStart w:id="115" w:name="_Toc184308069"/>
      <w:bookmarkEnd w:id="115"/>
      <w:bookmarkStart w:id="116" w:name="_Toc184310315"/>
      <w:bookmarkEnd w:id="116"/>
      <w:bookmarkStart w:id="117" w:name="_Toc184308098"/>
      <w:bookmarkEnd w:id="117"/>
      <w:bookmarkStart w:id="118" w:name="_Toc184308045"/>
      <w:bookmarkEnd w:id="118"/>
      <w:bookmarkStart w:id="119" w:name="_Toc184313302"/>
      <w:bookmarkEnd w:id="119"/>
      <w:bookmarkStart w:id="120" w:name="_Toc184312071"/>
      <w:bookmarkEnd w:id="120"/>
      <w:bookmarkStart w:id="121" w:name="_Toc184310279"/>
      <w:bookmarkEnd w:id="121"/>
      <w:bookmarkStart w:id="122" w:name="_Toc184313246"/>
      <w:bookmarkEnd w:id="122"/>
      <w:bookmarkStart w:id="123" w:name="_Toc184314429"/>
      <w:bookmarkEnd w:id="123"/>
      <w:bookmarkStart w:id="124" w:name="_Toc184313287"/>
      <w:bookmarkEnd w:id="124"/>
      <w:bookmarkStart w:id="125" w:name="_Toc184308067"/>
      <w:bookmarkEnd w:id="125"/>
      <w:bookmarkStart w:id="126" w:name="_Toc184314410"/>
      <w:bookmarkEnd w:id="126"/>
      <w:bookmarkStart w:id="127" w:name="_Toc184313279"/>
      <w:bookmarkEnd w:id="127"/>
      <w:bookmarkStart w:id="128" w:name="_Toc184312105"/>
      <w:bookmarkEnd w:id="128"/>
      <w:bookmarkStart w:id="129" w:name="_Toc184310282"/>
      <w:bookmarkEnd w:id="129"/>
      <w:bookmarkStart w:id="130" w:name="_Toc184313257"/>
      <w:bookmarkEnd w:id="130"/>
      <w:bookmarkStart w:id="131" w:name="_Toc184314426"/>
      <w:bookmarkEnd w:id="131"/>
      <w:bookmarkStart w:id="132" w:name="_Toc184312136"/>
      <w:bookmarkEnd w:id="132"/>
      <w:bookmarkStart w:id="133" w:name="_Toc184314460"/>
      <w:bookmarkEnd w:id="133"/>
      <w:bookmarkStart w:id="134" w:name="_Toc184310339"/>
      <w:bookmarkEnd w:id="134"/>
      <w:bookmarkStart w:id="135" w:name="_Toc184313310"/>
      <w:bookmarkEnd w:id="135"/>
      <w:bookmarkStart w:id="136" w:name="_Toc184312112"/>
      <w:bookmarkEnd w:id="136"/>
      <w:bookmarkStart w:id="137" w:name="_Toc184314476"/>
      <w:bookmarkEnd w:id="137"/>
      <w:bookmarkStart w:id="138" w:name="_Toc184310302"/>
      <w:bookmarkEnd w:id="138"/>
      <w:bookmarkStart w:id="139" w:name="_Toc184314474"/>
      <w:bookmarkEnd w:id="139"/>
      <w:bookmarkStart w:id="140" w:name="_Toc184313298"/>
      <w:bookmarkEnd w:id="140"/>
      <w:bookmarkStart w:id="141" w:name="_Toc184314448"/>
      <w:bookmarkEnd w:id="141"/>
      <w:bookmarkStart w:id="142" w:name="_Toc184312088"/>
      <w:bookmarkEnd w:id="142"/>
      <w:bookmarkStart w:id="143" w:name="_Toc184313300"/>
      <w:bookmarkEnd w:id="143"/>
      <w:bookmarkStart w:id="144" w:name="_Toc184312131"/>
      <w:bookmarkEnd w:id="144"/>
      <w:bookmarkStart w:id="145" w:name="_Toc184308097"/>
      <w:bookmarkEnd w:id="145"/>
      <w:bookmarkStart w:id="146" w:name="_Toc184314434"/>
      <w:bookmarkEnd w:id="146"/>
      <w:bookmarkStart w:id="147" w:name="_Toc184314452"/>
      <w:bookmarkEnd w:id="147"/>
      <w:bookmarkStart w:id="148" w:name="_Toc184308103"/>
      <w:bookmarkEnd w:id="148"/>
      <w:bookmarkStart w:id="149" w:name="_Toc184308062"/>
      <w:bookmarkEnd w:id="149"/>
      <w:bookmarkStart w:id="150" w:name="_Toc184310336"/>
      <w:bookmarkEnd w:id="150"/>
      <w:bookmarkStart w:id="151" w:name="_Toc184310294"/>
      <w:bookmarkEnd w:id="151"/>
      <w:bookmarkStart w:id="152" w:name="_Toc184314416"/>
      <w:bookmarkEnd w:id="152"/>
      <w:bookmarkStart w:id="153" w:name="_Toc184312083"/>
      <w:bookmarkEnd w:id="153"/>
      <w:bookmarkStart w:id="154" w:name="_Toc184314454"/>
      <w:bookmarkEnd w:id="154"/>
      <w:bookmarkStart w:id="155" w:name="_Toc184312093"/>
      <w:bookmarkEnd w:id="155"/>
      <w:bookmarkStart w:id="156" w:name="_Toc184313260"/>
      <w:bookmarkEnd w:id="156"/>
      <w:bookmarkStart w:id="157" w:name="_Toc184312074"/>
      <w:bookmarkEnd w:id="157"/>
      <w:bookmarkStart w:id="158" w:name="_Toc184312073"/>
      <w:bookmarkEnd w:id="158"/>
      <w:bookmarkStart w:id="159" w:name="_Toc184312087"/>
      <w:bookmarkEnd w:id="159"/>
      <w:bookmarkStart w:id="160" w:name="_Toc184308051"/>
      <w:bookmarkEnd w:id="160"/>
      <w:bookmarkStart w:id="161" w:name="_Toc184314438"/>
      <w:bookmarkEnd w:id="161"/>
      <w:bookmarkStart w:id="162" w:name="_Toc184313292"/>
      <w:bookmarkEnd w:id="162"/>
      <w:bookmarkStart w:id="163" w:name="_Toc184312115"/>
      <w:bookmarkEnd w:id="163"/>
      <w:bookmarkStart w:id="164" w:name="_Toc184313244"/>
      <w:bookmarkEnd w:id="164"/>
      <w:bookmarkStart w:id="165" w:name="_Toc184312106"/>
      <w:bookmarkEnd w:id="165"/>
      <w:bookmarkStart w:id="166" w:name="_Toc184312094"/>
      <w:bookmarkEnd w:id="166"/>
      <w:bookmarkStart w:id="167" w:name="_Toc184308108"/>
      <w:bookmarkEnd w:id="167"/>
      <w:bookmarkStart w:id="168" w:name="_Toc184313248"/>
      <w:bookmarkEnd w:id="168"/>
      <w:bookmarkStart w:id="169" w:name="_Toc184310316"/>
      <w:bookmarkEnd w:id="169"/>
      <w:bookmarkStart w:id="170" w:name="_Toc184312113"/>
      <w:bookmarkEnd w:id="170"/>
      <w:bookmarkStart w:id="171" w:name="_Toc184308068"/>
      <w:bookmarkEnd w:id="171"/>
      <w:bookmarkStart w:id="172" w:name="_Toc184313290"/>
      <w:bookmarkEnd w:id="172"/>
      <w:bookmarkStart w:id="173" w:name="_Toc184308086"/>
      <w:bookmarkEnd w:id="173"/>
      <w:bookmarkStart w:id="174" w:name="_Toc184308070"/>
      <w:bookmarkEnd w:id="174"/>
      <w:bookmarkStart w:id="175" w:name="_Toc184314465"/>
      <w:bookmarkEnd w:id="175"/>
      <w:bookmarkStart w:id="176" w:name="_Toc184312109"/>
      <w:bookmarkEnd w:id="176"/>
      <w:bookmarkStart w:id="177" w:name="_Toc184308094"/>
      <w:bookmarkEnd w:id="177"/>
      <w:bookmarkStart w:id="178" w:name="_Toc184314473"/>
      <w:bookmarkEnd w:id="178"/>
      <w:bookmarkStart w:id="179" w:name="_Toc184310322"/>
      <w:bookmarkEnd w:id="179"/>
      <w:bookmarkStart w:id="180" w:name="_Toc184313271"/>
      <w:bookmarkEnd w:id="180"/>
      <w:bookmarkStart w:id="181" w:name="_Toc184310343"/>
      <w:bookmarkEnd w:id="181"/>
      <w:bookmarkStart w:id="182" w:name="_Toc184314464"/>
      <w:bookmarkEnd w:id="182"/>
      <w:bookmarkStart w:id="183" w:name="_Toc184314421"/>
      <w:bookmarkEnd w:id="183"/>
      <w:bookmarkStart w:id="184" w:name="_Toc184313274"/>
      <w:bookmarkEnd w:id="184"/>
      <w:bookmarkStart w:id="185" w:name="_Toc184314478"/>
      <w:bookmarkEnd w:id="185"/>
      <w:bookmarkStart w:id="186" w:name="_Toc184312077"/>
      <w:bookmarkEnd w:id="186"/>
      <w:bookmarkStart w:id="187" w:name="_Toc184310329"/>
      <w:bookmarkEnd w:id="187"/>
      <w:bookmarkStart w:id="188" w:name="_Toc184314415"/>
      <w:bookmarkEnd w:id="188"/>
      <w:bookmarkStart w:id="189" w:name="_Toc184308078"/>
      <w:bookmarkEnd w:id="189"/>
      <w:bookmarkStart w:id="190" w:name="_Toc184310296"/>
      <w:bookmarkEnd w:id="190"/>
      <w:bookmarkStart w:id="191" w:name="_Toc184312107"/>
      <w:bookmarkEnd w:id="191"/>
      <w:bookmarkStart w:id="192" w:name="_Toc184312123"/>
      <w:bookmarkEnd w:id="192"/>
      <w:bookmarkStart w:id="193" w:name="_Toc184310298"/>
      <w:bookmarkEnd w:id="193"/>
      <w:bookmarkStart w:id="194" w:name="_Toc184314444"/>
      <w:bookmarkEnd w:id="194"/>
      <w:bookmarkStart w:id="195" w:name="_Toc184312130"/>
      <w:bookmarkEnd w:id="195"/>
      <w:bookmarkStart w:id="196" w:name="_Toc184312120"/>
      <w:bookmarkEnd w:id="196"/>
      <w:bookmarkStart w:id="197" w:name="_Toc184310291"/>
      <w:bookmarkEnd w:id="197"/>
      <w:bookmarkStart w:id="198" w:name="_Toc184312091"/>
      <w:bookmarkEnd w:id="198"/>
      <w:bookmarkStart w:id="199" w:name="_Toc184314466"/>
      <w:bookmarkEnd w:id="199"/>
      <w:bookmarkStart w:id="200" w:name="_Toc184314433"/>
      <w:bookmarkEnd w:id="200"/>
      <w:bookmarkStart w:id="201" w:name="_Toc184312075"/>
      <w:bookmarkEnd w:id="201"/>
      <w:bookmarkStart w:id="202" w:name="_Toc184313295"/>
      <w:bookmarkEnd w:id="202"/>
      <w:bookmarkStart w:id="203" w:name="_Toc184308036"/>
      <w:bookmarkEnd w:id="203"/>
      <w:bookmarkStart w:id="204" w:name="_Toc184308074"/>
      <w:bookmarkEnd w:id="204"/>
      <w:bookmarkStart w:id="205" w:name="_Toc184314423"/>
      <w:bookmarkEnd w:id="205"/>
      <w:bookmarkStart w:id="206" w:name="_Toc184310276"/>
      <w:bookmarkEnd w:id="206"/>
      <w:bookmarkStart w:id="207" w:name="_Toc184310337"/>
      <w:bookmarkEnd w:id="207"/>
      <w:bookmarkStart w:id="208" w:name="_Toc184310324"/>
      <w:bookmarkEnd w:id="208"/>
      <w:bookmarkStart w:id="209" w:name="_Toc184310293"/>
      <w:bookmarkEnd w:id="209"/>
      <w:bookmarkStart w:id="210" w:name="_Toc184313239"/>
      <w:bookmarkEnd w:id="210"/>
      <w:bookmarkStart w:id="211" w:name="_Toc184308106"/>
      <w:bookmarkEnd w:id="211"/>
      <w:bookmarkStart w:id="212" w:name="_Toc184314443"/>
      <w:bookmarkEnd w:id="212"/>
      <w:bookmarkStart w:id="213" w:name="_Toc184312125"/>
      <w:bookmarkEnd w:id="213"/>
      <w:bookmarkStart w:id="214" w:name="_Toc184314463"/>
      <w:bookmarkEnd w:id="214"/>
      <w:bookmarkStart w:id="215" w:name="_Toc184312070"/>
      <w:bookmarkEnd w:id="215"/>
      <w:bookmarkStart w:id="216" w:name="_Toc184312069"/>
      <w:bookmarkEnd w:id="216"/>
      <w:bookmarkStart w:id="217" w:name="_Toc184312080"/>
      <w:bookmarkEnd w:id="217"/>
      <w:bookmarkStart w:id="218" w:name="_Toc184314450"/>
      <w:bookmarkEnd w:id="218"/>
      <w:bookmarkStart w:id="219" w:name="_Toc184308079"/>
      <w:bookmarkEnd w:id="219"/>
      <w:bookmarkStart w:id="220" w:name="_Toc184310300"/>
      <w:bookmarkEnd w:id="220"/>
      <w:bookmarkStart w:id="221" w:name="_Toc184313280"/>
      <w:bookmarkEnd w:id="221"/>
      <w:bookmarkStart w:id="222" w:name="_Toc184314432"/>
      <w:bookmarkEnd w:id="222"/>
      <w:bookmarkStart w:id="223" w:name="_Toc184310286"/>
      <w:bookmarkEnd w:id="223"/>
      <w:bookmarkStart w:id="224" w:name="_Toc184312138"/>
      <w:bookmarkEnd w:id="224"/>
      <w:bookmarkStart w:id="225" w:name="_Toc184313307"/>
      <w:bookmarkEnd w:id="225"/>
      <w:bookmarkStart w:id="226" w:name="_Toc184308099"/>
      <w:bookmarkEnd w:id="226"/>
      <w:bookmarkStart w:id="227" w:name="_Toc184314468"/>
      <w:bookmarkEnd w:id="227"/>
      <w:bookmarkStart w:id="228" w:name="_Toc184314424"/>
      <w:bookmarkEnd w:id="228"/>
      <w:bookmarkStart w:id="229" w:name="_Toc184314446"/>
      <w:bookmarkEnd w:id="229"/>
      <w:bookmarkStart w:id="230" w:name="_Toc184310341"/>
      <w:bookmarkEnd w:id="230"/>
      <w:bookmarkStart w:id="231" w:name="_Toc184313247"/>
      <w:bookmarkEnd w:id="231"/>
      <w:bookmarkStart w:id="232" w:name="_Toc184310314"/>
      <w:bookmarkEnd w:id="232"/>
      <w:bookmarkStart w:id="233" w:name="_Toc184312111"/>
      <w:bookmarkEnd w:id="233"/>
      <w:bookmarkStart w:id="234" w:name="_Toc184308037"/>
      <w:bookmarkEnd w:id="234"/>
      <w:bookmarkStart w:id="235" w:name="_Toc184308056"/>
      <w:bookmarkEnd w:id="235"/>
      <w:bookmarkStart w:id="236" w:name="_Toc184312102"/>
      <w:bookmarkEnd w:id="236"/>
      <w:bookmarkStart w:id="237" w:name="_Toc184310275"/>
      <w:bookmarkEnd w:id="237"/>
      <w:bookmarkStart w:id="238" w:name="_Toc184314449"/>
      <w:bookmarkEnd w:id="238"/>
      <w:bookmarkStart w:id="239" w:name="_Toc184308087"/>
      <w:bookmarkEnd w:id="239"/>
      <w:bookmarkStart w:id="240" w:name="_Toc184308101"/>
      <w:bookmarkEnd w:id="240"/>
      <w:bookmarkStart w:id="241" w:name="_Toc184308073"/>
      <w:bookmarkEnd w:id="241"/>
      <w:bookmarkStart w:id="242" w:name="_Toc184310301"/>
      <w:bookmarkEnd w:id="242"/>
      <w:bookmarkStart w:id="243" w:name="_Toc184314445"/>
      <w:bookmarkEnd w:id="243"/>
      <w:bookmarkStart w:id="244" w:name="_Toc184308054"/>
      <w:bookmarkEnd w:id="244"/>
      <w:bookmarkStart w:id="245" w:name="_Toc184308080"/>
      <w:bookmarkEnd w:id="245"/>
      <w:bookmarkStart w:id="246" w:name="_Toc184308049"/>
      <w:bookmarkEnd w:id="246"/>
      <w:bookmarkStart w:id="247" w:name="_Toc184308088"/>
      <w:bookmarkEnd w:id="247"/>
      <w:bookmarkStart w:id="248" w:name="_Toc184314453"/>
      <w:bookmarkEnd w:id="248"/>
      <w:bookmarkStart w:id="249" w:name="_Toc184313277"/>
      <w:bookmarkEnd w:id="249"/>
      <w:bookmarkStart w:id="250" w:name="_Toc184313282"/>
      <w:bookmarkEnd w:id="250"/>
      <w:bookmarkStart w:id="251" w:name="_Toc184312119"/>
      <w:bookmarkEnd w:id="251"/>
      <w:bookmarkStart w:id="252" w:name="_Toc184312135"/>
      <w:bookmarkEnd w:id="252"/>
      <w:bookmarkStart w:id="253" w:name="_Toc184313308"/>
      <w:bookmarkEnd w:id="253"/>
      <w:bookmarkStart w:id="254" w:name="_Toc184312081"/>
      <w:bookmarkEnd w:id="254"/>
      <w:bookmarkStart w:id="255" w:name="_Toc184313270"/>
      <w:bookmarkEnd w:id="255"/>
      <w:bookmarkStart w:id="256" w:name="_Toc184313284"/>
      <w:bookmarkEnd w:id="256"/>
      <w:bookmarkStart w:id="257" w:name="_Toc184314428"/>
      <w:bookmarkEnd w:id="257"/>
      <w:bookmarkStart w:id="258" w:name="_Toc184312121"/>
      <w:bookmarkEnd w:id="258"/>
      <w:bookmarkStart w:id="259" w:name="_Toc184314451"/>
      <w:bookmarkEnd w:id="259"/>
      <w:bookmarkStart w:id="260" w:name="_Toc184314480"/>
      <w:bookmarkEnd w:id="260"/>
      <w:bookmarkStart w:id="261" w:name="_Toc184310292"/>
      <w:bookmarkEnd w:id="261"/>
      <w:bookmarkStart w:id="262" w:name="_Toc184308092"/>
      <w:bookmarkEnd w:id="262"/>
      <w:bookmarkStart w:id="263" w:name="_Toc184312133"/>
      <w:bookmarkEnd w:id="263"/>
      <w:bookmarkStart w:id="264" w:name="_Toc184308052"/>
      <w:bookmarkEnd w:id="264"/>
      <w:bookmarkStart w:id="265" w:name="_Toc184313252"/>
      <w:bookmarkEnd w:id="265"/>
      <w:bookmarkStart w:id="266" w:name="_Toc184314439"/>
      <w:bookmarkEnd w:id="266"/>
      <w:bookmarkStart w:id="267" w:name="_Toc184314455"/>
      <w:bookmarkEnd w:id="267"/>
      <w:bookmarkStart w:id="268" w:name="_Toc184314417"/>
      <w:bookmarkEnd w:id="268"/>
      <w:bookmarkStart w:id="269" w:name="_Toc184308072"/>
      <w:bookmarkEnd w:id="269"/>
      <w:bookmarkStart w:id="270" w:name="_Toc184314459"/>
      <w:bookmarkEnd w:id="270"/>
      <w:bookmarkStart w:id="271" w:name="_Toc184308082"/>
      <w:bookmarkEnd w:id="271"/>
      <w:bookmarkStart w:id="272" w:name="_Toc184310321"/>
      <w:bookmarkEnd w:id="272"/>
      <w:bookmarkStart w:id="273" w:name="_Toc184313305"/>
      <w:bookmarkEnd w:id="273"/>
      <w:bookmarkStart w:id="274" w:name="_Toc184310323"/>
      <w:bookmarkEnd w:id="274"/>
      <w:bookmarkStart w:id="275" w:name="_Toc184314418"/>
      <w:bookmarkEnd w:id="275"/>
      <w:bookmarkStart w:id="276" w:name="_Toc184313256"/>
      <w:bookmarkEnd w:id="276"/>
      <w:bookmarkStart w:id="277" w:name="_Toc184314430"/>
      <w:bookmarkEnd w:id="277"/>
      <w:bookmarkStart w:id="278" w:name="_Toc184310342"/>
      <w:bookmarkEnd w:id="278"/>
      <w:bookmarkStart w:id="279" w:name="_Toc184308089"/>
      <w:bookmarkEnd w:id="279"/>
      <w:bookmarkStart w:id="280" w:name="_Toc184308057"/>
      <w:bookmarkEnd w:id="280"/>
      <w:bookmarkStart w:id="281" w:name="_Toc184313241"/>
      <w:bookmarkEnd w:id="281"/>
      <w:bookmarkStart w:id="282" w:name="_Toc184308066"/>
      <w:bookmarkEnd w:id="282"/>
      <w:bookmarkStart w:id="283" w:name="_Toc184313272"/>
      <w:bookmarkEnd w:id="283"/>
      <w:bookmarkStart w:id="284" w:name="_Toc184313299"/>
      <w:bookmarkEnd w:id="284"/>
      <w:bookmarkStart w:id="285" w:name="_Toc184310304"/>
      <w:bookmarkEnd w:id="285"/>
      <w:bookmarkStart w:id="286" w:name="_Toc184308044"/>
      <w:bookmarkEnd w:id="286"/>
      <w:bookmarkStart w:id="287" w:name="_Toc184308063"/>
      <w:bookmarkEnd w:id="287"/>
      <w:bookmarkStart w:id="288" w:name="_Toc184310306"/>
      <w:bookmarkEnd w:id="288"/>
      <w:bookmarkStart w:id="289" w:name="_Toc184314440"/>
      <w:bookmarkEnd w:id="289"/>
      <w:bookmarkStart w:id="290" w:name="_Toc184312092"/>
      <w:bookmarkEnd w:id="290"/>
      <w:bookmarkStart w:id="291" w:name="_Toc184310344"/>
      <w:bookmarkEnd w:id="291"/>
      <w:bookmarkStart w:id="292" w:name="_Toc184310277"/>
      <w:bookmarkEnd w:id="292"/>
      <w:bookmarkStart w:id="293" w:name="_Toc184308041"/>
      <w:bookmarkEnd w:id="293"/>
      <w:bookmarkStart w:id="294" w:name="_Toc184314475"/>
      <w:bookmarkEnd w:id="294"/>
      <w:bookmarkStart w:id="295" w:name="_Toc184308095"/>
      <w:bookmarkEnd w:id="295"/>
      <w:bookmarkStart w:id="296" w:name="_Toc184310320"/>
      <w:bookmarkEnd w:id="296"/>
      <w:bookmarkStart w:id="297" w:name="_Toc184308046"/>
      <w:bookmarkEnd w:id="297"/>
      <w:bookmarkStart w:id="298" w:name="_Toc184313249"/>
      <w:bookmarkEnd w:id="298"/>
      <w:bookmarkStart w:id="299" w:name="_Toc184312132"/>
      <w:bookmarkEnd w:id="299"/>
      <w:bookmarkStart w:id="300" w:name="_Toc184313240"/>
      <w:bookmarkEnd w:id="300"/>
      <w:bookmarkStart w:id="301" w:name="_Toc184308048"/>
      <w:bookmarkEnd w:id="301"/>
      <w:bookmarkStart w:id="302" w:name="_Toc184310308"/>
      <w:bookmarkEnd w:id="302"/>
      <w:bookmarkStart w:id="303" w:name="_Toc184312139"/>
      <w:bookmarkEnd w:id="303"/>
      <w:bookmarkStart w:id="304" w:name="_Toc184314431"/>
      <w:bookmarkEnd w:id="304"/>
      <w:bookmarkStart w:id="305" w:name="_Toc184313297"/>
      <w:bookmarkEnd w:id="305"/>
      <w:bookmarkStart w:id="306" w:name="_Toc184312072"/>
      <w:bookmarkEnd w:id="306"/>
      <w:bookmarkStart w:id="307" w:name="_Toc184314458"/>
      <w:bookmarkEnd w:id="307"/>
      <w:bookmarkStart w:id="308" w:name="_Toc184313296"/>
      <w:bookmarkEnd w:id="308"/>
      <w:bookmarkStart w:id="309" w:name="_Toc184308085"/>
      <w:bookmarkEnd w:id="309"/>
      <w:bookmarkStart w:id="310" w:name="_Toc184312127"/>
      <w:bookmarkEnd w:id="310"/>
      <w:bookmarkStart w:id="311" w:name="_Toc184314413"/>
      <w:bookmarkEnd w:id="311"/>
      <w:bookmarkStart w:id="312" w:name="_Toc184312104"/>
      <w:bookmarkEnd w:id="312"/>
      <w:bookmarkStart w:id="313" w:name="_Toc184308091"/>
      <w:bookmarkEnd w:id="313"/>
      <w:bookmarkStart w:id="314" w:name="_Toc184313301"/>
      <w:bookmarkEnd w:id="314"/>
      <w:bookmarkStart w:id="315" w:name="_Toc184308083"/>
      <w:bookmarkEnd w:id="315"/>
      <w:bookmarkStart w:id="316" w:name="_Toc184313264"/>
      <w:bookmarkEnd w:id="316"/>
      <w:bookmarkStart w:id="317" w:name="_Toc184313267"/>
      <w:bookmarkEnd w:id="317"/>
      <w:bookmarkStart w:id="318" w:name="_Toc184313306"/>
      <w:bookmarkEnd w:id="318"/>
      <w:bookmarkStart w:id="319" w:name="_Toc184308055"/>
      <w:bookmarkEnd w:id="319"/>
      <w:bookmarkStart w:id="320" w:name="_Toc184310311"/>
      <w:bookmarkEnd w:id="320"/>
      <w:bookmarkStart w:id="321" w:name="_Toc184312089"/>
      <w:bookmarkEnd w:id="321"/>
      <w:bookmarkStart w:id="322" w:name="_Toc184314479"/>
      <w:bookmarkEnd w:id="322"/>
      <w:bookmarkStart w:id="323" w:name="_Toc184308071"/>
      <w:bookmarkEnd w:id="323"/>
      <w:bookmarkStart w:id="324" w:name="_Toc184313258"/>
      <w:bookmarkEnd w:id="324"/>
      <w:bookmarkStart w:id="325" w:name="_Toc184310328"/>
      <w:bookmarkEnd w:id="325"/>
      <w:bookmarkStart w:id="326" w:name="_Toc184313242"/>
      <w:bookmarkEnd w:id="326"/>
      <w:bookmarkStart w:id="327" w:name="_Toc184308047"/>
      <w:bookmarkEnd w:id="327"/>
      <w:bookmarkStart w:id="328" w:name="_Toc184310305"/>
      <w:bookmarkEnd w:id="328"/>
      <w:bookmarkStart w:id="329" w:name="_Toc184308076"/>
      <w:bookmarkEnd w:id="329"/>
      <w:bookmarkStart w:id="330" w:name="_Toc184314425"/>
      <w:bookmarkEnd w:id="330"/>
      <w:bookmarkStart w:id="331" w:name="_Toc184314419"/>
      <w:bookmarkEnd w:id="331"/>
      <w:bookmarkStart w:id="332" w:name="_Toc184310281"/>
      <w:bookmarkEnd w:id="332"/>
      <w:bookmarkStart w:id="333" w:name="_Toc184313303"/>
      <w:bookmarkEnd w:id="333"/>
      <w:bookmarkStart w:id="334" w:name="_Toc184308102"/>
      <w:bookmarkEnd w:id="334"/>
      <w:bookmarkStart w:id="335" w:name="_Toc184314447"/>
      <w:bookmarkEnd w:id="335"/>
      <w:bookmarkStart w:id="336" w:name="_Toc184308043"/>
      <w:bookmarkEnd w:id="336"/>
      <w:bookmarkStart w:id="337" w:name="_Toc184310331"/>
      <w:bookmarkEnd w:id="337"/>
      <w:bookmarkStart w:id="338" w:name="_Toc184310295"/>
      <w:bookmarkEnd w:id="338"/>
      <w:bookmarkStart w:id="339" w:name="_Toc184310318"/>
      <w:bookmarkEnd w:id="339"/>
      <w:bookmarkStart w:id="340" w:name="_Toc184308060"/>
      <w:bookmarkEnd w:id="340"/>
      <w:bookmarkStart w:id="341" w:name="_Toc184313245"/>
      <w:bookmarkEnd w:id="341"/>
      <w:bookmarkStart w:id="342" w:name="_Toc184314422"/>
      <w:bookmarkEnd w:id="342"/>
      <w:bookmarkStart w:id="343" w:name="_Toc184314469"/>
      <w:bookmarkEnd w:id="343"/>
      <w:bookmarkStart w:id="344" w:name="_Toc184313288"/>
      <w:bookmarkEnd w:id="344"/>
      <w:bookmarkStart w:id="345" w:name="_Toc184313254"/>
      <w:bookmarkEnd w:id="345"/>
      <w:bookmarkStart w:id="346" w:name="_Toc184310338"/>
      <w:bookmarkEnd w:id="346"/>
      <w:bookmarkStart w:id="347" w:name="_Toc184313263"/>
      <w:bookmarkEnd w:id="347"/>
      <w:bookmarkStart w:id="348" w:name="_Toc184312079"/>
      <w:bookmarkEnd w:id="348"/>
      <w:bookmarkStart w:id="349" w:name="_Toc184314436"/>
      <w:bookmarkEnd w:id="349"/>
      <w:bookmarkStart w:id="350" w:name="_Toc184312090"/>
      <w:bookmarkEnd w:id="350"/>
      <w:bookmarkStart w:id="351" w:name="_Toc184308077"/>
      <w:bookmarkEnd w:id="351"/>
      <w:bookmarkStart w:id="352" w:name="_Toc184313294"/>
      <w:bookmarkEnd w:id="352"/>
      <w:bookmarkStart w:id="353" w:name="_Toc184308039"/>
      <w:bookmarkEnd w:id="353"/>
      <w:bookmarkStart w:id="354" w:name="_Toc184310299"/>
      <w:bookmarkEnd w:id="354"/>
      <w:bookmarkStart w:id="355" w:name="_Toc184313293"/>
      <w:bookmarkEnd w:id="355"/>
      <w:bookmarkStart w:id="356" w:name="_Toc184310317"/>
      <w:bookmarkEnd w:id="356"/>
      <w:bookmarkStart w:id="357" w:name="_Toc184310332"/>
      <w:bookmarkEnd w:id="357"/>
      <w:bookmarkStart w:id="358" w:name="_Toc184313283"/>
      <w:bookmarkEnd w:id="358"/>
      <w:bookmarkStart w:id="359" w:name="_Toc184312129"/>
      <w:bookmarkEnd w:id="359"/>
      <w:bookmarkStart w:id="360" w:name="_Toc184310325"/>
      <w:bookmarkEnd w:id="360"/>
      <w:bookmarkStart w:id="361" w:name="_Toc184312117"/>
      <w:bookmarkEnd w:id="361"/>
      <w:bookmarkStart w:id="362" w:name="_Toc184312126"/>
      <w:bookmarkEnd w:id="362"/>
      <w:bookmarkStart w:id="363" w:name="_Toc184312103"/>
      <w:bookmarkEnd w:id="363"/>
      <w:bookmarkStart w:id="364" w:name="_Toc184313255"/>
      <w:bookmarkEnd w:id="364"/>
      <w:bookmarkStart w:id="365" w:name="_Toc184312078"/>
      <w:bookmarkEnd w:id="365"/>
      <w:bookmarkStart w:id="366" w:name="_Toc184313286"/>
      <w:bookmarkEnd w:id="366"/>
      <w:bookmarkStart w:id="367" w:name="_Toc184313243"/>
      <w:bookmarkEnd w:id="367"/>
      <w:bookmarkStart w:id="368" w:name="_Toc184308081"/>
      <w:bookmarkEnd w:id="368"/>
      <w:bookmarkStart w:id="369" w:name="_Toc184313276"/>
      <w:bookmarkEnd w:id="369"/>
      <w:bookmarkStart w:id="370" w:name="_Toc184308040"/>
      <w:bookmarkEnd w:id="370"/>
      <w:bookmarkStart w:id="371" w:name="_Toc184310309"/>
      <w:bookmarkEnd w:id="371"/>
      <w:bookmarkStart w:id="372" w:name="_Toc184313268"/>
      <w:bookmarkEnd w:id="372"/>
      <w:bookmarkStart w:id="373" w:name="_Toc184310287"/>
      <w:bookmarkEnd w:id="373"/>
      <w:bookmarkStart w:id="374" w:name="_Toc184313261"/>
      <w:bookmarkEnd w:id="374"/>
      <w:bookmarkStart w:id="375" w:name="_Toc184310335"/>
      <w:bookmarkEnd w:id="375"/>
      <w:bookmarkStart w:id="376" w:name="_Toc184314414"/>
      <w:bookmarkEnd w:id="376"/>
      <w:bookmarkStart w:id="377" w:name="_Toc184312098"/>
      <w:bookmarkEnd w:id="377"/>
      <w:bookmarkStart w:id="378" w:name="_Toc184312116"/>
      <w:bookmarkEnd w:id="378"/>
      <w:bookmarkStart w:id="379" w:name="_Toc184313265"/>
      <w:bookmarkEnd w:id="379"/>
      <w:bookmarkStart w:id="380" w:name="_Toc184308075"/>
      <w:bookmarkEnd w:id="380"/>
      <w:bookmarkStart w:id="381" w:name="_Toc184312122"/>
      <w:bookmarkEnd w:id="381"/>
      <w:bookmarkStart w:id="382" w:name="_Toc184312067"/>
      <w:bookmarkEnd w:id="382"/>
      <w:bookmarkStart w:id="383" w:name="_Toc184314472"/>
      <w:bookmarkEnd w:id="383"/>
      <w:bookmarkStart w:id="384" w:name="_Toc184314467"/>
      <w:bookmarkEnd w:id="384"/>
      <w:bookmarkStart w:id="385" w:name="_Toc184313285"/>
      <w:bookmarkEnd w:id="385"/>
      <w:bookmarkStart w:id="386" w:name="_Toc184313250"/>
      <w:bookmarkEnd w:id="386"/>
      <w:bookmarkStart w:id="387" w:name="_Toc184312082"/>
      <w:bookmarkEnd w:id="387"/>
      <w:bookmarkStart w:id="388" w:name="_Toc184310285"/>
      <w:bookmarkEnd w:id="388"/>
      <w:bookmarkStart w:id="389" w:name="_Toc184310303"/>
      <w:bookmarkEnd w:id="389"/>
      <w:bookmarkStart w:id="390" w:name="_Toc184308058"/>
      <w:bookmarkEnd w:id="390"/>
      <w:bookmarkStart w:id="391" w:name="_Toc184313266"/>
      <w:bookmarkEnd w:id="391"/>
      <w:bookmarkStart w:id="392" w:name="_Toc184308090"/>
      <w:bookmarkEnd w:id="392"/>
      <w:r>
        <w:rPr>
          <w:rFonts w:hint="eastAsia" w:ascii="宋体" w:hAnsi="宋体" w:cs="宋体"/>
          <w:b/>
          <w:color w:val="auto"/>
          <w:sz w:val="36"/>
          <w:szCs w:val="36"/>
        </w:rPr>
        <w:t>评标办法</w:t>
      </w:r>
      <w:r>
        <w:rPr>
          <w:rFonts w:hint="eastAsia" w:ascii="宋体" w:hAnsi="宋体" w:cs="宋体"/>
          <w:color w:val="auto"/>
          <w:sz w:val="24"/>
        </w:rPr>
        <w:t> </w:t>
      </w:r>
    </w:p>
    <w:p w14:paraId="483D3CAD">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02285CC0">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w:t>
      </w:r>
      <w:r>
        <w:rPr>
          <w:rFonts w:hint="eastAsia" w:ascii="宋体" w:hAnsi="宋体" w:cs="宋体"/>
          <w:b/>
          <w:color w:val="auto"/>
          <w:kern w:val="0"/>
          <w:sz w:val="24"/>
          <w:lang w:eastAsia="zh-CN"/>
        </w:rPr>
        <w:t>最低评标价</w:t>
      </w:r>
      <w:r>
        <w:rPr>
          <w:rFonts w:hint="eastAsia" w:ascii="宋体" w:hAnsi="宋体" w:cs="宋体"/>
          <w:b/>
          <w:color w:val="auto"/>
          <w:kern w:val="0"/>
          <w:sz w:val="24"/>
        </w:rPr>
        <w:t>法。</w:t>
      </w:r>
      <w:r>
        <w:rPr>
          <w:rFonts w:hint="eastAsia" w:ascii="宋体" w:hAnsi="宋体" w:cs="宋体"/>
          <w:color w:val="auto"/>
          <w:kern w:val="0"/>
          <w:sz w:val="24"/>
        </w:rPr>
        <w:t>是指以价格为主要因素确定中标供应商的评标方法，即在全部满足招标文件实质性要求前提下，依据统一的价格要素评定最低报价，以提出最低报价的投标人作为中标候选供应商或者中标供应商的评标方法。</w:t>
      </w:r>
    </w:p>
    <w:p w14:paraId="1DDDDE6F">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149D2AB1">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以提出最低报价的投标人作为中标候选供应商。</w:t>
      </w:r>
    </w:p>
    <w:p w14:paraId="1A8D327C">
      <w:pPr>
        <w:spacing w:line="360" w:lineRule="auto"/>
        <w:outlineLvl w:val="0"/>
        <w:rPr>
          <w:rFonts w:ascii="宋体" w:hAnsi="宋体" w:cs="宋体"/>
          <w:b/>
          <w:color w:val="auto"/>
          <w:sz w:val="36"/>
          <w:szCs w:val="36"/>
        </w:rPr>
      </w:pPr>
      <w:r>
        <w:rPr>
          <w:rFonts w:hint="eastAsia" w:ascii="宋体" w:hAnsi="宋体" w:cs="宋体"/>
          <w:b/>
          <w:color w:val="auto"/>
          <w:sz w:val="36"/>
          <w:szCs w:val="36"/>
        </w:rPr>
        <w:t>三、评标程序</w:t>
      </w:r>
    </w:p>
    <w:p w14:paraId="2C5F75A5">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193C4428">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2</w:t>
      </w:r>
      <w:r>
        <w:rPr>
          <w:rFonts w:hint="eastAsia" w:ascii="宋体" w:hAnsi="宋体" w:cs="宋体"/>
          <w:b/>
          <w:color w:val="auto"/>
          <w:kern w:val="0"/>
          <w:sz w:val="24"/>
          <w:highlight w:val="none"/>
        </w:rPr>
        <w:t>报价评审。</w:t>
      </w:r>
    </w:p>
    <w:p w14:paraId="2AA409FD">
      <w:pPr>
        <w:pStyle w:val="129"/>
        <w:spacing w:before="0"/>
        <w:ind w:firstLine="508" w:firstLineChars="212"/>
        <w:rPr>
          <w:rFonts w:ascii="宋体" w:hAnsi="宋体" w:cs="宋体"/>
          <w:color w:val="auto"/>
          <w:kern w:val="0"/>
        </w:rPr>
      </w:pPr>
      <w:r>
        <w:rPr>
          <w:rFonts w:hint="eastAsia" w:ascii="宋体" w:hAnsi="宋体" w:cs="宋体"/>
          <w:color w:val="auto"/>
          <w:kern w:val="0"/>
        </w:rPr>
        <w:t>3.</w:t>
      </w:r>
      <w:r>
        <w:rPr>
          <w:rFonts w:hint="eastAsia" w:ascii="宋体" w:hAnsi="宋体" w:cs="宋体"/>
          <w:color w:val="auto"/>
          <w:kern w:val="0"/>
          <w:lang w:val="en-US" w:eastAsia="zh-CN"/>
        </w:rPr>
        <w:t>2</w:t>
      </w:r>
      <w:r>
        <w:rPr>
          <w:rFonts w:hint="eastAsia" w:ascii="宋体" w:hAnsi="宋体" w:cs="宋体"/>
          <w:color w:val="auto"/>
          <w:kern w:val="0"/>
        </w:rPr>
        <w:t>.1投标文件报价出现前后不一致的，按照下列规定修正：</w:t>
      </w:r>
    </w:p>
    <w:p w14:paraId="649DDFCF">
      <w:pPr>
        <w:pStyle w:val="129"/>
        <w:spacing w:before="0"/>
        <w:ind w:firstLine="480"/>
        <w:rPr>
          <w:rFonts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.1.1投标文件中开标一览表(报价表)内容与投标文件中相应内容不一致的，以开标一览表(报价表)为准;</w:t>
      </w:r>
    </w:p>
    <w:p w14:paraId="3A26BFA7">
      <w:pPr>
        <w:pStyle w:val="129"/>
        <w:spacing w:before="0"/>
        <w:ind w:firstLine="480"/>
        <w:rPr>
          <w:rFonts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.1.2大写金额和小写金额不一致的，以大写金额为准;</w:t>
      </w:r>
    </w:p>
    <w:p w14:paraId="2DD0EACD">
      <w:pPr>
        <w:pStyle w:val="129"/>
        <w:spacing w:before="0"/>
        <w:ind w:firstLine="480"/>
        <w:rPr>
          <w:rFonts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.1.3单价金额小数点或者百分比有明显错位的，以开标一览表的总价为准，并修改单价;</w:t>
      </w:r>
    </w:p>
    <w:p w14:paraId="24208211">
      <w:pPr>
        <w:pStyle w:val="129"/>
        <w:spacing w:before="0"/>
        <w:ind w:firstLine="480"/>
        <w:rPr>
          <w:rFonts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.1.4总价金额与按单价汇总金额不一致的，以单价金额计算结果为准。</w:t>
      </w:r>
    </w:p>
    <w:p w14:paraId="55555BB2">
      <w:pPr>
        <w:pStyle w:val="129"/>
        <w:spacing w:before="0"/>
        <w:ind w:firstLine="480"/>
        <w:rPr>
          <w:rFonts w:hint="eastAsia"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.1.5同时出现两种以上不一致的，按照3.4.1规定的顺序修正。修正后的报价按照财政部第87号令 《政府采购货物和服务招标投标管理办法》第五十一条第二款的规定经投标人确认后产生约束力。</w:t>
      </w:r>
    </w:p>
    <w:p w14:paraId="0C27F856">
      <w:pPr>
        <w:pStyle w:val="129"/>
        <w:spacing w:before="0"/>
        <w:ind w:firstLine="480"/>
        <w:rPr>
          <w:rFonts w:ascii="宋体" w:hAnsi="宋体" w:cs="宋体"/>
          <w:b w:val="0"/>
          <w:bCs w:val="0"/>
          <w:color w:val="auto"/>
          <w:kern w:val="0"/>
          <w:szCs w:val="24"/>
          <w:highlight w:val="none"/>
        </w:rPr>
      </w:pPr>
      <w:r>
        <w:rPr>
          <w:rFonts w:hint="eastAsia" w:ascii="宋体" w:hAnsi="宋体" w:cs="宋体"/>
          <w:b w:val="0"/>
          <w:bCs w:val="0"/>
          <w:color w:val="auto"/>
          <w:kern w:val="0"/>
          <w:szCs w:val="24"/>
          <w:highlight w:val="none"/>
          <w:lang w:val="en-US" w:eastAsia="zh-CN"/>
        </w:rPr>
        <w:t>3.2.1.6</w:t>
      </w:r>
      <w:r>
        <w:rPr>
          <w:rFonts w:hint="eastAsia" w:ascii="宋体" w:hAnsi="宋体" w:cs="宋体"/>
          <w:b w:val="0"/>
          <w:bCs w:val="0"/>
          <w:color w:val="auto"/>
          <w:kern w:val="0"/>
          <w:sz w:val="24"/>
          <w:highlight w:val="none"/>
        </w:rPr>
        <w:t>投标人对根据修正原则修正后的报价不确认的</w:t>
      </w:r>
      <w:r>
        <w:rPr>
          <w:rFonts w:hint="eastAsia" w:ascii="宋体" w:hAnsi="宋体" w:cs="宋体"/>
          <w:b w:val="0"/>
          <w:bCs w:val="0"/>
          <w:color w:val="auto"/>
          <w:kern w:val="0"/>
          <w:sz w:val="24"/>
          <w:highlight w:val="none"/>
          <w:lang w:eastAsia="zh-CN"/>
        </w:rPr>
        <w:t>，投标无效</w:t>
      </w:r>
      <w:r>
        <w:rPr>
          <w:rFonts w:hint="eastAsia" w:ascii="宋体" w:hAnsi="宋体" w:cs="宋体"/>
          <w:b w:val="0"/>
          <w:bCs w:val="0"/>
          <w:color w:val="auto"/>
          <w:sz w:val="24"/>
          <w:highlight w:val="none"/>
        </w:rPr>
        <w:t>。</w:t>
      </w:r>
    </w:p>
    <w:p w14:paraId="3DF2A615">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color w:val="auto"/>
          <w:kern w:val="0"/>
          <w:sz w:val="24"/>
        </w:rPr>
        <w:t>.2投标文件出现不是唯一的、有选择性投标报价的，投标无效。</w:t>
      </w:r>
    </w:p>
    <w:p w14:paraId="117C4D5D">
      <w:pPr>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color w:val="auto"/>
          <w:kern w:val="0"/>
          <w:sz w:val="24"/>
        </w:rPr>
        <w:t>.3投标报价超过招标文件中规定的预算金额或者最高限价的，投标无效。</w:t>
      </w:r>
    </w:p>
    <w:p w14:paraId="692C63A5">
      <w:pPr>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.4资格文件、技术商务文件中出现投标报价信息的</w:t>
      </w:r>
      <w:r>
        <w:rPr>
          <w:rFonts w:hint="eastAsia" w:ascii="宋体" w:hAnsi="宋体" w:cs="宋体"/>
          <w:color w:val="auto"/>
          <w:kern w:val="0"/>
          <w:sz w:val="24"/>
          <w:highlight w:val="none"/>
          <w:lang w:val="en-US" w:eastAsia="zh-CN"/>
        </w:rPr>
        <w:t>，投标无效</w:t>
      </w:r>
      <w:r>
        <w:rPr>
          <w:rFonts w:hint="eastAsia" w:ascii="宋体" w:hAnsi="宋体" w:eastAsia="宋体" w:cs="宋体"/>
          <w:color w:val="auto"/>
          <w:kern w:val="0"/>
          <w:sz w:val="24"/>
          <w:highlight w:val="none"/>
          <w:lang w:val="en-US" w:eastAsia="zh-CN"/>
        </w:rPr>
        <w:t>。</w:t>
      </w:r>
    </w:p>
    <w:p w14:paraId="7E9E030A">
      <w:pPr>
        <w:snapToGrid w:val="0"/>
        <w:spacing w:line="360" w:lineRule="auto"/>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386E2B4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155C0A">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应当将其作为无效投标（响应）处理。</w:t>
      </w:r>
    </w:p>
    <w:p w14:paraId="5D907636">
      <w:pPr>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采购人、采购代理机构应当为</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借助互联网等渠道查询相关信息的，应当严格遵守评审工作纪律，不得实施影响评审公正的行为。</w:t>
      </w:r>
    </w:p>
    <w:p w14:paraId="1E9868DB">
      <w:pPr>
        <w:spacing w:line="360" w:lineRule="auto"/>
        <w:ind w:firstLine="480" w:firstLineChars="200"/>
        <w:rPr>
          <w:rFonts w:hint="eastAsia"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有关互联网浏览、查询历史一并归档。</w:t>
      </w:r>
    </w:p>
    <w:p w14:paraId="07B0CC91">
      <w:pPr>
        <w:pStyle w:val="129"/>
        <w:spacing w:before="0"/>
        <w:ind w:firstLine="480"/>
        <w:rPr>
          <w:rFonts w:hint="eastAsia" w:ascii="宋体" w:hAnsi="宋体" w:cs="宋体"/>
          <w:color w:val="auto"/>
          <w:kern w:val="0"/>
          <w:szCs w:val="24"/>
        </w:rPr>
      </w:pPr>
      <w:r>
        <w:rPr>
          <w:rFonts w:hint="eastAsia" w:ascii="宋体" w:hAnsi="宋体" w:cs="宋体"/>
          <w:color w:val="auto"/>
          <w:kern w:val="0"/>
          <w:szCs w:val="24"/>
        </w:rPr>
        <w:t>3.</w:t>
      </w:r>
      <w:r>
        <w:rPr>
          <w:rFonts w:hint="eastAsia" w:ascii="宋体" w:hAnsi="宋体" w:cs="宋体"/>
          <w:color w:val="auto"/>
          <w:kern w:val="0"/>
          <w:szCs w:val="24"/>
          <w:lang w:val="en-US" w:eastAsia="zh-CN"/>
        </w:rPr>
        <w:t>2</w:t>
      </w:r>
      <w:r>
        <w:rPr>
          <w:rFonts w:hint="eastAsia" w:ascii="宋体" w:hAnsi="宋体" w:cs="宋体"/>
          <w:color w:val="auto"/>
          <w:kern w:val="0"/>
          <w:szCs w:val="24"/>
        </w:rPr>
        <w:t>.</w:t>
      </w:r>
      <w:r>
        <w:rPr>
          <w:rFonts w:hint="eastAsia" w:ascii="宋体" w:hAnsi="宋体" w:cs="宋体"/>
          <w:color w:val="auto"/>
          <w:kern w:val="0"/>
          <w:szCs w:val="24"/>
          <w:lang w:val="en-US" w:eastAsia="zh-CN"/>
        </w:rPr>
        <w:t>6</w:t>
      </w:r>
      <w:r>
        <w:rPr>
          <w:rFonts w:hint="eastAsia" w:ascii="宋体" w:hAnsi="宋体" w:cs="宋体"/>
          <w:color w:val="auto"/>
          <w:kern w:val="0"/>
          <w:szCs w:val="24"/>
        </w:rPr>
        <w:t>对于未预留份额专门面向中小企业的政府采购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项目，以及预留份额政府采购</w:t>
      </w:r>
      <w:r>
        <w:rPr>
          <w:rFonts w:hint="eastAsia" w:ascii="宋体" w:hAnsi="宋体" w:cs="宋体"/>
          <w:color w:val="auto"/>
          <w:kern w:val="0"/>
          <w:szCs w:val="24"/>
          <w:highlight w:val="none"/>
          <w:lang w:eastAsia="zh-CN"/>
        </w:rPr>
        <w:t>货物</w:t>
      </w:r>
      <w:r>
        <w:rPr>
          <w:rFonts w:hint="eastAsia" w:ascii="宋体" w:hAnsi="宋体" w:cs="宋体"/>
          <w:color w:val="auto"/>
          <w:kern w:val="0"/>
          <w:szCs w:val="24"/>
        </w:rPr>
        <w:t>项目中的非预留部分标项，对小型和微型企业的投标报价给予</w:t>
      </w:r>
      <w:r>
        <w:rPr>
          <w:rFonts w:hint="eastAsia" w:ascii="宋体" w:hAnsi="宋体" w:cs="宋体"/>
          <w:color w:val="auto"/>
          <w:kern w:val="0"/>
          <w:szCs w:val="24"/>
          <w:u w:val="single"/>
          <w:lang w:val="en-US" w:eastAsia="zh-CN"/>
        </w:rPr>
        <w:t>1</w:t>
      </w:r>
      <w:r>
        <w:rPr>
          <w:rFonts w:ascii="宋体" w:hAnsi="宋体" w:cs="宋体"/>
          <w:color w:val="auto"/>
          <w:kern w:val="0"/>
          <w:szCs w:val="24"/>
          <w:u w:val="single"/>
        </w:rPr>
        <w:t>0</w:t>
      </w:r>
      <w:r>
        <w:rPr>
          <w:rFonts w:hint="eastAsia" w:ascii="宋体" w:hAnsi="宋体" w:cs="宋体"/>
          <w:color w:val="auto"/>
          <w:kern w:val="0"/>
          <w:szCs w:val="24"/>
          <w:u w:val="single"/>
        </w:rPr>
        <w:t>%</w:t>
      </w:r>
      <w:r>
        <w:rPr>
          <w:rFonts w:hint="eastAsia" w:ascii="宋体" w:hAnsi="宋体" w:cs="宋体"/>
          <w:color w:val="auto"/>
          <w:kern w:val="0"/>
          <w:szCs w:val="24"/>
          <w:u w:val="none"/>
        </w:rPr>
        <w:t>的</w:t>
      </w:r>
      <w:r>
        <w:rPr>
          <w:rFonts w:hint="eastAsia" w:ascii="宋体" w:hAnsi="宋体" w:cs="宋体"/>
          <w:color w:val="auto"/>
          <w:kern w:val="0"/>
          <w:szCs w:val="24"/>
        </w:rPr>
        <w:t>扣除，用扣除后的价格参与评审。接受大中型企业与小微企业组成联合体或者允许大中型企业向一家或者多家小微企业分包的政府采购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项目，对于联合协议或者分包意向协议约定小微企业的合同份额占到合同总金额</w:t>
      </w:r>
      <w:r>
        <w:rPr>
          <w:rFonts w:hint="eastAsia" w:ascii="宋体" w:hAnsi="宋体" w:cs="宋体"/>
          <w:color w:val="auto"/>
          <w:kern w:val="0"/>
          <w:szCs w:val="24"/>
          <w:u w:val="single"/>
        </w:rPr>
        <w:t>30%</w:t>
      </w:r>
      <w:r>
        <w:rPr>
          <w:rFonts w:hint="eastAsia" w:ascii="宋体" w:hAnsi="宋体" w:cs="宋体"/>
          <w:color w:val="auto"/>
          <w:kern w:val="0"/>
          <w:szCs w:val="24"/>
        </w:rPr>
        <w:t>以上的，对联合体或者大中型企业的报价给予</w:t>
      </w:r>
      <w:r>
        <w:rPr>
          <w:rFonts w:hint="eastAsia" w:ascii="宋体" w:hAnsi="宋体" w:cs="宋体"/>
          <w:color w:val="auto"/>
          <w:kern w:val="0"/>
          <w:szCs w:val="24"/>
          <w:u w:val="single"/>
        </w:rPr>
        <w:t>4%</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w:t>
      </w:r>
    </w:p>
    <w:p w14:paraId="29E0E38D">
      <w:pPr>
        <w:pStyle w:val="129"/>
        <w:spacing w:before="0"/>
        <w:ind w:firstLine="48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lang w:val="en-US" w:eastAsia="zh-CN"/>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根据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F86366">
      <w:pPr>
        <w:pStyle w:val="129"/>
        <w:spacing w:before="0"/>
        <w:ind w:firstLine="48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评标委员会</w:t>
      </w:r>
      <w:r>
        <w:rPr>
          <w:rFonts w:hint="eastAsia" w:ascii="宋体" w:hAnsi="宋体" w:eastAsia="宋体"/>
          <w:color w:val="000000" w:themeColor="text1"/>
          <w:szCs w:val="21"/>
          <w:highlight w:val="none"/>
          <w:lang w:val="en-US" w:eastAsia="zh-CN"/>
          <w14:textFill>
            <w14:solidFill>
              <w14:schemeClr w14:val="tx1"/>
            </w14:solidFill>
          </w14:textFill>
        </w:rPr>
        <w:t>应对《关于符合本国产品标准的声明函》的完整性、准确性进行审查，审查中发现《声明函》内容含义不明确、同类事项与投标（响应）文件表述不一致或有明显文字错误等情况，应当以书面形式要求供应商做出必要的澄清、说明或者补正，经澄清、说明或者补正后仍不符合规定要求的，供应商提供的相关产品视为不符合本国产品。</w:t>
      </w:r>
    </w:p>
    <w:p w14:paraId="77DDC966">
      <w:pPr>
        <w:spacing w:line="360" w:lineRule="auto"/>
        <w:ind w:firstLine="482" w:firstLineChars="200"/>
        <w:rPr>
          <w:rFonts w:hint="default" w:ascii="宋体" w:hAnsi="宋体" w:eastAsia="宋体" w:cs="宋体"/>
          <w:color w:val="auto"/>
          <w:kern w:val="0"/>
          <w:sz w:val="24"/>
          <w:lang w:val="en-US" w:eastAsia="zh-CN"/>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排序与推荐。</w:t>
      </w:r>
      <w:r>
        <w:rPr>
          <w:rFonts w:hint="eastAsia" w:ascii="宋体" w:hAnsi="宋体" w:cs="宋体"/>
          <w:color w:val="auto"/>
          <w:kern w:val="0"/>
          <w:sz w:val="24"/>
          <w:highlight w:val="none"/>
        </w:rPr>
        <w:t>采用最低评标价法，评标结果按投标报价由低到高顺序排列</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u w:val="single"/>
          <w:lang w:val="en-US" w:eastAsia="zh-CN"/>
        </w:rPr>
        <w:t xml:space="preserve"> 2 </w:t>
      </w:r>
      <w:r>
        <w:rPr>
          <w:rFonts w:hint="eastAsia" w:ascii="宋体" w:hAnsi="宋体" w:cs="宋体"/>
          <w:color w:val="auto"/>
          <w:kern w:val="0"/>
          <w:sz w:val="24"/>
          <w:highlight w:val="none"/>
          <w:u w:val="none"/>
          <w:lang w:val="en-US" w:eastAsia="zh-CN"/>
        </w:rPr>
        <w:t>名</w:t>
      </w:r>
      <w:r>
        <w:rPr>
          <w:rFonts w:hint="eastAsia" w:ascii="宋体" w:hAnsi="宋体" w:cs="宋体"/>
          <w:color w:val="auto"/>
          <w:kern w:val="0"/>
          <w:sz w:val="24"/>
          <w:highlight w:val="none"/>
          <w:lang w:val="en-US" w:eastAsia="zh-CN"/>
        </w:rPr>
        <w:t>中标候选人。</w:t>
      </w:r>
      <w:r>
        <w:rPr>
          <w:rFonts w:hint="eastAsia" w:ascii="宋体" w:hAnsi="宋体" w:cs="宋体"/>
          <w:color w:val="auto"/>
          <w:kern w:val="0"/>
          <w:sz w:val="24"/>
          <w:highlight w:val="none"/>
        </w:rPr>
        <w:t>投标文件满足招标文件全部实质性要求，</w:t>
      </w:r>
      <w:r>
        <w:rPr>
          <w:rFonts w:ascii="Segoe UI" w:hAnsi="Segoe UI" w:eastAsia="Segoe UI" w:cs="Segoe UI"/>
          <w:i w:val="0"/>
          <w:iCs w:val="0"/>
          <w:caps w:val="0"/>
          <w:color w:val="0F1115"/>
          <w:spacing w:val="0"/>
          <w:sz w:val="24"/>
          <w:szCs w:val="24"/>
          <w:highlight w:val="none"/>
          <w:shd w:val="clear" w:fill="FFFFFF"/>
        </w:rPr>
        <w:t>并按照评审因素的量化指标予以评分，得分最高者列为第一中标候选人，得分次高者列为第二中标候选人。若第一中标候选人出现不符合中标条件或无法履约等情形，则由第二中标候选人按序替补中标。</w:t>
      </w:r>
    </w:p>
    <w:p w14:paraId="29972E01">
      <w:pPr>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1AC9846">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w:t>
      </w:r>
      <w:r>
        <w:rPr>
          <w:rFonts w:hint="eastAsia" w:ascii="宋体" w:hAnsi="宋体" w:cs="宋体"/>
          <w:b/>
          <w:color w:val="auto"/>
          <w:kern w:val="0"/>
          <w:sz w:val="24"/>
          <w:lang w:val="en-US" w:eastAsia="zh-CN"/>
        </w:rPr>
        <w:t>4</w:t>
      </w:r>
      <w:r>
        <w:rPr>
          <w:rFonts w:hint="eastAsia" w:ascii="宋体" w:hAnsi="宋体" w:cs="宋体"/>
          <w:b/>
          <w:color w:val="auto"/>
          <w:kern w:val="0"/>
          <w:sz w:val="24"/>
        </w:rPr>
        <w:t>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32D4AC">
      <w:pPr>
        <w:widowControl/>
        <w:shd w:val="clear" w:color="auto" w:fill="FFFFFF"/>
        <w:adjustRightInd/>
        <w:spacing w:after="225" w:line="315" w:lineRule="atLeast"/>
        <w:jc w:val="left"/>
        <w:rPr>
          <w:rFonts w:ascii="宋体" w:hAnsi="宋体" w:cs="宋体"/>
          <w:b/>
          <w:color w:val="auto"/>
          <w:sz w:val="32"/>
        </w:rPr>
      </w:pPr>
      <w:r>
        <w:rPr>
          <w:rFonts w:hint="eastAsia" w:ascii="宋体" w:hAnsi="宋体" w:cs="宋体"/>
          <w:b/>
          <w:color w:val="auto"/>
          <w:sz w:val="32"/>
        </w:rPr>
        <w:t>四、评标中的其他事项</w:t>
      </w:r>
    </w:p>
    <w:p w14:paraId="2B7C4542">
      <w:pPr>
        <w:pStyle w:val="129"/>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w:t>
      </w:r>
      <w:r>
        <w:rPr>
          <w:rFonts w:hint="eastAsia" w:ascii="宋体" w:hAnsi="宋体" w:cs="宋体"/>
          <w:color w:val="auto"/>
          <w:kern w:val="0"/>
          <w:szCs w:val="24"/>
          <w:lang w:val="en-US" w:eastAsia="zh-CN"/>
        </w:rPr>
        <w:t>如果投标人拒绝或逾期回复，评标委员会将对其作出不利的评审。</w:t>
      </w:r>
      <w:r>
        <w:rPr>
          <w:rFonts w:hint="eastAsia" w:ascii="宋体" w:hAnsi="宋体" w:cs="宋体"/>
          <w:color w:val="auto"/>
          <w:kern w:val="0"/>
          <w:szCs w:val="24"/>
        </w:rPr>
        <w:t>投标人的澄清、说明或者补正不得超出投标文件的范围或者改变投标文件的实质性内容。</w:t>
      </w:r>
    </w:p>
    <w:p w14:paraId="54A0C049">
      <w:pPr>
        <w:pStyle w:val="25"/>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14:paraId="5AD246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14:paraId="0D61DAD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4.2.2投标文件未按照招标文件要求签署、盖章的；</w:t>
      </w:r>
    </w:p>
    <w:p w14:paraId="19CFDF29">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14:paraId="1E3F972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4.2.4投标文件含有采购人不能接受的附加条件的；</w:t>
      </w:r>
    </w:p>
    <w:p w14:paraId="269AB846">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4.2.5投标文件中承诺的投标有效期少于招标文件中载明的投标有效期的；</w:t>
      </w:r>
    </w:p>
    <w:p w14:paraId="5ED09E31">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4.2.6投标文件出现不是唯一的、有选择性投标报价的;</w:t>
      </w:r>
    </w:p>
    <w:p w14:paraId="702A026B">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4.2.7投标报价超过招标文件中规定的预算金额或者最高限价的;</w:t>
      </w:r>
    </w:p>
    <w:p w14:paraId="4995896F">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4.2.8报价明显低于其他通过符合性审查投标人的报价，有可能影响产品质量或者不能诚信履约的，未能按要求提供书面说明或者提交相关证明材料，不能证明其报价合理性的;</w:t>
      </w:r>
    </w:p>
    <w:p w14:paraId="7595DACA">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4.2.9投标人对根据修正原则修正后的报价不确认的；</w:t>
      </w:r>
    </w:p>
    <w:p w14:paraId="20892906">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4.2.10投标人提供虚假材料投标的；</w:t>
      </w:r>
    </w:p>
    <w:p w14:paraId="746DA40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4.2.11投标人有恶意串通、妨碍其他投标人的竞争行为、损害采购人或者其他投标人的合法权益情形的；</w:t>
      </w:r>
    </w:p>
    <w:p w14:paraId="16CB8F3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4.2.12投标人仅提交备份投标文件，未在电子交易平台传输递交投标文件的，投标无效；</w:t>
      </w:r>
    </w:p>
    <w:p w14:paraId="1841F922">
      <w:pPr>
        <w:spacing w:line="360" w:lineRule="auto"/>
        <w:ind w:firstLine="480" w:firstLineChars="200"/>
        <w:rPr>
          <w:rFonts w:hint="eastAsia" w:ascii="宋体" w:hAnsi="宋体" w:eastAsia="宋体" w:cs="宋体"/>
          <w:color w:val="auto"/>
          <w:kern w:val="0"/>
          <w:sz w:val="24"/>
          <w:lang w:val="en-US"/>
        </w:rPr>
      </w:pPr>
      <w:r>
        <w:rPr>
          <w:rFonts w:hint="eastAsia" w:ascii="宋体" w:hAnsi="宋体" w:eastAsia="宋体" w:cs="宋体"/>
          <w:color w:val="auto"/>
          <w:kern w:val="0"/>
          <w:sz w:val="24"/>
          <w:lang w:val="en-US"/>
        </w:rPr>
        <w:t>4.2.13 投标文件不满足招标文件的其它实质性要求的；</w:t>
      </w:r>
    </w:p>
    <w:p w14:paraId="56CD500A">
      <w:pPr>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4.2.14参与同一个采购包（标段）的供应商存在下列情形之一且无法合理解释的，其投标（响应）文件无效：（1）不同供应商的电子投标（响应）文件上传计算机的</w:t>
      </w:r>
      <w:r>
        <w:rPr>
          <w:rFonts w:hint="eastAsia" w:ascii="宋体" w:hAnsi="宋体" w:eastAsia="宋体" w:cs="宋体"/>
          <w:color w:val="auto"/>
          <w:kern w:val="0"/>
          <w:sz w:val="24"/>
          <w:highlight w:val="none"/>
          <w:lang w:val="en-US" w:eastAsia="zh-CN"/>
        </w:rPr>
        <w:t>网卡MAC地址</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lang w:val="en-US" w:eastAsia="zh-CN"/>
        </w:rPr>
        <w:t>硬盘序列号等</w:t>
      </w:r>
      <w:r>
        <w:rPr>
          <w:rFonts w:hint="eastAsia" w:ascii="宋体" w:hAnsi="宋体" w:eastAsia="宋体" w:cs="宋体"/>
          <w:color w:val="auto"/>
          <w:kern w:val="0"/>
          <w:sz w:val="24"/>
          <w:lang w:val="en-US" w:eastAsia="zh-CN"/>
        </w:rPr>
        <w:t>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0BF58FC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ascii="宋体" w:hAnsi="宋体" w:cs="宋体"/>
          <w:color w:val="auto"/>
          <w:kern w:val="0"/>
          <w:sz w:val="24"/>
        </w:rPr>
        <w:t>5</w:t>
      </w:r>
      <w:r>
        <w:rPr>
          <w:rFonts w:hint="eastAsia" w:ascii="宋体" w:hAnsi="宋体" w:cs="宋体"/>
          <w:color w:val="auto"/>
          <w:kern w:val="0"/>
          <w:sz w:val="24"/>
        </w:rPr>
        <w:t>法律、法规、规章（适用本市的）及省级以上规范性文件（适用本市的）规定的其他无效情形。</w:t>
      </w:r>
    </w:p>
    <w:p w14:paraId="38CE92BC">
      <w:pPr>
        <w:pStyle w:val="25"/>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784EA11A">
      <w:pPr>
        <w:pStyle w:val="25"/>
        <w:snapToGrid w:val="0"/>
        <w:spacing w:line="360" w:lineRule="auto"/>
        <w:rPr>
          <w:rFonts w:cs="宋体"/>
          <w:color w:val="auto"/>
        </w:rPr>
      </w:pPr>
      <w:r>
        <w:rPr>
          <w:rFonts w:hint="eastAsia" w:cs="宋体"/>
          <w:color w:val="auto"/>
        </w:rPr>
        <w:t>5.1符合专业条件的供应商或者对招标文件作实质响应的供应商不足3家的；</w:t>
      </w:r>
    </w:p>
    <w:p w14:paraId="42F39987">
      <w:pPr>
        <w:pStyle w:val="25"/>
        <w:snapToGrid w:val="0"/>
        <w:spacing w:line="360" w:lineRule="auto"/>
        <w:rPr>
          <w:rFonts w:cs="宋体"/>
          <w:color w:val="auto"/>
        </w:rPr>
      </w:pPr>
      <w:r>
        <w:rPr>
          <w:rFonts w:hint="eastAsia" w:cs="宋体"/>
          <w:color w:val="auto"/>
        </w:rPr>
        <w:t>5.2出现影响采购公正的违法、违规行为的；</w:t>
      </w:r>
    </w:p>
    <w:p w14:paraId="5AF0BBC0">
      <w:pPr>
        <w:pStyle w:val="25"/>
        <w:snapToGrid w:val="0"/>
        <w:spacing w:line="360" w:lineRule="auto"/>
        <w:rPr>
          <w:rFonts w:cs="宋体"/>
          <w:color w:val="auto"/>
        </w:rPr>
      </w:pPr>
      <w:r>
        <w:rPr>
          <w:rFonts w:hint="eastAsia" w:cs="宋体"/>
          <w:color w:val="auto"/>
        </w:rPr>
        <w:t>5.3投标人的报价均超过了采购预算，采购人不能支付的；</w:t>
      </w:r>
    </w:p>
    <w:p w14:paraId="617B964A">
      <w:pPr>
        <w:pStyle w:val="25"/>
        <w:snapToGrid w:val="0"/>
        <w:spacing w:line="360" w:lineRule="auto"/>
        <w:rPr>
          <w:rFonts w:cs="宋体"/>
          <w:color w:val="auto"/>
        </w:rPr>
      </w:pPr>
      <w:r>
        <w:rPr>
          <w:rFonts w:hint="eastAsia" w:cs="宋体"/>
          <w:color w:val="auto"/>
        </w:rPr>
        <w:t>5.4因重大变故，采购任务取消的。</w:t>
      </w:r>
    </w:p>
    <w:p w14:paraId="2BBF1201">
      <w:pPr>
        <w:pStyle w:val="25"/>
        <w:snapToGrid w:val="0"/>
        <w:spacing w:line="360" w:lineRule="auto"/>
        <w:rPr>
          <w:rFonts w:cs="宋体"/>
          <w:color w:val="auto"/>
        </w:rPr>
      </w:pPr>
      <w:r>
        <w:rPr>
          <w:rFonts w:hint="eastAsia" w:cs="宋体"/>
          <w:color w:val="auto"/>
        </w:rPr>
        <w:t>废标后，</w:t>
      </w:r>
      <w:r>
        <w:rPr>
          <w:rFonts w:hint="eastAsia" w:cs="宋体"/>
          <w:color w:val="auto"/>
          <w:lang w:eastAsia="zh-CN"/>
        </w:rPr>
        <w:t>采购代理机构</w:t>
      </w:r>
      <w:r>
        <w:rPr>
          <w:rFonts w:hint="eastAsia" w:cs="宋体"/>
          <w:color w:val="auto"/>
        </w:rPr>
        <w:t>应当将废标理由通知所有投标人。</w:t>
      </w:r>
    </w:p>
    <w:p w14:paraId="488E1F2A">
      <w:pPr>
        <w:pStyle w:val="25"/>
        <w:snapToGrid w:val="0"/>
        <w:spacing w:line="360" w:lineRule="auto"/>
        <w:ind w:firstLine="590" w:firstLineChars="245"/>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w:t>
      </w:r>
      <w:r>
        <w:rPr>
          <w:rFonts w:hint="eastAsia" w:cs="宋体"/>
          <w:color w:val="auto"/>
          <w:lang w:eastAsia="zh-CN"/>
        </w:rPr>
        <w:t>采购代理机构</w:t>
      </w:r>
      <w:r>
        <w:rPr>
          <w:rFonts w:hint="eastAsia" w:cs="宋体"/>
          <w:color w:val="auto"/>
        </w:rPr>
        <w:t>沟通并作书面记录。采购人、</w:t>
      </w:r>
      <w:r>
        <w:rPr>
          <w:rFonts w:hint="eastAsia" w:cs="宋体"/>
          <w:color w:val="auto"/>
          <w:lang w:eastAsia="zh-CN"/>
        </w:rPr>
        <w:t>采购代理机构</w:t>
      </w:r>
      <w:r>
        <w:rPr>
          <w:rFonts w:hint="eastAsia" w:cs="宋体"/>
          <w:color w:val="auto"/>
        </w:rPr>
        <w:t>确认后，将修改招标文件，重新组织采购活动。</w:t>
      </w:r>
    </w:p>
    <w:p w14:paraId="50A7D155">
      <w:pPr>
        <w:pStyle w:val="25"/>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216BD445">
      <w:pPr>
        <w:pStyle w:val="25"/>
        <w:snapToGrid w:val="0"/>
        <w:spacing w:line="360" w:lineRule="auto"/>
        <w:rPr>
          <w:rFonts w:cs="宋体"/>
          <w:color w:val="auto"/>
        </w:rPr>
      </w:pPr>
      <w:r>
        <w:rPr>
          <w:rFonts w:hint="eastAsia" w:cs="宋体"/>
          <w:color w:val="auto"/>
        </w:rPr>
        <w:t>7.1未确定</w:t>
      </w:r>
      <w:r>
        <w:rPr>
          <w:rFonts w:hint="eastAsia" w:cs="宋体"/>
          <w:color w:val="auto"/>
          <w:lang w:eastAsia="zh-CN"/>
        </w:rPr>
        <w:t>中标人</w:t>
      </w:r>
      <w:r>
        <w:rPr>
          <w:rFonts w:hint="eastAsia" w:cs="宋体"/>
          <w:color w:val="auto"/>
        </w:rPr>
        <w:t>的，终止本次政府采购活动，重新开展政府采购活动。</w:t>
      </w:r>
    </w:p>
    <w:p w14:paraId="5E61B123">
      <w:pPr>
        <w:pStyle w:val="25"/>
        <w:snapToGrid w:val="0"/>
        <w:spacing w:line="360" w:lineRule="auto"/>
        <w:rPr>
          <w:rFonts w:cs="宋体"/>
          <w:color w:val="auto"/>
        </w:rPr>
      </w:pPr>
      <w:r>
        <w:rPr>
          <w:rFonts w:hint="eastAsia" w:cs="宋体"/>
          <w:color w:val="auto"/>
        </w:rPr>
        <w:t>7.2已确定</w:t>
      </w:r>
      <w:r>
        <w:rPr>
          <w:rFonts w:hint="eastAsia" w:cs="宋体"/>
          <w:color w:val="auto"/>
          <w:lang w:eastAsia="zh-CN"/>
        </w:rPr>
        <w:t>中标人</w:t>
      </w:r>
      <w:r>
        <w:rPr>
          <w:rFonts w:hint="eastAsia" w:cs="宋体"/>
          <w:color w:val="auto"/>
        </w:rPr>
        <w:t>但尚未签订政府采购合同的，中标结果无效，从合格的中标候选人中另行确定</w:t>
      </w:r>
      <w:r>
        <w:rPr>
          <w:rFonts w:hint="eastAsia" w:cs="宋体"/>
          <w:color w:val="auto"/>
          <w:lang w:eastAsia="zh-CN"/>
        </w:rPr>
        <w:t>中标人</w:t>
      </w:r>
      <w:r>
        <w:rPr>
          <w:rFonts w:hint="eastAsia" w:cs="宋体"/>
          <w:color w:val="auto"/>
        </w:rPr>
        <w:t>；没有合格的中标候选人的，重新开展政府采购活动。</w:t>
      </w:r>
    </w:p>
    <w:p w14:paraId="7C5EF408">
      <w:pPr>
        <w:pStyle w:val="25"/>
        <w:snapToGrid w:val="0"/>
        <w:spacing w:line="360" w:lineRule="auto"/>
        <w:rPr>
          <w:rFonts w:cs="宋体"/>
          <w:color w:val="auto"/>
        </w:rPr>
      </w:pPr>
      <w:r>
        <w:rPr>
          <w:rFonts w:hint="eastAsia" w:cs="宋体"/>
          <w:color w:val="auto"/>
        </w:rPr>
        <w:t>7.3政府采购合同已签订但尚未履行的，撤销合同，从合格的中标候选人中另行确定</w:t>
      </w:r>
      <w:r>
        <w:rPr>
          <w:rFonts w:hint="eastAsia" w:cs="宋体"/>
          <w:color w:val="auto"/>
          <w:lang w:eastAsia="zh-CN"/>
        </w:rPr>
        <w:t>中标人</w:t>
      </w:r>
      <w:r>
        <w:rPr>
          <w:rFonts w:hint="eastAsia" w:cs="宋体"/>
          <w:color w:val="auto"/>
        </w:rPr>
        <w:t>；没有合格的中标候选人的，重新开展政府采购活动。</w:t>
      </w:r>
    </w:p>
    <w:p w14:paraId="0BD53999">
      <w:pPr>
        <w:pStyle w:val="25"/>
        <w:snapToGrid w:val="0"/>
        <w:spacing w:line="360" w:lineRule="auto"/>
        <w:rPr>
          <w:rFonts w:cs="宋体"/>
          <w:color w:val="auto"/>
        </w:rPr>
      </w:pPr>
      <w:r>
        <w:rPr>
          <w:rFonts w:hint="eastAsia" w:cs="宋体"/>
          <w:color w:val="auto"/>
        </w:rPr>
        <w:t>7.4政府采购合同已经履行，给采购人、供应商造成损失的，由责任人承担赔偿责任。</w:t>
      </w:r>
    </w:p>
    <w:p w14:paraId="1E036CD9">
      <w:pPr>
        <w:pStyle w:val="25"/>
        <w:snapToGrid w:val="0"/>
        <w:spacing w:line="360" w:lineRule="auto"/>
        <w:rPr>
          <w:rFonts w:ascii="宋体" w:hAnsi="宋体" w:cs="宋体"/>
          <w:b/>
          <w:color w:val="auto"/>
          <w:sz w:val="36"/>
          <w:szCs w:val="36"/>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bookmarkEnd w:id="26"/>
      <w:bookmarkStart w:id="393" w:name="第五部分"/>
      <w:bookmarkStart w:id="394" w:name="_Toc86217003"/>
    </w:p>
    <w:p w14:paraId="25203121">
      <w:pPr>
        <w:spacing w:line="360" w:lineRule="auto"/>
        <w:outlineLvl w:val="0"/>
        <w:rPr>
          <w:rFonts w:hint="eastAsia" w:ascii="宋体" w:hAnsi="宋体" w:cs="宋体"/>
          <w:b/>
          <w:color w:val="auto"/>
          <w:sz w:val="36"/>
          <w:szCs w:val="36"/>
        </w:rPr>
        <w:sectPr>
          <w:pgSz w:w="11907" w:h="16840"/>
          <w:pgMar w:top="1474" w:right="1814" w:bottom="1474" w:left="1814" w:header="851" w:footer="851" w:gutter="0"/>
          <w:cols w:space="720" w:num="1"/>
        </w:sectPr>
      </w:pPr>
    </w:p>
    <w:p w14:paraId="28657D70">
      <w:pPr>
        <w:spacing w:line="360" w:lineRule="auto"/>
        <w:ind w:left="720" w:leftChars="343" w:firstLine="1084" w:firstLineChars="300"/>
        <w:outlineLvl w:val="0"/>
        <w:rPr>
          <w:rFonts w:ascii="宋体" w:hAnsi="宋体" w:cs="宋体"/>
          <w:b/>
          <w:color w:val="auto"/>
          <w:sz w:val="36"/>
          <w:szCs w:val="36"/>
        </w:rPr>
      </w:pPr>
      <w:r>
        <w:rPr>
          <w:rFonts w:hint="eastAsia" w:ascii="宋体" w:hAnsi="宋体" w:cs="宋体"/>
          <w:b/>
          <w:color w:val="auto"/>
          <w:sz w:val="36"/>
          <w:szCs w:val="36"/>
        </w:rPr>
        <w:t>第五部分 拟签订的合同文本</w:t>
      </w:r>
    </w:p>
    <w:p w14:paraId="1045E103">
      <w:pPr>
        <w:pStyle w:val="23"/>
        <w:spacing w:after="0"/>
        <w:jc w:val="center"/>
        <w:rPr>
          <w:rFonts w:ascii="宋体" w:hAnsi="宋体" w:cs="宋体"/>
          <w:b/>
          <w:bCs/>
          <w:spacing w:val="-20"/>
          <w:kern w:val="44"/>
          <w:sz w:val="48"/>
          <w:szCs w:val="48"/>
        </w:rPr>
      </w:pPr>
      <w:bookmarkStart w:id="395" w:name="_Toc3995"/>
    </w:p>
    <w:p w14:paraId="76704080">
      <w:pPr>
        <w:pStyle w:val="23"/>
        <w:spacing w:after="0"/>
        <w:jc w:val="center"/>
        <w:rPr>
          <w:rFonts w:hint="eastAsia" w:asciiTheme="minorEastAsia" w:hAnsiTheme="minorEastAsia" w:eastAsiaTheme="minorEastAsia" w:cstheme="minorEastAsia"/>
          <w:b/>
          <w:bCs/>
          <w:spacing w:val="-20"/>
          <w:kern w:val="44"/>
          <w:sz w:val="48"/>
          <w:szCs w:val="48"/>
        </w:rPr>
      </w:pPr>
    </w:p>
    <w:p w14:paraId="51222370">
      <w:pPr>
        <w:pStyle w:val="23"/>
        <w:spacing w:after="0"/>
        <w:jc w:val="center"/>
        <w:rPr>
          <w:rFonts w:hint="eastAsia" w:asciiTheme="minorEastAsia" w:hAnsiTheme="minorEastAsia" w:eastAsiaTheme="minorEastAsia" w:cstheme="minorEastAsia"/>
          <w:b/>
          <w:bCs/>
          <w:spacing w:val="-20"/>
          <w:kern w:val="44"/>
          <w:sz w:val="48"/>
          <w:szCs w:val="48"/>
        </w:rPr>
      </w:pPr>
    </w:p>
    <w:p w14:paraId="22BECFD6">
      <w:pPr>
        <w:pStyle w:val="23"/>
        <w:spacing w:after="0"/>
        <w:jc w:val="center"/>
        <w:rPr>
          <w:rFonts w:hint="eastAsia" w:asciiTheme="minorEastAsia" w:hAnsiTheme="minorEastAsia" w:eastAsiaTheme="minorEastAsia" w:cstheme="minorEastAsia"/>
          <w:b/>
          <w:bCs/>
          <w:spacing w:val="-20"/>
          <w:kern w:val="44"/>
          <w:sz w:val="48"/>
          <w:szCs w:val="48"/>
        </w:rPr>
      </w:pPr>
    </w:p>
    <w:p w14:paraId="79791716">
      <w:pPr>
        <w:pStyle w:val="23"/>
        <w:spacing w:after="0"/>
        <w:jc w:val="center"/>
        <w:rPr>
          <w:rFonts w:hint="eastAsia" w:asciiTheme="minorEastAsia" w:hAnsiTheme="minorEastAsia" w:eastAsiaTheme="minorEastAsia" w:cstheme="minorEastAsia"/>
          <w:b/>
          <w:bCs/>
          <w:spacing w:val="-20"/>
          <w:kern w:val="44"/>
          <w:sz w:val="48"/>
          <w:szCs w:val="48"/>
        </w:rPr>
      </w:pPr>
    </w:p>
    <w:p w14:paraId="4BA4A2CB">
      <w:pPr>
        <w:pStyle w:val="23"/>
        <w:spacing w:after="0"/>
        <w:jc w:val="center"/>
        <w:rPr>
          <w:rFonts w:hint="eastAsia" w:asciiTheme="minorEastAsia" w:hAnsiTheme="minorEastAsia" w:eastAsiaTheme="minorEastAsia" w:cstheme="minorEastAsia"/>
          <w:b/>
          <w:bCs/>
          <w:spacing w:val="-20"/>
          <w:kern w:val="44"/>
          <w:sz w:val="48"/>
          <w:szCs w:val="48"/>
        </w:rPr>
      </w:pPr>
      <w:r>
        <w:rPr>
          <w:rFonts w:hint="eastAsia" w:asciiTheme="minorEastAsia" w:hAnsiTheme="minorEastAsia" w:eastAsiaTheme="minorEastAsia" w:cstheme="minorEastAsia"/>
          <w:b/>
          <w:bCs/>
          <w:spacing w:val="-20"/>
          <w:kern w:val="44"/>
          <w:sz w:val="48"/>
          <w:szCs w:val="48"/>
        </w:rPr>
        <w:t>政府采购</w:t>
      </w:r>
      <w:r>
        <w:rPr>
          <w:rFonts w:hint="eastAsia" w:asciiTheme="minorEastAsia" w:hAnsiTheme="minorEastAsia" w:eastAsiaTheme="minorEastAsia" w:cstheme="minorEastAsia"/>
          <w:b/>
          <w:bCs/>
          <w:spacing w:val="-20"/>
          <w:kern w:val="44"/>
          <w:sz w:val="48"/>
          <w:szCs w:val="48"/>
          <w:lang w:eastAsia="zh-CN"/>
        </w:rPr>
        <w:t>货物买卖</w:t>
      </w:r>
      <w:r>
        <w:rPr>
          <w:rFonts w:hint="eastAsia" w:asciiTheme="minorEastAsia" w:hAnsiTheme="minorEastAsia" w:eastAsiaTheme="minorEastAsia" w:cstheme="minorEastAsia"/>
          <w:b/>
          <w:bCs/>
          <w:spacing w:val="-20"/>
          <w:kern w:val="44"/>
          <w:sz w:val="48"/>
          <w:szCs w:val="48"/>
        </w:rPr>
        <w:t>合同</w:t>
      </w:r>
    </w:p>
    <w:p w14:paraId="32E392BC">
      <w:pPr>
        <w:pStyle w:val="23"/>
        <w:spacing w:after="0"/>
        <w:jc w:val="center"/>
        <w:rPr>
          <w:rFonts w:hint="eastAsia" w:asciiTheme="minorEastAsia" w:hAnsiTheme="minorEastAsia" w:eastAsiaTheme="minorEastAsia" w:cstheme="minorEastAsia"/>
          <w:b/>
          <w:bCs/>
          <w:spacing w:val="-20"/>
          <w:kern w:val="44"/>
          <w:sz w:val="48"/>
          <w:szCs w:val="48"/>
          <w:lang w:eastAsia="zh-CN"/>
        </w:rPr>
      </w:pPr>
      <w:r>
        <w:rPr>
          <w:rFonts w:hint="eastAsia" w:asciiTheme="minorEastAsia" w:hAnsiTheme="minorEastAsia" w:eastAsiaTheme="minorEastAsia" w:cstheme="minorEastAsia"/>
          <w:b/>
          <w:bCs/>
          <w:spacing w:val="-20"/>
          <w:kern w:val="44"/>
          <w:sz w:val="48"/>
          <w:szCs w:val="48"/>
          <w:lang w:eastAsia="zh-CN"/>
        </w:rPr>
        <w:t>（试行）</w:t>
      </w:r>
    </w:p>
    <w:p w14:paraId="176BA9C6">
      <w:pPr>
        <w:rPr>
          <w:rFonts w:hint="eastAsia" w:asciiTheme="minorEastAsia" w:hAnsiTheme="minorEastAsia" w:eastAsiaTheme="minorEastAsia" w:cstheme="minorEastAsia"/>
          <w:b/>
          <w:bCs/>
          <w:spacing w:val="-20"/>
          <w:kern w:val="44"/>
          <w:sz w:val="40"/>
          <w:szCs w:val="40"/>
        </w:rPr>
      </w:pPr>
    </w:p>
    <w:p w14:paraId="1C4FF8D7">
      <w:pPr>
        <w:rPr>
          <w:rFonts w:hint="eastAsia" w:asciiTheme="minorEastAsia" w:hAnsiTheme="minorEastAsia" w:eastAsiaTheme="minorEastAsia" w:cstheme="minorEastAsia"/>
          <w:b/>
          <w:bCs/>
          <w:spacing w:val="-20"/>
          <w:kern w:val="44"/>
          <w:sz w:val="40"/>
          <w:szCs w:val="40"/>
        </w:rPr>
      </w:pPr>
    </w:p>
    <w:p w14:paraId="5A88FA21">
      <w:pPr>
        <w:rPr>
          <w:rFonts w:hint="eastAsia" w:asciiTheme="minorEastAsia" w:hAnsiTheme="minorEastAsia" w:eastAsiaTheme="minorEastAsia" w:cstheme="minorEastAsia"/>
          <w:b/>
          <w:bCs/>
          <w:spacing w:val="-20"/>
          <w:kern w:val="44"/>
          <w:sz w:val="40"/>
          <w:szCs w:val="40"/>
        </w:rPr>
      </w:pPr>
    </w:p>
    <w:p w14:paraId="52DF6DC4">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项目名称：</w:t>
      </w:r>
      <w:r>
        <w:rPr>
          <w:rFonts w:hint="eastAsia" w:asciiTheme="minorEastAsia" w:hAnsiTheme="minorEastAsia" w:eastAsiaTheme="minorEastAsia" w:cstheme="minorEastAsia"/>
          <w:sz w:val="32"/>
          <w:szCs w:val="32"/>
          <w:u w:val="single"/>
        </w:rPr>
        <w:t xml:space="preserve">                             </w:t>
      </w:r>
    </w:p>
    <w:p w14:paraId="09D48BB6">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合同编号：</w:t>
      </w:r>
      <w:r>
        <w:rPr>
          <w:rFonts w:hint="eastAsia" w:asciiTheme="minorEastAsia" w:hAnsiTheme="minorEastAsia" w:eastAsiaTheme="minorEastAsia" w:cstheme="minorEastAsia"/>
          <w:sz w:val="32"/>
          <w:szCs w:val="32"/>
          <w:u w:val="single"/>
        </w:rPr>
        <w:t xml:space="preserve">                             </w:t>
      </w:r>
    </w:p>
    <w:p w14:paraId="66BAACCE">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    方：</w:t>
      </w:r>
      <w:r>
        <w:rPr>
          <w:rFonts w:hint="eastAsia" w:asciiTheme="minorEastAsia" w:hAnsiTheme="minorEastAsia" w:eastAsiaTheme="minorEastAsia" w:cstheme="minorEastAsia"/>
          <w:sz w:val="32"/>
          <w:szCs w:val="32"/>
          <w:u w:val="single"/>
        </w:rPr>
        <w:t xml:space="preserve">                             </w:t>
      </w:r>
    </w:p>
    <w:p w14:paraId="4BB84B7D">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乙    方：</w:t>
      </w:r>
      <w:r>
        <w:rPr>
          <w:rFonts w:hint="eastAsia" w:asciiTheme="minorEastAsia" w:hAnsiTheme="minorEastAsia" w:eastAsiaTheme="minorEastAsia" w:cstheme="minorEastAsia"/>
          <w:sz w:val="32"/>
          <w:szCs w:val="32"/>
          <w:u w:val="single"/>
        </w:rPr>
        <w:t xml:space="preserve">                             </w:t>
      </w:r>
    </w:p>
    <w:p w14:paraId="2602AA8C">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签订时间：</w:t>
      </w:r>
      <w:r>
        <w:rPr>
          <w:rFonts w:hint="eastAsia" w:asciiTheme="minorEastAsia" w:hAnsiTheme="minorEastAsia" w:eastAsiaTheme="minorEastAsia" w:cstheme="minorEastAsia"/>
          <w:sz w:val="32"/>
          <w:szCs w:val="32"/>
          <w:u w:val="single"/>
        </w:rPr>
        <w:t xml:space="preserve">                             </w:t>
      </w:r>
    </w:p>
    <w:p w14:paraId="2BB7728D">
      <w:pPr>
        <w:rPr>
          <w:rFonts w:hint="eastAsia" w:asciiTheme="minorEastAsia" w:hAnsiTheme="minorEastAsia" w:eastAsiaTheme="minorEastAsia" w:cstheme="minorEastAsia"/>
        </w:rPr>
      </w:pPr>
    </w:p>
    <w:p w14:paraId="266BF790">
      <w:pP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br w:type="page"/>
      </w:r>
    </w:p>
    <w:p w14:paraId="56A030F7">
      <w:pPr>
        <w:rPr>
          <w:rFonts w:hint="eastAsia" w:asciiTheme="minorEastAsia" w:hAnsiTheme="minorEastAsia" w:eastAsiaTheme="minorEastAsia" w:cstheme="minorEastAsia"/>
          <w:sz w:val="44"/>
          <w:szCs w:val="44"/>
        </w:rPr>
      </w:pPr>
    </w:p>
    <w:p w14:paraId="65D29A69">
      <w:pPr>
        <w:rPr>
          <w:rFonts w:hint="eastAsia" w:asciiTheme="minorEastAsia" w:hAnsiTheme="minorEastAsia" w:eastAsiaTheme="minorEastAsia" w:cstheme="minorEastAsia"/>
          <w:sz w:val="44"/>
          <w:szCs w:val="44"/>
        </w:rPr>
      </w:pPr>
    </w:p>
    <w:p w14:paraId="5E59D88A">
      <w:pPr>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使</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用</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说</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明</w:t>
      </w:r>
    </w:p>
    <w:p w14:paraId="32B461AB">
      <w:pPr>
        <w:ind w:firstLine="640" w:firstLineChars="200"/>
        <w:rPr>
          <w:rFonts w:hint="eastAsia" w:asciiTheme="minorEastAsia" w:hAnsiTheme="minorEastAsia" w:eastAsiaTheme="minorEastAsia" w:cstheme="minorEastAsia"/>
          <w:sz w:val="32"/>
          <w:szCs w:val="32"/>
          <w:lang w:val="en-US" w:eastAsia="zh-CN"/>
        </w:rPr>
      </w:pPr>
    </w:p>
    <w:p w14:paraId="14568441">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1.本合同标准文本适用于购买现成货物的采购项目，不包括需要供应商定制开发、创新研发的货物采购项目。</w:t>
      </w:r>
    </w:p>
    <w:p w14:paraId="4B6BB55C">
      <w:pPr>
        <w:ind w:firstLine="0" w:firstLineChars="0"/>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32"/>
          <w:szCs w:val="32"/>
          <w:lang w:val="en-US" w:eastAsia="zh-CN"/>
        </w:rPr>
        <w:t>2.本合同标准文本为政府采购货物买卖合同编制提供参考，可以结合采购项目具体情况，对文本作必要的调整修订后使用。</w:t>
      </w:r>
    </w:p>
    <w:p w14:paraId="4EB8A263">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3.本合同标准文本各条款中，如涉及填写多家供应商、制造商，多种采购标的、分包主要内容等信息的，可根据采购项目具体情况添加信息项。</w:t>
      </w:r>
    </w:p>
    <w:p w14:paraId="3B33F26C">
      <w:pPr>
        <w:ind w:firstLine="880" w:firstLineChars="200"/>
        <w:jc w:val="both"/>
        <w:rPr>
          <w:rFonts w:hint="eastAsia" w:asciiTheme="minorEastAsia" w:hAnsiTheme="minorEastAsia" w:eastAsiaTheme="minorEastAsia" w:cstheme="minorEastAsia"/>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5"/>
    <w:p w14:paraId="290C7E5D">
      <w:pPr>
        <w:pStyle w:val="3"/>
        <w:adjustRightInd w:val="0"/>
        <w:snapToGrid w:val="0"/>
        <w:spacing w:beforeLines="0" w:line="400" w:lineRule="exact"/>
        <w:jc w:val="center"/>
        <w:rPr>
          <w:rFonts w:hint="eastAsia" w:asciiTheme="minorEastAsia" w:hAnsiTheme="minorEastAsia" w:eastAsiaTheme="minorEastAsia" w:cstheme="minorEastAsia"/>
          <w:sz w:val="28"/>
          <w:szCs w:val="28"/>
        </w:rPr>
      </w:pPr>
      <w:bookmarkStart w:id="396" w:name="_Toc22209"/>
    </w:p>
    <w:p w14:paraId="538DBE46">
      <w:pPr>
        <w:pStyle w:val="3"/>
        <w:adjustRightInd w:val="0"/>
        <w:snapToGrid w:val="0"/>
        <w:spacing w:beforeLines="0" w:line="400" w:lineRule="exact"/>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第一节 政府采购合同协议书</w:t>
      </w:r>
      <w:bookmarkEnd w:id="396"/>
    </w:p>
    <w:p w14:paraId="2E1733F1">
      <w:pPr>
        <w:pStyle w:val="3"/>
        <w:adjustRightInd w:val="0"/>
        <w:snapToGrid w:val="0"/>
        <w:spacing w:beforeLines="0" w:line="400" w:lineRule="exact"/>
        <w:jc w:val="center"/>
        <w:rPr>
          <w:rFonts w:hint="eastAsia" w:asciiTheme="minorEastAsia" w:hAnsiTheme="minorEastAsia" w:eastAsiaTheme="minorEastAsia" w:cstheme="minorEastAsia"/>
          <w:b w:val="0"/>
          <w:bCs w:val="0"/>
          <w:sz w:val="28"/>
          <w:szCs w:val="28"/>
        </w:rPr>
      </w:pPr>
    </w:p>
    <w:p w14:paraId="50FC2D4E">
      <w:pPr>
        <w:adjustRightInd w:val="0"/>
        <w:snapToGrid w:val="0"/>
        <w:spacing w:before="0" w:beforeLines="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、受采购人委托签订合同的单位</w:t>
      </w:r>
      <w:r>
        <w:rPr>
          <w:rFonts w:hint="eastAsia" w:asciiTheme="minorEastAsia" w:hAnsiTheme="minorEastAsia" w:eastAsiaTheme="minorEastAsia" w:cstheme="minorEastAsia"/>
          <w:sz w:val="24"/>
          <w:szCs w:val="24"/>
        </w:rPr>
        <w:t>或采购</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文件约定的合同甲方）</w:t>
      </w:r>
    </w:p>
    <w:p w14:paraId="14CE74AF">
      <w:pPr>
        <w:adjustRightInd w:val="0"/>
        <w:snapToGrid w:val="0"/>
        <w:spacing w:before="0" w:beforeLines="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w:t>
      </w:r>
    </w:p>
    <w:p w14:paraId="1227793B">
      <w:pPr>
        <w:adjustRightInd w:val="0"/>
        <w:snapToGrid w:val="0"/>
        <w:spacing w:before="0" w:beforeLines="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乙方2（全称）：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58319A34">
      <w:pPr>
        <w:adjustRightInd w:val="0"/>
        <w:snapToGrid w:val="0"/>
        <w:spacing w:before="0" w:beforeLines="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lang w:val="en-US" w:eastAsia="zh-CN"/>
        </w:rPr>
        <w:t>3（全称）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19252894">
      <w:pPr>
        <w:spacing w:beforeLines="0" w:line="400" w:lineRule="exact"/>
        <w:rPr>
          <w:rFonts w:hint="eastAsia" w:asciiTheme="minorEastAsia" w:hAnsiTheme="minorEastAsia" w:eastAsiaTheme="minorEastAsia" w:cstheme="minorEastAsia"/>
          <w:sz w:val="24"/>
          <w:szCs w:val="24"/>
          <w:lang w:val="en-US" w:eastAsia="zh-CN"/>
        </w:rPr>
      </w:pPr>
    </w:p>
    <w:p w14:paraId="394BE67B">
      <w:pPr>
        <w:pStyle w:val="25"/>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《中华人民共和国政府采购法》等有关的法律法规，以及</w:t>
      </w:r>
      <w:r>
        <w:rPr>
          <w:rFonts w:hint="eastAsia" w:asciiTheme="minorEastAsia" w:hAnsiTheme="minorEastAsia" w:eastAsiaTheme="minorEastAsia" w:cstheme="minorEastAsia"/>
          <w:i w:val="0"/>
          <w:iCs w:val="0"/>
          <w:sz w:val="24"/>
          <w:szCs w:val="24"/>
          <w:u w:val="none"/>
          <w:lang w:eastAsia="zh-CN"/>
        </w:rPr>
        <w:t>本采购项目</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文件等</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乙方的《投标（响应）文件》及《中标（成交）通知书》，甲乙双方同意签订本合同。具体情况及要求如下：     </w:t>
      </w:r>
    </w:p>
    <w:p w14:paraId="467285C8">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项目信息</w:t>
      </w:r>
    </w:p>
    <w:p w14:paraId="432E1298">
      <w:pPr>
        <w:pStyle w:val="25"/>
        <w:numPr>
          <w:ilvl w:val="0"/>
          <w:numId w:val="12"/>
        </w:numPr>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采购项目名称：</w:t>
      </w:r>
      <w:r>
        <w:rPr>
          <w:rFonts w:hint="eastAsia" w:asciiTheme="minorEastAsia" w:hAnsiTheme="minorEastAsia" w:eastAsiaTheme="minorEastAsia" w:cstheme="minorEastAsia"/>
          <w:sz w:val="24"/>
          <w:szCs w:val="24"/>
          <w:u w:val="single"/>
        </w:rPr>
        <w:t xml:space="preserve">                                          </w:t>
      </w:r>
    </w:p>
    <w:p w14:paraId="5AF7B856">
      <w:pPr>
        <w:pStyle w:val="25"/>
        <w:numPr>
          <w:ilvl w:val="-1"/>
          <w:numId w:val="0"/>
        </w:numPr>
        <w:tabs>
          <w:tab w:val="left" w:pos="999"/>
        </w:tabs>
        <w:adjustRightInd w:val="0"/>
        <w:snapToGrid w:val="0"/>
        <w:spacing w:before="0" w:beforeLines="0" w:after="0" w:line="400" w:lineRule="exact"/>
        <w:ind w:left="0" w:leftChars="0" w:firstLine="0" w:firstLineChars="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采购项目编号：</w:t>
      </w:r>
      <w:r>
        <w:rPr>
          <w:rFonts w:hint="eastAsia" w:asciiTheme="minorEastAsia" w:hAnsiTheme="minorEastAsia" w:eastAsiaTheme="minorEastAsia" w:cstheme="minorEastAsia"/>
          <w:sz w:val="24"/>
          <w:szCs w:val="24"/>
          <w:u w:val="single"/>
        </w:rPr>
        <w:t xml:space="preserve">                                          </w:t>
      </w:r>
    </w:p>
    <w:p w14:paraId="72F27AFC">
      <w:pPr>
        <w:pStyle w:val="25"/>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（2）采购计划编号：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694FE08">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（3）项目内容：</w:t>
      </w:r>
    </w:p>
    <w:p w14:paraId="45DB34E5">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采购标的及数量</w:t>
      </w:r>
      <w:r>
        <w:rPr>
          <w:rFonts w:hint="eastAsia" w:asciiTheme="minorEastAsia" w:hAnsiTheme="minorEastAsia" w:eastAsiaTheme="minorEastAsia" w:cstheme="minorEastAsia"/>
          <w:sz w:val="24"/>
          <w:szCs w:val="24"/>
          <w:lang w:val="en-US" w:eastAsia="zh-CN"/>
        </w:rPr>
        <w:t>（台/套</w:t>
      </w:r>
      <w:r>
        <w:rPr>
          <w:rFonts w:hint="eastAsia" w:asciiTheme="minorEastAsia" w:hAnsiTheme="minorEastAsia" w:eastAsiaTheme="minorEastAsia" w:cstheme="minorEastAsia"/>
          <w:sz w:val="24"/>
          <w:szCs w:val="24"/>
          <w:lang w:val="en" w:eastAsia="zh-CN"/>
        </w:rPr>
        <w:t>/个/架/组等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4CAE2733">
      <w:pPr>
        <w:numPr>
          <w:ilvl w:val="-1"/>
          <w:numId w:val="0"/>
        </w:num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 w:eastAsia="zh-CN"/>
        </w:rPr>
        <w:t xml:space="preserve">     </w:t>
      </w:r>
      <w:r>
        <w:rPr>
          <w:rFonts w:hint="eastAsia" w:asciiTheme="minorEastAsia" w:hAnsiTheme="minorEastAsia" w:eastAsiaTheme="minorEastAsia" w:cstheme="minorEastAsia"/>
          <w:sz w:val="24"/>
          <w:szCs w:val="24"/>
          <w:lang w:val="en-US" w:eastAsia="zh-CN"/>
        </w:rPr>
        <w:t>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p>
    <w:p w14:paraId="6C2EBE2B">
      <w:pPr>
        <w:adjustRightInd w:val="0"/>
        <w:snapToGrid w:val="0"/>
        <w:spacing w:before="0" w:beforeLines="0" w:line="400" w:lineRule="exact"/>
        <w:ind w:firstLine="1080" w:firstLineChars="4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采购标的的技术要求、商务要求具体见附件。</w:t>
      </w:r>
    </w:p>
    <w:p w14:paraId="06122A61">
      <w:pPr>
        <w:numPr>
          <w:ilvl w:val="-1"/>
          <w:numId w:val="0"/>
        </w:numPr>
        <w:adjustRightInd w:val="0"/>
        <w:snapToGrid w:val="0"/>
        <w:spacing w:before="0" w:beforeLines="0" w:line="400" w:lineRule="exact"/>
        <w:ind w:firstLine="1080" w:firstLineChars="45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①涉及信息类产品，请填写该产品关键部件的品牌、型号：</w:t>
      </w:r>
    </w:p>
    <w:p w14:paraId="2A5DBABA">
      <w:pPr>
        <w:numPr>
          <w:ilvl w:val="-1"/>
          <w:numId w:val="0"/>
        </w:numPr>
        <w:adjustRightInd w:val="0"/>
        <w:snapToGrid w:val="0"/>
        <w:spacing w:before="0" w:beforeLines="0" w:line="400" w:lineRule="exact"/>
        <w:ind w:firstLine="480" w:firstLineChars="200"/>
        <w:rPr>
          <w:rFonts w:hint="eastAsia"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标的名称：</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e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p>
    <w:p w14:paraId="6642EB0D">
      <w:pPr>
        <w:numPr>
          <w:ilvl w:val="-1"/>
          <w:numId w:val="0"/>
        </w:num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关键部件：</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1D87091">
      <w:pPr>
        <w:pStyle w:val="79"/>
        <w:spacing w:before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2"/>
          <w:sz w:val="24"/>
          <w:szCs w:val="24"/>
          <w:lang w:val="en-US" w:eastAsia="zh-CN"/>
        </w:rPr>
        <w:t>关键部件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616DAC46">
      <w:pPr>
        <w:pStyle w:val="79"/>
        <w:spacing w:before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关键部件：</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p>
    <w:p w14:paraId="2AC04968">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DB0DD84">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②涉及车辆采购，请填写是否属于新能源汽车：</w:t>
      </w:r>
    </w:p>
    <w:p w14:paraId="31662AF2">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数量：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lang w:val="en-US" w:eastAsia="zh-CN"/>
        </w:rPr>
        <w:t xml:space="preserve"> </w:t>
      </w:r>
    </w:p>
    <w:p w14:paraId="40C50167">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否</w:t>
      </w:r>
    </w:p>
    <w:p w14:paraId="3F8C6DE6">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lang w:val="en" w:eastAsia="zh-CN"/>
        </w:rPr>
        <w:t>4</w:t>
      </w:r>
      <w:r>
        <w:rPr>
          <w:rFonts w:hint="eastAsia" w:asciiTheme="minorEastAsia" w:hAnsiTheme="minorEastAsia" w:eastAsiaTheme="minorEastAsia" w:cstheme="minorEastAsia"/>
          <w:iCs w:val="0"/>
          <w:sz w:val="24"/>
          <w:szCs w:val="24"/>
          <w:lang w:val="en-US" w:eastAsia="zh-CN"/>
        </w:rPr>
        <w:t>）政府采购组织形式：</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政府集中采购</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val="en-US" w:eastAsia="zh-CN"/>
        </w:rPr>
        <w:t xml:space="preserve">部门集中采购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val="en-US" w:eastAsia="zh-CN"/>
        </w:rPr>
        <w:t>分散采购</w:t>
      </w:r>
    </w:p>
    <w:p w14:paraId="57C08CBF">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w:t>
      </w:r>
      <w:r>
        <w:rPr>
          <w:rFonts w:hint="eastAsia" w:asciiTheme="minorEastAsia" w:hAnsiTheme="minorEastAsia" w:eastAsiaTheme="minorEastAsia" w:cstheme="minorEastAsia"/>
          <w:iCs w:val="0"/>
          <w:sz w:val="24"/>
          <w:szCs w:val="24"/>
          <w:lang w:val="en" w:eastAsia="zh-CN"/>
        </w:rPr>
        <w:t>5</w:t>
      </w:r>
      <w:r>
        <w:rPr>
          <w:rFonts w:hint="eastAsia" w:asciiTheme="minorEastAsia" w:hAnsiTheme="minorEastAsia" w:eastAsiaTheme="minorEastAsia" w:cstheme="minorEastAsia"/>
          <w:iCs w:val="0"/>
          <w:sz w:val="24"/>
          <w:szCs w:val="24"/>
          <w:lang w:val="en-US" w:eastAsia="zh-CN"/>
        </w:rPr>
        <w:t>）政府采购方式：</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公开招标</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邀请招标</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竞争性谈判</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竞争性磋商</w:t>
      </w:r>
    </w:p>
    <w:p w14:paraId="2B0D88B7">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询价</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单一来源</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框架协议</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其他：</w:t>
      </w:r>
      <w:r>
        <w:rPr>
          <w:rFonts w:hint="eastAsia" w:asciiTheme="minorEastAsia" w:hAnsiTheme="minorEastAsia" w:eastAsiaTheme="minorEastAsia" w:cstheme="minorEastAsia"/>
          <w:iCs w:val="0"/>
          <w:sz w:val="24"/>
          <w:szCs w:val="24"/>
          <w:u w:val="single"/>
          <w:lang w:val="en-US" w:eastAsia="zh-CN"/>
        </w:rPr>
        <w:t xml:space="preserve">          </w:t>
      </w:r>
    </w:p>
    <w:p w14:paraId="05BEA0A6">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4"/>
          <w:szCs w:val="24"/>
          <w:u w:val="none"/>
          <w:lang w:val="en-US" w:eastAsia="zh-CN"/>
        </w:rPr>
      </w:pPr>
      <w:r>
        <w:rPr>
          <w:rFonts w:hint="eastAsia" w:asciiTheme="minorEastAsia" w:hAnsiTheme="minorEastAsia" w:eastAsiaTheme="minorEastAsia" w:cstheme="minorEastAsia"/>
          <w:iCs w:val="0"/>
          <w:sz w:val="24"/>
          <w:szCs w:val="24"/>
          <w:u w:val="none"/>
          <w:lang w:val="en-US" w:eastAsia="zh-CN"/>
        </w:rPr>
        <w:t>（注：在框架协议采购的第二阶段，可选择使用该合同文本）</w:t>
      </w:r>
    </w:p>
    <w:p w14:paraId="24C83172">
      <w:pPr>
        <w:pStyle w:val="79"/>
        <w:numPr>
          <w:ilvl w:val="-1"/>
          <w:numId w:val="0"/>
        </w:numPr>
        <w:adjustRightInd w:val="0"/>
        <w:snapToGrid w:val="0"/>
        <w:spacing w:before="0" w:beforeLines="0" w:line="400" w:lineRule="exact"/>
        <w:ind w:firstLine="240" w:firstLineChars="100"/>
        <w:rPr>
          <w:rFonts w:hint="eastAsia" w:asciiTheme="minorEastAsia" w:hAnsiTheme="minorEastAsia" w:eastAsiaTheme="minorEastAsia" w:cstheme="minorEastAsia"/>
          <w:w w:val="100"/>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w w:val="100"/>
          <w:kern w:val="2"/>
          <w:sz w:val="24"/>
          <w:szCs w:val="24"/>
          <w:lang w:val="en-US" w:eastAsia="zh-CN" w:bidi="ar-SA"/>
        </w:rPr>
        <w:t>中标（成交）采购标的制造商是否为中小企业：</w:t>
      </w:r>
      <w:r>
        <w:rPr>
          <w:rFonts w:hint="eastAsia" w:asciiTheme="minorEastAsia" w:hAnsiTheme="minorEastAsia" w:eastAsiaTheme="minorEastAsia" w:cstheme="minorEastAsia"/>
          <w:w w:val="100"/>
          <w:kern w:val="2"/>
          <w:sz w:val="24"/>
          <w:szCs w:val="24"/>
          <w:lang w:val="en-US" w:eastAsia="zh-CN" w:bidi="ar-SA"/>
        </w:rPr>
        <w:sym w:font="Wingdings" w:char="00FE"/>
      </w:r>
      <w:r>
        <w:rPr>
          <w:rFonts w:hint="eastAsia" w:asciiTheme="minorEastAsia" w:hAnsiTheme="minorEastAsia" w:eastAsiaTheme="minorEastAsia" w:cstheme="minorEastAsia"/>
          <w:w w:val="100"/>
          <w:kern w:val="2"/>
          <w:sz w:val="24"/>
          <w:szCs w:val="24"/>
          <w:lang w:val="en-US" w:eastAsia="zh-CN" w:bidi="ar-SA"/>
        </w:rPr>
        <w:t xml:space="preserve">是      </w:t>
      </w:r>
      <w:r>
        <w:rPr>
          <w:rFonts w:hint="eastAsia" w:asciiTheme="minorEastAsia" w:hAnsiTheme="minorEastAsia" w:eastAsiaTheme="minorEastAsia" w:cstheme="minorEastAsia"/>
          <w:w w:val="100"/>
          <w:kern w:val="2"/>
          <w:sz w:val="24"/>
          <w:szCs w:val="24"/>
          <w:lang w:val="en-US" w:eastAsia="zh-CN" w:bidi="ar-SA"/>
        </w:rPr>
        <w:sym w:font="Wingdings" w:char="00A8"/>
      </w:r>
      <w:r>
        <w:rPr>
          <w:rFonts w:hint="eastAsia" w:asciiTheme="minorEastAsia" w:hAnsiTheme="minorEastAsia" w:eastAsiaTheme="minorEastAsia" w:cstheme="minorEastAsia"/>
          <w:w w:val="100"/>
          <w:kern w:val="2"/>
          <w:sz w:val="24"/>
          <w:szCs w:val="24"/>
          <w:lang w:val="en-US" w:eastAsia="zh-CN" w:bidi="ar-SA"/>
        </w:rPr>
        <w:t>否</w:t>
      </w:r>
    </w:p>
    <w:p w14:paraId="623DDC66">
      <w:pPr>
        <w:numPr>
          <w:ilvl w:val="-1"/>
          <w:numId w:val="0"/>
        </w:numPr>
        <w:adjustRightInd w:val="0"/>
        <w:snapToGrid w:val="0"/>
        <w:spacing w:before="0" w:beforeLines="0" w:line="400" w:lineRule="exact"/>
        <w:ind w:left="0" w:leftChars="0"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w w:val="100"/>
          <w:sz w:val="24"/>
          <w:szCs w:val="24"/>
          <w:lang w:val="en-US" w:eastAsia="zh-CN"/>
        </w:rPr>
        <w:t xml:space="preserve">         本合同</w:t>
      </w:r>
      <w:r>
        <w:rPr>
          <w:rFonts w:hint="eastAsia" w:asciiTheme="minorEastAsia" w:hAnsiTheme="minorEastAsia" w:eastAsiaTheme="minorEastAsia" w:cstheme="minorEastAsia"/>
          <w:w w:val="100"/>
          <w:sz w:val="24"/>
          <w:szCs w:val="24"/>
        </w:rPr>
        <w:t>是否</w:t>
      </w:r>
      <w:r>
        <w:rPr>
          <w:rFonts w:hint="eastAsia" w:asciiTheme="minorEastAsia" w:hAnsiTheme="minorEastAsia" w:eastAsiaTheme="minorEastAsia" w:cstheme="minorEastAsia"/>
          <w:w w:val="100"/>
          <w:sz w:val="24"/>
          <w:szCs w:val="24"/>
          <w:lang w:eastAsia="zh-CN"/>
        </w:rPr>
        <w:t>为专门面向</w:t>
      </w:r>
      <w:r>
        <w:rPr>
          <w:rFonts w:hint="eastAsia" w:asciiTheme="minorEastAsia" w:hAnsiTheme="minorEastAsia" w:eastAsiaTheme="minorEastAsia" w:cstheme="minorEastAsia"/>
          <w:w w:val="100"/>
          <w:sz w:val="24"/>
          <w:szCs w:val="24"/>
        </w:rPr>
        <w:t>中小企业</w:t>
      </w:r>
      <w:r>
        <w:rPr>
          <w:rFonts w:hint="eastAsia" w:asciiTheme="minorEastAsia" w:hAnsiTheme="minorEastAsia" w:eastAsiaTheme="minorEastAsia" w:cstheme="minorEastAsia"/>
          <w:w w:val="100"/>
          <w:sz w:val="24"/>
          <w:szCs w:val="24"/>
          <w:lang w:eastAsia="zh-CN"/>
        </w:rPr>
        <w:t>的采</w:t>
      </w:r>
      <w:r>
        <w:rPr>
          <w:rFonts w:hint="eastAsia" w:asciiTheme="minorEastAsia" w:hAnsiTheme="minorEastAsia" w:eastAsiaTheme="minorEastAsia" w:cstheme="minorEastAsia"/>
          <w:w w:val="100"/>
          <w:sz w:val="24"/>
          <w:szCs w:val="24"/>
          <w:shd w:val="clear"/>
          <w:lang w:eastAsia="zh-CN"/>
        </w:rPr>
        <w:t>购</w:t>
      </w:r>
      <w:r>
        <w:rPr>
          <w:rFonts w:hint="eastAsia" w:asciiTheme="minorEastAsia" w:hAnsiTheme="minorEastAsia" w:eastAsiaTheme="minorEastAsia" w:cstheme="minorEastAsia"/>
          <w:w w:val="100"/>
          <w:sz w:val="24"/>
          <w:szCs w:val="24"/>
          <w:shd w:val="clear"/>
        </w:rPr>
        <w:t>合同</w:t>
      </w:r>
      <w:r>
        <w:rPr>
          <w:rFonts w:hint="eastAsia" w:asciiTheme="minorEastAsia" w:hAnsiTheme="minorEastAsia" w:eastAsiaTheme="minorEastAsia" w:cstheme="minorEastAsia"/>
          <w:w w:val="100"/>
          <w:sz w:val="24"/>
          <w:szCs w:val="24"/>
          <w:shd w:val="clear"/>
          <w:lang w:eastAsia="zh-CN"/>
        </w:rPr>
        <w:t>（中小企业预留合同）</w:t>
      </w:r>
      <w:r>
        <w:rPr>
          <w:rFonts w:hint="eastAsia" w:asciiTheme="minorEastAsia" w:hAnsiTheme="minorEastAsia" w:eastAsiaTheme="minorEastAsia" w:cstheme="minorEastAsia"/>
          <w:sz w:val="24"/>
          <w:szCs w:val="24"/>
          <w:shd w:val="clear"/>
        </w:rPr>
        <w:t>：</w:t>
      </w:r>
      <w:r>
        <w:rPr>
          <w:rFonts w:hint="eastAsia" w:asciiTheme="minorEastAsia" w:hAnsiTheme="minorEastAsia" w:eastAsiaTheme="minorEastAsia" w:cstheme="minorEastAsia"/>
          <w:iCs/>
          <w:sz w:val="24"/>
          <w:szCs w:val="24"/>
        </w:rPr>
        <w:sym w:font="Wingdings" w:char="00FE"/>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35411A7F">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 xml:space="preserve">         若本项目不专门面向中小企业采购，是否给予小微企业评审优惠：</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27878CCA">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 xml:space="preserve">         中标（成交）采购标的制造商是否为残疾人福利性单位：</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613A5D13">
      <w:pPr>
        <w:numPr>
          <w:ilvl w:val="0"/>
          <w:numId w:val="0"/>
        </w:numPr>
        <w:snapToGrid w:val="0"/>
        <w:spacing w:beforeLines="0" w:line="400" w:lineRule="exact"/>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中标（成交）采购标的制造商是否为监狱企业：</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6002FCA9">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 w:eastAsia="zh-CN"/>
        </w:rPr>
        <w:t>7</w:t>
      </w:r>
      <w:r>
        <w:rPr>
          <w:rFonts w:hint="eastAsia" w:asciiTheme="minorEastAsia" w:hAnsiTheme="minorEastAsia" w:eastAsiaTheme="minorEastAsia" w:cstheme="minorEastAsia"/>
          <w:sz w:val="24"/>
          <w:szCs w:val="24"/>
        </w:rPr>
        <w:t>）合同是否分包：</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4CDF1A3F">
      <w:p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分包主要内容：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412A28F">
      <w:p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rPr>
        <w:t>分包</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（如供应商和制造商不同，请分别填写）</w:t>
      </w:r>
      <w:r>
        <w:rPr>
          <w:rFonts w:hint="eastAsia" w:asciiTheme="minorEastAsia" w:hAnsiTheme="minorEastAsia" w:eastAsiaTheme="minorEastAsia" w:cstheme="minorEastAsia"/>
          <w:sz w:val="24"/>
          <w:szCs w:val="24"/>
          <w:highlight w:val="none"/>
        </w:rPr>
        <w:t>：</w:t>
      </w:r>
    </w:p>
    <w:p w14:paraId="5B1E8DF2">
      <w:p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18918946">
      <w:p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分包供应商</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rPr>
        <w:t>类型</w:t>
      </w:r>
      <w:r>
        <w:rPr>
          <w:rFonts w:hint="eastAsia" w:asciiTheme="minorEastAsia" w:hAnsiTheme="minorEastAsia" w:eastAsiaTheme="minorEastAsia" w:cstheme="minorEastAsia"/>
          <w:sz w:val="24"/>
          <w:szCs w:val="24"/>
          <w:highlight w:val="none"/>
          <w:lang w:eastAsia="zh-CN"/>
        </w:rPr>
        <w:t>（如果供应商和制造商不同，只填写制造商类型）</w:t>
      </w:r>
      <w:r>
        <w:rPr>
          <w:rFonts w:hint="eastAsia" w:asciiTheme="minorEastAsia" w:hAnsiTheme="minorEastAsia" w:eastAsiaTheme="minorEastAsia" w:cstheme="minorEastAsia"/>
          <w:sz w:val="24"/>
          <w:szCs w:val="24"/>
        </w:rPr>
        <w:t>：</w:t>
      </w:r>
    </w:p>
    <w:p w14:paraId="7626FF76">
      <w:pPr>
        <w:adjustRightInd w:val="0"/>
        <w:snapToGrid w:val="0"/>
        <w:spacing w:beforeLines="0" w:line="400" w:lineRule="exact"/>
        <w:ind w:firstLine="960" w:firstLineChars="40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大型企业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中型企业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小微型企业</w:t>
      </w:r>
      <w:r>
        <w:rPr>
          <w:rFonts w:hint="eastAsia" w:asciiTheme="minorEastAsia" w:hAnsiTheme="minorEastAsia" w:eastAsiaTheme="minorEastAsia" w:cstheme="minorEastAsia"/>
          <w:iCs/>
          <w:sz w:val="24"/>
          <w:szCs w:val="24"/>
          <w:lang w:val="en-US" w:eastAsia="zh-CN"/>
        </w:rPr>
        <w:t xml:space="preserve">  </w:t>
      </w:r>
    </w:p>
    <w:p w14:paraId="0E106EF1">
      <w:pPr>
        <w:adjustRightInd w:val="0"/>
        <w:snapToGrid w:val="0"/>
        <w:spacing w:beforeLines="0" w:line="400" w:lineRule="exact"/>
        <w:ind w:firstLine="960" w:firstLineChars="4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残疾人福利性单位</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监狱</w:t>
      </w:r>
      <w:r>
        <w:rPr>
          <w:rFonts w:hint="eastAsia" w:asciiTheme="minorEastAsia" w:hAnsiTheme="minorEastAsia" w:eastAsiaTheme="minorEastAsia" w:cstheme="minorEastAsia"/>
          <w:iCs/>
          <w:sz w:val="24"/>
          <w:szCs w:val="24"/>
        </w:rPr>
        <w:t>企业</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其他</w:t>
      </w:r>
    </w:p>
    <w:p w14:paraId="54328278">
      <w:pPr>
        <w:numPr>
          <w:ilvl w:val="-1"/>
          <w:numId w:val="0"/>
        </w:numPr>
        <w:adjustRightInd w:val="0"/>
        <w:snapToGrid w:val="0"/>
        <w:spacing w:before="0" w:beforeLines="0" w:line="400" w:lineRule="exact"/>
        <w:ind w:left="0" w:leftChars="0" w:firstLine="0" w:firstLineChars="0"/>
        <w:rPr>
          <w:rFonts w:hint="eastAsia"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u w:val="none"/>
          <w:lang w:val="en" w:eastAsia="zh-CN"/>
        </w:rPr>
        <w:t>8</w:t>
      </w:r>
      <w:r>
        <w:rPr>
          <w:rFonts w:hint="eastAsia" w:asciiTheme="minorEastAsia" w:hAnsiTheme="minorEastAsia" w:eastAsiaTheme="minorEastAsia" w:cstheme="minorEastAsia"/>
          <w:sz w:val="24"/>
          <w:szCs w:val="24"/>
          <w:highlight w:val="none"/>
          <w:u w:val="none"/>
          <w:lang w:val="en-US" w:eastAsia="zh-CN"/>
        </w:rPr>
        <w:t>）中标（成交）供应商是否为外商投资企业：</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rPr>
        <w:t xml:space="preserve">是       </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rPr>
        <w:t>否</w:t>
      </w:r>
    </w:p>
    <w:p w14:paraId="045ABBE2">
      <w:pPr>
        <w:pStyle w:val="79"/>
        <w:tabs>
          <w:tab w:val="left" w:pos="1340"/>
        </w:tabs>
        <w:spacing w:beforeLines="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 xml:space="preserve">     外商投资企业类型：</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sz w:val="24"/>
          <w:szCs w:val="24"/>
          <w:highlight w:val="none"/>
          <w:u w:val="none"/>
          <w:lang w:val="en-US" w:eastAsia="zh-CN"/>
        </w:rPr>
        <w:t xml:space="preserve">全部由外国投资者投资  </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lang w:val="en-US" w:eastAsia="zh-CN"/>
        </w:rPr>
        <w:t>部分由外国投资者投资</w:t>
      </w:r>
    </w:p>
    <w:p w14:paraId="79E22823">
      <w:pPr>
        <w:numPr>
          <w:ilvl w:val="-1"/>
          <w:numId w:val="0"/>
        </w:numPr>
        <w:adjustRightInd w:val="0"/>
        <w:snapToGrid w:val="0"/>
        <w:spacing w:before="0" w:beforeLines="0" w:line="400" w:lineRule="exact"/>
        <w:ind w:firstLine="480" w:firstLineChars="20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u w:val="none"/>
          <w:lang w:val="en" w:eastAsia="zh-CN"/>
        </w:rPr>
        <w:t>9</w:t>
      </w:r>
      <w:r>
        <w:rPr>
          <w:rFonts w:hint="eastAsia" w:asciiTheme="minorEastAsia" w:hAnsiTheme="minorEastAsia" w:eastAsiaTheme="minorEastAsia" w:cstheme="minorEastAsia"/>
          <w:b w:val="0"/>
          <w:bCs w:val="0"/>
          <w:sz w:val="24"/>
          <w:szCs w:val="24"/>
          <w:u w:val="none"/>
          <w:lang w:val="en-US" w:eastAsia="zh-CN"/>
        </w:rPr>
        <w:t>）是否涉及进口产品：</w:t>
      </w:r>
    </w:p>
    <w:p w14:paraId="2B019AAA">
      <w:pPr>
        <w:numPr>
          <w:ilvl w:val="-1"/>
          <w:numId w:val="0"/>
        </w:num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p>
    <w:p w14:paraId="7420B805">
      <w:pPr>
        <w:numPr>
          <w:ilvl w:val="-1"/>
          <w:numId w:val="0"/>
        </w:numPr>
        <w:adjustRightInd w:val="0"/>
        <w:snapToGrid w:val="0"/>
        <w:spacing w:before="0" w:beforeLines="0" w:line="400" w:lineRule="exact"/>
        <w:ind w:firstLine="960" w:firstLineChars="400"/>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sz w:val="24"/>
          <w:szCs w:val="24"/>
          <w:lang w:val="en-US" w:eastAsia="zh-CN"/>
        </w:rPr>
        <w:t xml:space="preserve">        国别：</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rPr>
        <w:t xml:space="preserve">      </w:t>
      </w:r>
    </w:p>
    <w:p w14:paraId="429C08AB">
      <w:pPr>
        <w:adjustRightInd w:val="0"/>
        <w:snapToGrid w:val="0"/>
        <w:spacing w:before="0" w:beforeLines="0" w:line="400" w:lineRule="exact"/>
        <w:ind w:firstLine="960" w:firstLineChars="4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否</w:t>
      </w:r>
    </w:p>
    <w:p w14:paraId="11AEA87A">
      <w:pPr>
        <w:numPr>
          <w:ilvl w:val="-1"/>
          <w:numId w:val="0"/>
        </w:numPr>
        <w:tabs>
          <w:tab w:val="left" w:pos="740"/>
        </w:tabs>
        <w:adjustRightInd w:val="0"/>
        <w:snapToGrid w:val="0"/>
        <w:spacing w:before="0" w:beforeLines="0" w:line="400" w:lineRule="exact"/>
        <w:ind w:left="0"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（1</w:t>
      </w:r>
      <w:r>
        <w:rPr>
          <w:rFonts w:hint="eastAsia" w:asciiTheme="minorEastAsia" w:hAnsiTheme="minorEastAsia" w:eastAsiaTheme="minorEastAsia" w:cstheme="minorEastAsia"/>
          <w:b w:val="0"/>
          <w:bCs w:val="0"/>
          <w:sz w:val="24"/>
          <w:szCs w:val="24"/>
          <w:u w:val="none"/>
          <w:lang w:val="en" w:eastAsia="zh-CN"/>
        </w:rPr>
        <w:t>0</w:t>
      </w:r>
      <w:r>
        <w:rPr>
          <w:rFonts w:hint="eastAsia" w:asciiTheme="minorEastAsia" w:hAnsiTheme="minorEastAsia" w:eastAsiaTheme="minorEastAsia" w:cstheme="minorEastAsia"/>
          <w:b w:val="0"/>
          <w:bCs w:val="0"/>
          <w:sz w:val="24"/>
          <w:szCs w:val="24"/>
          <w:u w:val="none"/>
          <w:lang w:val="en-US" w:eastAsia="zh-CN"/>
        </w:rPr>
        <w:t>）是否涉及节能产品：</w:t>
      </w:r>
    </w:p>
    <w:p w14:paraId="589AE28A">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，《节能产品政府采购品目清单》的底级品目名称：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p>
    <w:p w14:paraId="598E9846">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1BB28859">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p>
    <w:p w14:paraId="0C3CB822">
      <w:pPr>
        <w:numPr>
          <w:ilvl w:val="-1"/>
          <w:numId w:val="0"/>
        </w:numPr>
        <w:tabs>
          <w:tab w:val="left" w:pos="740"/>
        </w:tabs>
        <w:adjustRightInd w:val="0"/>
        <w:snapToGrid w:val="0"/>
        <w:spacing w:before="0" w:beforeLines="0" w:line="400" w:lineRule="exact"/>
        <w:ind w:left="0"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是否涉及环境标志产品：</w:t>
      </w:r>
    </w:p>
    <w:p w14:paraId="08924DA7">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，《环境标志产品政府采购品目清单》的底级品目名称：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p>
    <w:p w14:paraId="148638BC">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5F2829C2">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p>
    <w:p w14:paraId="1E8D20E6">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kern w:val="2"/>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kern w:val="2"/>
          <w:sz w:val="24"/>
          <w:szCs w:val="24"/>
          <w:u w:val="none"/>
          <w:lang w:val="en-US" w:eastAsia="zh-CN"/>
        </w:rPr>
        <w:t>是否涉及绿色产品：</w:t>
      </w:r>
      <w:r>
        <w:rPr>
          <w:rFonts w:hint="eastAsia" w:asciiTheme="minorEastAsia" w:hAnsiTheme="minorEastAsia" w:eastAsiaTheme="minorEastAsia" w:cstheme="minorEastAsia"/>
          <w:iCs w:val="0"/>
          <w:kern w:val="2"/>
          <w:sz w:val="24"/>
          <w:szCs w:val="24"/>
          <w:u w:val="none"/>
          <w:lang w:val="en-US" w:eastAsia="zh-CN"/>
        </w:rPr>
        <w:t xml:space="preserve"> </w:t>
      </w:r>
    </w:p>
    <w:p w14:paraId="48AE7BFE">
      <w:pPr>
        <w:pStyle w:val="79"/>
        <w:spacing w:beforeLines="0"/>
        <w:ind w:firstLine="420" w:firstLineChars="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iCs w:val="0"/>
          <w:kern w:val="2"/>
          <w:sz w:val="24"/>
          <w:szCs w:val="24"/>
          <w:u w:val="none"/>
          <w:lang w:val="en-US" w:eastAsia="zh-CN"/>
        </w:rPr>
        <w:t xml:space="preserve">     </w:t>
      </w:r>
      <w:r>
        <w:rPr>
          <w:rFonts w:hint="eastAsia" w:asciiTheme="minorEastAsia" w:hAnsiTheme="minorEastAsia" w:eastAsiaTheme="minorEastAsia" w:cstheme="minorEastAsia"/>
          <w:iCs w:val="0"/>
          <w:kern w:val="2"/>
          <w:sz w:val="24"/>
          <w:szCs w:val="24"/>
          <w:u w:val="none"/>
        </w:rPr>
        <w:sym w:font="Wingdings" w:char="00A8"/>
      </w:r>
      <w:r>
        <w:rPr>
          <w:rFonts w:hint="eastAsia" w:asciiTheme="minorEastAsia" w:hAnsiTheme="minorEastAsia" w:eastAsiaTheme="minorEastAsia" w:cstheme="minorEastAsia"/>
          <w:iCs w:val="0"/>
          <w:kern w:val="2"/>
          <w:sz w:val="24"/>
          <w:szCs w:val="24"/>
          <w:u w:val="none"/>
        </w:rPr>
        <w:t>是</w:t>
      </w:r>
      <w:r>
        <w:rPr>
          <w:rFonts w:hint="eastAsia" w:asciiTheme="minorEastAsia" w:hAnsiTheme="minorEastAsia" w:eastAsiaTheme="minorEastAsia" w:cstheme="minorEastAsia"/>
          <w:iCs w:val="0"/>
          <w:kern w:val="2"/>
          <w:sz w:val="24"/>
          <w:szCs w:val="24"/>
          <w:u w:val="none"/>
          <w:lang w:eastAsia="zh-CN"/>
        </w:rPr>
        <w:t>，绿色产品政府采购相关政策确定的底级品目名称：</w:t>
      </w:r>
      <w:r>
        <w:rPr>
          <w:rFonts w:hint="eastAsia" w:asciiTheme="minorEastAsia" w:hAnsiTheme="minorEastAsia" w:eastAsiaTheme="minorEastAsia" w:cstheme="minorEastAsia"/>
          <w:sz w:val="24"/>
          <w:szCs w:val="24"/>
          <w:u w:val="single"/>
          <w:lang w:val="en-US" w:eastAsia="zh-CN"/>
        </w:rPr>
        <w:t xml:space="preserve">         </w:t>
      </w:r>
    </w:p>
    <w:p w14:paraId="0EFBA959">
      <w:pPr>
        <w:numPr>
          <w:ilvl w:val="-1"/>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4BF2C4BC">
      <w:pPr>
        <w:pStyle w:val="79"/>
        <w:spacing w:beforeLines="0"/>
        <w:ind w:firstLine="42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iCs w:val="0"/>
          <w:kern w:val="2"/>
          <w:sz w:val="24"/>
          <w:szCs w:val="24"/>
          <w:u w:val="none"/>
          <w:lang w:val="en-US" w:eastAsia="zh-CN"/>
        </w:rPr>
        <w:t xml:space="preserve">     </w:t>
      </w:r>
      <w:r>
        <w:rPr>
          <w:rFonts w:hint="eastAsia" w:asciiTheme="minorEastAsia" w:hAnsiTheme="minorEastAsia" w:eastAsiaTheme="minorEastAsia" w:cstheme="minorEastAsia"/>
          <w:iCs w:val="0"/>
          <w:kern w:val="2"/>
          <w:sz w:val="24"/>
          <w:szCs w:val="24"/>
          <w:u w:val="none"/>
        </w:rPr>
        <w:sym w:font="Wingdings" w:char="00A8"/>
      </w:r>
      <w:r>
        <w:rPr>
          <w:rFonts w:hint="eastAsia" w:asciiTheme="minorEastAsia" w:hAnsiTheme="minorEastAsia" w:eastAsiaTheme="minorEastAsia" w:cstheme="minorEastAsia"/>
          <w:iCs w:val="0"/>
          <w:kern w:val="2"/>
          <w:sz w:val="24"/>
          <w:szCs w:val="24"/>
          <w:u w:val="none"/>
        </w:rPr>
        <w:t>否</w:t>
      </w:r>
    </w:p>
    <w:p w14:paraId="7900F00E">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lang w:val="en" w:eastAsia="zh-CN"/>
        </w:rPr>
        <w:t>1</w:t>
      </w:r>
      <w:r>
        <w:rPr>
          <w:rFonts w:hint="eastAsia" w:asciiTheme="minorEastAsia" w:hAnsiTheme="minorEastAsia" w:eastAsiaTheme="minorEastAsia" w:cstheme="minorEastAsia"/>
          <w:sz w:val="24"/>
          <w:szCs w:val="24"/>
          <w:lang w:val="en-US" w:eastAsia="zh-CN"/>
        </w:rPr>
        <w:t>）涉及商品包装和快递包装的，是否参考</w:t>
      </w:r>
      <w:r>
        <w:rPr>
          <w:rFonts w:hint="eastAsia" w:asciiTheme="minorEastAsia" w:hAnsiTheme="minorEastAsia" w:eastAsiaTheme="minorEastAsia" w:cstheme="minorEastAsia"/>
          <w:sz w:val="24"/>
          <w:szCs w:val="24"/>
        </w:rPr>
        <w:t>《商品包装政府采购需求标准（试行）》、《快递包装政府采购需求标准（试行）》</w:t>
      </w:r>
      <w:r>
        <w:rPr>
          <w:rFonts w:hint="eastAsia" w:asciiTheme="minorEastAsia" w:hAnsiTheme="minorEastAsia" w:eastAsiaTheme="minorEastAsia" w:cstheme="minorEastAsia"/>
          <w:sz w:val="24"/>
          <w:szCs w:val="24"/>
          <w:lang w:eastAsia="zh-CN"/>
        </w:rPr>
        <w:t>明确产品及相关快递服务的具体包装要求：</w:t>
      </w:r>
    </w:p>
    <w:p w14:paraId="3AF16206">
      <w:pPr>
        <w:numPr>
          <w:ilvl w:val="-1"/>
          <w:numId w:val="0"/>
        </w:numPr>
        <w:adjustRightInd w:val="0"/>
        <w:snapToGrid w:val="0"/>
        <w:spacing w:before="0" w:beforeLines="0" w:line="400" w:lineRule="exact"/>
        <w:ind w:firstLine="960" w:firstLineChars="400"/>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 xml:space="preserve">是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不涉及</w:t>
      </w:r>
    </w:p>
    <w:p w14:paraId="492EA01A">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合同金额</w:t>
      </w:r>
    </w:p>
    <w:p w14:paraId="0D2B41DC">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339E46">
      <w:pPr>
        <w:adjustRightInd w:val="0"/>
        <w:snapToGrid w:val="0"/>
        <w:spacing w:before="0" w:beforeLines="0" w:line="4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C51FA5B">
      <w:p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分包金额</w:t>
      </w:r>
      <w:r>
        <w:rPr>
          <w:rFonts w:hint="eastAsia" w:asciiTheme="minorEastAsia" w:hAnsiTheme="minorEastAsia" w:eastAsiaTheme="minorEastAsia" w:cstheme="minorEastAsia"/>
          <w:sz w:val="24"/>
          <w:szCs w:val="24"/>
          <w:lang w:eastAsia="zh-CN"/>
        </w:rPr>
        <w:t>（如有）</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3425E6F5">
      <w:p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EC66F69">
      <w:p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（注：固定单价合同应填写单价和最高限价）</w:t>
      </w:r>
    </w:p>
    <w:p w14:paraId="41E61878">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合同定价方式</w:t>
      </w:r>
      <w:r>
        <w:rPr>
          <w:rFonts w:hint="eastAsia" w:asciiTheme="minorEastAsia" w:hAnsiTheme="minorEastAsia" w:eastAsiaTheme="minorEastAsia" w:cstheme="minorEastAsia"/>
          <w:sz w:val="24"/>
          <w:szCs w:val="24"/>
          <w:lang w:eastAsia="zh-CN"/>
        </w:rPr>
        <w:t>（采用组合定价方式的，可以勾选多项）</w:t>
      </w:r>
      <w:r>
        <w:rPr>
          <w:rFonts w:hint="eastAsia" w:asciiTheme="minorEastAsia" w:hAnsiTheme="minorEastAsia" w:eastAsiaTheme="minorEastAsia" w:cstheme="minorEastAsia"/>
          <w:sz w:val="24"/>
          <w:szCs w:val="24"/>
        </w:rPr>
        <w:t>：</w:t>
      </w:r>
    </w:p>
    <w:p w14:paraId="4C6EF3D1">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固定总价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固定单价</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固定费率</w:t>
      </w:r>
      <w:r>
        <w:rPr>
          <w:rFonts w:hint="eastAsia" w:asciiTheme="minorEastAsia" w:hAnsiTheme="minorEastAsia" w:eastAsiaTheme="minorEastAsia" w:cstheme="minorEastAsia"/>
          <w:iCs/>
          <w:sz w:val="24"/>
          <w:szCs w:val="24"/>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成本补偿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绩效激励</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其他</w:t>
      </w:r>
      <w:r>
        <w:rPr>
          <w:rFonts w:hint="eastAsia" w:asciiTheme="minorEastAsia" w:hAnsiTheme="minorEastAsia" w:eastAsiaTheme="minorEastAsia" w:cstheme="minorEastAsia"/>
          <w:sz w:val="24"/>
          <w:szCs w:val="24"/>
          <w:u w:val="single"/>
        </w:rPr>
        <w:t xml:space="preserve">       </w:t>
      </w:r>
    </w:p>
    <w:p w14:paraId="3D984B99">
      <w:pPr>
        <w:pStyle w:val="789"/>
        <w:spacing w:beforeLines="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）付款方式（按项目实际勾选填写）：</w:t>
      </w:r>
    </w:p>
    <w:p w14:paraId="565EA21F">
      <w:pPr>
        <w:adjustRightInd w:val="0"/>
        <w:snapToGrid w:val="0"/>
        <w:spacing w:before="0" w:beforeLines="0"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全额付款：</w:t>
      </w:r>
      <w:r>
        <w:rPr>
          <w:rFonts w:hint="eastAsia" w:asciiTheme="minorEastAsia" w:hAnsiTheme="minorEastAsia" w:eastAsiaTheme="minorEastAsia" w:cstheme="minorEastAsia"/>
          <w:sz w:val="24"/>
          <w:szCs w:val="24"/>
          <w:u w:val="single"/>
        </w:rPr>
        <w:t xml:space="preserve">     （应</w:t>
      </w:r>
      <w:r>
        <w:rPr>
          <w:rFonts w:hint="eastAsia" w:asciiTheme="minorEastAsia" w:hAnsiTheme="minorEastAsia" w:eastAsiaTheme="minorEastAsia" w:cstheme="minorEastAsia"/>
          <w:sz w:val="24"/>
          <w:szCs w:val="24"/>
          <w:u w:val="single"/>
          <w:lang w:eastAsia="zh-CN"/>
        </w:rPr>
        <w:t>明确</w:t>
      </w:r>
      <w:r>
        <w:rPr>
          <w:rFonts w:hint="eastAsia" w:asciiTheme="minorEastAsia" w:hAnsiTheme="minorEastAsia" w:eastAsiaTheme="minorEastAsia" w:cstheme="minorEastAsia"/>
          <w:sz w:val="24"/>
          <w:szCs w:val="24"/>
          <w:u w:val="single"/>
        </w:rPr>
        <w:t>一次性支付合同款项</w:t>
      </w:r>
      <w:r>
        <w:rPr>
          <w:rFonts w:hint="eastAsia" w:asciiTheme="minorEastAsia" w:hAnsiTheme="minorEastAsia" w:eastAsiaTheme="minorEastAsia" w:cstheme="minorEastAsia"/>
          <w:sz w:val="24"/>
          <w:szCs w:val="24"/>
          <w:u w:val="single"/>
          <w:lang w:eastAsia="zh-CN"/>
        </w:rPr>
        <w:t>的条件</w:t>
      </w:r>
      <w:r>
        <w:rPr>
          <w:rFonts w:hint="eastAsia" w:asciiTheme="minorEastAsia" w:hAnsiTheme="minorEastAsia" w:eastAsiaTheme="minorEastAsia" w:cstheme="minorEastAsia"/>
          <w:sz w:val="24"/>
          <w:szCs w:val="24"/>
          <w:u w:val="single"/>
        </w:rPr>
        <w:t xml:space="preserve">）                    </w:t>
      </w:r>
    </w:p>
    <w:p w14:paraId="7C630F2B">
      <w:pPr>
        <w:snapToGrid w:val="0"/>
        <w:spacing w:beforeLines="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分期付款：</w:t>
      </w:r>
      <w:r>
        <w:rPr>
          <w:rFonts w:hint="eastAsia" w:asciiTheme="minorEastAsia" w:hAnsiTheme="minorEastAsia" w:eastAsiaTheme="minorEastAsia" w:cstheme="minorEastAsia"/>
          <w:sz w:val="24"/>
          <w:szCs w:val="24"/>
          <w:u w:val="single"/>
        </w:rPr>
        <w:t xml:space="preserve">  （应明确分期支付合同款项的各期比例和支付条件</w:t>
      </w:r>
      <w:r>
        <w:rPr>
          <w:rFonts w:hint="eastAsia" w:asciiTheme="minorEastAsia" w:hAnsiTheme="minorEastAsia" w:eastAsiaTheme="minorEastAsia" w:cstheme="minorEastAsia"/>
          <w:sz w:val="24"/>
          <w:szCs w:val="24"/>
          <w:u w:val="single"/>
          <w:lang w:eastAsia="zh-CN"/>
        </w:rPr>
        <w:t>，各期支付条件应与分期履约验收情况挂钩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lang w:eastAsia="zh-CN"/>
        </w:rPr>
        <w:t>其中涉及预付款的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（应明确预付款的支付比例和支付条件） </w:t>
      </w:r>
    </w:p>
    <w:p w14:paraId="17210A5C">
      <w:pPr>
        <w:adjustRightInd w:val="0"/>
        <w:snapToGrid w:val="0"/>
        <w:spacing w:before="0" w:beforeLines="0"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成本补偿：</w:t>
      </w:r>
      <w:r>
        <w:rPr>
          <w:rFonts w:hint="eastAsia" w:asciiTheme="minorEastAsia" w:hAnsiTheme="minorEastAsia" w:eastAsiaTheme="minorEastAsia" w:cstheme="minorEastAsia"/>
          <w:sz w:val="24"/>
          <w:szCs w:val="24"/>
          <w:u w:val="single"/>
        </w:rPr>
        <w:t xml:space="preserve">      （应明确按照成本补偿方式的支付方式和支付条件）   </w:t>
      </w:r>
    </w:p>
    <w:p w14:paraId="460379AB">
      <w:pPr>
        <w:adjustRightInd w:val="0"/>
        <w:snapToGrid w:val="0"/>
        <w:spacing w:before="0" w:beforeLines="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绩效激励：</w:t>
      </w:r>
      <w:r>
        <w:rPr>
          <w:rFonts w:hint="eastAsia" w:asciiTheme="minorEastAsia" w:hAnsiTheme="minorEastAsia" w:eastAsiaTheme="minorEastAsia" w:cstheme="minorEastAsia"/>
          <w:sz w:val="24"/>
          <w:szCs w:val="24"/>
          <w:u w:val="single"/>
        </w:rPr>
        <w:t xml:space="preserve">      （应明确按照绩效激励方式的支付方式和支付条件）   </w:t>
      </w:r>
    </w:p>
    <w:p w14:paraId="04E873C3">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bCs w:val="0"/>
          <w:sz w:val="24"/>
          <w:szCs w:val="24"/>
          <w:u w:val="single"/>
        </w:rPr>
      </w:pPr>
      <w:r>
        <w:rPr>
          <w:rFonts w:hint="eastAsia" w:asciiTheme="minorEastAsia" w:hAnsiTheme="minorEastAsia" w:eastAsiaTheme="minorEastAsia" w:cstheme="minorEastAsia"/>
          <w:b/>
          <w:bCs w:val="0"/>
          <w:sz w:val="24"/>
          <w:szCs w:val="24"/>
        </w:rPr>
        <w:t>合同履行</w:t>
      </w:r>
    </w:p>
    <w:p w14:paraId="01A75BD4">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（1）起始日期：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日，完成日期：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8146BE2">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sz w:val="24"/>
          <w:szCs w:val="24"/>
          <w:u w:val="single"/>
        </w:rPr>
        <w:t xml:space="preserve">                             </w:t>
      </w:r>
    </w:p>
    <w:p w14:paraId="4527A6CD">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（3）履约担保：</w:t>
      </w:r>
      <w:r>
        <w:rPr>
          <w:rFonts w:hint="eastAsia" w:asciiTheme="minorEastAsia" w:hAnsiTheme="minorEastAsia" w:eastAsiaTheme="minorEastAsia" w:cstheme="minorEastAsia"/>
          <w:sz w:val="24"/>
          <w:szCs w:val="24"/>
          <w:lang w:val="en-US" w:eastAsia="zh-CN"/>
        </w:rPr>
        <w:t>是否收取履约保证金：</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lang w:eastAsia="zh-CN"/>
        </w:rPr>
        <w:t>否</w:t>
      </w:r>
    </w:p>
    <w:p w14:paraId="1A95A495">
      <w:pPr>
        <w:pStyle w:val="79"/>
        <w:spacing w:before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 xml:space="preserve">  收取履约保证金形式：</w:t>
      </w:r>
      <w:r>
        <w:rPr>
          <w:rFonts w:hint="eastAsia" w:asciiTheme="minorEastAsia" w:hAnsiTheme="minorEastAsia" w:eastAsiaTheme="minorEastAsia" w:cstheme="minorEastAsia"/>
          <w:bCs/>
          <w:sz w:val="24"/>
          <w:szCs w:val="24"/>
          <w:u w:val="single"/>
        </w:rPr>
        <w:t xml:space="preserve">                            </w:t>
      </w:r>
    </w:p>
    <w:p w14:paraId="176D322B">
      <w:pPr>
        <w:pStyle w:val="79"/>
        <w:spacing w:before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收取履约保证金金额：</w:t>
      </w:r>
      <w:r>
        <w:rPr>
          <w:rFonts w:hint="eastAsia" w:asciiTheme="minorEastAsia" w:hAnsiTheme="minorEastAsia" w:eastAsiaTheme="minorEastAsia" w:cstheme="minorEastAsia"/>
          <w:bCs/>
          <w:sz w:val="24"/>
          <w:szCs w:val="24"/>
          <w:u w:val="single"/>
        </w:rPr>
        <w:t xml:space="preserve">                            </w:t>
      </w:r>
    </w:p>
    <w:p w14:paraId="2DCCB021">
      <w:pPr>
        <w:snapToGrid w:val="0"/>
        <w:spacing w:beforeLines="0"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履约担保期限</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2493B1A9">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（4）分期履行要求：</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3D4EED25">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bCs/>
          <w:sz w:val="24"/>
          <w:szCs w:val="24"/>
          <w:lang w:eastAsia="zh-CN"/>
        </w:rPr>
        <w:t>风险处置措施和替代方案</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u w:val="single"/>
        </w:rPr>
        <w:t xml:space="preserve">                                                </w:t>
      </w:r>
    </w:p>
    <w:p w14:paraId="3DDC4609">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合同验收</w:t>
      </w:r>
    </w:p>
    <w:p w14:paraId="4C54C160">
      <w:pPr>
        <w:numPr>
          <w:ilvl w:val="0"/>
          <w:numId w:val="13"/>
        </w:num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验收组织方式：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自行组织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委托第三方组织</w:t>
      </w:r>
    </w:p>
    <w:p w14:paraId="64B369E7">
      <w:pPr>
        <w:numPr>
          <w:ilvl w:val="0"/>
          <w:numId w:val="0"/>
        </w:numPr>
        <w:adjustRightInd w:val="0"/>
        <w:snapToGrid w:val="0"/>
        <w:spacing w:before="0" w:beforeLines="0"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验收主体：</w:t>
      </w:r>
      <w:r>
        <w:rPr>
          <w:rFonts w:hint="eastAsia" w:asciiTheme="minorEastAsia" w:hAnsiTheme="minorEastAsia" w:eastAsiaTheme="minorEastAsia" w:cstheme="minorEastAsia"/>
          <w:bCs/>
          <w:sz w:val="24"/>
          <w:szCs w:val="24"/>
          <w:u w:val="single"/>
        </w:rPr>
        <w:t xml:space="preserve">                  </w:t>
      </w:r>
    </w:p>
    <w:p w14:paraId="64C60413">
      <w:pPr>
        <w:adjustRightInd w:val="0"/>
        <w:snapToGrid w:val="0"/>
        <w:spacing w:before="0" w:beforeLines="0" w:line="400" w:lineRule="exact"/>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是否邀请本项目的其他供应商</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60A80E3F">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是否邀请专家</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57862358">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是否邀请服务对象</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4F0936C5">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是否邀请第三方检测机构</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0F1A633C">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是否进行抽查检测：</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，抽查比例：</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657CC7D8">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lang w:val="en-US" w:eastAsia="zh-CN"/>
        </w:rPr>
        <w:t>是否存在破坏性检测：</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lang w:eastAsia="zh-CN"/>
        </w:rPr>
        <w:t>（应明确对被破坏的检测产品的处理方式）</w:t>
      </w:r>
    </w:p>
    <w:p w14:paraId="4FCD2893">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2C8B92EA">
      <w:pPr>
        <w:adjustRightInd w:val="0"/>
        <w:snapToGrid w:val="0"/>
        <w:spacing w:before="0" w:beforeLines="0" w:line="400" w:lineRule="exact"/>
        <w:ind w:firstLine="960" w:firstLineChars="4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验收组织的其他事项：</w:t>
      </w:r>
      <w:r>
        <w:rPr>
          <w:rFonts w:hint="eastAsia" w:asciiTheme="minorEastAsia" w:hAnsiTheme="minorEastAsia" w:eastAsiaTheme="minorEastAsia" w:cstheme="minorEastAsia"/>
          <w:bCs/>
          <w:sz w:val="24"/>
          <w:szCs w:val="24"/>
          <w:u w:val="single"/>
        </w:rPr>
        <w:t xml:space="preserve">                </w:t>
      </w:r>
    </w:p>
    <w:p w14:paraId="0830A42C">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（2）履约验收时间：</w:t>
      </w:r>
      <w:r>
        <w:rPr>
          <w:rFonts w:hint="eastAsia" w:asciiTheme="minorEastAsia" w:hAnsiTheme="minorEastAsia" w:eastAsiaTheme="minorEastAsia" w:cstheme="minorEastAsia"/>
          <w:bCs/>
          <w:sz w:val="24"/>
          <w:szCs w:val="24"/>
          <w:u w:val="single"/>
        </w:rPr>
        <w:t>（计划于何时验收/供应商提出验收申请之日起   日内组织验收）</w:t>
      </w:r>
      <w:r>
        <w:rPr>
          <w:rFonts w:hint="eastAsia" w:asciiTheme="minorEastAsia" w:hAnsiTheme="minorEastAsia" w:eastAsiaTheme="minorEastAsia" w:cstheme="minorEastAsia"/>
          <w:bCs/>
          <w:sz w:val="24"/>
          <w:szCs w:val="24"/>
          <w:u w:val="single"/>
          <w:lang w:val="en-US" w:eastAsia="zh-CN"/>
        </w:rPr>
        <w:t xml:space="preserve"> </w:t>
      </w:r>
    </w:p>
    <w:p w14:paraId="7D69DD32">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（3）履约验收方式：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一次性验收         </w:t>
      </w:r>
    </w:p>
    <w:p w14:paraId="4BBC7C35">
      <w:pPr>
        <w:adjustRightInd w:val="0"/>
        <w:snapToGrid w:val="0"/>
        <w:spacing w:before="0" w:beforeLines="0" w:line="400" w:lineRule="exact"/>
        <w:ind w:firstLine="0" w:firstLineChars="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分期/分项验收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（应明确分期</w:t>
      </w:r>
      <w:r>
        <w:rPr>
          <w:rFonts w:hint="eastAsia" w:asciiTheme="minorEastAsia" w:hAnsiTheme="minorEastAsia" w:eastAsiaTheme="minorEastAsia" w:cstheme="minorEastAsia"/>
          <w:bCs/>
          <w:sz w:val="24"/>
          <w:szCs w:val="24"/>
          <w:u w:val="single"/>
          <w:lang w:val="en" w:eastAsia="zh-CN"/>
        </w:rPr>
        <w:t>/分项验收的工作安排</w:t>
      </w:r>
      <w:r>
        <w:rPr>
          <w:rFonts w:hint="eastAsia" w:asciiTheme="minorEastAsia" w:hAnsiTheme="minorEastAsia" w:eastAsiaTheme="minorEastAsia" w:cstheme="minorEastAsia"/>
          <w:bCs/>
          <w:sz w:val="24"/>
          <w:szCs w:val="24"/>
          <w:u w:val="singl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p>
    <w:p w14:paraId="6F02A609">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（4）履约验收程序：</w:t>
      </w:r>
      <w:r>
        <w:rPr>
          <w:rFonts w:hint="eastAsia" w:asciiTheme="minorEastAsia" w:hAnsiTheme="minorEastAsia" w:eastAsiaTheme="minorEastAsia" w:cstheme="minorEastAsia"/>
          <w:bCs/>
          <w:sz w:val="24"/>
          <w:szCs w:val="24"/>
          <w:u w:val="single"/>
        </w:rPr>
        <w:t xml:space="preserve">                                         </w:t>
      </w:r>
    </w:p>
    <w:p w14:paraId="502FA400">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（5）履约验收的内容：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（应当包括每一项技术和商务要求的履约情况，特别是落实政府采购扶持中小企业，支持绿色发展和乡村振兴等政策情况）</w:t>
      </w:r>
      <w:r>
        <w:rPr>
          <w:rFonts w:hint="eastAsia" w:asciiTheme="minorEastAsia" w:hAnsiTheme="minorEastAsia" w:eastAsiaTheme="minorEastAsia" w:cstheme="minorEastAsia"/>
          <w:bCs/>
          <w:sz w:val="24"/>
          <w:szCs w:val="24"/>
          <w:u w:val="single"/>
        </w:rPr>
        <w:t xml:space="preserve">                                      </w:t>
      </w:r>
    </w:p>
    <w:p w14:paraId="0E3A3054">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（6）履约验收标准：</w:t>
      </w:r>
      <w:r>
        <w:rPr>
          <w:rFonts w:hint="eastAsia" w:asciiTheme="minorEastAsia" w:hAnsiTheme="minorEastAsia" w:eastAsiaTheme="minorEastAsia" w:cstheme="minorEastAsia"/>
          <w:bCs/>
          <w:sz w:val="24"/>
          <w:szCs w:val="24"/>
          <w:u w:val="single"/>
        </w:rPr>
        <w:t xml:space="preserve">                                         </w:t>
      </w:r>
    </w:p>
    <w:p w14:paraId="47AAF57A">
      <w:pPr>
        <w:pStyle w:val="79"/>
        <w:spacing w:before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none"/>
          <w:lang w:val="en-US" w:eastAsia="zh-CN"/>
        </w:rPr>
        <w:t>7</w:t>
      </w:r>
      <w:r>
        <w:rPr>
          <w:rFonts w:hint="eastAsia" w:asciiTheme="minorEastAsia" w:hAnsiTheme="minorEastAsia" w:eastAsiaTheme="minorEastAsia" w:cstheme="minorEastAsia"/>
          <w:bCs/>
          <w:sz w:val="24"/>
          <w:szCs w:val="24"/>
          <w:u w:val="none"/>
          <w:lang w:eastAsia="zh-CN"/>
        </w:rPr>
        <w:t>）是否以采购活动中供应商提供的样品作为参考：</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41DEC4AC">
      <w:pPr>
        <w:adjustRightInd w:val="0"/>
        <w:snapToGrid w:val="0"/>
        <w:spacing w:before="0" w:beforeLines="0" w:line="400" w:lineRule="exact"/>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（8）履约验收其他事项：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i w:val="0"/>
          <w:iCs w:val="0"/>
          <w:sz w:val="24"/>
          <w:szCs w:val="24"/>
          <w:u w:val="single"/>
        </w:rPr>
        <w:t>（产权过户登记等）</w:t>
      </w:r>
      <w:r>
        <w:rPr>
          <w:rFonts w:hint="eastAsia" w:asciiTheme="minorEastAsia" w:hAnsiTheme="minorEastAsia" w:eastAsiaTheme="minorEastAsia" w:cstheme="minorEastAsia"/>
          <w:bCs/>
          <w:sz w:val="24"/>
          <w:szCs w:val="24"/>
          <w:u w:val="single"/>
        </w:rPr>
        <w:t xml:space="preserve">          </w:t>
      </w:r>
    </w:p>
    <w:p w14:paraId="5FB8244D">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组成合同的文件</w:t>
      </w:r>
    </w:p>
    <w:p w14:paraId="45A2A963">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本协议书与下列文件一起构成合同文件，如下述文件之间有任何抵触、矛盾或歧义，应按以下顺序解释：</w:t>
      </w:r>
    </w:p>
    <w:p w14:paraId="4A3C5E69">
      <w:pPr>
        <w:adjustRightInd w:val="0"/>
        <w:snapToGrid w:val="0"/>
        <w:spacing w:before="0" w:beforeLines="0" w:line="40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政府采购</w:t>
      </w:r>
      <w:r>
        <w:rPr>
          <w:rFonts w:hint="eastAsia" w:asciiTheme="minorEastAsia" w:hAnsiTheme="minorEastAsia" w:eastAsiaTheme="minorEastAsia" w:cstheme="minorEastAsia"/>
          <w:color w:val="auto"/>
          <w:sz w:val="24"/>
          <w:szCs w:val="24"/>
        </w:rPr>
        <w:t>合同协议书及其变更、补充</w:t>
      </w:r>
      <w:r>
        <w:rPr>
          <w:rFonts w:hint="eastAsia" w:asciiTheme="minorEastAsia" w:hAnsiTheme="minorEastAsia" w:eastAsiaTheme="minorEastAsia" w:cstheme="minorEastAsia"/>
          <w:color w:val="auto"/>
          <w:sz w:val="24"/>
          <w:szCs w:val="24"/>
          <w:lang w:eastAsia="zh-CN"/>
        </w:rPr>
        <w:t>协议</w:t>
      </w:r>
    </w:p>
    <w:p w14:paraId="5CDF4C34">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）政府采购合同专用条款</w:t>
      </w:r>
    </w:p>
    <w:p w14:paraId="2AFD02A9">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）政府采购合同通用条款</w:t>
      </w:r>
    </w:p>
    <w:p w14:paraId="16349FED">
      <w:pPr>
        <w:adjustRightInd w:val="0"/>
        <w:snapToGrid w:val="0"/>
        <w:spacing w:before="0" w:beforeLines="0"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）中标</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w:t>
      </w:r>
    </w:p>
    <w:p w14:paraId="6F2D50A4">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）投标（响应）文件</w:t>
      </w:r>
    </w:p>
    <w:p w14:paraId="4A17B248">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（6）采购文件</w:t>
      </w:r>
    </w:p>
    <w:p w14:paraId="3EABA236">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（7）有关技术文件，图纸</w:t>
      </w:r>
    </w:p>
    <w:p w14:paraId="0F9F3390">
      <w:pPr>
        <w:pStyle w:val="79"/>
        <w:spacing w:beforeLines="0"/>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5021A92F">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合同生效</w:t>
      </w:r>
    </w:p>
    <w:p w14:paraId="7D737D44">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生效。</w:t>
      </w:r>
    </w:p>
    <w:p w14:paraId="6DE25F22">
      <w:pPr>
        <w:numPr>
          <w:ilvl w:val="0"/>
          <w:numId w:val="11"/>
        </w:numPr>
        <w:adjustRightInd w:val="0"/>
        <w:snapToGrid w:val="0"/>
        <w:spacing w:before="0" w:beforeLines="0" w:line="4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合同份数</w:t>
      </w:r>
    </w:p>
    <w:p w14:paraId="56F1AEDA">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w:t>
      </w:r>
    </w:p>
    <w:p w14:paraId="291A8DF2">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7284586">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合同订立地点：</w:t>
      </w:r>
      <w:r>
        <w:rPr>
          <w:rFonts w:hint="eastAsia" w:asciiTheme="minorEastAsia" w:hAnsiTheme="minorEastAsia" w:eastAsiaTheme="minorEastAsia" w:cstheme="minorEastAsia"/>
          <w:sz w:val="24"/>
          <w:szCs w:val="24"/>
          <w:u w:val="single"/>
        </w:rPr>
        <w:t xml:space="preserve">                           </w:t>
      </w:r>
    </w:p>
    <w:p w14:paraId="168307C7">
      <w:pPr>
        <w:adjustRightInd w:val="0"/>
        <w:snapToGrid w:val="0"/>
        <w:spacing w:before="0" w:beforeLines="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附件：具体标</w:t>
      </w:r>
      <w:r>
        <w:rPr>
          <w:rFonts w:hint="eastAsia" w:asciiTheme="minorEastAsia" w:hAnsiTheme="minorEastAsia" w:eastAsiaTheme="minorEastAsia" w:cstheme="minorEastAsia"/>
          <w:sz w:val="24"/>
          <w:szCs w:val="24"/>
          <w:lang w:eastAsia="zh-CN"/>
        </w:rPr>
        <w:t>的及其</w:t>
      </w:r>
      <w:r>
        <w:rPr>
          <w:rFonts w:hint="eastAsia" w:asciiTheme="minorEastAsia" w:hAnsiTheme="minorEastAsia" w:eastAsiaTheme="minorEastAsia" w:cstheme="minorEastAsia"/>
          <w:sz w:val="24"/>
          <w:szCs w:val="24"/>
          <w:highlight w:val="none"/>
          <w:u w:val="none"/>
          <w:lang w:val="en-US" w:eastAsia="zh-CN"/>
        </w:rPr>
        <w:t>技术要求和商务要求</w:t>
      </w:r>
      <w:r>
        <w:rPr>
          <w:rFonts w:hint="eastAsia" w:asciiTheme="minorEastAsia" w:hAnsiTheme="minorEastAsia" w:eastAsiaTheme="minorEastAsia" w:cstheme="minorEastAsia"/>
          <w:sz w:val="24"/>
          <w:szCs w:val="24"/>
        </w:rPr>
        <w:t>、联合协议、分包</w:t>
      </w:r>
      <w:r>
        <w:rPr>
          <w:rFonts w:hint="eastAsia" w:asciiTheme="minorEastAsia" w:hAnsiTheme="minorEastAsia" w:eastAsiaTheme="minorEastAsia" w:cstheme="minorEastAsia"/>
          <w:sz w:val="24"/>
          <w:szCs w:val="24"/>
          <w:lang w:eastAsia="zh-CN"/>
        </w:rPr>
        <w:t>意向</w:t>
      </w:r>
      <w:r>
        <w:rPr>
          <w:rFonts w:hint="eastAsia" w:asciiTheme="minorEastAsia" w:hAnsiTheme="minorEastAsia" w:eastAsiaTheme="minorEastAsia" w:cstheme="minorEastAsia"/>
          <w:sz w:val="24"/>
          <w:szCs w:val="24"/>
        </w:rPr>
        <w:t>协议等。</w:t>
      </w:r>
    </w:p>
    <w:p w14:paraId="1BF9AF2B">
      <w:pPr>
        <w:rPr>
          <w:rFonts w:hint="eastAsia" w:asciiTheme="minorEastAsia" w:hAnsiTheme="minorEastAsia" w:eastAsiaTheme="minorEastAsia" w:cstheme="minorEastAsia"/>
          <w:sz w:val="24"/>
          <w:szCs w:val="24"/>
        </w:rPr>
      </w:pPr>
    </w:p>
    <w:p w14:paraId="326DDD6E">
      <w:pPr>
        <w:pStyle w:val="789"/>
        <w:rPr>
          <w:rFonts w:hint="eastAsia" w:asciiTheme="minorEastAsia" w:hAnsiTheme="minorEastAsia" w:eastAsiaTheme="minorEastAsia" w:cstheme="minorEastAsia"/>
          <w:sz w:val="24"/>
          <w:szCs w:val="24"/>
        </w:rPr>
      </w:pPr>
    </w:p>
    <w:tbl>
      <w:tblPr>
        <w:tblStyle w:val="6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8"/>
        <w:gridCol w:w="2156"/>
        <w:gridCol w:w="2306"/>
      </w:tblGrid>
      <w:tr w14:paraId="239B8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C081296">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w:t>
            </w:r>
            <w:r>
              <w:rPr>
                <w:rFonts w:hint="eastAsia" w:asciiTheme="minorEastAsia" w:hAnsiTheme="minorEastAsia" w:eastAsiaTheme="minorEastAsia" w:cstheme="minorEastAsia"/>
                <w:sz w:val="24"/>
                <w:szCs w:val="24"/>
                <w:lang w:eastAsia="zh-CN"/>
              </w:rPr>
              <w:t>、受采购人委托签订合同的单位</w:t>
            </w:r>
            <w:r>
              <w:rPr>
                <w:rFonts w:hint="eastAsia" w:asciiTheme="minorEastAsia" w:hAnsiTheme="minorEastAsia" w:eastAsiaTheme="minorEastAsia" w:cstheme="minorEastAsia"/>
                <w:sz w:val="24"/>
                <w:szCs w:val="24"/>
              </w:rPr>
              <w:t>或采购文件约定的合同甲方）</w:t>
            </w:r>
          </w:p>
        </w:tc>
        <w:tc>
          <w:tcPr>
            <w:tcW w:w="2437" w:type="pct"/>
            <w:gridSpan w:val="2"/>
            <w:tcBorders>
              <w:left w:val="single" w:color="auto" w:sz="2" w:space="0"/>
              <w:bottom w:val="single" w:color="auto" w:sz="2" w:space="0"/>
            </w:tcBorders>
            <w:vAlign w:val="center"/>
          </w:tcPr>
          <w:p w14:paraId="5A3EAB9E">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乙方（供应商）</w:t>
            </w:r>
          </w:p>
        </w:tc>
      </w:tr>
      <w:tr w14:paraId="65C06F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CEC664B">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w:t>
            </w:r>
            <w:r>
              <w:rPr>
                <w:rFonts w:hint="eastAsia" w:asciiTheme="minorEastAsia" w:hAnsiTheme="minorEastAsia" w:eastAsiaTheme="minorEastAsia" w:cstheme="minorEastAsia"/>
                <w:sz w:val="24"/>
                <w:szCs w:val="24"/>
                <w:lang w:eastAsia="zh-CN"/>
              </w:rPr>
              <w:t>或合同章</w:t>
            </w:r>
            <w:r>
              <w:rPr>
                <w:rFonts w:hint="eastAsia" w:asciiTheme="minorEastAsia" w:hAnsiTheme="minorEastAsia" w:eastAsiaTheme="minorEastAsia" w:cstheme="minorEastAsia"/>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326957B3">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8201F0">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w:t>
            </w:r>
            <w:r>
              <w:rPr>
                <w:rFonts w:hint="eastAsia" w:asciiTheme="minorEastAsia" w:hAnsiTheme="minorEastAsia" w:eastAsiaTheme="minorEastAsia" w:cstheme="minorEastAsia"/>
                <w:sz w:val="24"/>
                <w:szCs w:val="24"/>
                <w:lang w:eastAsia="zh-CN"/>
              </w:rPr>
              <w:t>或合同章</w:t>
            </w:r>
            <w:r>
              <w:rPr>
                <w:rFonts w:hint="eastAsia" w:asciiTheme="minorEastAsia" w:hAnsiTheme="minorEastAsia" w:eastAsiaTheme="minorEastAsia" w:cstheme="minorEastAsia"/>
                <w:sz w:val="24"/>
                <w:szCs w:val="24"/>
              </w:rPr>
              <w:t>）</w:t>
            </w:r>
          </w:p>
        </w:tc>
        <w:tc>
          <w:tcPr>
            <w:tcW w:w="1259" w:type="pct"/>
            <w:tcBorders>
              <w:top w:val="single" w:color="auto" w:sz="2" w:space="0"/>
              <w:left w:val="single" w:color="auto" w:sz="2" w:space="0"/>
              <w:bottom w:val="single" w:color="auto" w:sz="2" w:space="0"/>
            </w:tcBorders>
            <w:vAlign w:val="center"/>
          </w:tcPr>
          <w:p w14:paraId="626ABC7C">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739587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AFF7325">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4D975799">
            <w:pPr>
              <w:adjustRightInd w:val="0"/>
              <w:snapToGrid w:val="0"/>
              <w:spacing w:line="300" w:lineRule="exact"/>
              <w:ind w:firstLine="115" w:firstLineChars="4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C3415DD">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right w:val="single" w:color="auto" w:sz="2" w:space="0"/>
            </w:tcBorders>
            <w:vAlign w:val="center"/>
          </w:tcPr>
          <w:p w14:paraId="42914913">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AD9DF54">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168774C9">
            <w:pPr>
              <w:adjustRightInd w:val="0"/>
              <w:snapToGrid w:val="0"/>
              <w:spacing w:line="300" w:lineRule="exact"/>
              <w:jc w:val="center"/>
              <w:rPr>
                <w:rFonts w:hint="eastAsia" w:asciiTheme="minorEastAsia" w:hAnsiTheme="minorEastAsia" w:eastAsiaTheme="minorEastAsia" w:cstheme="minorEastAsia"/>
                <w:sz w:val="24"/>
                <w:szCs w:val="24"/>
              </w:rPr>
            </w:pPr>
          </w:p>
        </w:tc>
      </w:tr>
      <w:tr w14:paraId="042D77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E76ED59">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A907A8B">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FA54A3A">
            <w:pPr>
              <w:adjustRightInd w:val="0"/>
              <w:snapToGrid w:val="0"/>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2D410904">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086570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168047">
            <w:pPr>
              <w:adjustRightInd w:val="0"/>
              <w:snapToGrid w:val="0"/>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67F3043">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422EBC0">
            <w:pPr>
              <w:adjustRightInd w:val="0"/>
              <w:snapToGrid w:val="0"/>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1F4DED1D">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30585B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44B6F6">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56545E">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70A4A44">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1259" w:type="pct"/>
            <w:tcBorders>
              <w:top w:val="single" w:color="auto" w:sz="2" w:space="0"/>
              <w:left w:val="single" w:color="auto" w:sz="2" w:space="0"/>
              <w:bottom w:val="single" w:color="auto" w:sz="2" w:space="0"/>
            </w:tcBorders>
            <w:vAlign w:val="center"/>
          </w:tcPr>
          <w:p w14:paraId="32974B8D">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68E9C3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77A2FB">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0E1A2BB">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67F9BC">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259" w:type="pct"/>
            <w:tcBorders>
              <w:top w:val="single" w:color="auto" w:sz="2" w:space="0"/>
              <w:left w:val="single" w:color="auto" w:sz="2" w:space="0"/>
              <w:bottom w:val="single" w:color="auto" w:sz="2" w:space="0"/>
            </w:tcBorders>
            <w:vAlign w:val="center"/>
          </w:tcPr>
          <w:p w14:paraId="068A621B">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22B7D7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31028D">
            <w:pPr>
              <w:adjustRightInd w:val="0"/>
              <w:snapToGrid w:val="0"/>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7366A7C">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CFCF46">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754B286">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3F433E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6B1374">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69D9934">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22B2C43">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259" w:type="pct"/>
            <w:tcBorders>
              <w:top w:val="single" w:color="auto" w:sz="2" w:space="0"/>
              <w:left w:val="single" w:color="auto" w:sz="2" w:space="0"/>
              <w:bottom w:val="single" w:color="auto" w:sz="2" w:space="0"/>
            </w:tcBorders>
            <w:vAlign w:val="center"/>
          </w:tcPr>
          <w:p w14:paraId="12CF67FC">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223232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852737">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74091B">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CE9029">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259" w:type="pct"/>
            <w:tcBorders>
              <w:top w:val="single" w:color="auto" w:sz="2" w:space="0"/>
              <w:left w:val="single" w:color="auto" w:sz="2" w:space="0"/>
              <w:bottom w:val="single" w:color="auto" w:sz="2" w:space="0"/>
            </w:tcBorders>
            <w:vAlign w:val="center"/>
          </w:tcPr>
          <w:p w14:paraId="46983EF3">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2258EA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3BBB13">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B5403CE">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67EC1F">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64F20C44">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13154D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6B1D11">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3DB1263">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36342B">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p>
        </w:tc>
        <w:tc>
          <w:tcPr>
            <w:tcW w:w="1259" w:type="pct"/>
            <w:tcBorders>
              <w:top w:val="single" w:color="auto" w:sz="2" w:space="0"/>
              <w:left w:val="single" w:color="auto" w:sz="2" w:space="0"/>
              <w:bottom w:val="single" w:color="auto" w:sz="2" w:space="0"/>
            </w:tcBorders>
            <w:vAlign w:val="center"/>
          </w:tcPr>
          <w:p w14:paraId="336E0D03">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1214B1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76C6CE">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F07D54A">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D566E8">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1259" w:type="pct"/>
            <w:tcBorders>
              <w:top w:val="single" w:color="auto" w:sz="2" w:space="0"/>
              <w:left w:val="single" w:color="auto" w:sz="2" w:space="0"/>
              <w:bottom w:val="single" w:color="auto" w:sz="2" w:space="0"/>
            </w:tcBorders>
            <w:vAlign w:val="center"/>
          </w:tcPr>
          <w:p w14:paraId="55C7F7BE">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4C279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EA8029">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76204F9">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B4631A">
            <w:pPr>
              <w:adjustRightInd w:val="0"/>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tc>
        <w:tc>
          <w:tcPr>
            <w:tcW w:w="1259" w:type="pct"/>
            <w:tcBorders>
              <w:top w:val="single" w:color="auto" w:sz="2" w:space="0"/>
              <w:left w:val="single" w:color="auto" w:sz="2" w:space="0"/>
              <w:bottom w:val="single" w:color="auto" w:sz="2" w:space="0"/>
            </w:tcBorders>
            <w:vAlign w:val="center"/>
          </w:tcPr>
          <w:p w14:paraId="0EFA8CF8">
            <w:pPr>
              <w:adjustRightInd w:val="0"/>
              <w:snapToGrid w:val="0"/>
              <w:spacing w:line="300" w:lineRule="exact"/>
              <w:jc w:val="center"/>
              <w:rPr>
                <w:rFonts w:hint="eastAsia" w:asciiTheme="minorEastAsia" w:hAnsiTheme="minorEastAsia" w:eastAsiaTheme="minorEastAsia" w:cstheme="minorEastAsia"/>
                <w:spacing w:val="20"/>
                <w:sz w:val="24"/>
                <w:szCs w:val="24"/>
              </w:rPr>
            </w:pPr>
          </w:p>
        </w:tc>
      </w:tr>
      <w:tr w14:paraId="35F5CC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1D01F7C">
            <w:pPr>
              <w:pStyle w:val="25"/>
              <w:adjustRightInd w:val="0"/>
              <w:snapToGrid w:val="0"/>
              <w:spacing w:before="156" w:beforeLines="50" w:after="0" w:line="360" w:lineRule="auto"/>
              <w:ind w:left="0" w:leftChars="0"/>
              <w:jc w:val="left"/>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z w:val="24"/>
                <w:szCs w:val="24"/>
              </w:rPr>
              <w:t>注：涉及联合体或其他合同主体的信息应按上表格式加列。</w:t>
            </w:r>
          </w:p>
        </w:tc>
      </w:tr>
    </w:tbl>
    <w:p w14:paraId="5E5B789E">
      <w:pPr>
        <w:pStyle w:val="3"/>
        <w:adjustRightInd w:val="0"/>
        <w:snapToGrid w:val="0"/>
        <w:spacing w:before="156" w:beforeLine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u w:val="single"/>
        </w:rPr>
        <w:br w:type="page"/>
      </w:r>
      <w:bookmarkStart w:id="397" w:name="_Toc27624"/>
      <w:r>
        <w:rPr>
          <w:rFonts w:hint="eastAsia" w:asciiTheme="minorEastAsia" w:hAnsiTheme="minorEastAsia" w:eastAsiaTheme="minorEastAsia" w:cstheme="minorEastAsia"/>
          <w:b w:val="0"/>
          <w:bCs w:val="0"/>
          <w:sz w:val="28"/>
          <w:szCs w:val="28"/>
        </w:rPr>
        <w:t>第二节 政府采购合同通用条款</w:t>
      </w:r>
      <w:bookmarkEnd w:id="397"/>
    </w:p>
    <w:p w14:paraId="6C279F3C">
      <w:pPr>
        <w:tabs>
          <w:tab w:val="left" w:pos="8820"/>
          <w:tab w:val="left" w:pos="9345"/>
          <w:tab w:val="left" w:pos="9765"/>
        </w:tabs>
        <w:adjustRightInd w:val="0"/>
        <w:snapToGrid w:val="0"/>
        <w:spacing w:before="0" w:line="40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bCs/>
          <w:sz w:val="24"/>
          <w:szCs w:val="24"/>
        </w:rPr>
        <w:t>定义</w:t>
      </w:r>
    </w:p>
    <w:p w14:paraId="099683BF">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1.1合同当事人</w:t>
      </w:r>
    </w:p>
    <w:p w14:paraId="221D010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 w:val="24"/>
          <w:szCs w:val="24"/>
          <w:highlight w:val="none"/>
          <w:lang w:val="en-US" w:eastAsia="zh-CN"/>
        </w:rPr>
        <w:t>及其相关服务的</w:t>
      </w:r>
      <w:r>
        <w:rPr>
          <w:rFonts w:hint="eastAsia" w:asciiTheme="minorEastAsia" w:hAnsiTheme="minorEastAsia" w:eastAsiaTheme="minorEastAsia" w:cstheme="minorEastAsia"/>
          <w:color w:val="auto"/>
          <w:sz w:val="24"/>
          <w:szCs w:val="24"/>
          <w:highlight w:val="none"/>
        </w:rPr>
        <w:t>国家机关、事业单位、团体组织。</w:t>
      </w:r>
    </w:p>
    <w:p w14:paraId="788DC065">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（2）供应商（以下称</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方）是指参加政府采购活动并且中标（成交），向采购人提供</w:t>
      </w:r>
      <w:r>
        <w:rPr>
          <w:rFonts w:hint="eastAsia" w:asciiTheme="minorEastAsia" w:hAnsiTheme="minorEastAsia" w:eastAsiaTheme="minorEastAsia" w:cstheme="minorEastAsia"/>
          <w:color w:val="auto"/>
          <w:sz w:val="24"/>
          <w:szCs w:val="24"/>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 w:val="24"/>
          <w:szCs w:val="24"/>
          <w:highlight w:val="none"/>
        </w:rPr>
        <w:t>。</w:t>
      </w:r>
    </w:p>
    <w:p w14:paraId="25955CD2">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（3）其他合同主体是指除采购人和供应商以外，</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依法参与合同缔结或履行，享有权利、承担义务的合同当事人</w:t>
      </w:r>
      <w:r>
        <w:rPr>
          <w:rFonts w:hint="eastAsia" w:asciiTheme="minorEastAsia" w:hAnsiTheme="minorEastAsia" w:eastAsiaTheme="minorEastAsia" w:cstheme="minorEastAsia"/>
          <w:color w:val="auto"/>
          <w:sz w:val="24"/>
          <w:szCs w:val="24"/>
          <w:highlight w:val="none"/>
        </w:rPr>
        <w:t>。</w:t>
      </w:r>
    </w:p>
    <w:p w14:paraId="5C0F4879">
      <w:pPr>
        <w:tabs>
          <w:tab w:val="left" w:pos="570"/>
          <w:tab w:val="left" w:pos="9240"/>
          <w:tab w:val="left" w:pos="9555"/>
        </w:tabs>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1.2本合同下列术语应解释为：</w:t>
      </w:r>
    </w:p>
    <w:p w14:paraId="0C99870F">
      <w:pPr>
        <w:adjustRightInd w:val="0"/>
        <w:snapToGrid w:val="0"/>
        <w:spacing w:before="0" w:beforeLines="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（1）“合同”系指</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合同当事人意思表示达成一致的任何协议，包括签署的</w:t>
      </w:r>
      <w:r>
        <w:rPr>
          <w:rFonts w:hint="eastAsia" w:asciiTheme="minorEastAsia" w:hAnsiTheme="minorEastAsia" w:eastAsiaTheme="minorEastAsia" w:cstheme="minorEastAsia"/>
          <w:color w:val="auto"/>
          <w:sz w:val="24"/>
          <w:szCs w:val="24"/>
          <w:lang w:eastAsia="zh-CN"/>
        </w:rPr>
        <w:t>政府采购</w:t>
      </w:r>
      <w:r>
        <w:rPr>
          <w:rFonts w:hint="eastAsia" w:asciiTheme="minorEastAsia" w:hAnsiTheme="minorEastAsia" w:eastAsiaTheme="minorEastAsia" w:cstheme="minorEastAsia"/>
          <w:color w:val="auto"/>
          <w:sz w:val="24"/>
          <w:szCs w:val="24"/>
        </w:rPr>
        <w:t>合同协议书及其变更、补充</w:t>
      </w:r>
      <w:r>
        <w:rPr>
          <w:rFonts w:hint="eastAsia" w:asciiTheme="minorEastAsia" w:hAnsiTheme="minorEastAsia" w:eastAsiaTheme="minorEastAsia" w:cstheme="minorEastAsia"/>
          <w:color w:val="auto"/>
          <w:sz w:val="24"/>
          <w:szCs w:val="24"/>
          <w:lang w:eastAsia="zh-CN"/>
        </w:rPr>
        <w:t>协议，</w:t>
      </w:r>
      <w:r>
        <w:rPr>
          <w:rFonts w:hint="eastAsia" w:asciiTheme="minorEastAsia" w:hAnsiTheme="minorEastAsia" w:eastAsiaTheme="minorEastAsia" w:cstheme="minorEastAsia"/>
          <w:sz w:val="24"/>
          <w:szCs w:val="24"/>
        </w:rPr>
        <w:t>政府采购合同专用条款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政府采购合同通用条款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rPr>
        <w:t>中标</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rPr>
        <w:t>投标（响应）文件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有关技术文件</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sz w:val="24"/>
          <w:szCs w:val="24"/>
        </w:rPr>
        <w:t>图纸</w:t>
      </w:r>
      <w:r>
        <w:rPr>
          <w:rFonts w:hint="eastAsia" w:asciiTheme="minorEastAsia" w:hAnsiTheme="minorEastAsia" w:eastAsiaTheme="minorEastAsia" w:cstheme="minorEastAsia"/>
          <w:sz w:val="24"/>
          <w:szCs w:val="24"/>
          <w:lang w:eastAsia="zh-CN"/>
        </w:rPr>
        <w:t>，以及</w:t>
      </w:r>
      <w:r>
        <w:rPr>
          <w:rFonts w:hint="eastAsia" w:asciiTheme="minorEastAsia" w:hAnsiTheme="minorEastAsia" w:eastAsiaTheme="minorEastAsia" w:cstheme="minorEastAsia"/>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Theme="minorEastAsia" w:hAnsiTheme="minorEastAsia" w:eastAsiaTheme="minorEastAsia" w:cstheme="minorEastAsia"/>
          <w:color w:val="auto"/>
          <w:sz w:val="24"/>
          <w:szCs w:val="24"/>
          <w:highlight w:val="none"/>
        </w:rPr>
        <w:t>。</w:t>
      </w:r>
    </w:p>
    <w:p w14:paraId="2F661614">
      <w:pPr>
        <w:tabs>
          <w:tab w:val="left" w:pos="570"/>
          <w:tab w:val="left" w:pos="9240"/>
          <w:tab w:val="left" w:pos="9555"/>
        </w:tabs>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）“合同价</w:t>
      </w:r>
      <w:r>
        <w:rPr>
          <w:rFonts w:hint="eastAsia" w:asciiTheme="minorEastAsia" w:hAnsiTheme="minorEastAsia" w:eastAsiaTheme="minorEastAsia" w:cstheme="minorEastAsia"/>
          <w:color w:val="auto"/>
          <w:sz w:val="24"/>
          <w:szCs w:val="24"/>
          <w:highlight w:val="none"/>
          <w:lang w:val="en-US" w:eastAsia="zh-CN"/>
        </w:rPr>
        <w:t>款</w:t>
      </w:r>
      <w:r>
        <w:rPr>
          <w:rFonts w:hint="eastAsia" w:asciiTheme="minorEastAsia" w:hAnsiTheme="minorEastAsia" w:eastAsiaTheme="minorEastAsia" w:cstheme="minorEastAsia"/>
          <w:color w:val="auto"/>
          <w:sz w:val="24"/>
          <w:szCs w:val="24"/>
          <w:highlight w:val="none"/>
        </w:rPr>
        <w:t>”系指根据本合同规定乙方在全面履行合同义务后甲方应支付给乙方的价款。</w:t>
      </w:r>
    </w:p>
    <w:p w14:paraId="72E1E4C9">
      <w:pPr>
        <w:tabs>
          <w:tab w:val="left" w:pos="570"/>
          <w:tab w:val="left" w:pos="9240"/>
          <w:tab w:val="left" w:pos="9555"/>
        </w:tabs>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）“货物”系指乙方根据本合同规定须向甲方提供的各种形态和种类的物品，包括原材料、设备、产品（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包括软件）及相关的其备品备件、工具、手册及</w:t>
      </w:r>
      <w:r>
        <w:rPr>
          <w:rFonts w:hint="eastAsia" w:asciiTheme="minorEastAsia" w:hAnsiTheme="minorEastAsia" w:eastAsiaTheme="minorEastAsia" w:cstheme="minorEastAsia"/>
          <w:color w:val="000000" w:themeColor="text1"/>
          <w:sz w:val="24"/>
          <w:szCs w:val="24"/>
          <w:highlight w:val="none"/>
          <w:lang w:val="e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技术资料和材料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33E8085">
      <w:pPr>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服务”系指根据合同规定，乙方应提供的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与货物有关的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技术、管理和</w:t>
      </w:r>
      <w:r>
        <w:rPr>
          <w:rFonts w:hint="eastAsia" w:asciiTheme="minorEastAsia" w:hAnsiTheme="minorEastAsia" w:eastAsiaTheme="minorEastAsia" w:cstheme="minorEastAsia"/>
          <w:color w:val="000000" w:themeColor="text1"/>
          <w:sz w:val="24"/>
          <w:szCs w:val="24"/>
          <w:highlight w:val="none"/>
          <w:lang w:val="e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废弃处置、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技术支持等以及合同中规定乙方应承担的</w:t>
      </w:r>
      <w:r>
        <w:rPr>
          <w:rFonts w:hint="eastAsia" w:asciiTheme="minorEastAsia" w:hAnsiTheme="minorEastAsia" w:eastAsiaTheme="minorEastAsia" w:cstheme="minorEastAsia"/>
          <w:color w:val="000000" w:themeColor="text1"/>
          <w:sz w:val="24"/>
          <w:szCs w:val="24"/>
          <w:highlight w:val="none"/>
          <w:lang w:val="e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义务。</w:t>
      </w:r>
    </w:p>
    <w:p w14:paraId="60F958FC">
      <w:pPr>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）“分包”系指中标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项目中的部分履约内容，分给具有相应资质条件的供应商履行合同的行为。</w:t>
      </w:r>
    </w:p>
    <w:p w14:paraId="1CAD0934">
      <w:pPr>
        <w:tabs>
          <w:tab w:val="left" w:pos="570"/>
          <w:tab w:val="left" w:pos="9240"/>
          <w:tab w:val="left" w:pos="9555"/>
        </w:tabs>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sz w:val="24"/>
          <w:szCs w:val="24"/>
          <w:highlight w:val="none"/>
        </w:rPr>
        <w:t>“联合体”系指</w:t>
      </w:r>
      <w:r>
        <w:rPr>
          <w:rFonts w:hint="eastAsia" w:asciiTheme="minorEastAsia" w:hAnsiTheme="minorEastAsia" w:eastAsiaTheme="minorEastAsia" w:cstheme="minorEastAsia"/>
          <w:sz w:val="24"/>
          <w:szCs w:val="24"/>
          <w:highlight w:val="none"/>
          <w:lang w:eastAsia="zh-CN"/>
        </w:rPr>
        <w:t>由</w:t>
      </w:r>
      <w:r>
        <w:rPr>
          <w:rFonts w:hint="eastAsia" w:asciiTheme="minorEastAsia" w:hAnsiTheme="minorEastAsia" w:eastAsiaTheme="minorEastAsia" w:cstheme="minorEastAsia"/>
          <w:sz w:val="24"/>
          <w:szCs w:val="24"/>
          <w:highlight w:val="none"/>
        </w:rPr>
        <w:t>两个以上的自然人、法人或者</w:t>
      </w:r>
      <w:r>
        <w:rPr>
          <w:rFonts w:hint="eastAsia" w:asciiTheme="minorEastAsia" w:hAnsiTheme="minorEastAsia" w:eastAsiaTheme="minorEastAsia" w:cstheme="minorEastAsia"/>
          <w:sz w:val="24"/>
          <w:szCs w:val="24"/>
          <w:highlight w:val="none"/>
          <w:lang w:val="en-US" w:eastAsia="zh-CN"/>
        </w:rPr>
        <w:t>非法人</w:t>
      </w:r>
      <w:r>
        <w:rPr>
          <w:rFonts w:hint="eastAsia" w:asciiTheme="minorEastAsia" w:hAnsiTheme="minorEastAsia" w:eastAsiaTheme="minorEastAsia" w:cstheme="minorEastAsia"/>
          <w:sz w:val="24"/>
          <w:szCs w:val="24"/>
          <w:highlight w:val="none"/>
        </w:rPr>
        <w:t>组织组成，</w:t>
      </w:r>
      <w:r>
        <w:rPr>
          <w:rFonts w:hint="eastAsia" w:asciiTheme="minorEastAsia" w:hAnsiTheme="minorEastAsia" w:eastAsiaTheme="minorEastAsia" w:cstheme="minorEastAsia"/>
          <w:sz w:val="24"/>
          <w:szCs w:val="24"/>
          <w:highlight w:val="none"/>
          <w:lang w:eastAsia="zh-CN"/>
        </w:rPr>
        <w:t>以一个供应商的身份共同参加政府采购的主体</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承担连带责任。联合体具体要求见【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FA58776">
      <w:pPr>
        <w:tabs>
          <w:tab w:val="left" w:pos="570"/>
          <w:tab w:val="left" w:pos="9240"/>
          <w:tab w:val="left" w:pos="9555"/>
        </w:tabs>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）其他术语解释，见【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E10683D">
      <w:pPr>
        <w:numPr>
          <w:ilvl w:val="0"/>
          <w:numId w:val="14"/>
        </w:num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合同标的及金额</w:t>
      </w:r>
    </w:p>
    <w:p w14:paraId="67F47B3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b/>
          <w:bCs/>
          <w:i/>
          <w:i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价款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中，甲方不再另行支付</w:t>
      </w:r>
      <w:r>
        <w:rPr>
          <w:rFonts w:hint="eastAsia" w:asciiTheme="minorEastAsia" w:hAnsiTheme="minorEastAsia" w:eastAsiaTheme="minorEastAsia" w:cstheme="minorEastAsia"/>
          <w:color w:val="000000" w:themeColor="text1"/>
          <w:sz w:val="24"/>
          <w:szCs w:val="24"/>
          <w:highlight w:val="none"/>
          <w:lang w:val="e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任何费用。</w:t>
      </w:r>
    </w:p>
    <w:p w14:paraId="68B132C6">
      <w:pPr>
        <w:adjustRightInd w:val="0"/>
        <w:snapToGrid w:val="0"/>
        <w:spacing w:before="0" w:line="400" w:lineRule="exact"/>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履行合同的时间、地点和方式</w:t>
      </w:r>
    </w:p>
    <w:p w14:paraId="204720D9">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 </w:t>
      </w:r>
      <w:r>
        <w:rPr>
          <w:rFonts w:hint="eastAsia" w:asciiTheme="minorEastAsia" w:hAnsiTheme="minorEastAsia" w:eastAsiaTheme="minorEastAsia" w:cstheme="minorEastAsia"/>
          <w:sz w:val="24"/>
          <w:szCs w:val="24"/>
          <w:highlight w:val="none"/>
        </w:rPr>
        <w:t>乙方应当在约定的时间、地点</w:t>
      </w:r>
      <w:r>
        <w:rPr>
          <w:rFonts w:hint="eastAsia" w:asciiTheme="minorEastAsia" w:hAnsiTheme="minorEastAsia" w:eastAsiaTheme="minorEastAsia" w:cstheme="minorEastAsia"/>
          <w:sz w:val="24"/>
          <w:szCs w:val="24"/>
          <w:highlight w:val="none"/>
          <w:lang w:eastAsia="zh-CN"/>
        </w:rPr>
        <w:t>，按照约定</w:t>
      </w:r>
      <w:r>
        <w:rPr>
          <w:rFonts w:hint="eastAsia" w:asciiTheme="minorEastAsia" w:hAnsiTheme="minorEastAsia" w:eastAsiaTheme="minorEastAsia" w:cstheme="minorEastAsia"/>
          <w:sz w:val="24"/>
          <w:szCs w:val="24"/>
          <w:highlight w:val="none"/>
        </w:rPr>
        <w:t>方式履行合同。</w:t>
      </w:r>
    </w:p>
    <w:p w14:paraId="42A7A6CD">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甲方的权利和义务</w:t>
      </w:r>
    </w:p>
    <w:p w14:paraId="042DA73E">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签署合同后，甲方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确定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项目负责人（或项目联系人）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FB0FFAF">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69CC04A">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152B358">
      <w:pPr>
        <w:snapToGrid w:val="0"/>
        <w:spacing w:line="4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Theme="minorEastAsia" w:hAnsiTheme="minorEastAsia" w:eastAsiaTheme="minorEastAsia" w:cstheme="minorEastAsia"/>
          <w:b w:val="0"/>
          <w:bCs w:val="0"/>
          <w:sz w:val="24"/>
          <w:szCs w:val="24"/>
          <w:highlight w:val="none"/>
          <w:lang w:eastAsia="zh-CN"/>
        </w:rPr>
        <w:t>未</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视为验收通过。</w:t>
      </w:r>
    </w:p>
    <w:p w14:paraId="125339D5">
      <w:pPr>
        <w:autoSpaceDE w:val="0"/>
        <w:autoSpaceDN w:val="0"/>
        <w:adjustRightInd w:val="0"/>
        <w:snapToGrid w:val="0"/>
        <w:spacing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甲方应当根据合同约定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时向乙方支付</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45875DC7">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国家法律法规规定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约定应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由甲方承担的其他义务和责任。</w:t>
      </w:r>
    </w:p>
    <w:p w14:paraId="55FD763D">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乙方的权利和义务</w:t>
      </w:r>
    </w:p>
    <w:p w14:paraId="6D777C33">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签署合同后，乙方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确定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项目负责人（或项目联系人）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，负责与本合同有关的事务。</w:t>
      </w:r>
    </w:p>
    <w:p w14:paraId="208E92C3">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乙方应按照合同要求履约，充分合理安排，确保提供的货物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服务符合合同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及验收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，并负责项目实施过程中的所有协调工作。</w:t>
      </w:r>
    </w:p>
    <w:p w14:paraId="1364F7BF">
      <w:pPr>
        <w:pStyle w:val="23"/>
        <w:spacing w:after="0" w:line="400" w:lineRule="exact"/>
        <w:ind w:firstLine="422" w:firstLineChars="17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乙方有权根据合同约定向甲方收取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合同价款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A2C81AE">
      <w:pPr>
        <w:pStyle w:val="23"/>
        <w:spacing w:after="0" w:line="400" w:lineRule="exact"/>
        <w:ind w:firstLine="422" w:firstLineChars="17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国家法律法规规定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由乙方承担的其他义务和责任。</w:t>
      </w:r>
    </w:p>
    <w:p w14:paraId="3ED6DA2B">
      <w:pPr>
        <w:numPr>
          <w:ilvl w:val="0"/>
          <w:numId w:val="15"/>
        </w:num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合同履</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行</w:t>
      </w:r>
    </w:p>
    <w:p w14:paraId="1F404A98">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甲乙双方应当按照</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约定顺序履行合同义务；如果没有先后顺序的，应当同时履行。</w:t>
      </w:r>
    </w:p>
    <w:p w14:paraId="38DBAA9F">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68C425E">
      <w:pPr>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货物包装、运输</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保险</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和交付</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要求</w:t>
      </w:r>
    </w:p>
    <w:p w14:paraId="7D9ACC9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本合同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涉及商品包装</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快递包装的，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另有</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定</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外</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约定的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指定现场。</w:t>
      </w:r>
    </w:p>
    <w:p w14:paraId="57830514">
      <w:pPr>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另有</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定</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外</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乙方负责办理将货物运抵本合同规定的交货地点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，并装卸、交付至甲方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的一切运输事项，相关费用应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包含</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价款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w:t>
      </w:r>
    </w:p>
    <w:p w14:paraId="74B9BCE6">
      <w:pPr>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货物保险要求按</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【政府采购合同专用条款】</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规定执行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448E74A">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除采购活动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对商品包装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快递包装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达成具体约定外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，乙方提供产品及相关快递服务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涉及到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具体包装要求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不低于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《商品包装政府采购需求标准（试行）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快递包装政府采购需求标准（试行）》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24A57AA3">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7.5 </w:t>
      </w:r>
      <w:r>
        <w:rPr>
          <w:rFonts w:hint="eastAsia" w:asciiTheme="minorEastAsia" w:hAnsiTheme="minorEastAsia" w:eastAsiaTheme="minorEastAsia" w:cstheme="minorEastAsia"/>
          <w:color w:val="000000"/>
          <w:sz w:val="24"/>
          <w:szCs w:val="24"/>
          <w:highlight w:val="none"/>
        </w:rPr>
        <w:t>乙方在运输到达之前</w:t>
      </w:r>
      <w:r>
        <w:rPr>
          <w:rFonts w:hint="eastAsia" w:asciiTheme="minorEastAsia" w:hAnsiTheme="minorEastAsia" w:eastAsiaTheme="minorEastAsia" w:cstheme="minorEastAsia"/>
          <w:color w:val="000000"/>
          <w:sz w:val="24"/>
          <w:szCs w:val="24"/>
          <w:highlight w:val="none"/>
          <w:lang w:eastAsia="zh-CN"/>
        </w:rPr>
        <w:t>应</w:t>
      </w:r>
      <w:r>
        <w:rPr>
          <w:rFonts w:hint="eastAsia" w:asciiTheme="minorEastAsia" w:hAnsiTheme="minorEastAsia" w:eastAsiaTheme="minorEastAsia" w:cstheme="minorEastAsia"/>
          <w:color w:val="000000"/>
          <w:sz w:val="24"/>
          <w:szCs w:val="24"/>
          <w:highlight w:val="none"/>
        </w:rPr>
        <w:t>提前通知</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，并提示货物运输装卸的注意事项</w:t>
      </w:r>
      <w:r>
        <w:rPr>
          <w:rFonts w:hint="eastAsia" w:asciiTheme="minorEastAsia" w:hAnsiTheme="minorEastAsia" w:eastAsiaTheme="minorEastAsia" w:cstheme="minorEastAsia"/>
          <w:color w:val="000000"/>
          <w:sz w:val="24"/>
          <w:szCs w:val="24"/>
          <w:highlight w:val="none"/>
          <w:lang w:eastAsia="zh-CN"/>
        </w:rPr>
        <w:t>，甲方配合乙方做好货物的接收工作。</w:t>
      </w:r>
    </w:p>
    <w:p w14:paraId="1847F2C8">
      <w:pPr>
        <w:pStyle w:val="7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 xml:space="preserve">7.6 </w:t>
      </w:r>
      <w:r>
        <w:rPr>
          <w:rFonts w:hint="eastAsia" w:asciiTheme="minorEastAsia" w:hAnsiTheme="minorEastAsia" w:eastAsiaTheme="minorEastAsia" w:cstheme="minorEastAsia"/>
          <w:color w:val="000000"/>
          <w:kern w:val="2"/>
          <w:sz w:val="24"/>
          <w:szCs w:val="24"/>
          <w:highlight w:val="none"/>
        </w:rPr>
        <w:t>如因包装</w:t>
      </w:r>
      <w:r>
        <w:rPr>
          <w:rFonts w:hint="eastAsia" w:asciiTheme="minorEastAsia" w:hAnsiTheme="minorEastAsia" w:eastAsiaTheme="minorEastAsia" w:cstheme="minorEastAsia"/>
          <w:color w:val="000000"/>
          <w:kern w:val="2"/>
          <w:sz w:val="24"/>
          <w:szCs w:val="24"/>
          <w:highlight w:val="none"/>
          <w:lang w:eastAsia="zh-CN"/>
        </w:rPr>
        <w:t>、运输</w:t>
      </w:r>
      <w:r>
        <w:rPr>
          <w:rFonts w:hint="eastAsia" w:asciiTheme="minorEastAsia" w:hAnsiTheme="minorEastAsia" w:eastAsiaTheme="minorEastAsia" w:cstheme="minorEastAsia"/>
          <w:color w:val="000000"/>
          <w:kern w:val="2"/>
          <w:sz w:val="24"/>
          <w:szCs w:val="24"/>
          <w:highlight w:val="none"/>
        </w:rPr>
        <w:t>问题导致货物</w:t>
      </w:r>
      <w:r>
        <w:rPr>
          <w:rFonts w:hint="eastAsia" w:asciiTheme="minorEastAsia" w:hAnsiTheme="minorEastAsia" w:eastAsiaTheme="minorEastAsia" w:cstheme="minorEastAsia"/>
          <w:color w:val="000000" w:themeColor="text1"/>
          <w:kern w:val="2"/>
          <w:sz w:val="24"/>
          <w:szCs w:val="24"/>
          <w:highlight w:val="none"/>
          <w:lang w:eastAsia="zh-CN"/>
          <w14:textFill>
            <w14:solidFill>
              <w14:schemeClr w14:val="tx1"/>
            </w14:solidFill>
          </w14:textFill>
        </w:rPr>
        <w:t>损毁、丢失</w:t>
      </w:r>
      <w:r>
        <w:rPr>
          <w:rFonts w:hint="eastAsia" w:asciiTheme="minorEastAsia" w:hAnsiTheme="minorEastAsia" w:eastAsiaTheme="minorEastAsia" w:cstheme="minorEastAsia"/>
          <w:color w:val="000000"/>
          <w:kern w:val="2"/>
          <w:sz w:val="24"/>
          <w:szCs w:val="24"/>
          <w:highlight w:val="none"/>
        </w:rPr>
        <w:t>或者品质下降，</w:t>
      </w:r>
      <w:r>
        <w:rPr>
          <w:rFonts w:hint="eastAsia" w:asciiTheme="minorEastAsia" w:hAnsiTheme="minorEastAsia" w:eastAsiaTheme="minorEastAsia" w:cstheme="minorEastAsia"/>
          <w:color w:val="000000"/>
          <w:kern w:val="2"/>
          <w:sz w:val="24"/>
          <w:szCs w:val="24"/>
          <w:highlight w:val="none"/>
          <w:lang w:eastAsia="zh-CN"/>
        </w:rPr>
        <w:t>甲方</w:t>
      </w:r>
      <w:r>
        <w:rPr>
          <w:rFonts w:hint="eastAsia" w:asciiTheme="minorEastAsia" w:hAnsiTheme="minorEastAsia" w:eastAsiaTheme="minorEastAsia" w:cstheme="minorEastAsia"/>
          <w:color w:val="000000"/>
          <w:kern w:val="2"/>
          <w:sz w:val="24"/>
          <w:szCs w:val="24"/>
          <w:highlight w:val="none"/>
        </w:rPr>
        <w:t>有权要求降价、换货、拒收部分或整批货物，由此</w:t>
      </w:r>
      <w:r>
        <w:rPr>
          <w:rFonts w:hint="eastAsia" w:asciiTheme="minorEastAsia" w:hAnsiTheme="minorEastAsia" w:eastAsiaTheme="minorEastAsia" w:cstheme="minorEastAsia"/>
          <w:color w:val="000000"/>
          <w:kern w:val="2"/>
          <w:sz w:val="24"/>
          <w:szCs w:val="24"/>
          <w:highlight w:val="none"/>
          <w:lang w:eastAsia="zh-CN"/>
        </w:rPr>
        <w:t>产生</w:t>
      </w:r>
      <w:r>
        <w:rPr>
          <w:rFonts w:hint="eastAsia" w:asciiTheme="minorEastAsia" w:hAnsiTheme="minorEastAsia" w:eastAsiaTheme="minorEastAsia" w:cstheme="minorEastAsia"/>
          <w:color w:val="000000"/>
          <w:kern w:val="2"/>
          <w:sz w:val="24"/>
          <w:szCs w:val="24"/>
          <w:highlight w:val="none"/>
        </w:rPr>
        <w:t>的费用和损失，均由</w:t>
      </w:r>
      <w:r>
        <w:rPr>
          <w:rFonts w:hint="eastAsia" w:asciiTheme="minorEastAsia" w:hAnsiTheme="minorEastAsia" w:eastAsiaTheme="minorEastAsia" w:cstheme="minorEastAsia"/>
          <w:color w:val="000000"/>
          <w:kern w:val="2"/>
          <w:sz w:val="24"/>
          <w:szCs w:val="24"/>
          <w:highlight w:val="none"/>
          <w:lang w:eastAsia="zh-CN"/>
        </w:rPr>
        <w:t>乙方</w:t>
      </w:r>
      <w:r>
        <w:rPr>
          <w:rFonts w:hint="eastAsia" w:asciiTheme="minorEastAsia" w:hAnsiTheme="minorEastAsia" w:eastAsiaTheme="minorEastAsia" w:cstheme="minorEastAsia"/>
          <w:color w:val="000000"/>
          <w:kern w:val="2"/>
          <w:sz w:val="24"/>
          <w:szCs w:val="24"/>
          <w:highlight w:val="none"/>
        </w:rPr>
        <w:t>承担。</w:t>
      </w:r>
    </w:p>
    <w:p w14:paraId="5FE607A1">
      <w:pPr>
        <w:adjustRightInd w:val="0"/>
        <w:snapToGrid w:val="0"/>
        <w:spacing w:before="0" w:line="4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auto"/>
          <w:sz w:val="24"/>
          <w:szCs w:val="24"/>
          <w:highlight w:val="none"/>
        </w:rPr>
        <w:t>质量标准和保证</w:t>
      </w:r>
    </w:p>
    <w:p w14:paraId="500B4FBC">
      <w:pPr>
        <w:pStyle w:val="33"/>
        <w:adjustRightInd w:val="0"/>
        <w:snapToGrid w:val="0"/>
        <w:spacing w:before="0" w:line="4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.1 质量标准</w:t>
      </w:r>
    </w:p>
    <w:p w14:paraId="48B7F1D7">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（1）本合同下</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000000"/>
          <w:sz w:val="24"/>
          <w:szCs w:val="24"/>
          <w:highlight w:val="none"/>
          <w:lang w:eastAsia="zh-CN"/>
        </w:rPr>
        <w:t>约</w:t>
      </w:r>
      <w:r>
        <w:rPr>
          <w:rFonts w:hint="eastAsia" w:asciiTheme="minorEastAsia" w:hAnsiTheme="minorEastAsia" w:eastAsiaTheme="minorEastAsia" w:cstheme="minorEastAsia"/>
          <w:color w:val="000000"/>
          <w:sz w:val="24"/>
          <w:szCs w:val="24"/>
          <w:highlight w:val="none"/>
        </w:rPr>
        <w:t>定的</w:t>
      </w:r>
      <w:r>
        <w:rPr>
          <w:rFonts w:hint="eastAsia" w:asciiTheme="minorEastAsia" w:hAnsiTheme="minorEastAsia" w:eastAsiaTheme="minorEastAsia" w:cstheme="minorEastAsia"/>
          <w:sz w:val="24"/>
          <w:szCs w:val="24"/>
          <w:highlight w:val="none"/>
        </w:rPr>
        <w:t>品牌、规格型号、技术性能、配置、质量、数量等要求。</w:t>
      </w:r>
      <w:r>
        <w:rPr>
          <w:rFonts w:hint="eastAsia" w:asciiTheme="minorEastAsia" w:hAnsiTheme="minorEastAsia" w:eastAsiaTheme="minorEastAsia" w:cstheme="minorEastAsia"/>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 w:val="24"/>
          <w:szCs w:val="24"/>
          <w:highlight w:val="none"/>
          <w:lang w:eastAsia="zh-CN"/>
        </w:rPr>
        <w:t>。</w:t>
      </w:r>
    </w:p>
    <w:p w14:paraId="66E5687E">
      <w:pPr>
        <w:pStyle w:val="33"/>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（2）采用中华人民共和国法定计量单位。</w:t>
      </w:r>
    </w:p>
    <w:p w14:paraId="639AF953">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的货物应符合国家有关安全、环保、卫生</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规定。</w:t>
      </w:r>
    </w:p>
    <w:p w14:paraId="3AEF0F6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（4）乙方应向甲方提交所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文件应包装好随货物一同发运。</w:t>
      </w:r>
    </w:p>
    <w:p w14:paraId="5957B6C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.2 保证</w:t>
      </w:r>
    </w:p>
    <w:p w14:paraId="5C78EF3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w:t>
      </w:r>
      <w:r>
        <w:rPr>
          <w:rFonts w:hint="eastAsia" w:asciiTheme="minorEastAsia" w:hAnsiTheme="minorEastAsia" w:eastAsiaTheme="minorEastAsia" w:cstheme="minorEastAsia"/>
          <w:color w:val="auto"/>
          <w:sz w:val="24"/>
          <w:szCs w:val="24"/>
          <w:highlight w:val="none"/>
          <w:lang w:eastAsia="zh-CN"/>
        </w:rPr>
        <w:t>提供的货物</w:t>
      </w:r>
      <w:r>
        <w:rPr>
          <w:rFonts w:hint="eastAsia" w:asciiTheme="minorEastAsia" w:hAnsiTheme="minorEastAsia" w:eastAsiaTheme="minorEastAsia" w:cstheme="minorEastAsia"/>
          <w:color w:val="auto"/>
          <w:sz w:val="24"/>
          <w:szCs w:val="24"/>
          <w:highlight w:val="none"/>
        </w:rPr>
        <w:t>完全符合合同规定的质量、规格和性能要求。乙方应保证货物在正确安装、正常使用和保养条件下，</w:t>
      </w:r>
      <w:r>
        <w:rPr>
          <w:rFonts w:hint="eastAsia" w:asciiTheme="minorEastAsia" w:hAnsiTheme="minorEastAsia" w:eastAsiaTheme="minorEastAsia" w:cstheme="minorEastAsia"/>
          <w:sz w:val="24"/>
          <w:szCs w:val="24"/>
          <w:highlight w:val="none"/>
        </w:rPr>
        <w:t>在其使用寿命期内具</w:t>
      </w:r>
      <w:r>
        <w:rPr>
          <w:rFonts w:hint="eastAsia" w:asciiTheme="minorEastAsia" w:hAnsiTheme="minorEastAsia" w:eastAsiaTheme="minorEastAsia" w:cstheme="minorEastAsia"/>
          <w:sz w:val="24"/>
          <w:szCs w:val="24"/>
          <w:highlight w:val="none"/>
          <w:lang w:eastAsia="zh-CN"/>
        </w:rPr>
        <w:t>备合同约定</w:t>
      </w:r>
      <w:r>
        <w:rPr>
          <w:rFonts w:hint="eastAsia" w:asciiTheme="minorEastAsia" w:hAnsiTheme="minorEastAsia" w:eastAsiaTheme="minorEastAsia" w:cstheme="minorEastAsia"/>
          <w:sz w:val="24"/>
          <w:szCs w:val="24"/>
          <w:highlight w:val="none"/>
        </w:rPr>
        <w:t>的性能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存在</w:t>
      </w:r>
      <w:r>
        <w:rPr>
          <w:rFonts w:hint="eastAsia" w:asciiTheme="minorEastAsia" w:hAnsiTheme="minorEastAsia" w:eastAsiaTheme="minorEastAsia" w:cstheme="minorEastAsia"/>
          <w:color w:val="auto"/>
          <w:sz w:val="24"/>
          <w:szCs w:val="24"/>
          <w:highlight w:val="none"/>
        </w:rPr>
        <w:t>质量保证期的，货物最终交付验收</w:t>
      </w:r>
      <w:r>
        <w:rPr>
          <w:rFonts w:hint="eastAsia" w:asciiTheme="minorEastAsia" w:hAnsiTheme="minorEastAsia" w:eastAsiaTheme="minorEastAsia" w:cstheme="minorEastAsia"/>
          <w:color w:val="auto"/>
          <w:sz w:val="24"/>
          <w:szCs w:val="24"/>
          <w:highlight w:val="none"/>
          <w:lang w:eastAsia="zh-CN"/>
        </w:rPr>
        <w:t>合格</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规定或乙方</w:t>
      </w:r>
      <w:r>
        <w:rPr>
          <w:rFonts w:hint="eastAsia" w:asciiTheme="minorEastAsia" w:hAnsiTheme="minorEastAsia" w:eastAsiaTheme="minorEastAsia" w:cstheme="minorEastAsia"/>
          <w:color w:val="auto"/>
          <w:sz w:val="24"/>
          <w:szCs w:val="24"/>
          <w:highlight w:val="none"/>
          <w:lang w:eastAsia="zh-CN"/>
        </w:rPr>
        <w:t>书面</w:t>
      </w:r>
      <w:r>
        <w:rPr>
          <w:rFonts w:hint="eastAsia" w:asciiTheme="minorEastAsia" w:hAnsiTheme="minorEastAsia" w:eastAsiaTheme="minorEastAsia" w:cstheme="minorEastAsia"/>
          <w:color w:val="auto"/>
          <w:sz w:val="24"/>
          <w:szCs w:val="24"/>
          <w:highlight w:val="none"/>
        </w:rPr>
        <w:t>承诺（两者以较长的为准）的质量保证期内，本保证保持有效。</w:t>
      </w:r>
    </w:p>
    <w:p w14:paraId="1A9D72A5">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（2）在质量保证期内所发现的缺陷，甲方应尽快以书面形式通知乙方。</w:t>
      </w:r>
    </w:p>
    <w:p w14:paraId="0E245A91">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（3）乙方收到通知后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规定的响应时间内以合理的速度免费维修或更换有缺陷的货物或部件。</w:t>
      </w:r>
    </w:p>
    <w:p w14:paraId="19AD5ACA">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auto"/>
          <w:sz w:val="24"/>
          <w:szCs w:val="24"/>
          <w:highlight w:val="none"/>
        </w:rPr>
        <w:t>.1条规定以书面形式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追究</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的违约责任</w:t>
      </w:r>
      <w:r>
        <w:rPr>
          <w:rFonts w:hint="eastAsia" w:asciiTheme="minorEastAsia" w:hAnsiTheme="minorEastAsia" w:eastAsiaTheme="minorEastAsia" w:cstheme="minorEastAsia"/>
          <w:color w:val="auto"/>
          <w:sz w:val="24"/>
          <w:szCs w:val="24"/>
          <w:highlight w:val="none"/>
        </w:rPr>
        <w:t>。</w:t>
      </w:r>
    </w:p>
    <w:p w14:paraId="4D9D0D31">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对乙方行使的其他权利不受影响。</w:t>
      </w:r>
    </w:p>
    <w:p w14:paraId="597A0DD5">
      <w:pPr>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auto"/>
          <w:sz w:val="24"/>
          <w:szCs w:val="24"/>
          <w:highlight w:val="none"/>
        </w:rPr>
        <w:t>权利瑕疵担保</w:t>
      </w:r>
    </w:p>
    <w:p w14:paraId="336071CD">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乙方保证对其出售的货物享有合法的权利。</w:t>
      </w:r>
    </w:p>
    <w:p w14:paraId="07A788C8">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 </w:t>
      </w:r>
      <w:r>
        <w:rPr>
          <w:rFonts w:hint="eastAsia" w:asciiTheme="minorEastAsia" w:hAnsiTheme="minorEastAsia" w:eastAsiaTheme="minorEastAsia" w:cstheme="minorEastAsia"/>
          <w:sz w:val="24"/>
          <w:szCs w:val="24"/>
          <w:highlight w:val="none"/>
        </w:rPr>
        <w:t>乙方保证在交付的货物上不存在抵押权等担保物权。</w:t>
      </w:r>
    </w:p>
    <w:p w14:paraId="01418129">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如甲方使用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上述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货物构成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对第三人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侵权的，则由乙方承担全部责任。</w:t>
      </w:r>
    </w:p>
    <w:p w14:paraId="4C633EC2">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0</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知识产权保护</w:t>
      </w:r>
    </w:p>
    <w:p w14:paraId="33ACB410">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Theme="minorEastAsia" w:hAnsiTheme="minorEastAsia" w:eastAsiaTheme="minorEastAsia" w:cstheme="minorEastAsia"/>
          <w:color w:val="auto"/>
          <w:sz w:val="24"/>
          <w:szCs w:val="24"/>
          <w:highlight w:val="none"/>
        </w:rPr>
        <w:t>何第三人的知识产权等权利。</w:t>
      </w:r>
      <w:bookmarkStart w:id="398" w:name="_Hlk163047038"/>
      <w:r>
        <w:rPr>
          <w:rFonts w:hint="eastAsia" w:asciiTheme="minorEastAsia" w:hAnsiTheme="minorEastAsia" w:eastAsiaTheme="minorEastAsia" w:cstheme="minorEastAsia"/>
          <w:sz w:val="24"/>
          <w:szCs w:val="24"/>
          <w:highlight w:val="none"/>
        </w:rPr>
        <w:t>因违反前述约定对第三人构成侵权的，应当由乙方向第三人承担法律责任；甲方依法向第三人赔偿后，有权向乙方追偿。甲方有其他损失的，乙方应当赔偿</w:t>
      </w:r>
      <w:bookmarkEnd w:id="398"/>
      <w:r>
        <w:rPr>
          <w:rFonts w:hint="eastAsia" w:asciiTheme="minorEastAsia" w:hAnsiTheme="minorEastAsia" w:eastAsiaTheme="minorEastAsia" w:cstheme="minorEastAsia"/>
          <w:color w:val="auto"/>
          <w:sz w:val="24"/>
          <w:szCs w:val="24"/>
          <w:highlight w:val="none"/>
        </w:rPr>
        <w:t>。</w:t>
      </w:r>
    </w:p>
    <w:p w14:paraId="305FD841">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保密义务</w:t>
      </w:r>
    </w:p>
    <w:p w14:paraId="7A57A896">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11.1 </w:t>
      </w:r>
      <w:r>
        <w:rPr>
          <w:rFonts w:hint="eastAsia" w:asciiTheme="minorEastAsia" w:hAnsiTheme="minorEastAsia" w:eastAsiaTheme="minorEastAsia" w:cstheme="minorEastAsia"/>
          <w:sz w:val="24"/>
          <w:szCs w:val="24"/>
          <w:highlight w:val="none"/>
        </w:rPr>
        <w:t>甲、乙双方</w:t>
      </w:r>
      <w:r>
        <w:rPr>
          <w:rFonts w:hint="eastAsia" w:asciiTheme="minorEastAsia" w:hAnsiTheme="minorEastAsia" w:eastAsiaTheme="minorEastAsia" w:cstheme="minorEastAsia"/>
          <w:sz w:val="24"/>
          <w:szCs w:val="24"/>
          <w:highlight w:val="none"/>
          <w:lang w:eastAsia="zh-CN"/>
        </w:rPr>
        <w:t>对</w:t>
      </w:r>
      <w:r>
        <w:rPr>
          <w:rFonts w:hint="eastAsia" w:asciiTheme="minorEastAsia" w:hAnsiTheme="minorEastAsia" w:eastAsiaTheme="minorEastAsia" w:cstheme="minorEastAsia"/>
          <w:sz w:val="24"/>
          <w:szCs w:val="24"/>
          <w:highlight w:val="none"/>
        </w:rPr>
        <w:t>采购和合同履行过程中所获悉的</w:t>
      </w:r>
      <w:r>
        <w:rPr>
          <w:rFonts w:hint="eastAsia" w:asciiTheme="minorEastAsia" w:hAnsiTheme="minorEastAsia" w:eastAsiaTheme="minorEastAsia" w:cstheme="minorEastAsia"/>
          <w:sz w:val="24"/>
          <w:szCs w:val="24"/>
          <w:highlight w:val="none"/>
          <w:lang w:eastAsia="zh-CN"/>
        </w:rPr>
        <w:t>国家秘密、工作秘密、</w:t>
      </w:r>
      <w:r>
        <w:rPr>
          <w:rFonts w:hint="eastAsia" w:asciiTheme="minorEastAsia" w:hAnsiTheme="minorEastAsia" w:eastAsiaTheme="minorEastAsia" w:cstheme="minorEastAsia"/>
          <w:sz w:val="24"/>
          <w:szCs w:val="24"/>
          <w:highlight w:val="none"/>
        </w:rPr>
        <w:t>商业秘密或者其他应当保密的信息，均有保密义务</w:t>
      </w:r>
      <w:r>
        <w:rPr>
          <w:rFonts w:hint="eastAsia" w:asciiTheme="minorEastAsia" w:hAnsiTheme="minorEastAsia" w:eastAsiaTheme="minorEastAsia" w:cstheme="minorEastAsia"/>
          <w:sz w:val="24"/>
          <w:szCs w:val="24"/>
          <w:highlight w:val="none"/>
          <w:lang w:eastAsia="zh-CN"/>
        </w:rPr>
        <w:t>且不受合同有效期所限，直至该信息成为公开信息</w:t>
      </w:r>
      <w:r>
        <w:rPr>
          <w:rFonts w:hint="eastAsia" w:asciiTheme="minorEastAsia" w:hAnsiTheme="minorEastAsia" w:eastAsiaTheme="minorEastAsia" w:cstheme="minorEastAsia"/>
          <w:sz w:val="24"/>
          <w:szCs w:val="24"/>
          <w:highlight w:val="none"/>
        </w:rPr>
        <w:t>。泄露、不正当地使用</w:t>
      </w:r>
      <w:r>
        <w:rPr>
          <w:rFonts w:hint="eastAsia" w:asciiTheme="minorEastAsia" w:hAnsiTheme="minorEastAsia" w:eastAsiaTheme="minorEastAsia" w:cstheme="minorEastAsia"/>
          <w:sz w:val="24"/>
          <w:szCs w:val="24"/>
          <w:highlight w:val="none"/>
          <w:lang w:eastAsia="zh-CN"/>
        </w:rPr>
        <w:t>国家秘密、工作秘密、</w:t>
      </w:r>
      <w:r>
        <w:rPr>
          <w:rFonts w:hint="eastAsia" w:asciiTheme="minorEastAsia" w:hAnsiTheme="minorEastAsia" w:eastAsiaTheme="minorEastAsia" w:cstheme="minorEastAsia"/>
          <w:sz w:val="24"/>
          <w:szCs w:val="24"/>
          <w:highlight w:val="none"/>
        </w:rPr>
        <w:t>商业秘密或者</w:t>
      </w:r>
      <w:r>
        <w:rPr>
          <w:rFonts w:hint="eastAsia" w:asciiTheme="minorEastAsia" w:hAnsiTheme="minorEastAsia" w:eastAsiaTheme="minorEastAsia" w:cstheme="minorEastAsia"/>
          <w:sz w:val="24"/>
          <w:szCs w:val="24"/>
          <w:highlight w:val="none"/>
          <w:lang w:eastAsia="zh-CN"/>
        </w:rPr>
        <w:t>其他应当保密的</w:t>
      </w:r>
      <w:r>
        <w:rPr>
          <w:rFonts w:hint="eastAsia" w:asciiTheme="minorEastAsia" w:hAnsiTheme="minorEastAsia" w:eastAsiaTheme="minorEastAsia" w:cstheme="minorEastAsia"/>
          <w:sz w:val="24"/>
          <w:szCs w:val="24"/>
          <w:highlight w:val="none"/>
        </w:rPr>
        <w:t>信息，应当承担</w:t>
      </w:r>
      <w:r>
        <w:rPr>
          <w:rFonts w:hint="eastAsia" w:asciiTheme="minorEastAsia" w:hAnsiTheme="minorEastAsia" w:eastAsiaTheme="minorEastAsia" w:cstheme="minorEastAsia"/>
          <w:sz w:val="24"/>
          <w:szCs w:val="24"/>
          <w:highlight w:val="none"/>
          <w:lang w:eastAsia="zh-CN"/>
        </w:rPr>
        <w:t>相应</w:t>
      </w:r>
      <w:r>
        <w:rPr>
          <w:rFonts w:hint="eastAsia" w:asciiTheme="minorEastAsia" w:hAnsiTheme="minorEastAsia" w:eastAsiaTheme="minorEastAsia" w:cstheme="minorEastAsia"/>
          <w:sz w:val="24"/>
          <w:szCs w:val="24"/>
          <w:highlight w:val="none"/>
        </w:rPr>
        <w:t>责任。其他应当保密的信息由双方在</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sz w:val="24"/>
          <w:szCs w:val="24"/>
          <w:highlight w:val="none"/>
        </w:rPr>
        <w:t>中约定。</w:t>
      </w:r>
    </w:p>
    <w:p w14:paraId="324B730B">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合同价款支付</w:t>
      </w:r>
    </w:p>
    <w:p w14:paraId="62758CB6">
      <w:pPr>
        <w:autoSpaceDE/>
        <w:autoSpaceDN/>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合同价款支付</w:t>
      </w:r>
      <w:r>
        <w:rPr>
          <w:rFonts w:hint="eastAsia" w:asciiTheme="minorEastAsia" w:hAnsiTheme="minorEastAsia" w:eastAsiaTheme="minorEastAsia" w:cstheme="minorEastAsia"/>
          <w:color w:val="auto"/>
          <w:sz w:val="24"/>
          <w:szCs w:val="24"/>
          <w:highlight w:val="none"/>
        </w:rPr>
        <w:t>按照国库集中支付</w:t>
      </w:r>
      <w:r>
        <w:rPr>
          <w:rFonts w:hint="eastAsia" w:asciiTheme="minorEastAsia" w:hAnsiTheme="minorEastAsia" w:eastAsiaTheme="minorEastAsia" w:cstheme="minorEastAsia"/>
          <w:color w:val="auto"/>
          <w:sz w:val="24"/>
          <w:szCs w:val="24"/>
          <w:highlight w:val="none"/>
          <w:lang w:eastAsia="zh-CN"/>
        </w:rPr>
        <w:t>制度及财政管理相关</w:t>
      </w:r>
      <w:r>
        <w:rPr>
          <w:rFonts w:hint="eastAsia" w:asciiTheme="minorEastAsia" w:hAnsiTheme="minorEastAsia" w:eastAsiaTheme="minorEastAsia" w:cstheme="minorEastAsia"/>
          <w:color w:val="auto"/>
          <w:sz w:val="24"/>
          <w:szCs w:val="24"/>
          <w:highlight w:val="none"/>
        </w:rPr>
        <w:t>规定执行。</w:t>
      </w:r>
    </w:p>
    <w:p w14:paraId="2DC0A492">
      <w:pPr>
        <w:pStyle w:val="3"/>
        <w:spacing w:line="40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12.2 </w:t>
      </w:r>
      <w:r>
        <w:rPr>
          <w:rFonts w:hint="eastAsia" w:asciiTheme="minorEastAsia" w:hAnsiTheme="minorEastAsia" w:eastAsiaTheme="minorEastAsia" w:cstheme="minorEastAsia"/>
          <w:b w:val="0"/>
          <w:bCs w:val="0"/>
          <w:color w:val="auto"/>
          <w:kern w:val="2"/>
          <w:sz w:val="24"/>
          <w:szCs w:val="24"/>
          <w:highlight w:val="none"/>
        </w:rPr>
        <w:t>对于满足合同约定支付条件的，</w:t>
      </w:r>
      <w:r>
        <w:rPr>
          <w:rFonts w:hint="eastAsia" w:asciiTheme="minorEastAsia" w:hAnsiTheme="minorEastAsia" w:eastAsiaTheme="minorEastAsia" w:cstheme="minorEastAsia"/>
          <w:b w:val="0"/>
          <w:bCs w:val="0"/>
          <w:color w:val="auto"/>
          <w:kern w:val="2"/>
          <w:sz w:val="24"/>
          <w:szCs w:val="24"/>
          <w:highlight w:val="none"/>
          <w:lang w:val="en-US" w:eastAsia="zh-CN"/>
        </w:rPr>
        <w:t>甲方</w:t>
      </w:r>
      <w:r>
        <w:rPr>
          <w:rFonts w:hint="eastAsia" w:asciiTheme="minorEastAsia" w:hAnsiTheme="minorEastAsia" w:eastAsiaTheme="minorEastAsia" w:cstheme="minorEastAsia"/>
          <w:b w:val="0"/>
          <w:bCs w:val="0"/>
          <w:i w:val="0"/>
          <w:iCs w:val="0"/>
          <w:caps w:val="0"/>
          <w:color w:val="auto"/>
          <w:spacing w:val="0"/>
          <w:sz w:val="24"/>
          <w:szCs w:val="24"/>
          <w:highlight w:val="none"/>
          <w:shd w:val="clear"/>
          <w:vertAlign w:val="baseline"/>
        </w:rPr>
        <w:t>原则上应当自收到发票后10个工作日内</w:t>
      </w:r>
      <w:r>
        <w:rPr>
          <w:rFonts w:hint="eastAsia" w:asciiTheme="minorEastAsia" w:hAnsiTheme="minorEastAsia" w:eastAsiaTheme="minorEastAsia" w:cstheme="minorEastAsia"/>
          <w:b w:val="0"/>
          <w:bCs w:val="0"/>
          <w:color w:val="auto"/>
          <w:kern w:val="2"/>
          <w:sz w:val="24"/>
          <w:szCs w:val="24"/>
          <w:highlight w:val="none"/>
        </w:rPr>
        <w:t>将资金支付到合同约定的</w:t>
      </w:r>
      <w:r>
        <w:rPr>
          <w:rFonts w:hint="eastAsia" w:asciiTheme="minorEastAsia" w:hAnsiTheme="minorEastAsia" w:eastAsiaTheme="minorEastAsia" w:cstheme="minorEastAsia"/>
          <w:b w:val="0"/>
          <w:bCs w:val="0"/>
          <w:color w:val="auto"/>
          <w:kern w:val="2"/>
          <w:sz w:val="24"/>
          <w:szCs w:val="24"/>
          <w:highlight w:val="none"/>
          <w:lang w:eastAsia="zh-CN"/>
        </w:rPr>
        <w:t>乙方</w:t>
      </w:r>
      <w:r>
        <w:rPr>
          <w:rFonts w:hint="eastAsia" w:asciiTheme="minorEastAsia" w:hAnsiTheme="minorEastAsia" w:eastAsiaTheme="minorEastAsia" w:cstheme="minorEastAsia"/>
          <w:b w:val="0"/>
          <w:bCs w:val="0"/>
          <w:color w:val="auto"/>
          <w:kern w:val="2"/>
          <w:sz w:val="24"/>
          <w:szCs w:val="24"/>
          <w:highlight w:val="none"/>
        </w:rPr>
        <w:t>账户，不得以机构变动、人员更替、政策调整等为由迟延付款，不得将采购文件和合同中未规定的义务作为向</w:t>
      </w:r>
      <w:r>
        <w:rPr>
          <w:rFonts w:hint="eastAsia" w:asciiTheme="minorEastAsia" w:hAnsiTheme="minorEastAsia" w:eastAsiaTheme="minorEastAsia" w:cstheme="minorEastAsia"/>
          <w:b w:val="0"/>
          <w:bCs w:val="0"/>
          <w:color w:val="auto"/>
          <w:kern w:val="2"/>
          <w:sz w:val="24"/>
          <w:szCs w:val="24"/>
          <w:highlight w:val="none"/>
          <w:lang w:val="en-US" w:eastAsia="zh-CN"/>
        </w:rPr>
        <w:t>乙方</w:t>
      </w:r>
      <w:r>
        <w:rPr>
          <w:rFonts w:hint="eastAsia" w:asciiTheme="minorEastAsia" w:hAnsiTheme="minorEastAsia" w:eastAsiaTheme="minorEastAsia" w:cstheme="minorEastAsia"/>
          <w:b w:val="0"/>
          <w:bCs w:val="0"/>
          <w:color w:val="auto"/>
          <w:kern w:val="2"/>
          <w:sz w:val="24"/>
          <w:szCs w:val="24"/>
          <w:highlight w:val="none"/>
        </w:rPr>
        <w:t>付款的条件。具体合同价款支付时间在【</w:t>
      </w:r>
      <w:r>
        <w:rPr>
          <w:rFonts w:hint="eastAsia" w:asciiTheme="minorEastAsia" w:hAnsiTheme="minorEastAsia" w:eastAsiaTheme="minorEastAsia" w:cstheme="minorEastAsia"/>
          <w:b/>
          <w:bCs/>
          <w:color w:val="auto"/>
          <w:kern w:val="2"/>
          <w:sz w:val="24"/>
          <w:szCs w:val="24"/>
          <w:highlight w:val="none"/>
        </w:rPr>
        <w:t>政府采购合同专用条款</w:t>
      </w:r>
      <w:r>
        <w:rPr>
          <w:rFonts w:hint="eastAsia" w:asciiTheme="minorEastAsia" w:hAnsiTheme="minorEastAsia" w:eastAsiaTheme="minorEastAsia" w:cstheme="minorEastAsia"/>
          <w:b w:val="0"/>
          <w:bCs w:val="0"/>
          <w:color w:val="auto"/>
          <w:kern w:val="2"/>
          <w:sz w:val="24"/>
          <w:szCs w:val="24"/>
          <w:highlight w:val="none"/>
        </w:rPr>
        <w:t>】中</w:t>
      </w:r>
      <w:r>
        <w:rPr>
          <w:rFonts w:hint="eastAsia" w:asciiTheme="minorEastAsia" w:hAnsiTheme="minorEastAsia" w:eastAsiaTheme="minorEastAsia" w:cstheme="minorEastAsia"/>
          <w:b w:val="0"/>
          <w:bCs w:val="0"/>
          <w:color w:val="auto"/>
          <w:kern w:val="2"/>
          <w:sz w:val="24"/>
          <w:szCs w:val="24"/>
          <w:highlight w:val="none"/>
          <w:lang w:eastAsia="zh-CN"/>
        </w:rPr>
        <w:t>约</w:t>
      </w:r>
      <w:r>
        <w:rPr>
          <w:rFonts w:hint="eastAsia" w:asciiTheme="minorEastAsia" w:hAnsiTheme="minorEastAsia" w:eastAsiaTheme="minorEastAsia" w:cstheme="minorEastAsia"/>
          <w:b w:val="0"/>
          <w:bCs w:val="0"/>
          <w:color w:val="auto"/>
          <w:kern w:val="2"/>
          <w:sz w:val="24"/>
          <w:szCs w:val="24"/>
          <w:highlight w:val="none"/>
        </w:rPr>
        <w:t>定。</w:t>
      </w:r>
    </w:p>
    <w:p w14:paraId="5A9456B5">
      <w:pPr>
        <w:pStyle w:val="23"/>
        <w:spacing w:after="0"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履约保证金</w:t>
      </w:r>
    </w:p>
    <w:p w14:paraId="6B40975A">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sz w:val="24"/>
          <w:szCs w:val="24"/>
          <w:highlight w:val="none"/>
        </w:rPr>
        <w:t>乙方应当以支票、汇票、本票或者金融机构、担保机构出具的保函等非现金形式提交。</w:t>
      </w:r>
    </w:p>
    <w:p w14:paraId="1592AAEA">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.2 如果乙方</w:t>
      </w:r>
      <w:r>
        <w:rPr>
          <w:rFonts w:hint="eastAsia" w:asciiTheme="minorEastAsia" w:hAnsiTheme="minorEastAsia" w:eastAsiaTheme="minorEastAsia" w:cstheme="minorEastAsia"/>
          <w:color w:val="auto"/>
          <w:sz w:val="24"/>
          <w:szCs w:val="24"/>
          <w:highlight w:val="none"/>
          <w:lang w:eastAsia="zh-CN"/>
        </w:rPr>
        <w:t>出现</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约定情形的</w:t>
      </w:r>
      <w:r>
        <w:rPr>
          <w:rFonts w:hint="eastAsia" w:asciiTheme="minorEastAsia" w:hAnsiTheme="minorEastAsia" w:eastAsiaTheme="minorEastAsia" w:cstheme="minorEastAsia"/>
          <w:color w:val="auto"/>
          <w:sz w:val="24"/>
          <w:szCs w:val="24"/>
          <w:highlight w:val="none"/>
        </w:rPr>
        <w:t>，履约保证金不予退还；如果乙方未能按合同约定全面履行义务，甲方有权从履约保证金中取得补偿或赔偿，</w:t>
      </w:r>
      <w:r>
        <w:rPr>
          <w:rFonts w:hint="eastAsia" w:asciiTheme="minorEastAsia" w:hAnsiTheme="minorEastAsia" w:eastAsiaTheme="minorEastAsia" w:cstheme="minorEastAsia"/>
          <w:color w:val="auto"/>
          <w:sz w:val="24"/>
          <w:szCs w:val="24"/>
          <w:highlight w:val="none"/>
          <w:lang w:eastAsia="zh-CN"/>
        </w:rPr>
        <w:t>且</w:t>
      </w:r>
      <w:r>
        <w:rPr>
          <w:rFonts w:hint="eastAsia" w:asciiTheme="minorEastAsia" w:hAnsiTheme="minorEastAsia" w:eastAsiaTheme="minorEastAsia" w:cstheme="minorEastAsia"/>
          <w:color w:val="auto"/>
          <w:sz w:val="24"/>
          <w:szCs w:val="24"/>
          <w:highlight w:val="none"/>
        </w:rPr>
        <w:t>不影响甲方要求乙方承担合同约定的超过履约保证金的违约责任的权利。</w:t>
      </w:r>
    </w:p>
    <w:p w14:paraId="600A7D70">
      <w:p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.3 甲方在项目通过验收后按照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规定支付。</w:t>
      </w:r>
    </w:p>
    <w:p w14:paraId="665CF717">
      <w:p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售后服务</w:t>
      </w:r>
    </w:p>
    <w:p w14:paraId="1C66D232">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.1 除项目不涉及或采购活动中明确约定无须承担外，乙方还应提供下列服务：</w:t>
      </w:r>
    </w:p>
    <w:p w14:paraId="67C7A222">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（1）货物的现场移动、安装、调试、启动监督及技术支持；</w:t>
      </w:r>
    </w:p>
    <w:p w14:paraId="1B8EECFB">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（2）提供货物组装和维修所需的专用工具和辅助材料；</w:t>
      </w:r>
    </w:p>
    <w:p w14:paraId="61ADEB58">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的期限内对所有的货物实施运行监督、维修，但前提条件是该服务并不能免除乙方在质量保证期内所承担的义务；</w:t>
      </w:r>
    </w:p>
    <w:p w14:paraId="1123E304">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（4）在制造商</w:t>
      </w:r>
      <w:r>
        <w:rPr>
          <w:rFonts w:hint="eastAsia" w:asciiTheme="minorEastAsia" w:hAnsiTheme="minorEastAsia" w:eastAsiaTheme="minorEastAsia" w:cstheme="minorEastAsia"/>
          <w:color w:val="auto"/>
          <w:sz w:val="24"/>
          <w:szCs w:val="24"/>
          <w:highlight w:val="none"/>
          <w:lang w:eastAsia="zh-CN"/>
        </w:rPr>
        <w:t>所在地</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指定</w:t>
      </w:r>
      <w:r>
        <w:rPr>
          <w:rFonts w:hint="eastAsia" w:asciiTheme="minorEastAsia" w:hAnsiTheme="minorEastAsia" w:eastAsiaTheme="minorEastAsia" w:cstheme="minorEastAsia"/>
          <w:color w:val="auto"/>
          <w:sz w:val="24"/>
          <w:szCs w:val="24"/>
          <w:highlight w:val="none"/>
        </w:rPr>
        <w:t>现场就货物的安装、启动、运营、维护</w:t>
      </w:r>
      <w:r>
        <w:rPr>
          <w:rFonts w:hint="eastAsia" w:asciiTheme="minorEastAsia" w:hAnsiTheme="minorEastAsia" w:eastAsiaTheme="minorEastAsia" w:cstheme="minorEastAsia"/>
          <w:color w:val="auto"/>
          <w:sz w:val="24"/>
          <w:szCs w:val="24"/>
          <w:highlight w:val="none"/>
          <w:lang w:eastAsia="zh-CN"/>
        </w:rPr>
        <w:t>、废弃处置等</w:t>
      </w:r>
      <w:r>
        <w:rPr>
          <w:rFonts w:hint="eastAsia" w:asciiTheme="minorEastAsia" w:hAnsiTheme="minorEastAsia" w:eastAsiaTheme="minorEastAsia" w:cstheme="minorEastAsia"/>
          <w:color w:val="auto"/>
          <w:sz w:val="24"/>
          <w:szCs w:val="24"/>
          <w:highlight w:val="none"/>
        </w:rPr>
        <w:t>对甲方操作人员进行培训</w:t>
      </w:r>
      <w:r>
        <w:rPr>
          <w:rFonts w:hint="eastAsia" w:asciiTheme="minorEastAsia" w:hAnsiTheme="minorEastAsia" w:eastAsiaTheme="minorEastAsia" w:cstheme="minorEastAsia"/>
          <w:sz w:val="24"/>
          <w:szCs w:val="24"/>
          <w:highlight w:val="none"/>
          <w:lang w:eastAsia="zh-CN"/>
        </w:rPr>
        <w:t>；</w:t>
      </w:r>
    </w:p>
    <w:p w14:paraId="1FE416D2">
      <w:pPr>
        <w:pStyle w:val="7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（5）依照法律、行政法规的规定或者按照</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sz w:val="24"/>
          <w:szCs w:val="24"/>
          <w:highlight w:val="none"/>
        </w:rPr>
        <w:t>约定，货物在有效使用年限届满后应予回收的，乙方负有自行或者委托第三人对货物予以回收的义务；</w:t>
      </w:r>
    </w:p>
    <w:p w14:paraId="57DE9DD3">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规定由乙方提供的其他服务。</w:t>
      </w:r>
    </w:p>
    <w:p w14:paraId="2CF6BA25">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 乙方提供的</w:t>
      </w:r>
      <w:r>
        <w:rPr>
          <w:rFonts w:hint="eastAsia" w:asciiTheme="minorEastAsia" w:hAnsiTheme="minorEastAsia" w:eastAsiaTheme="minorEastAsia" w:cstheme="minorEastAsia"/>
          <w:color w:val="auto"/>
          <w:sz w:val="24"/>
          <w:szCs w:val="24"/>
          <w:highlight w:val="none"/>
          <w:lang w:eastAsia="zh-CN"/>
        </w:rPr>
        <w:t>售后</w:t>
      </w:r>
      <w:r>
        <w:rPr>
          <w:rFonts w:hint="eastAsia" w:asciiTheme="minorEastAsia" w:hAnsiTheme="minorEastAsia" w:eastAsiaTheme="minorEastAsia" w:cstheme="minorEastAsia"/>
          <w:color w:val="auto"/>
          <w:sz w:val="24"/>
          <w:szCs w:val="24"/>
          <w:highlight w:val="none"/>
        </w:rPr>
        <w:t>服务的费用</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包含在合同价款中，甲方不再另行支付。</w:t>
      </w:r>
    </w:p>
    <w:p w14:paraId="0432358B">
      <w:pPr>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违约责任</w:t>
      </w:r>
    </w:p>
    <w:p w14:paraId="0A92E6C8">
      <w:pPr>
        <w:adjustRightInd w:val="0"/>
        <w:snapToGrid w:val="0"/>
        <w:spacing w:before="0" w:line="4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.1质量瑕疵的</w:t>
      </w:r>
      <w:r>
        <w:rPr>
          <w:rFonts w:hint="eastAsia" w:asciiTheme="minorEastAsia" w:hAnsiTheme="minorEastAsia" w:eastAsiaTheme="minorEastAsia" w:cstheme="minorEastAsia"/>
          <w:bCs/>
          <w:color w:val="auto"/>
          <w:sz w:val="24"/>
          <w:szCs w:val="24"/>
          <w:highlight w:val="none"/>
          <w:lang w:eastAsia="zh-CN"/>
        </w:rPr>
        <w:t>违约责任</w:t>
      </w:r>
    </w:p>
    <w:p w14:paraId="15E3EAA6">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的产品不符合</w:t>
      </w:r>
      <w:r>
        <w:rPr>
          <w:rFonts w:hint="eastAsia" w:asciiTheme="minorEastAsia" w:hAnsiTheme="minorEastAsia" w:eastAsiaTheme="minorEastAsia" w:cstheme="minorEastAsia"/>
          <w:color w:val="auto"/>
          <w:sz w:val="24"/>
          <w:szCs w:val="24"/>
          <w:highlight w:val="none"/>
          <w:lang w:eastAsia="zh-CN"/>
        </w:rPr>
        <w:t>合同约定的</w:t>
      </w:r>
      <w:r>
        <w:rPr>
          <w:rFonts w:hint="eastAsia" w:asciiTheme="minorEastAsia" w:hAnsiTheme="minorEastAsia" w:eastAsiaTheme="minorEastAsia" w:cstheme="minorEastAsia"/>
          <w:color w:val="auto"/>
          <w:sz w:val="24"/>
          <w:szCs w:val="24"/>
          <w:highlight w:val="none"/>
        </w:rPr>
        <w:t>质量标准或存在产品质量缺陷，</w:t>
      </w:r>
      <w:r>
        <w:rPr>
          <w:rFonts w:hint="eastAsia" w:asciiTheme="minorEastAsia" w:hAnsiTheme="minorEastAsia" w:eastAsiaTheme="minorEastAsia" w:cstheme="minorEastAsia"/>
          <w:color w:val="auto"/>
          <w:sz w:val="24"/>
          <w:szCs w:val="24"/>
          <w:highlight w:val="none"/>
          <w:lang w:eastAsia="zh-CN"/>
        </w:rPr>
        <w:t>甲方有权要求乙方根据</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 w:val="0"/>
          <w:bCs/>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lang w:eastAsia="zh-CN"/>
        </w:rPr>
        <w:t>及时修理、重作、更换，并承担由此给甲</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造成的损失</w:t>
      </w:r>
      <w:r>
        <w:rPr>
          <w:rFonts w:hint="eastAsia" w:asciiTheme="minorEastAsia" w:hAnsiTheme="minorEastAsia" w:eastAsiaTheme="minorEastAsia" w:cstheme="minorEastAsia"/>
          <w:color w:val="auto"/>
          <w:sz w:val="24"/>
          <w:szCs w:val="24"/>
          <w:highlight w:val="none"/>
        </w:rPr>
        <w:t>。</w:t>
      </w:r>
    </w:p>
    <w:p w14:paraId="21CC9CF4">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.2 迟延交货的违约责任</w:t>
      </w:r>
    </w:p>
    <w:p w14:paraId="23349B99">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（1）乙方应按照本合同规定的时间、地点交货和提供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服务。在履行合同过程中，如果乙方遇到可能</w:t>
      </w:r>
      <w:r>
        <w:rPr>
          <w:rFonts w:hint="eastAsia" w:asciiTheme="minorEastAsia" w:hAnsiTheme="minorEastAsia" w:eastAsiaTheme="minorEastAsia" w:cstheme="minorEastAsia"/>
          <w:color w:val="auto"/>
          <w:sz w:val="24"/>
          <w:szCs w:val="24"/>
          <w:highlight w:val="none"/>
          <w:lang w:eastAsia="zh-CN"/>
        </w:rPr>
        <w:t>影响</w:t>
      </w:r>
      <w:r>
        <w:rPr>
          <w:rFonts w:hint="eastAsia" w:asciiTheme="minorEastAsia" w:hAnsiTheme="minorEastAsia" w:eastAsiaTheme="minorEastAsia" w:cstheme="minorEastAsia"/>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交货时间或延期提供服务。</w:t>
      </w:r>
    </w:p>
    <w:p w14:paraId="43668759">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（2）如果乙方没有按照合同规定的时间交货和提供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规定执行。如果涉及公共利益，且赔偿金额无法弥补公共利益损失，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可要求继续履行或者</w:t>
      </w:r>
      <w:r>
        <w:rPr>
          <w:rFonts w:hint="eastAsia" w:asciiTheme="minorEastAsia" w:hAnsiTheme="minorEastAsia" w:eastAsiaTheme="minorEastAsia" w:cstheme="minorEastAsia"/>
          <w:color w:val="auto"/>
          <w:sz w:val="24"/>
          <w:szCs w:val="24"/>
          <w:highlight w:val="none"/>
          <w:lang w:eastAsia="zh-CN"/>
        </w:rPr>
        <w:t>采取其他补救措施</w:t>
      </w:r>
      <w:r>
        <w:rPr>
          <w:rFonts w:hint="eastAsia" w:asciiTheme="minorEastAsia" w:hAnsiTheme="minorEastAsia" w:eastAsiaTheme="minorEastAsia" w:cstheme="minorEastAsia"/>
          <w:color w:val="auto"/>
          <w:sz w:val="24"/>
          <w:szCs w:val="24"/>
          <w:highlight w:val="none"/>
        </w:rPr>
        <w:t>。</w:t>
      </w:r>
    </w:p>
    <w:p w14:paraId="58F7F420">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.3 迟延支付的违约责任</w:t>
      </w:r>
    </w:p>
    <w:p w14:paraId="5EB2DDED">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甲方存在迟延支付乙方合同款项的，应当承担</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规定的逾期付款利息。</w:t>
      </w:r>
    </w:p>
    <w:p w14:paraId="780B34AC">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.4其他违约责任根据项目实际需要按</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w:t>
      </w:r>
    </w:p>
    <w:p w14:paraId="1AF9D6E1">
      <w:pPr>
        <w:numPr>
          <w:ilvl w:val="0"/>
          <w:numId w:val="16"/>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合同变更</w:t>
      </w:r>
      <w:r>
        <w:rPr>
          <w:rFonts w:hint="eastAsia" w:asciiTheme="minorEastAsia" w:hAnsiTheme="minorEastAsia" w:eastAsiaTheme="minorEastAsia" w:cstheme="minorEastAsia"/>
          <w:b/>
          <w:color w:val="auto"/>
          <w:sz w:val="24"/>
          <w:szCs w:val="24"/>
          <w:highlight w:val="none"/>
          <w:lang w:eastAsia="zh-CN"/>
        </w:rPr>
        <w:t>、中止与终止</w:t>
      </w:r>
    </w:p>
    <w:p w14:paraId="60DC3936">
      <w:pPr>
        <w:autoSpaceDE/>
        <w:autoSpaceDN/>
        <w:adjustRightInd w:val="0"/>
        <w:snapToGrid w:val="0"/>
        <w:spacing w:before="0" w:line="40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.1合同的</w:t>
      </w:r>
      <w:r>
        <w:rPr>
          <w:rFonts w:hint="eastAsia" w:asciiTheme="minorEastAsia" w:hAnsiTheme="minorEastAsia" w:eastAsiaTheme="minorEastAsia" w:cstheme="minorEastAsia"/>
          <w:color w:val="auto"/>
          <w:sz w:val="24"/>
          <w:szCs w:val="24"/>
          <w:highlight w:val="none"/>
          <w:lang w:eastAsia="zh-CN"/>
        </w:rPr>
        <w:t>变更</w:t>
      </w:r>
    </w:p>
    <w:p w14:paraId="45971F6A">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政府采购合同履行中，</w:t>
      </w:r>
      <w:r>
        <w:rPr>
          <w:rFonts w:hint="eastAsia" w:asciiTheme="minorEastAsia" w:hAnsiTheme="minorEastAsia" w:eastAsiaTheme="minorEastAsia" w:cstheme="minorEastAsia"/>
          <w:color w:val="auto"/>
          <w:sz w:val="24"/>
          <w:szCs w:val="24"/>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 w:val="24"/>
          <w:szCs w:val="24"/>
          <w:highlight w:val="none"/>
          <w:lang w:eastAsia="zh-CN"/>
        </w:rPr>
        <w:t>一致后</w:t>
      </w:r>
      <w:r>
        <w:rPr>
          <w:rFonts w:hint="eastAsia" w:asciiTheme="minorEastAsia" w:hAnsiTheme="minorEastAsia" w:eastAsiaTheme="minorEastAsia" w:cstheme="minorEastAsia"/>
          <w:color w:val="auto"/>
          <w:sz w:val="24"/>
          <w:szCs w:val="24"/>
          <w:highlight w:val="none"/>
        </w:rPr>
        <w:t>签订补充协议。</w:t>
      </w:r>
    </w:p>
    <w:p w14:paraId="25F18E36">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合同的中止</w:t>
      </w:r>
    </w:p>
    <w:p w14:paraId="69863D91">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 w:val="24"/>
          <w:szCs w:val="24"/>
          <w:highlight w:val="none"/>
          <w:lang w:eastAsia="zh-CN"/>
        </w:rPr>
        <w:t>可以</w:t>
      </w:r>
      <w:r>
        <w:rPr>
          <w:rFonts w:hint="eastAsia" w:asciiTheme="minorEastAsia" w:hAnsiTheme="minorEastAsia" w:eastAsiaTheme="minorEastAsia" w:cstheme="minorEastAsia"/>
          <w:color w:val="auto"/>
          <w:sz w:val="24"/>
          <w:szCs w:val="24"/>
          <w:highlight w:val="none"/>
        </w:rPr>
        <w:t>中止合同的履行。</w:t>
      </w:r>
    </w:p>
    <w:p w14:paraId="61000F0D">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合同履行过程中，</w:t>
      </w:r>
      <w:r>
        <w:rPr>
          <w:rFonts w:hint="eastAsia" w:asciiTheme="minorEastAsia" w:hAnsiTheme="minorEastAsia" w:eastAsiaTheme="minorEastAsia" w:cstheme="minorEastAsia"/>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 w:val="24"/>
          <w:szCs w:val="24"/>
          <w:highlight w:val="none"/>
          <w:lang w:eastAsia="zh-CN"/>
        </w:rPr>
        <w:t>，乙方有义务及时告知甲方</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以书面形式通知乙方中止合同</w:t>
      </w:r>
      <w:r>
        <w:rPr>
          <w:rFonts w:hint="eastAsia" w:asciiTheme="minorEastAsia" w:hAnsiTheme="minorEastAsia" w:eastAsiaTheme="minorEastAsia" w:cstheme="minorEastAsia"/>
          <w:color w:val="auto"/>
          <w:sz w:val="24"/>
          <w:szCs w:val="24"/>
          <w:highlight w:val="none"/>
          <w:lang w:eastAsia="zh-CN"/>
        </w:rPr>
        <w:t>并要求乙方在合理期限内消除相关情形或者提供适当担保。</w:t>
      </w:r>
      <w:r>
        <w:rPr>
          <w:rFonts w:hint="eastAsia" w:asciiTheme="minorEastAsia" w:hAnsiTheme="minorEastAsia" w:eastAsiaTheme="minorEastAsia" w:cstheme="minorEastAsia"/>
          <w:color w:val="auto"/>
          <w:sz w:val="24"/>
          <w:szCs w:val="24"/>
          <w:highlight w:val="none"/>
        </w:rPr>
        <w:t>乙方提供适当担保的，</w:t>
      </w:r>
      <w:r>
        <w:rPr>
          <w:rFonts w:hint="eastAsia" w:asciiTheme="minorEastAsia" w:hAnsiTheme="minorEastAsia" w:eastAsiaTheme="minorEastAsia" w:cstheme="minorEastAsia"/>
          <w:color w:val="auto"/>
          <w:sz w:val="24"/>
          <w:szCs w:val="24"/>
          <w:highlight w:val="none"/>
          <w:lang w:eastAsia="zh-CN"/>
        </w:rPr>
        <w:t>合同继续</w:t>
      </w:r>
      <w:r>
        <w:rPr>
          <w:rFonts w:hint="eastAsia" w:asciiTheme="minorEastAsia" w:hAnsiTheme="minorEastAsia" w:eastAsiaTheme="minorEastAsia" w:cstheme="minorEastAsia"/>
          <w:color w:val="auto"/>
          <w:sz w:val="24"/>
          <w:szCs w:val="24"/>
          <w:highlight w:val="none"/>
        </w:rPr>
        <w:t>履行</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方在合理期限内未恢复履约能力且未提供适当担保的，视为拒绝</w:t>
      </w:r>
      <w:r>
        <w:rPr>
          <w:rFonts w:hint="eastAsia" w:asciiTheme="minorEastAsia" w:hAnsiTheme="minorEastAsia" w:eastAsiaTheme="minorEastAsia" w:cstheme="minorEastAsia"/>
          <w:color w:val="auto"/>
          <w:sz w:val="24"/>
          <w:szCs w:val="24"/>
          <w:highlight w:val="none"/>
          <w:lang w:eastAsia="zh-CN"/>
        </w:rPr>
        <w:t>继续</w:t>
      </w:r>
      <w:r>
        <w:rPr>
          <w:rFonts w:hint="eastAsia" w:asciiTheme="minorEastAsia" w:hAnsiTheme="minorEastAsia" w:eastAsiaTheme="minorEastAsia" w:cstheme="minorEastAsia"/>
          <w:color w:val="auto"/>
          <w:sz w:val="24"/>
          <w:szCs w:val="24"/>
          <w:highlight w:val="none"/>
        </w:rPr>
        <w:t>履约，甲方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解除合同并要求乙方承担</w:t>
      </w:r>
      <w:r>
        <w:rPr>
          <w:rFonts w:hint="eastAsia" w:asciiTheme="minorEastAsia" w:hAnsiTheme="minorEastAsia" w:eastAsiaTheme="minorEastAsia" w:cstheme="minorEastAsia"/>
          <w:color w:val="auto"/>
          <w:sz w:val="24"/>
          <w:szCs w:val="24"/>
          <w:highlight w:val="none"/>
          <w:lang w:eastAsia="zh-CN"/>
        </w:rPr>
        <w:t>由此给甲方造成的损失</w:t>
      </w:r>
      <w:r>
        <w:rPr>
          <w:rFonts w:hint="eastAsia" w:asciiTheme="minorEastAsia" w:hAnsiTheme="minorEastAsia" w:eastAsiaTheme="minorEastAsia" w:cstheme="minorEastAsia"/>
          <w:color w:val="auto"/>
          <w:sz w:val="24"/>
          <w:szCs w:val="24"/>
          <w:highlight w:val="none"/>
        </w:rPr>
        <w:t>。</w:t>
      </w:r>
    </w:p>
    <w:p w14:paraId="1CD928D5">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（3）乙方分立、合并或者变更住所的，应当及时以书面形式告知甲方。乙方没有</w:t>
      </w:r>
      <w:r>
        <w:rPr>
          <w:rFonts w:hint="eastAsia" w:asciiTheme="minorEastAsia" w:hAnsiTheme="minorEastAsia" w:eastAsiaTheme="minorEastAsia" w:cstheme="minorEastAsia"/>
          <w:sz w:val="24"/>
          <w:szCs w:val="24"/>
          <w:highlight w:val="none"/>
          <w:lang w:eastAsia="zh-CN"/>
        </w:rPr>
        <w:t>及时告知</w:t>
      </w:r>
      <w:r>
        <w:rPr>
          <w:rFonts w:hint="eastAsia" w:asciiTheme="minorEastAsia" w:hAnsiTheme="minorEastAsia" w:eastAsiaTheme="minorEastAsia" w:cstheme="minorEastAsia"/>
          <w:sz w:val="24"/>
          <w:szCs w:val="24"/>
          <w:highlight w:val="none"/>
        </w:rPr>
        <w:t>甲方，致使</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履行发生困难的，甲方可以中止合同履行并要求乙方承担由此给甲方造成的损失。</w:t>
      </w:r>
    </w:p>
    <w:p w14:paraId="5A4D0606">
      <w:pPr>
        <w:snapToGrid w:val="0"/>
        <w:spacing w:line="4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）甲方不得以行政区划调整、政府换届、机构或者职能调整以及相关责任人更替为由中止合同。</w:t>
      </w:r>
    </w:p>
    <w:p w14:paraId="36DD68ED">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合同的终止</w:t>
      </w:r>
    </w:p>
    <w:p w14:paraId="48834AA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（1）合同因有效期限届满而终止；</w:t>
      </w:r>
    </w:p>
    <w:p w14:paraId="48B425C1">
      <w:pPr>
        <w:snapToGrid w:val="0"/>
        <w:spacing w:line="4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rPr>
        <w:t>（2）乙方未</w:t>
      </w:r>
      <w:r>
        <w:rPr>
          <w:rFonts w:hint="eastAsia" w:asciiTheme="minorEastAsia" w:hAnsiTheme="minorEastAsia" w:eastAsiaTheme="minorEastAsia" w:cstheme="minorEastAsia"/>
          <w:color w:val="auto"/>
          <w:sz w:val="24"/>
          <w:szCs w:val="24"/>
          <w:highlight w:val="none"/>
          <w:lang w:eastAsia="zh-CN"/>
        </w:rPr>
        <w:t>按</w:t>
      </w:r>
      <w:r>
        <w:rPr>
          <w:rFonts w:hint="eastAsia" w:asciiTheme="minorEastAsia" w:hAnsiTheme="minorEastAsia" w:eastAsiaTheme="minorEastAsia" w:cstheme="minorEastAsia"/>
          <w:color w:val="auto"/>
          <w:sz w:val="24"/>
          <w:szCs w:val="24"/>
          <w:highlight w:val="none"/>
        </w:rPr>
        <w:t>合同约定履行，构成根本性违约的，甲方有权终止合同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z w:val="24"/>
          <w:szCs w:val="24"/>
          <w:highlight w:val="none"/>
        </w:rPr>
        <w:t>并追究乙方的违约责</w:t>
      </w:r>
      <w:r>
        <w:rPr>
          <w:rFonts w:hint="eastAsia" w:asciiTheme="minorEastAsia" w:hAnsiTheme="minorEastAsia" w:eastAsiaTheme="minorEastAsia" w:cstheme="minorEastAsia"/>
          <w:sz w:val="24"/>
          <w:szCs w:val="24"/>
          <w:highlight w:val="none"/>
          <w:lang w:val="en-US" w:eastAsia="zh-CN"/>
        </w:rPr>
        <w:t>任</w:t>
      </w:r>
      <w:r>
        <w:rPr>
          <w:rFonts w:hint="eastAsia" w:asciiTheme="minorEastAsia" w:hAnsiTheme="minorEastAsia" w:eastAsiaTheme="minorEastAsia" w:cstheme="minorEastAsia"/>
          <w:color w:val="auto"/>
          <w:sz w:val="24"/>
          <w:szCs w:val="24"/>
          <w:highlight w:val="none"/>
        </w:rPr>
        <w:t>。</w:t>
      </w:r>
    </w:p>
    <w:p w14:paraId="03A6DA8C">
      <w:pPr>
        <w:pStyle w:val="7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kern w:val="2"/>
          <w:sz w:val="24"/>
          <w:szCs w:val="24"/>
          <w:highlight w:val="none"/>
          <w:lang w:val="en-US" w:eastAsia="zh-CN"/>
        </w:rPr>
        <w:t>涉及国家利益、社会公共利益的情形</w:t>
      </w:r>
    </w:p>
    <w:p w14:paraId="49254F0D">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政府采购合同继续履行将损害国家利益和社会公共利益的，双方当事人</w:t>
      </w:r>
      <w:r>
        <w:rPr>
          <w:rFonts w:hint="eastAsia" w:asciiTheme="minorEastAsia" w:hAnsiTheme="minorEastAsia" w:eastAsiaTheme="minorEastAsia" w:cstheme="minorEastAsia"/>
          <w:sz w:val="24"/>
          <w:szCs w:val="24"/>
          <w:highlight w:val="none"/>
          <w:lang w:val="en-US" w:eastAsia="zh-CN"/>
        </w:rPr>
        <w:t>应当变更、</w:t>
      </w:r>
      <w:r>
        <w:rPr>
          <w:rFonts w:hint="eastAsia" w:asciiTheme="minorEastAsia" w:hAnsiTheme="minorEastAsia" w:eastAsiaTheme="minorEastAsia" w:cstheme="minorEastAsia"/>
          <w:sz w:val="24"/>
          <w:szCs w:val="24"/>
          <w:highlight w:val="none"/>
        </w:rPr>
        <w:t>中止</w:t>
      </w:r>
      <w:r>
        <w:rPr>
          <w:rFonts w:hint="eastAsia" w:asciiTheme="minorEastAsia" w:hAnsiTheme="minorEastAsia" w:eastAsiaTheme="minorEastAsia" w:cstheme="minorEastAsia"/>
          <w:sz w:val="24"/>
          <w:szCs w:val="24"/>
          <w:highlight w:val="none"/>
          <w:lang w:eastAsia="zh-CN"/>
        </w:rPr>
        <w:t>或者终止</w:t>
      </w:r>
      <w:r>
        <w:rPr>
          <w:rFonts w:hint="eastAsia" w:asciiTheme="minorEastAsia" w:hAnsiTheme="minorEastAsia" w:eastAsiaTheme="minorEastAsia" w:cstheme="minorEastAsia"/>
          <w:sz w:val="24"/>
          <w:szCs w:val="24"/>
          <w:highlight w:val="none"/>
        </w:rPr>
        <w:t>合同。有过错的一方应当承担赔偿责任，双方都有过错的，各自承担相应的责任。</w:t>
      </w:r>
    </w:p>
    <w:p w14:paraId="0CCF1983">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合同分包</w:t>
      </w:r>
    </w:p>
    <w:p w14:paraId="3B56CA7D">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乙方不得</w:t>
      </w:r>
      <w:r>
        <w:rPr>
          <w:rFonts w:hint="eastAsia" w:asciiTheme="minorEastAsia" w:hAnsiTheme="minorEastAsia" w:eastAsiaTheme="minorEastAsia" w:cstheme="minorEastAsia"/>
          <w:color w:val="auto"/>
          <w:sz w:val="24"/>
          <w:szCs w:val="24"/>
          <w:highlight w:val="none"/>
          <w:lang w:eastAsia="zh-CN"/>
        </w:rPr>
        <w:t>将合同转包给其他供应商。涉及合同分包的，乙方</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lang w:eastAsia="zh-CN"/>
        </w:rPr>
        <w:t>根据采购文件和投标（响应）文件规定进行</w:t>
      </w:r>
      <w:r>
        <w:rPr>
          <w:rFonts w:hint="eastAsia" w:asciiTheme="minorEastAsia" w:hAnsiTheme="minorEastAsia" w:eastAsiaTheme="minorEastAsia" w:cstheme="minorEastAsia"/>
          <w:color w:val="auto"/>
          <w:sz w:val="24"/>
          <w:szCs w:val="24"/>
          <w:highlight w:val="none"/>
        </w:rPr>
        <w:t>合同分包。</w:t>
      </w:r>
    </w:p>
    <w:p w14:paraId="3C0CC6EC">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乙方执行政府采购政策向中小企业依法分包的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乙方应当按采购文件</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投标（响应）文件签订分包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协议属于本合同组成部分。</w:t>
      </w:r>
    </w:p>
    <w:p w14:paraId="4F00E690">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不可抗力</w:t>
      </w:r>
    </w:p>
    <w:p w14:paraId="75D77897">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不可抗力是指合同双方不能预见、不能避免且不能克服的客观情况。</w:t>
      </w:r>
    </w:p>
    <w:p w14:paraId="714F5105">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任何一方对由于不可抗力造成的部分或全部不能履行合同不承担违约责任。但迟延履行后发生不可抗力的，不能免除责任。</w:t>
      </w:r>
    </w:p>
    <w:p w14:paraId="2C046491">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遇有不可抗力的一方，应及时将事件情况以书面形式</w:t>
      </w:r>
      <w:r>
        <w:rPr>
          <w:rFonts w:hint="eastAsia" w:asciiTheme="minorEastAsia" w:hAnsiTheme="minorEastAsia" w:eastAsiaTheme="minorEastAsia" w:cstheme="minorEastAsia"/>
          <w:color w:val="auto"/>
          <w:sz w:val="24"/>
          <w:szCs w:val="24"/>
          <w:highlight w:val="none"/>
          <w:lang w:eastAsia="zh-CN"/>
        </w:rPr>
        <w:t>告</w:t>
      </w:r>
      <w:r>
        <w:rPr>
          <w:rFonts w:hint="eastAsia" w:asciiTheme="minorEastAsia" w:hAnsiTheme="minorEastAsia" w:eastAsiaTheme="minorEastAsia" w:cstheme="minorEastAsia"/>
          <w:color w:val="auto"/>
          <w:sz w:val="24"/>
          <w:szCs w:val="24"/>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 w:val="24"/>
          <w:szCs w:val="24"/>
          <w:highlight w:val="none"/>
          <w:lang w:eastAsia="zh-CN"/>
        </w:rPr>
        <w:t>的详细</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lang w:val="en-US" w:eastAsia="zh-CN"/>
        </w:rPr>
        <w:t>及证明不可抗力发生及其持续时间的证据</w:t>
      </w:r>
      <w:r>
        <w:rPr>
          <w:rFonts w:hint="eastAsia" w:asciiTheme="minorEastAsia" w:hAnsiTheme="minorEastAsia" w:eastAsiaTheme="minorEastAsia" w:cstheme="minorEastAsia"/>
          <w:color w:val="auto"/>
          <w:sz w:val="24"/>
          <w:szCs w:val="24"/>
          <w:highlight w:val="none"/>
        </w:rPr>
        <w:t>。</w:t>
      </w:r>
    </w:p>
    <w:p w14:paraId="4FA5E748">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解决争议的方法</w:t>
      </w:r>
    </w:p>
    <w:p w14:paraId="24BC2C21">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.1 因本合同及合同有关事项发生的争议，由</w:t>
      </w:r>
      <w:r>
        <w:rPr>
          <w:rFonts w:hint="eastAsia" w:asciiTheme="minorEastAsia" w:hAnsiTheme="minorEastAsia" w:eastAsiaTheme="minorEastAsia" w:cstheme="minorEastAsia"/>
          <w:sz w:val="24"/>
          <w:szCs w:val="24"/>
          <w:highlight w:val="none"/>
          <w:lang w:eastAsia="zh-CN"/>
        </w:rPr>
        <w:t>甲乙双</w:t>
      </w:r>
      <w:r>
        <w:rPr>
          <w:rFonts w:hint="eastAsia" w:asciiTheme="minorEastAsia" w:hAnsiTheme="minorEastAsia" w:eastAsiaTheme="minorEastAsia" w:cstheme="minorEastAsia"/>
          <w:sz w:val="24"/>
          <w:szCs w:val="24"/>
          <w:highlight w:val="none"/>
        </w:rPr>
        <w:t>方友好协商解决。协商不成时，可以</w:t>
      </w:r>
      <w:r>
        <w:rPr>
          <w:rFonts w:hint="eastAsia" w:asciiTheme="minorEastAsia" w:hAnsiTheme="minorEastAsia" w:eastAsiaTheme="minorEastAsia" w:cstheme="minorEastAsia"/>
          <w:sz w:val="24"/>
          <w:szCs w:val="24"/>
          <w:highlight w:val="none"/>
          <w:lang w:eastAsia="zh-CN"/>
        </w:rPr>
        <w:t>向有关组织申请</w:t>
      </w:r>
      <w:r>
        <w:rPr>
          <w:rFonts w:hint="eastAsia" w:asciiTheme="minorEastAsia" w:hAnsiTheme="minorEastAsia" w:eastAsiaTheme="minorEastAsia" w:cstheme="minorEastAsia"/>
          <w:sz w:val="24"/>
          <w:szCs w:val="24"/>
          <w:highlight w:val="none"/>
        </w:rPr>
        <w:t>调解。合同一方或</w:t>
      </w:r>
      <w:r>
        <w:rPr>
          <w:rFonts w:hint="eastAsia" w:asciiTheme="minorEastAsia" w:hAnsiTheme="minorEastAsia" w:eastAsiaTheme="minorEastAsia" w:cstheme="minorEastAsia"/>
          <w:sz w:val="24"/>
          <w:szCs w:val="24"/>
          <w:highlight w:val="none"/>
          <w:lang w:eastAsia="zh-CN"/>
        </w:rPr>
        <w:t>双</w:t>
      </w:r>
      <w:r>
        <w:rPr>
          <w:rFonts w:hint="eastAsia" w:asciiTheme="minorEastAsia" w:hAnsiTheme="minorEastAsia" w:eastAsiaTheme="minorEastAsia" w:cstheme="minorEastAsia"/>
          <w:sz w:val="24"/>
          <w:szCs w:val="24"/>
          <w:highlight w:val="none"/>
        </w:rPr>
        <w:t>方不愿调解或调解不成的，可以通过仲裁或诉讼的方式解决争议。</w:t>
      </w:r>
    </w:p>
    <w:p w14:paraId="50B8DAD8">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.2 选择仲裁的，应在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sz w:val="24"/>
          <w:szCs w:val="24"/>
          <w:highlight w:val="none"/>
        </w:rPr>
        <w:t>中明确仲裁机构及仲裁地；通过诉讼方式解决的，可以在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sz w:val="24"/>
          <w:szCs w:val="24"/>
          <w:highlight w:val="none"/>
        </w:rPr>
        <w:t>中进一步约定选择与争议有实际联系的地点的人民法院管辖，但管辖法院的约定不得违反级别管辖和专属管辖的规定。</w:t>
      </w:r>
    </w:p>
    <w:p w14:paraId="55733EC7">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.3 如</w:t>
      </w:r>
      <w:r>
        <w:rPr>
          <w:rFonts w:hint="eastAsia" w:asciiTheme="minorEastAsia" w:hAnsiTheme="minorEastAsia" w:eastAsiaTheme="minorEastAsia" w:cstheme="minorEastAsia"/>
          <w:sz w:val="24"/>
          <w:szCs w:val="24"/>
          <w:highlight w:val="none"/>
          <w:lang w:eastAsia="zh-CN"/>
        </w:rPr>
        <w:t>甲乙双方</w:t>
      </w:r>
      <w:r>
        <w:rPr>
          <w:rFonts w:hint="eastAsia" w:asciiTheme="minorEastAsia" w:hAnsiTheme="minorEastAsia" w:eastAsiaTheme="minorEastAsia" w:cstheme="minorEastAsia"/>
          <w:sz w:val="24"/>
          <w:szCs w:val="24"/>
          <w:highlight w:val="none"/>
        </w:rPr>
        <w:t>有争议的事项不影响合同其他部分的履行，在争议解决期间，合同其他部分应</w:t>
      </w:r>
      <w:r>
        <w:rPr>
          <w:rFonts w:hint="eastAsia" w:asciiTheme="minorEastAsia" w:hAnsiTheme="minorEastAsia" w:eastAsiaTheme="minorEastAsia" w:cstheme="minorEastAsia"/>
          <w:sz w:val="24"/>
          <w:szCs w:val="24"/>
          <w:highlight w:val="none"/>
          <w:lang w:eastAsia="zh-CN"/>
        </w:rPr>
        <w:t>当</w:t>
      </w:r>
      <w:r>
        <w:rPr>
          <w:rFonts w:hint="eastAsia" w:asciiTheme="minorEastAsia" w:hAnsiTheme="minorEastAsia" w:eastAsiaTheme="minorEastAsia" w:cstheme="minorEastAsia"/>
          <w:sz w:val="24"/>
          <w:szCs w:val="24"/>
          <w:highlight w:val="none"/>
        </w:rPr>
        <w:t>继续履行。</w:t>
      </w:r>
    </w:p>
    <w:p w14:paraId="327C1ED6">
      <w:pPr>
        <w:autoSpaceDE w:val="0"/>
        <w:autoSpaceDN w:val="0"/>
        <w:adjustRightInd w:val="0"/>
        <w:snapToGrid w:val="0"/>
        <w:spacing w:before="0"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政府采购政策</w:t>
      </w:r>
    </w:p>
    <w:p w14:paraId="6FF8FCCD">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sz w:val="24"/>
          <w:szCs w:val="24"/>
          <w:highlight w:val="none"/>
          <w:lang w:val="en-GB"/>
        </w:rPr>
        <w:t>本合同应当按照规定执行政府采购政策。</w:t>
      </w:r>
    </w:p>
    <w:p w14:paraId="0E1DFB12">
      <w:pPr>
        <w:autoSpaceDE w:val="0"/>
        <w:autoSpaceDN w:val="0"/>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本合同依法执行政府采购政策的方式和内容，属于合同履约验收的范围。</w:t>
      </w:r>
      <w:r>
        <w:rPr>
          <w:rFonts w:hint="eastAsia" w:asciiTheme="minorEastAsia" w:hAnsiTheme="minorEastAsia" w:eastAsiaTheme="minorEastAsia" w:cstheme="minorEastAsia"/>
          <w:sz w:val="24"/>
          <w:szCs w:val="24"/>
          <w:highlight w:val="none"/>
          <w:lang w:eastAsia="zh-CN"/>
        </w:rPr>
        <w:t>甲乙双方</w:t>
      </w:r>
      <w:r>
        <w:rPr>
          <w:rFonts w:hint="eastAsia" w:asciiTheme="minorEastAsia" w:hAnsiTheme="minorEastAsia" w:eastAsiaTheme="minorEastAsia" w:cstheme="minorEastAsia"/>
          <w:sz w:val="24"/>
          <w:szCs w:val="24"/>
          <w:highlight w:val="none"/>
          <w:lang w:val="en-GB"/>
        </w:rPr>
        <w:t>未按规定要求执行政府采购政策造成损失的</w:t>
      </w:r>
      <w:r>
        <w:rPr>
          <w:rFonts w:hint="eastAsia" w:asciiTheme="minorEastAsia" w:hAnsiTheme="minorEastAsia" w:eastAsiaTheme="minorEastAsia" w:cstheme="minorEastAsia"/>
          <w:color w:val="auto"/>
          <w:sz w:val="24"/>
          <w:szCs w:val="24"/>
          <w:highlight w:val="none"/>
        </w:rPr>
        <w:t>，有过错的一方应当承担赔偿责任，双方都有过错的，各自承担相应的责任。</w:t>
      </w:r>
    </w:p>
    <w:p w14:paraId="5D0D6E77">
      <w:pPr>
        <w:pStyle w:val="23"/>
        <w:spacing w:after="0"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对于</w:t>
      </w:r>
      <w:r>
        <w:rPr>
          <w:rFonts w:hint="eastAsia" w:asciiTheme="minorEastAsia" w:hAnsiTheme="minorEastAsia" w:eastAsiaTheme="minorEastAsia" w:cstheme="minorEastAsia"/>
          <w:color w:val="auto"/>
          <w:sz w:val="24"/>
          <w:szCs w:val="24"/>
          <w:highlight w:val="none"/>
          <w:lang w:eastAsia="zh-CN"/>
        </w:rPr>
        <w:t>为落实中小企业支持政策，</w:t>
      </w:r>
      <w:r>
        <w:rPr>
          <w:rFonts w:hint="eastAsia" w:asciiTheme="minorEastAsia" w:hAnsiTheme="minorEastAsia" w:eastAsiaTheme="minorEastAsia" w:cstheme="minorEastAsia"/>
          <w:color w:val="auto"/>
          <w:sz w:val="24"/>
          <w:szCs w:val="24"/>
          <w:highlight w:val="none"/>
        </w:rPr>
        <w:t>通过采购项目</w:t>
      </w:r>
      <w:r>
        <w:rPr>
          <w:rFonts w:hint="eastAsia" w:asciiTheme="minorEastAsia" w:hAnsiTheme="minorEastAsia" w:eastAsiaTheme="minorEastAsia" w:cstheme="minorEastAsia"/>
          <w:color w:val="auto"/>
          <w:sz w:val="24"/>
          <w:szCs w:val="24"/>
          <w:highlight w:val="none"/>
          <w:lang w:eastAsia="zh-CN"/>
        </w:rPr>
        <w:t>整体</w:t>
      </w:r>
      <w:r>
        <w:rPr>
          <w:rFonts w:hint="eastAsia" w:asciiTheme="minorEastAsia" w:hAnsiTheme="minorEastAsia" w:eastAsiaTheme="minorEastAsia" w:cstheme="minorEastAsia"/>
          <w:color w:val="auto"/>
          <w:sz w:val="24"/>
          <w:szCs w:val="24"/>
          <w:highlight w:val="none"/>
        </w:rPr>
        <w:t>预留、</w:t>
      </w:r>
      <w:r>
        <w:rPr>
          <w:rFonts w:hint="eastAsia" w:asciiTheme="minorEastAsia" w:hAnsiTheme="minorEastAsia" w:eastAsiaTheme="minorEastAsia" w:cstheme="minorEastAsia"/>
          <w:color w:val="auto"/>
          <w:sz w:val="24"/>
          <w:szCs w:val="24"/>
          <w:highlight w:val="none"/>
          <w:lang w:eastAsia="zh-CN"/>
        </w:rPr>
        <w:t>设置</w:t>
      </w:r>
      <w:r>
        <w:rPr>
          <w:rFonts w:hint="eastAsia" w:asciiTheme="minorEastAsia" w:hAnsiTheme="minorEastAsia" w:eastAsiaTheme="minorEastAsia" w:cstheme="minorEastAsia"/>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4B1889">
      <w:p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法律适用</w:t>
      </w:r>
    </w:p>
    <w:p w14:paraId="6D34A036">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 本合同的订立、生效、解释、履行及与本合同有关的争议解决，均适用法律、行政法规。</w:t>
      </w:r>
    </w:p>
    <w:p w14:paraId="57CB4B7F">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 本合同条款与法律、行政法规的强制性规定不一致的，双方当事人应按照法律、行政法规的强制性规定修改本合同的相关条款。</w:t>
      </w:r>
    </w:p>
    <w:p w14:paraId="59749403">
      <w:pPr>
        <w:numPr>
          <w:ilvl w:val="-1"/>
          <w:numId w:val="0"/>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22. </w:t>
      </w:r>
      <w:r>
        <w:rPr>
          <w:rFonts w:hint="eastAsia" w:asciiTheme="minorEastAsia" w:hAnsiTheme="minorEastAsia" w:eastAsiaTheme="minorEastAsia" w:cstheme="minorEastAsia"/>
          <w:b/>
          <w:color w:val="auto"/>
          <w:sz w:val="24"/>
          <w:szCs w:val="24"/>
          <w:highlight w:val="none"/>
        </w:rPr>
        <w:t>通知</w:t>
      </w:r>
    </w:p>
    <w:p w14:paraId="36E3A262">
      <w:pPr>
        <w:pStyle w:val="79"/>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本合同任何一方向对方发出的通知、信件、数据电文等，应当发送至本合同第一部分《政府采购合同协议书》所约定的通讯地址、联系人、联系电话或电子邮箱。</w:t>
      </w:r>
    </w:p>
    <w:p w14:paraId="622288EE">
      <w:pPr>
        <w:pStyle w:val="79"/>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一方当事人变更名称、</w:t>
      </w:r>
      <w:r>
        <w:rPr>
          <w:rFonts w:hint="eastAsia" w:asciiTheme="minorEastAsia" w:hAnsiTheme="minorEastAsia" w:eastAsiaTheme="minorEastAsia" w:cstheme="minorEastAsia"/>
          <w:sz w:val="24"/>
          <w:szCs w:val="24"/>
          <w:highlight w:val="none"/>
          <w:lang w:eastAsia="zh-CN"/>
        </w:rPr>
        <w:t>住所</w:t>
      </w:r>
      <w:r>
        <w:rPr>
          <w:rFonts w:hint="eastAsia" w:asciiTheme="minorEastAsia" w:hAnsiTheme="minorEastAsia" w:eastAsiaTheme="minorEastAsia" w:cstheme="minorEastAsia"/>
          <w:sz w:val="24"/>
          <w:szCs w:val="24"/>
          <w:highlight w:val="none"/>
        </w:rPr>
        <w:t>、联系人、联系电话或电子邮箱</w:t>
      </w:r>
      <w:r>
        <w:rPr>
          <w:rFonts w:hint="eastAsia" w:asciiTheme="minorEastAsia" w:hAnsiTheme="minorEastAsia" w:eastAsiaTheme="minorEastAsia" w:cstheme="minorEastAsia"/>
          <w:sz w:val="24"/>
          <w:szCs w:val="24"/>
          <w:highlight w:val="none"/>
          <w:lang w:eastAsia="zh-CN"/>
        </w:rPr>
        <w:t>等信息</w:t>
      </w:r>
      <w:r>
        <w:rPr>
          <w:rFonts w:hint="eastAsia" w:asciiTheme="minorEastAsia" w:hAnsiTheme="minorEastAsia" w:eastAsiaTheme="minorEastAsia" w:cstheme="minorEastAsia"/>
          <w:sz w:val="24"/>
          <w:szCs w:val="24"/>
          <w:highlight w:val="none"/>
        </w:rPr>
        <w:t>的，应当在变更后3日内及时书面通知对方，对方实际收到变更通知前的送达仍为有效送达。</w:t>
      </w:r>
    </w:p>
    <w:p w14:paraId="496FB346">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本合同一方给另一方的通知均应采用书面形式，传真或快递送到本合同中规定的对方的地址和办理签收手续。</w:t>
      </w:r>
    </w:p>
    <w:p w14:paraId="16C564F3">
      <w:pPr>
        <w:adjustRightInd w:val="0"/>
        <w:snapToGrid w:val="0"/>
        <w:spacing w:before="0"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通知以送达之日或通知书中规定的生效之日起生效，两者中以较迟之日为准。</w:t>
      </w:r>
    </w:p>
    <w:p w14:paraId="7C00BB67">
      <w:pPr>
        <w:numPr>
          <w:ilvl w:val="0"/>
          <w:numId w:val="17"/>
        </w:numPr>
        <w:adjustRightInd w:val="0"/>
        <w:snapToGrid w:val="0"/>
        <w:spacing w:before="0"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合同未尽事项</w:t>
      </w:r>
    </w:p>
    <w:p w14:paraId="3A78ECBB">
      <w:pPr>
        <w:adjustRightInd w:val="0"/>
        <w:snapToGrid w:val="0"/>
        <w:spacing w:before="0" w:line="4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.1合同未尽事项见</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w:t>
      </w:r>
    </w:p>
    <w:p w14:paraId="63F5CC41">
      <w:pPr>
        <w:adjustRightInd w:val="0"/>
        <w:snapToGrid w:val="0"/>
        <w:spacing w:line="400" w:lineRule="exact"/>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highlight w:val="none"/>
          <w:lang w:val="en-US" w:eastAsia="zh-CN"/>
        </w:rPr>
        <w:t xml:space="preserve">    23.2 合同附件与合同正文具有同等的法律效力。</w:t>
      </w:r>
      <w:bookmarkStart w:id="399" w:name="_Toc20313"/>
    </w:p>
    <w:p w14:paraId="52EAE6DF">
      <w:pPr>
        <w:adjustRightInd w:val="0"/>
        <w:snapToGrid w:val="0"/>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br w:type="page"/>
      </w:r>
    </w:p>
    <w:p w14:paraId="6DBF362F">
      <w:pPr>
        <w:pStyle w:val="3"/>
        <w:adjustRightInd w:val="0"/>
        <w:snapToGrid w:val="0"/>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第三节 政府采购合同专用条款</w:t>
      </w:r>
      <w:bookmarkEnd w:id="399"/>
    </w:p>
    <w:tbl>
      <w:tblPr>
        <w:tblStyle w:val="62"/>
        <w:tblW w:w="9870" w:type="dxa"/>
        <w:tblInd w:w="-13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50"/>
        <w:gridCol w:w="1905"/>
        <w:gridCol w:w="6315"/>
      </w:tblGrid>
      <w:tr w14:paraId="59225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2C3C55E1">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AC97B1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）项</w:t>
            </w:r>
          </w:p>
        </w:tc>
        <w:tc>
          <w:tcPr>
            <w:tcW w:w="1905" w:type="dxa"/>
            <w:vAlign w:val="center"/>
          </w:tcPr>
          <w:p w14:paraId="7A2C8D6E">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联合体具体要求</w:t>
            </w:r>
          </w:p>
        </w:tc>
        <w:tc>
          <w:tcPr>
            <w:tcW w:w="6315" w:type="dxa"/>
            <w:vAlign w:val="center"/>
          </w:tcPr>
          <w:p w14:paraId="1EB17D55">
            <w:pPr>
              <w:adjustRightInd w:val="0"/>
              <w:snapToGrid w:val="0"/>
              <w:jc w:val="left"/>
              <w:rPr>
                <w:rFonts w:hint="eastAsia" w:asciiTheme="minorEastAsia" w:hAnsiTheme="minorEastAsia" w:eastAsiaTheme="minorEastAsia" w:cstheme="minorEastAsia"/>
                <w:sz w:val="24"/>
                <w:szCs w:val="24"/>
                <w:lang w:val="en-US" w:eastAsia="zh-CN"/>
              </w:rPr>
            </w:pPr>
          </w:p>
        </w:tc>
      </w:tr>
      <w:tr w14:paraId="2EB51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50" w:type="dxa"/>
            <w:vAlign w:val="center"/>
          </w:tcPr>
          <w:p w14:paraId="1C943DEB">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FE6BD1D">
            <w:pPr>
              <w:adjustRightInd w:val="0"/>
              <w:snapToGrid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第1.2（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）项</w:t>
            </w:r>
          </w:p>
        </w:tc>
        <w:tc>
          <w:tcPr>
            <w:tcW w:w="1905" w:type="dxa"/>
            <w:vAlign w:val="center"/>
          </w:tcPr>
          <w:p w14:paraId="7C1A26F4">
            <w:pPr>
              <w:adjustRightInd w:val="0"/>
              <w:snapToGrid w:val="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其他术语解释</w:t>
            </w:r>
          </w:p>
        </w:tc>
        <w:tc>
          <w:tcPr>
            <w:tcW w:w="6315" w:type="dxa"/>
            <w:vAlign w:val="center"/>
          </w:tcPr>
          <w:p w14:paraId="543ED961">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50A0B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121E39AA">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530DF28">
            <w:pPr>
              <w:adjustRightInd w:val="0"/>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4.4款</w:t>
            </w:r>
          </w:p>
        </w:tc>
        <w:tc>
          <w:tcPr>
            <w:tcW w:w="1905" w:type="dxa"/>
            <w:vAlign w:val="center"/>
          </w:tcPr>
          <w:p w14:paraId="53E5935C">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履约验收中甲方提出异议或作出说明的期限</w:t>
            </w:r>
          </w:p>
        </w:tc>
        <w:tc>
          <w:tcPr>
            <w:tcW w:w="6315" w:type="dxa"/>
            <w:vAlign w:val="center"/>
          </w:tcPr>
          <w:p w14:paraId="1AE99524">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16FCE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651A50E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6A09CA7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4.6款</w:t>
            </w:r>
          </w:p>
        </w:tc>
        <w:tc>
          <w:tcPr>
            <w:tcW w:w="1905" w:type="dxa"/>
            <w:vAlign w:val="center"/>
          </w:tcPr>
          <w:p w14:paraId="13892A63">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约定甲方承担的其他义务和责任</w:t>
            </w:r>
          </w:p>
        </w:tc>
        <w:tc>
          <w:tcPr>
            <w:tcW w:w="6315" w:type="dxa"/>
            <w:vAlign w:val="center"/>
          </w:tcPr>
          <w:p w14:paraId="642E1DD1">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6DE61A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2E87CADC">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第二节</w:t>
            </w:r>
          </w:p>
          <w:p w14:paraId="285823A5">
            <w:pPr>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5.4款</w:t>
            </w:r>
          </w:p>
        </w:tc>
        <w:tc>
          <w:tcPr>
            <w:tcW w:w="1905" w:type="dxa"/>
            <w:vAlign w:val="center"/>
          </w:tcPr>
          <w:p w14:paraId="58321A7C">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约定乙方承担的其他义务和责任</w:t>
            </w:r>
          </w:p>
        </w:tc>
        <w:tc>
          <w:tcPr>
            <w:tcW w:w="6315" w:type="dxa"/>
            <w:vAlign w:val="center"/>
          </w:tcPr>
          <w:p w14:paraId="5DEFF0C9">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077C64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63B3936A">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第二节</w:t>
            </w:r>
          </w:p>
          <w:p w14:paraId="7A78A06A">
            <w:pPr>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6.1款</w:t>
            </w:r>
          </w:p>
        </w:tc>
        <w:tc>
          <w:tcPr>
            <w:tcW w:w="1905" w:type="dxa"/>
            <w:vAlign w:val="center"/>
          </w:tcPr>
          <w:p w14:paraId="12DBC099">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履行合同义务的顺序</w:t>
            </w:r>
          </w:p>
        </w:tc>
        <w:tc>
          <w:tcPr>
            <w:tcW w:w="6315" w:type="dxa"/>
            <w:vAlign w:val="center"/>
          </w:tcPr>
          <w:p w14:paraId="06417461">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2357E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50" w:type="dxa"/>
            <w:vMerge w:val="restart"/>
            <w:vAlign w:val="center"/>
          </w:tcPr>
          <w:p w14:paraId="0DAACA2B">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BD4252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款</w:t>
            </w:r>
          </w:p>
        </w:tc>
        <w:tc>
          <w:tcPr>
            <w:tcW w:w="1905" w:type="dxa"/>
            <w:vAlign w:val="center"/>
          </w:tcPr>
          <w:p w14:paraId="46970AD4">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w:t>
            </w:r>
            <w:r>
              <w:rPr>
                <w:rFonts w:hint="eastAsia" w:asciiTheme="minorEastAsia" w:hAnsiTheme="minorEastAsia" w:eastAsiaTheme="minorEastAsia" w:cstheme="minorEastAsia"/>
                <w:sz w:val="24"/>
                <w:szCs w:val="24"/>
                <w:lang w:eastAsia="zh-CN"/>
              </w:rPr>
              <w:t>特殊要求</w:t>
            </w:r>
          </w:p>
        </w:tc>
        <w:tc>
          <w:tcPr>
            <w:tcW w:w="6315" w:type="dxa"/>
            <w:vAlign w:val="center"/>
          </w:tcPr>
          <w:p w14:paraId="7400334E">
            <w:pPr>
              <w:rPr>
                <w:rFonts w:hint="eastAsia" w:asciiTheme="minorEastAsia" w:hAnsiTheme="minorEastAsia" w:eastAsiaTheme="minorEastAsia" w:cstheme="minorEastAsia"/>
                <w:sz w:val="24"/>
                <w:szCs w:val="24"/>
              </w:rPr>
            </w:pPr>
          </w:p>
        </w:tc>
      </w:tr>
      <w:tr w14:paraId="6071D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50" w:type="dxa"/>
            <w:vMerge w:val="continue"/>
            <w:vAlign w:val="center"/>
          </w:tcPr>
          <w:p w14:paraId="059F6DCA">
            <w:pPr>
              <w:adjustRightInd w:val="0"/>
              <w:snapToGrid w:val="0"/>
              <w:jc w:val="center"/>
              <w:rPr>
                <w:rFonts w:hint="eastAsia" w:asciiTheme="minorEastAsia" w:hAnsiTheme="minorEastAsia" w:eastAsiaTheme="minorEastAsia" w:cstheme="minorEastAsia"/>
                <w:sz w:val="24"/>
                <w:szCs w:val="24"/>
              </w:rPr>
            </w:pPr>
          </w:p>
        </w:tc>
        <w:tc>
          <w:tcPr>
            <w:tcW w:w="1905" w:type="dxa"/>
            <w:vAlign w:val="center"/>
          </w:tcPr>
          <w:p w14:paraId="62D8EED9">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指定现场</w:t>
            </w:r>
          </w:p>
        </w:tc>
        <w:tc>
          <w:tcPr>
            <w:tcW w:w="6315" w:type="dxa"/>
            <w:vAlign w:val="center"/>
          </w:tcPr>
          <w:p w14:paraId="38A956EE">
            <w:pPr>
              <w:rPr>
                <w:rFonts w:hint="eastAsia" w:asciiTheme="minorEastAsia" w:hAnsiTheme="minorEastAsia" w:eastAsiaTheme="minorEastAsia" w:cstheme="minorEastAsia"/>
                <w:sz w:val="24"/>
                <w:szCs w:val="24"/>
              </w:rPr>
            </w:pPr>
          </w:p>
        </w:tc>
      </w:tr>
      <w:tr w14:paraId="0D4E1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50" w:type="dxa"/>
            <w:vAlign w:val="center"/>
          </w:tcPr>
          <w:p w14:paraId="35AA488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5811F93B">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款</w:t>
            </w:r>
          </w:p>
        </w:tc>
        <w:tc>
          <w:tcPr>
            <w:tcW w:w="1905" w:type="dxa"/>
            <w:vAlign w:val="center"/>
          </w:tcPr>
          <w:p w14:paraId="196649A5">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运输特殊要求</w:t>
            </w:r>
          </w:p>
        </w:tc>
        <w:tc>
          <w:tcPr>
            <w:tcW w:w="6315" w:type="dxa"/>
            <w:vAlign w:val="center"/>
          </w:tcPr>
          <w:p w14:paraId="520B4169">
            <w:pPr>
              <w:rPr>
                <w:rFonts w:hint="eastAsia" w:asciiTheme="minorEastAsia" w:hAnsiTheme="minorEastAsia" w:eastAsiaTheme="minorEastAsia" w:cstheme="minorEastAsia"/>
                <w:sz w:val="24"/>
                <w:szCs w:val="24"/>
              </w:rPr>
            </w:pPr>
          </w:p>
        </w:tc>
      </w:tr>
      <w:tr w14:paraId="46B9A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50" w:type="dxa"/>
            <w:vAlign w:val="center"/>
          </w:tcPr>
          <w:p w14:paraId="34541161">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01E8991">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款</w:t>
            </w:r>
          </w:p>
        </w:tc>
        <w:tc>
          <w:tcPr>
            <w:tcW w:w="1905" w:type="dxa"/>
            <w:vAlign w:val="center"/>
          </w:tcPr>
          <w:p w14:paraId="75BB6FC6">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保险要求</w:t>
            </w:r>
          </w:p>
        </w:tc>
        <w:tc>
          <w:tcPr>
            <w:tcW w:w="6315" w:type="dxa"/>
            <w:vAlign w:val="center"/>
          </w:tcPr>
          <w:p w14:paraId="3B353B79">
            <w:pPr>
              <w:rPr>
                <w:rFonts w:hint="eastAsia" w:asciiTheme="minorEastAsia" w:hAnsiTheme="minorEastAsia" w:eastAsiaTheme="minorEastAsia" w:cstheme="minorEastAsia"/>
                <w:sz w:val="24"/>
                <w:szCs w:val="24"/>
              </w:rPr>
            </w:pPr>
          </w:p>
        </w:tc>
      </w:tr>
      <w:tr w14:paraId="21656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7A61324F">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2608D5EA">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.2（1）项</w:t>
            </w:r>
          </w:p>
        </w:tc>
        <w:tc>
          <w:tcPr>
            <w:tcW w:w="1905" w:type="dxa"/>
            <w:vAlign w:val="center"/>
          </w:tcPr>
          <w:p w14:paraId="7128F632">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质量保证期</w:t>
            </w:r>
          </w:p>
        </w:tc>
        <w:tc>
          <w:tcPr>
            <w:tcW w:w="6315" w:type="dxa"/>
            <w:vAlign w:val="center"/>
          </w:tcPr>
          <w:p w14:paraId="55CB9F70">
            <w:pPr>
              <w:autoSpaceDE w:val="0"/>
              <w:autoSpaceDN w:val="0"/>
              <w:adjustRightInd w:val="0"/>
              <w:snapToGrid w:val="0"/>
              <w:ind w:firstLine="480" w:firstLineChars="200"/>
              <w:jc w:val="left"/>
              <w:rPr>
                <w:rFonts w:hint="eastAsia" w:asciiTheme="minorEastAsia" w:hAnsiTheme="minorEastAsia" w:eastAsiaTheme="minorEastAsia" w:cstheme="minorEastAsia"/>
                <w:sz w:val="24"/>
                <w:szCs w:val="24"/>
              </w:rPr>
            </w:pPr>
          </w:p>
        </w:tc>
      </w:tr>
      <w:tr w14:paraId="399DA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65DD381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DD165D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.2（3）项</w:t>
            </w:r>
          </w:p>
        </w:tc>
        <w:tc>
          <w:tcPr>
            <w:tcW w:w="1905" w:type="dxa"/>
            <w:vAlign w:val="center"/>
          </w:tcPr>
          <w:p w14:paraId="5104BE2A">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货物质量缺陷</w:t>
            </w:r>
          </w:p>
          <w:p w14:paraId="76B679F1">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响应时间</w:t>
            </w:r>
          </w:p>
        </w:tc>
        <w:tc>
          <w:tcPr>
            <w:tcW w:w="6315" w:type="dxa"/>
            <w:vAlign w:val="center"/>
          </w:tcPr>
          <w:p w14:paraId="35C2FB22">
            <w:pPr>
              <w:adjustRightInd w:val="0"/>
              <w:snapToGrid w:val="0"/>
              <w:jc w:val="left"/>
              <w:rPr>
                <w:rFonts w:hint="eastAsia" w:asciiTheme="minorEastAsia" w:hAnsiTheme="minorEastAsia" w:eastAsiaTheme="minorEastAsia" w:cstheme="minorEastAsia"/>
                <w:sz w:val="24"/>
                <w:szCs w:val="24"/>
              </w:rPr>
            </w:pPr>
          </w:p>
        </w:tc>
      </w:tr>
      <w:tr w14:paraId="55865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7ABABAAA">
            <w:pPr>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第二节</w:t>
            </w:r>
          </w:p>
          <w:p w14:paraId="5AAF7F00">
            <w:pPr>
              <w:pStyle w:val="79"/>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第11.1款</w:t>
            </w:r>
          </w:p>
        </w:tc>
        <w:tc>
          <w:tcPr>
            <w:tcW w:w="1905" w:type="dxa"/>
            <w:vAlign w:val="center"/>
          </w:tcPr>
          <w:p w14:paraId="401303AA">
            <w:pPr>
              <w:adjustRightInd w:val="0"/>
              <w:snapToGrid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其他应当保密的信息</w:t>
            </w:r>
          </w:p>
        </w:tc>
        <w:tc>
          <w:tcPr>
            <w:tcW w:w="6315" w:type="dxa"/>
            <w:vAlign w:val="center"/>
          </w:tcPr>
          <w:p w14:paraId="5A962FA5">
            <w:pPr>
              <w:adjustRightInd w:val="0"/>
              <w:snapToGrid w:val="0"/>
              <w:jc w:val="left"/>
              <w:rPr>
                <w:rFonts w:hint="eastAsia" w:asciiTheme="minorEastAsia" w:hAnsiTheme="minorEastAsia" w:eastAsiaTheme="minorEastAsia" w:cstheme="minorEastAsia"/>
                <w:sz w:val="24"/>
                <w:szCs w:val="24"/>
              </w:rPr>
            </w:pPr>
          </w:p>
        </w:tc>
      </w:tr>
      <w:tr w14:paraId="219851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50" w:type="dxa"/>
            <w:vAlign w:val="center"/>
          </w:tcPr>
          <w:p w14:paraId="29F9E327">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BC48BA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.2款</w:t>
            </w:r>
          </w:p>
        </w:tc>
        <w:tc>
          <w:tcPr>
            <w:tcW w:w="1905" w:type="dxa"/>
            <w:vAlign w:val="center"/>
          </w:tcPr>
          <w:p w14:paraId="6155924F">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合同价款支付</w:t>
            </w:r>
            <w:r>
              <w:rPr>
                <w:rFonts w:hint="eastAsia" w:asciiTheme="minorEastAsia" w:hAnsiTheme="minorEastAsia" w:eastAsiaTheme="minorEastAsia" w:cstheme="minorEastAsia"/>
                <w:sz w:val="24"/>
                <w:szCs w:val="24"/>
                <w:lang w:eastAsia="zh-CN"/>
              </w:rPr>
              <w:t>时间</w:t>
            </w:r>
          </w:p>
        </w:tc>
        <w:tc>
          <w:tcPr>
            <w:tcW w:w="6315" w:type="dxa"/>
            <w:vAlign w:val="center"/>
          </w:tcPr>
          <w:p w14:paraId="60602B90">
            <w:pPr>
              <w:adjustRightInd w:val="0"/>
              <w:snapToGrid w:val="0"/>
              <w:jc w:val="left"/>
              <w:rPr>
                <w:rFonts w:hint="eastAsia" w:asciiTheme="minorEastAsia" w:hAnsiTheme="minorEastAsia" w:eastAsiaTheme="minorEastAsia" w:cstheme="minorEastAsia"/>
                <w:sz w:val="24"/>
                <w:szCs w:val="24"/>
              </w:rPr>
            </w:pPr>
          </w:p>
        </w:tc>
      </w:tr>
      <w:tr w14:paraId="43F2A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50" w:type="dxa"/>
            <w:vAlign w:val="center"/>
          </w:tcPr>
          <w:p w14:paraId="5E82133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368C8B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13.2</w:t>
            </w:r>
            <w:r>
              <w:rPr>
                <w:rFonts w:hint="eastAsia" w:asciiTheme="minorEastAsia" w:hAnsiTheme="minorEastAsia" w:eastAsiaTheme="minorEastAsia" w:cstheme="minorEastAsia"/>
                <w:sz w:val="24"/>
                <w:szCs w:val="24"/>
              </w:rPr>
              <w:t>款</w:t>
            </w:r>
          </w:p>
        </w:tc>
        <w:tc>
          <w:tcPr>
            <w:tcW w:w="1905" w:type="dxa"/>
            <w:vAlign w:val="center"/>
          </w:tcPr>
          <w:p w14:paraId="116E1D9A">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履约保证金不予退还的情形</w:t>
            </w:r>
          </w:p>
        </w:tc>
        <w:tc>
          <w:tcPr>
            <w:tcW w:w="6315" w:type="dxa"/>
            <w:vAlign w:val="center"/>
          </w:tcPr>
          <w:p w14:paraId="30ECA72F">
            <w:pPr>
              <w:autoSpaceDE w:val="0"/>
              <w:autoSpaceDN w:val="0"/>
              <w:adjustRightInd w:val="0"/>
              <w:snapToGrid w:val="0"/>
              <w:spacing w:line="400" w:lineRule="exact"/>
              <w:jc w:val="lef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val="0"/>
                <w:bCs w:val="0"/>
                <w:iCs/>
                <w:sz w:val="24"/>
                <w:szCs w:val="24"/>
                <w:lang w:val="en-US" w:eastAsia="zh-CN"/>
              </w:rPr>
              <w:t xml:space="preserve"> </w:t>
            </w:r>
          </w:p>
        </w:tc>
      </w:tr>
      <w:tr w14:paraId="5B67F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1CEB22C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0959757">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13.3</w:t>
            </w:r>
            <w:r>
              <w:rPr>
                <w:rFonts w:hint="eastAsia" w:asciiTheme="minorEastAsia" w:hAnsiTheme="minorEastAsia" w:eastAsiaTheme="minorEastAsia" w:cstheme="minorEastAsia"/>
                <w:sz w:val="24"/>
                <w:szCs w:val="24"/>
              </w:rPr>
              <w:t>款</w:t>
            </w:r>
          </w:p>
        </w:tc>
        <w:tc>
          <w:tcPr>
            <w:tcW w:w="1905" w:type="dxa"/>
            <w:vAlign w:val="center"/>
          </w:tcPr>
          <w:p w14:paraId="427EAF49">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履约保证金退还时间及</w:t>
            </w:r>
            <w:r>
              <w:rPr>
                <w:rFonts w:hint="eastAsia" w:asciiTheme="minorEastAsia" w:hAnsiTheme="minorEastAsia" w:eastAsiaTheme="minorEastAsia" w:cstheme="minorEastAsia"/>
                <w:sz w:val="24"/>
                <w:szCs w:val="24"/>
                <w:lang w:eastAsia="zh-CN"/>
              </w:rPr>
              <w:t>逾期退还的</w:t>
            </w:r>
            <w:r>
              <w:rPr>
                <w:rFonts w:hint="eastAsia" w:asciiTheme="minorEastAsia" w:hAnsiTheme="minorEastAsia" w:eastAsiaTheme="minorEastAsia" w:cstheme="minorEastAsia"/>
                <w:sz w:val="24"/>
                <w:szCs w:val="24"/>
              </w:rPr>
              <w:t>违约金</w:t>
            </w:r>
          </w:p>
        </w:tc>
        <w:tc>
          <w:tcPr>
            <w:tcW w:w="6315" w:type="dxa"/>
            <w:vAlign w:val="center"/>
          </w:tcPr>
          <w:p w14:paraId="2B20C331">
            <w:pPr>
              <w:adjustRightInd w:val="0"/>
              <w:snapToGrid w:val="0"/>
              <w:jc w:val="left"/>
              <w:rPr>
                <w:rFonts w:hint="eastAsia" w:asciiTheme="minorEastAsia" w:hAnsiTheme="minorEastAsia" w:eastAsiaTheme="minorEastAsia" w:cstheme="minorEastAsia"/>
                <w:sz w:val="24"/>
                <w:szCs w:val="24"/>
              </w:rPr>
            </w:pPr>
          </w:p>
        </w:tc>
      </w:tr>
      <w:tr w14:paraId="03EF4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50" w:type="dxa"/>
            <w:vAlign w:val="center"/>
          </w:tcPr>
          <w:p w14:paraId="794E07F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439A79E">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）项</w:t>
            </w:r>
          </w:p>
        </w:tc>
        <w:tc>
          <w:tcPr>
            <w:tcW w:w="1905" w:type="dxa"/>
            <w:vAlign w:val="center"/>
          </w:tcPr>
          <w:p w14:paraId="71FA1ECF">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运行监督、维修期限</w:t>
            </w:r>
          </w:p>
        </w:tc>
        <w:tc>
          <w:tcPr>
            <w:tcW w:w="6315" w:type="dxa"/>
            <w:vAlign w:val="center"/>
          </w:tcPr>
          <w:p w14:paraId="2F740FCB">
            <w:pPr>
              <w:autoSpaceDE w:val="0"/>
              <w:autoSpaceDN w:val="0"/>
              <w:adjustRightInd w:val="0"/>
              <w:snapToGrid w:val="0"/>
              <w:spacing w:line="400" w:lineRule="exact"/>
              <w:jc w:val="left"/>
              <w:rPr>
                <w:rFonts w:hint="eastAsia" w:asciiTheme="minorEastAsia" w:hAnsiTheme="minorEastAsia" w:eastAsiaTheme="minorEastAsia" w:cstheme="minorEastAsia"/>
                <w:sz w:val="24"/>
                <w:szCs w:val="24"/>
              </w:rPr>
            </w:pPr>
          </w:p>
        </w:tc>
      </w:tr>
      <w:tr w14:paraId="27FB7A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50" w:type="dxa"/>
            <w:vAlign w:val="center"/>
          </w:tcPr>
          <w:p w14:paraId="562D940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CEB9E1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w:t>
            </w:r>
          </w:p>
        </w:tc>
        <w:tc>
          <w:tcPr>
            <w:tcW w:w="1905" w:type="dxa"/>
            <w:vAlign w:val="center"/>
          </w:tcPr>
          <w:p w14:paraId="13AA4210">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货物回收的约定</w:t>
            </w:r>
          </w:p>
        </w:tc>
        <w:tc>
          <w:tcPr>
            <w:tcW w:w="6315" w:type="dxa"/>
            <w:vAlign w:val="center"/>
          </w:tcPr>
          <w:p w14:paraId="6C91EBBB">
            <w:pPr>
              <w:autoSpaceDE w:val="0"/>
              <w:autoSpaceDN w:val="0"/>
              <w:adjustRightInd w:val="0"/>
              <w:snapToGrid w:val="0"/>
              <w:spacing w:line="400" w:lineRule="exact"/>
              <w:jc w:val="left"/>
              <w:rPr>
                <w:rFonts w:hint="eastAsia" w:asciiTheme="minorEastAsia" w:hAnsiTheme="minorEastAsia" w:eastAsiaTheme="minorEastAsia" w:cstheme="minorEastAsia"/>
                <w:sz w:val="24"/>
                <w:szCs w:val="24"/>
              </w:rPr>
            </w:pPr>
          </w:p>
        </w:tc>
      </w:tr>
      <w:tr w14:paraId="5D68A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661D4A4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D5B319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）项</w:t>
            </w:r>
          </w:p>
        </w:tc>
        <w:tc>
          <w:tcPr>
            <w:tcW w:w="1905" w:type="dxa"/>
            <w:vAlign w:val="center"/>
          </w:tcPr>
          <w:p w14:paraId="6581426F">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乙方提供的其他服务</w:t>
            </w:r>
          </w:p>
        </w:tc>
        <w:tc>
          <w:tcPr>
            <w:tcW w:w="6315" w:type="dxa"/>
            <w:vAlign w:val="center"/>
          </w:tcPr>
          <w:p w14:paraId="0C834F4E">
            <w:pPr>
              <w:adjustRightInd w:val="0"/>
              <w:snapToGrid w:val="0"/>
              <w:jc w:val="left"/>
              <w:rPr>
                <w:rFonts w:hint="eastAsia" w:asciiTheme="minorEastAsia" w:hAnsiTheme="minorEastAsia" w:eastAsiaTheme="minorEastAsia" w:cstheme="minorEastAsia"/>
                <w:sz w:val="24"/>
                <w:szCs w:val="24"/>
              </w:rPr>
            </w:pPr>
          </w:p>
        </w:tc>
      </w:tr>
      <w:tr w14:paraId="7A073A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0976371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1BFA95A">
            <w:pPr>
              <w:adjustRightInd w:val="0"/>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1款</w:t>
            </w:r>
          </w:p>
        </w:tc>
        <w:tc>
          <w:tcPr>
            <w:tcW w:w="1905" w:type="dxa"/>
            <w:vAlign w:val="center"/>
          </w:tcPr>
          <w:p w14:paraId="1E36B72F">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eastAsia="zh-CN"/>
              </w:rPr>
              <w:t>修理、重作、更换相关具体规定</w:t>
            </w:r>
          </w:p>
        </w:tc>
        <w:tc>
          <w:tcPr>
            <w:tcW w:w="6315" w:type="dxa"/>
            <w:vAlign w:val="center"/>
          </w:tcPr>
          <w:p w14:paraId="7F7DAD02">
            <w:pPr>
              <w:autoSpaceDE w:val="0"/>
              <w:autoSpaceDN w:val="0"/>
              <w:adjustRightInd w:val="0"/>
              <w:snapToGrid w:val="0"/>
              <w:spacing w:line="400" w:lineRule="exact"/>
              <w:jc w:val="left"/>
              <w:rPr>
                <w:rFonts w:hint="eastAsia" w:asciiTheme="minorEastAsia" w:hAnsiTheme="minorEastAsia" w:eastAsiaTheme="minorEastAsia" w:cstheme="minorEastAsia"/>
                <w:sz w:val="24"/>
                <w:szCs w:val="24"/>
                <w:lang w:eastAsia="zh-CN"/>
              </w:rPr>
            </w:pPr>
          </w:p>
        </w:tc>
      </w:tr>
      <w:tr w14:paraId="45F45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751C2CB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B91BAC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.2（2）项</w:t>
            </w:r>
          </w:p>
        </w:tc>
        <w:tc>
          <w:tcPr>
            <w:tcW w:w="1905" w:type="dxa"/>
            <w:vAlign w:val="center"/>
          </w:tcPr>
          <w:p w14:paraId="6AF286CE">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迟延交货赔偿费</w:t>
            </w:r>
          </w:p>
        </w:tc>
        <w:tc>
          <w:tcPr>
            <w:tcW w:w="6315" w:type="dxa"/>
            <w:vAlign w:val="center"/>
          </w:tcPr>
          <w:p w14:paraId="3E352956">
            <w:pPr>
              <w:autoSpaceDE w:val="0"/>
              <w:autoSpaceDN w:val="0"/>
              <w:adjustRightInd w:val="0"/>
              <w:snapToGrid w:val="0"/>
              <w:spacing w:line="400" w:lineRule="exact"/>
              <w:jc w:val="left"/>
              <w:rPr>
                <w:rFonts w:hint="eastAsia" w:asciiTheme="minorEastAsia" w:hAnsiTheme="minorEastAsia" w:eastAsiaTheme="minorEastAsia" w:cstheme="minorEastAsia"/>
                <w:sz w:val="24"/>
                <w:szCs w:val="24"/>
                <w:u w:val="single"/>
              </w:rPr>
            </w:pPr>
          </w:p>
        </w:tc>
      </w:tr>
      <w:tr w14:paraId="3A1B8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50" w:type="dxa"/>
            <w:vAlign w:val="center"/>
          </w:tcPr>
          <w:p w14:paraId="0F0F1EE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0735CFB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3款</w:t>
            </w:r>
          </w:p>
        </w:tc>
        <w:tc>
          <w:tcPr>
            <w:tcW w:w="1905" w:type="dxa"/>
            <w:vAlign w:val="center"/>
          </w:tcPr>
          <w:p w14:paraId="3ECBCC6D">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逾期付款利息</w:t>
            </w:r>
          </w:p>
        </w:tc>
        <w:tc>
          <w:tcPr>
            <w:tcW w:w="6315" w:type="dxa"/>
            <w:vAlign w:val="center"/>
          </w:tcPr>
          <w:p w14:paraId="74CEAB37">
            <w:pPr>
              <w:autoSpaceDE w:val="0"/>
              <w:autoSpaceDN w:val="0"/>
              <w:adjustRightInd w:val="0"/>
              <w:snapToGrid w:val="0"/>
              <w:spacing w:line="400" w:lineRule="exact"/>
              <w:jc w:val="left"/>
              <w:rPr>
                <w:rFonts w:hint="eastAsia" w:asciiTheme="minorEastAsia" w:hAnsiTheme="minorEastAsia" w:eastAsiaTheme="minorEastAsia" w:cstheme="minorEastAsia"/>
                <w:sz w:val="24"/>
                <w:szCs w:val="24"/>
                <w:u w:val="single"/>
              </w:rPr>
            </w:pPr>
          </w:p>
        </w:tc>
      </w:tr>
      <w:tr w14:paraId="5FA02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50" w:type="dxa"/>
            <w:tcBorders>
              <w:bottom w:val="single" w:color="auto" w:sz="2" w:space="0"/>
              <w:right w:val="single" w:color="auto" w:sz="2" w:space="0"/>
            </w:tcBorders>
            <w:vAlign w:val="center"/>
          </w:tcPr>
          <w:p w14:paraId="1D5E0AA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42EF30E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款</w:t>
            </w:r>
          </w:p>
        </w:tc>
        <w:tc>
          <w:tcPr>
            <w:tcW w:w="1905" w:type="dxa"/>
            <w:tcBorders>
              <w:left w:val="single" w:color="auto" w:sz="2" w:space="0"/>
              <w:bottom w:val="single" w:color="auto" w:sz="2" w:space="0"/>
              <w:right w:val="single" w:color="auto" w:sz="2" w:space="0"/>
            </w:tcBorders>
            <w:vAlign w:val="center"/>
          </w:tcPr>
          <w:p w14:paraId="3D70F148">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其他违约责任</w:t>
            </w:r>
          </w:p>
        </w:tc>
        <w:tc>
          <w:tcPr>
            <w:tcW w:w="6315" w:type="dxa"/>
            <w:tcBorders>
              <w:left w:val="single" w:color="auto" w:sz="2" w:space="0"/>
              <w:bottom w:val="single" w:color="auto" w:sz="2" w:space="0"/>
            </w:tcBorders>
            <w:vAlign w:val="center"/>
          </w:tcPr>
          <w:p w14:paraId="2B1F8D81">
            <w:pPr>
              <w:adjustRightInd w:val="0"/>
              <w:snapToGrid w:val="0"/>
              <w:jc w:val="left"/>
              <w:rPr>
                <w:rFonts w:hint="eastAsia" w:asciiTheme="minorEastAsia" w:hAnsiTheme="minorEastAsia" w:eastAsiaTheme="minorEastAsia" w:cstheme="minorEastAsia"/>
                <w:sz w:val="24"/>
                <w:szCs w:val="24"/>
                <w:u w:val="single"/>
              </w:rPr>
            </w:pPr>
          </w:p>
        </w:tc>
      </w:tr>
      <w:tr w14:paraId="73126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50" w:type="dxa"/>
            <w:tcBorders>
              <w:top w:val="single" w:color="auto" w:sz="2" w:space="0"/>
              <w:right w:val="single" w:color="auto" w:sz="2" w:space="0"/>
            </w:tcBorders>
            <w:vAlign w:val="center"/>
          </w:tcPr>
          <w:p w14:paraId="0C985BF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F657D67">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款</w:t>
            </w:r>
          </w:p>
        </w:tc>
        <w:tc>
          <w:tcPr>
            <w:tcW w:w="1905" w:type="dxa"/>
            <w:tcBorders>
              <w:top w:val="single" w:color="auto" w:sz="2" w:space="0"/>
              <w:left w:val="single" w:color="auto" w:sz="2" w:space="0"/>
              <w:right w:val="single" w:color="auto" w:sz="2" w:space="0"/>
            </w:tcBorders>
            <w:vAlign w:val="center"/>
          </w:tcPr>
          <w:p w14:paraId="4C0A198C">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解决争议的方法</w:t>
            </w:r>
          </w:p>
        </w:tc>
        <w:tc>
          <w:tcPr>
            <w:tcW w:w="6315" w:type="dxa"/>
            <w:tcBorders>
              <w:top w:val="single" w:color="auto" w:sz="2" w:space="0"/>
              <w:left w:val="single" w:color="auto" w:sz="2" w:space="0"/>
            </w:tcBorders>
            <w:vAlign w:val="center"/>
          </w:tcPr>
          <w:p w14:paraId="1A0E6125">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sz w:val="24"/>
                <w:szCs w:val="24"/>
              </w:rPr>
            </w:pPr>
            <w:r>
              <w:rPr>
                <w:rFonts w:hint="eastAsia" w:asciiTheme="minorEastAsia" w:hAnsiTheme="minorEastAsia" w:eastAsiaTheme="minorEastAsia" w:cstheme="minorEastAsia"/>
                <w:b w:val="0"/>
                <w:bCs w:val="0"/>
                <w:iCs/>
                <w:sz w:val="24"/>
                <w:szCs w:val="24"/>
              </w:rPr>
              <w:t>因本合同及合同有关事项发生的争议，按下列</w:t>
            </w:r>
            <w:r>
              <w:rPr>
                <w:rFonts w:hint="eastAsia" w:asciiTheme="minorEastAsia" w:hAnsiTheme="minorEastAsia" w:eastAsiaTheme="minorEastAsia" w:cstheme="minorEastAsia"/>
                <w:b w:val="0"/>
                <w:bCs w:val="0"/>
                <w:iCs/>
                <w:sz w:val="24"/>
                <w:szCs w:val="24"/>
                <w:highlight w:val="none"/>
              </w:rPr>
              <w:t>第</w:t>
            </w:r>
            <w:r>
              <w:rPr>
                <w:rFonts w:hint="eastAsia" w:asciiTheme="minorEastAsia" w:hAnsiTheme="minorEastAsia" w:eastAsiaTheme="minorEastAsia" w:cstheme="minorEastAsia"/>
                <w:b w:val="0"/>
                <w:bCs w:val="0"/>
                <w:iCs/>
                <w:sz w:val="24"/>
                <w:szCs w:val="24"/>
                <w:highlight w:val="none"/>
                <w:u w:val="single"/>
              </w:rPr>
              <w:t xml:space="preserve">   </w:t>
            </w:r>
            <w:r>
              <w:rPr>
                <w:rFonts w:hint="eastAsia" w:asciiTheme="minorEastAsia" w:hAnsiTheme="minorEastAsia" w:eastAsiaTheme="minorEastAsia" w:cstheme="minorEastAsia"/>
                <w:b w:val="0"/>
                <w:bCs w:val="0"/>
                <w:iCs/>
                <w:sz w:val="24"/>
                <w:szCs w:val="24"/>
                <w:highlight w:val="none"/>
              </w:rPr>
              <w:t>种</w:t>
            </w:r>
            <w:r>
              <w:rPr>
                <w:rFonts w:hint="eastAsia" w:asciiTheme="minorEastAsia" w:hAnsiTheme="minorEastAsia" w:eastAsiaTheme="minorEastAsia" w:cstheme="minorEastAsia"/>
                <w:b w:val="0"/>
                <w:bCs w:val="0"/>
                <w:iCs/>
                <w:sz w:val="24"/>
                <w:szCs w:val="24"/>
              </w:rPr>
              <w:t>方式解决：</w:t>
            </w:r>
          </w:p>
          <w:p w14:paraId="497D3548">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sz w:val="24"/>
                <w:szCs w:val="24"/>
              </w:rPr>
            </w:pPr>
            <w:r>
              <w:rPr>
                <w:rFonts w:hint="eastAsia" w:asciiTheme="minorEastAsia" w:hAnsiTheme="minorEastAsia" w:eastAsiaTheme="minorEastAsia" w:cstheme="minorEastAsia"/>
                <w:b w:val="0"/>
                <w:bCs w:val="0"/>
                <w:iCs/>
                <w:sz w:val="24"/>
                <w:szCs w:val="24"/>
              </w:rPr>
              <w:t>（1）向</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仲裁委员会申请仲裁，仲裁地点为</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w:t>
            </w:r>
          </w:p>
          <w:p w14:paraId="63D953E8">
            <w:pPr>
              <w:adjustRightInd w:val="0"/>
              <w:snapToGrid w:val="0"/>
              <w:ind w:firstLine="0" w:firstLineChars="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val="0"/>
                <w:bCs w:val="0"/>
                <w:iCs/>
                <w:sz w:val="24"/>
                <w:szCs w:val="24"/>
              </w:rPr>
              <w:t>（2）向</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人民法院起诉。</w:t>
            </w:r>
          </w:p>
        </w:tc>
      </w:tr>
      <w:tr w14:paraId="61FC9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50" w:type="dxa"/>
            <w:vAlign w:val="center"/>
          </w:tcPr>
          <w:p w14:paraId="6C8E4ECF">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16F3C8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lang w:eastAsia="zh-CN"/>
              </w:rPr>
              <w:t>款</w:t>
            </w:r>
          </w:p>
        </w:tc>
        <w:tc>
          <w:tcPr>
            <w:tcW w:w="1905" w:type="dxa"/>
            <w:vAlign w:val="center"/>
          </w:tcPr>
          <w:p w14:paraId="4D84BE87">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4"/>
                <w:highlight w:val="none"/>
                <w:lang w:eastAsia="zh-CN"/>
              </w:rPr>
              <w:t>其他专用条款</w:t>
            </w:r>
          </w:p>
        </w:tc>
        <w:tc>
          <w:tcPr>
            <w:tcW w:w="6315" w:type="dxa"/>
            <w:vAlign w:val="center"/>
          </w:tcPr>
          <w:p w14:paraId="3FB62CD9">
            <w:pPr>
              <w:adjustRightInd w:val="0"/>
              <w:snapToGrid w:val="0"/>
              <w:jc w:val="left"/>
              <w:rPr>
                <w:rFonts w:hint="eastAsia" w:asciiTheme="minorEastAsia" w:hAnsiTheme="minorEastAsia" w:eastAsiaTheme="minorEastAsia" w:cstheme="minorEastAsia"/>
                <w:sz w:val="24"/>
                <w:szCs w:val="24"/>
                <w:lang w:val="en-US" w:eastAsia="zh-CN"/>
              </w:rPr>
            </w:pPr>
          </w:p>
        </w:tc>
      </w:tr>
    </w:tbl>
    <w:p w14:paraId="48C3EB25">
      <w:pPr>
        <w:rPr>
          <w:rFonts w:hint="eastAsia" w:asciiTheme="minorEastAsia" w:hAnsiTheme="minorEastAsia" w:eastAsiaTheme="minorEastAsia" w:cstheme="minorEastAsia"/>
        </w:rPr>
      </w:pPr>
    </w:p>
    <w:p w14:paraId="6420919D">
      <w:pPr>
        <w:rPr>
          <w:rFonts w:hint="eastAsia" w:asciiTheme="minorEastAsia" w:hAnsiTheme="minorEastAsia" w:eastAsiaTheme="minorEastAsia" w:cstheme="minorEastAsia"/>
        </w:rPr>
      </w:pPr>
    </w:p>
    <w:p w14:paraId="26DC21FB">
      <w:pPr>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b/>
          <w:color w:val="auto"/>
          <w:sz w:val="36"/>
          <w:szCs w:val="20"/>
        </w:rPr>
        <w:br w:type="page"/>
      </w:r>
    </w:p>
    <w:p w14:paraId="28391478">
      <w:pPr>
        <w:widowControl/>
        <w:adjustRightInd/>
        <w:jc w:val="center"/>
        <w:rPr>
          <w:rFonts w:ascii="宋体" w:hAnsi="宋体" w:cs="宋体"/>
          <w:b/>
          <w:color w:val="auto"/>
          <w:sz w:val="36"/>
          <w:szCs w:val="20"/>
        </w:rPr>
      </w:pPr>
      <w:r>
        <w:rPr>
          <w:rFonts w:hint="eastAsia" w:ascii="宋体" w:hAnsi="宋体" w:cs="宋体"/>
          <w:b/>
          <w:color w:val="auto"/>
          <w:sz w:val="36"/>
          <w:szCs w:val="20"/>
        </w:rPr>
        <w:t>第六部分</w:t>
      </w:r>
      <w:bookmarkEnd w:id="393"/>
      <w:r>
        <w:rPr>
          <w:rFonts w:hint="eastAsia" w:ascii="宋体" w:hAnsi="宋体" w:cs="宋体"/>
          <w:b/>
          <w:color w:val="auto"/>
          <w:sz w:val="36"/>
          <w:szCs w:val="20"/>
        </w:rPr>
        <w:t xml:space="preserve"> </w:t>
      </w:r>
      <w:bookmarkEnd w:id="394"/>
      <w:r>
        <w:rPr>
          <w:rFonts w:hint="eastAsia" w:ascii="宋体" w:hAnsi="宋体" w:cs="宋体"/>
          <w:b/>
          <w:color w:val="auto"/>
          <w:sz w:val="36"/>
          <w:szCs w:val="20"/>
        </w:rPr>
        <w:t>应提交的有关格式范例</w:t>
      </w:r>
    </w:p>
    <w:p w14:paraId="6CDAD95D">
      <w:pPr>
        <w:spacing w:line="360" w:lineRule="auto"/>
        <w:jc w:val="center"/>
        <w:outlineLvl w:val="0"/>
        <w:rPr>
          <w:rFonts w:ascii="宋体" w:hAnsi="宋体" w:cs="宋体"/>
          <w:b/>
          <w:color w:val="auto"/>
          <w:kern w:val="0"/>
          <w:sz w:val="36"/>
          <w:szCs w:val="36"/>
        </w:rPr>
      </w:pPr>
    </w:p>
    <w:p w14:paraId="1647BC2F">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资格文件部分</w:t>
      </w:r>
    </w:p>
    <w:p w14:paraId="25A958FB">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34939597">
      <w:pPr>
        <w:spacing w:line="360" w:lineRule="auto"/>
        <w:jc w:val="center"/>
        <w:outlineLvl w:val="0"/>
        <w:rPr>
          <w:rFonts w:ascii="宋体" w:hAnsi="宋体" w:cs="宋体"/>
          <w:b/>
          <w:color w:val="auto"/>
          <w:kern w:val="0"/>
          <w:sz w:val="36"/>
          <w:szCs w:val="36"/>
        </w:rPr>
      </w:pPr>
    </w:p>
    <w:p w14:paraId="0A86AEC1">
      <w:pPr>
        <w:snapToGrid w:val="0"/>
        <w:spacing w:line="360" w:lineRule="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26398F1D">
      <w:pPr>
        <w:snapToGrid w:val="0"/>
        <w:spacing w:line="360" w:lineRule="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39BE1161">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28AB5DCD">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752590F8">
      <w:pPr>
        <w:rPr>
          <w:rFonts w:hint="eastAsia" w:ascii="宋体" w:hAnsi="宋体" w:cs="宋体"/>
          <w:b/>
          <w:color w:val="auto"/>
          <w:kern w:val="0"/>
          <w:sz w:val="32"/>
          <w:szCs w:val="32"/>
        </w:rPr>
      </w:pPr>
    </w:p>
    <w:p w14:paraId="0A0FFF8C">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25C3843B">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 xml:space="preserve"> 一、 符合参加政府采购活动应当具备的一般条件的承诺函</w:t>
      </w:r>
    </w:p>
    <w:p w14:paraId="3B7D5DD9">
      <w:pPr>
        <w:snapToGrid w:val="0"/>
        <w:spacing w:line="360" w:lineRule="auto"/>
        <w:rPr>
          <w:rFonts w:ascii="宋体" w:hAnsi="宋体" w:cs="宋体"/>
          <w:color w:val="auto"/>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rPr>
        <w:t>：</w:t>
      </w:r>
    </w:p>
    <w:p w14:paraId="1D5CAC9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】政府采购活动，郑重承诺：</w:t>
      </w:r>
    </w:p>
    <w:p w14:paraId="443DA613">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02CDB4E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7D40CAC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51437B7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4D5F861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0DB9B6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673A2A6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3BE5A7B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）未被信用中国（www.creditchina.gov.cn)、中国政府采购网（www.ccgp.gov.cn）列入失信被执行人、重大税收违法案件当事人名单、政府采购严重违法失信行为记录名单。</w:t>
      </w:r>
    </w:p>
    <w:p w14:paraId="7E23DB0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三</w:t>
      </w:r>
      <w:r>
        <w:rPr>
          <w:rFonts w:hint="eastAsia" w:ascii="宋体" w:hAnsi="宋体" w:cs="宋体"/>
          <w:color w:val="auto"/>
          <w:sz w:val="24"/>
        </w:rPr>
        <w:t>）不存在以下情况：</w:t>
      </w:r>
    </w:p>
    <w:p w14:paraId="47C4FFB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5FCF5D7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09CF5E75">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ADD5C64">
      <w:pPr>
        <w:snapToGrid w:val="0"/>
        <w:spacing w:line="360" w:lineRule="auto"/>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4F23796">
      <w:pPr>
        <w:adjustRightInd w:val="0"/>
        <w:snapToGrid w:val="0"/>
        <w:spacing w:line="360" w:lineRule="auto"/>
        <w:ind w:right="480" w:firstLine="360" w:firstLineChars="200"/>
        <w:jc w:val="left"/>
        <w:rPr>
          <w:rFonts w:ascii="宋体" w:hAnsi="宋体" w:cs="宋体"/>
          <w:b/>
          <w:color w:val="auto"/>
          <w:kern w:val="0"/>
          <w:sz w:val="18"/>
          <w:szCs w:val="18"/>
        </w:rPr>
      </w:pPr>
      <w:r>
        <w:rPr>
          <w:rFonts w:hint="eastAsia" w:ascii="宋体" w:hAnsi="宋体" w:eastAsia="宋体" w:cs="仿宋_GB2312"/>
          <w:color w:val="auto"/>
          <w:sz w:val="18"/>
          <w:szCs w:val="18"/>
        </w:rPr>
        <w:t>注：根据《</w:t>
      </w:r>
      <w:r>
        <w:rPr>
          <w:rFonts w:ascii="宋体" w:hAnsi="宋体" w:eastAsia="宋体" w:cs="仿宋_GB2312"/>
          <w:color w:val="auto"/>
          <w:sz w:val="18"/>
          <w:szCs w:val="18"/>
        </w:rPr>
        <w:t>关于规范政府采购供应商资格设定及资格审查的通知</w:t>
      </w:r>
      <w:r>
        <w:rPr>
          <w:rFonts w:hint="eastAsia" w:ascii="宋体" w:hAnsi="宋体" w:eastAsia="宋体" w:cs="仿宋_GB2312"/>
          <w:color w:val="auto"/>
          <w:sz w:val="18"/>
          <w:szCs w:val="18"/>
        </w:rPr>
        <w:t>》（</w:t>
      </w:r>
      <w:r>
        <w:rPr>
          <w:rFonts w:ascii="宋体" w:hAnsi="宋体" w:eastAsia="宋体" w:cs="仿宋_GB2312"/>
          <w:color w:val="auto"/>
          <w:sz w:val="18"/>
          <w:szCs w:val="18"/>
        </w:rPr>
        <w:t>浙财采监[2013]24号</w:t>
      </w:r>
      <w:r>
        <w:rPr>
          <w:rFonts w:hint="eastAsia" w:ascii="宋体" w:hAnsi="宋体" w:eastAsia="宋体" w:cs="仿宋_GB2312"/>
          <w:color w:val="auto"/>
          <w:sz w:val="18"/>
          <w:szCs w:val="18"/>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18"/>
          <w:szCs w:val="18"/>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6BF4DA3">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3747D7FA">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4130B5CD">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52C069F3">
      <w:pPr>
        <w:snapToGrid w:val="0"/>
        <w:spacing w:line="360" w:lineRule="auto"/>
        <w:ind w:right="480"/>
        <w:jc w:val="center"/>
        <w:rPr>
          <w:rFonts w:ascii="宋体" w:hAnsi="宋体" w:cs="宋体"/>
          <w:b/>
          <w:color w:val="auto"/>
          <w:kern w:val="0"/>
          <w:sz w:val="32"/>
          <w:szCs w:val="32"/>
        </w:rPr>
      </w:pPr>
    </w:p>
    <w:p w14:paraId="6372405C">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6620EBE1">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6E92DEF2">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4DD4D17F">
      <w:pPr>
        <w:widowControl/>
        <w:spacing w:line="360" w:lineRule="auto"/>
        <w:ind w:firstLine="480"/>
        <w:jc w:val="left"/>
        <w:rPr>
          <w:rFonts w:ascii="宋体" w:hAnsi="宋体" w:cs="宋体"/>
          <w:color w:val="auto"/>
          <w:sz w:val="24"/>
        </w:rPr>
      </w:pPr>
    </w:p>
    <w:p w14:paraId="2C823B4E">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7304BE0F">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34C5C84D">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4A225949">
      <w:pPr>
        <w:widowControl/>
        <w:spacing w:line="360" w:lineRule="auto"/>
        <w:ind w:left="150"/>
        <w:jc w:val="center"/>
        <w:rPr>
          <w:rFonts w:ascii="宋体" w:hAnsi="宋体" w:cs="宋体"/>
          <w:b/>
          <w:color w:val="auto"/>
          <w:kern w:val="0"/>
          <w:sz w:val="32"/>
          <w:szCs w:val="32"/>
        </w:rPr>
      </w:pPr>
    </w:p>
    <w:p w14:paraId="486D53D6">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1573FB6A">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299071FD">
      <w:pPr>
        <w:rPr>
          <w:rFonts w:ascii="宋体" w:hAnsi="宋体" w:cs="宋体"/>
          <w:color w:val="auto"/>
        </w:rPr>
      </w:pPr>
      <w:r>
        <w:rPr>
          <w:rFonts w:ascii="宋体" w:hAnsi="宋体" w:cs="宋体"/>
          <w:color w:val="auto"/>
        </w:rPr>
        <w:br w:type="page"/>
      </w:r>
    </w:p>
    <w:p w14:paraId="21273505">
      <w:pPr>
        <w:spacing w:line="360" w:lineRule="auto"/>
        <w:ind w:right="42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商务技术文件部分</w:t>
      </w:r>
    </w:p>
    <w:p w14:paraId="78F55C36">
      <w:pPr>
        <w:spacing w:line="360" w:lineRule="auto"/>
        <w:ind w:right="42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目录</w:t>
      </w:r>
    </w:p>
    <w:p w14:paraId="77840419">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（1）投标函………………………………………………………………………（页码）（2）授权委托书或法定代表人（单位负责人、自然人本人）身份证明……（页码）</w:t>
      </w:r>
    </w:p>
    <w:p w14:paraId="3B6D4B80">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（3）分包意向协议………………………………………………………………（页码）</w:t>
      </w:r>
    </w:p>
    <w:p w14:paraId="57FC5404">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（4）符合性审查资料……………………………………………………………（页码）</w:t>
      </w:r>
    </w:p>
    <w:p w14:paraId="5C378151">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5）评标标准相应的商务技术资料……………………………………………（页码）（6）投标标的清单………………………………………………………………（页码）（7）商务技术偏离表……………………………………………………………（页码）</w:t>
      </w:r>
    </w:p>
    <w:p w14:paraId="033EDAA9">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8</w:t>
      </w:r>
      <w:r>
        <w:rPr>
          <w:rFonts w:hint="eastAsia" w:ascii="宋体" w:hAnsi="宋体" w:eastAsia="宋体" w:cs="宋体"/>
          <w:color w:val="auto"/>
          <w:sz w:val="24"/>
          <w:lang w:val="zh-CN"/>
        </w:rPr>
        <w:t>）政府采购供应商廉洁自律承诺书</w:t>
      </w:r>
      <w:r>
        <w:rPr>
          <w:rFonts w:hint="eastAsia" w:ascii="宋体" w:hAnsi="宋体" w:eastAsia="宋体" w:cs="宋体"/>
          <w:color w:val="auto"/>
          <w:sz w:val="24"/>
        </w:rPr>
        <w:t>…………………………………………（页码）</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认为需要的其他文件资料或说明</w:t>
      </w:r>
      <w:r>
        <w:rPr>
          <w:rFonts w:hint="eastAsia" w:ascii="宋体" w:hAnsi="宋体" w:eastAsia="宋体" w:cs="宋体"/>
          <w:color w:val="auto"/>
          <w:sz w:val="24"/>
        </w:rPr>
        <w:t>…………………………………………（页码）</w:t>
      </w:r>
    </w:p>
    <w:p w14:paraId="2B7C9395">
      <w:pPr>
        <w:snapToGrid w:val="0"/>
        <w:spacing w:line="360" w:lineRule="auto"/>
        <w:ind w:left="479" w:leftChars="228"/>
        <w:rPr>
          <w:rFonts w:hint="eastAsia" w:ascii="宋体" w:hAnsi="宋体" w:eastAsia="宋体" w:cs="宋体"/>
          <w:color w:val="auto"/>
          <w:sz w:val="24"/>
        </w:rPr>
      </w:pPr>
    </w:p>
    <w:p w14:paraId="31A1F881">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1CC1C199">
      <w:pPr>
        <w:snapToGrid w:val="0"/>
        <w:spacing w:line="360" w:lineRule="auto"/>
        <w:jc w:val="center"/>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50554416">
      <w:pPr>
        <w:snapToGrid w:val="0"/>
        <w:spacing w:line="360" w:lineRule="auto"/>
        <w:rPr>
          <w:rFonts w:ascii="宋体" w:hAnsi="宋体" w:cs="宋体"/>
          <w:color w:val="auto"/>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rPr>
        <w:t>：</w:t>
      </w:r>
    </w:p>
    <w:p w14:paraId="558F2B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】招标的有关活动，并对此项目进行投标。为此：</w:t>
      </w:r>
    </w:p>
    <w:p w14:paraId="52D018B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90</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35C765A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6013423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07149F0C">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w:t>
      </w:r>
      <w:r>
        <w:rPr>
          <w:rFonts w:hint="eastAsia" w:ascii="宋体" w:hAnsi="宋体" w:cs="宋体"/>
          <w:color w:val="auto"/>
          <w:sz w:val="24"/>
          <w:highlight w:val="none"/>
        </w:rPr>
        <w:t>符合参加政府采购活动应当具备的一般条件的承诺函</w:t>
      </w:r>
      <w:r>
        <w:rPr>
          <w:rFonts w:hint="eastAsia" w:ascii="宋体" w:hAnsi="宋体" w:cs="宋体"/>
          <w:color w:val="auto"/>
          <w:sz w:val="24"/>
        </w:rPr>
        <w:t>；</w:t>
      </w:r>
    </w:p>
    <w:p w14:paraId="3B349C2D">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00" w:name="_Hlk101257010"/>
      <w:r>
        <w:rPr>
          <w:rFonts w:hint="eastAsia" w:ascii="宋体" w:hAnsi="宋体" w:cs="宋体"/>
          <w:color w:val="auto"/>
          <w:sz w:val="24"/>
        </w:rPr>
        <w:t>（如果有)</w:t>
      </w:r>
      <w:bookmarkEnd w:id="400"/>
      <w:r>
        <w:rPr>
          <w:rFonts w:hint="eastAsia" w:ascii="宋体" w:hAnsi="宋体" w:cs="宋体"/>
          <w:snapToGrid w:val="0"/>
          <w:color w:val="auto"/>
          <w:kern w:val="28"/>
          <w:sz w:val="24"/>
          <w:szCs w:val="20"/>
        </w:rPr>
        <w:t>；</w:t>
      </w:r>
    </w:p>
    <w:p w14:paraId="5CB0008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158658A3">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1D1625E6">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065D07A0">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2AB4145D">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4BD3A227">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6683CCC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271841A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5CA1211C">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5FE8247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57464BEC">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en-US" w:eastAsia="zh-CN"/>
        </w:rPr>
        <w:t>2.2.8</w:t>
      </w:r>
      <w:r>
        <w:rPr>
          <w:rFonts w:hint="eastAsia" w:ascii="宋体" w:hAnsi="宋体" w:eastAsia="宋体" w:cs="宋体"/>
          <w:color w:val="auto"/>
          <w:sz w:val="24"/>
          <w:lang w:val="zh-CN"/>
        </w:rPr>
        <w:t>政府采购供应商廉洁自律承诺书</w:t>
      </w:r>
      <w:r>
        <w:rPr>
          <w:rFonts w:hint="eastAsia" w:ascii="宋体" w:hAnsi="宋体" w:cs="宋体"/>
          <w:color w:val="auto"/>
          <w:sz w:val="24"/>
          <w:lang w:val="zh-CN"/>
        </w:rPr>
        <w:t>；</w:t>
      </w:r>
    </w:p>
    <w:p w14:paraId="3556D1E9">
      <w:pPr>
        <w:snapToGrid w:val="0"/>
        <w:spacing w:line="360" w:lineRule="auto"/>
        <w:ind w:left="420" w:leftChars="200" w:firstLine="480" w:firstLineChars="200"/>
        <w:rPr>
          <w:rFonts w:hint="default" w:ascii="宋体" w:hAnsi="宋体" w:cs="宋体"/>
          <w:color w:val="auto"/>
          <w:sz w:val="24"/>
          <w:lang w:val="en-US"/>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9</w:t>
      </w:r>
      <w:r>
        <w:rPr>
          <w:rFonts w:hint="eastAsia" w:cs="仿宋" w:asciiTheme="minorEastAsia" w:hAnsiTheme="minorEastAsia"/>
          <w:color w:val="auto"/>
          <w:sz w:val="24"/>
          <w:lang w:val="en-US" w:eastAsia="zh-CN"/>
        </w:rPr>
        <w:t>认为需要的其他文件资料或说明。</w:t>
      </w:r>
    </w:p>
    <w:p w14:paraId="0378FC31">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1A34C3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76939418">
      <w:pPr>
        <w:snapToGrid w:val="0"/>
        <w:spacing w:line="360" w:lineRule="auto"/>
        <w:ind w:left="420" w:leftChars="20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2.3.2中小企业声明函（如果有）</w:t>
      </w:r>
      <w:r>
        <w:rPr>
          <w:rFonts w:hint="eastAsia" w:ascii="宋体" w:hAnsi="宋体" w:eastAsia="宋体" w:cs="宋体"/>
          <w:color w:val="auto"/>
          <w:sz w:val="24"/>
          <w:lang w:eastAsia="zh-CN"/>
        </w:rPr>
        <w:t>；</w:t>
      </w:r>
    </w:p>
    <w:p w14:paraId="1C96BAE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2.3.3关于符合本国产品标准的声明函或财政部会同有关部门规定的有关证明文件（如是本国产品须提供）</w:t>
      </w:r>
      <w:r>
        <w:rPr>
          <w:rFonts w:hint="eastAsia" w:ascii="宋体" w:hAnsi="宋体" w:eastAsia="宋体" w:cs="宋体"/>
          <w:color w:val="auto"/>
          <w:sz w:val="24"/>
          <w:highlight w:val="none"/>
        </w:rPr>
        <w:t>；</w:t>
      </w:r>
    </w:p>
    <w:p w14:paraId="6BD485D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2.3.4关于符合本国产品标准的成本占比的承诺函（如果有）</w:t>
      </w:r>
      <w:r>
        <w:rPr>
          <w:rFonts w:hint="eastAsia" w:ascii="宋体" w:hAnsi="宋体" w:cs="宋体"/>
          <w:color w:val="auto"/>
          <w:sz w:val="24"/>
          <w:highlight w:val="none"/>
        </w:rPr>
        <w:t>。</w:t>
      </w:r>
    </w:p>
    <w:p w14:paraId="07EEA63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w:t>
      </w:r>
    </w:p>
    <w:p w14:paraId="78BA904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4AECD4A4">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0E6CD681">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14:paraId="412C5A4D">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14:paraId="235A7B80">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14:paraId="0AB1D91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14:paraId="67730D88">
      <w:pPr>
        <w:spacing w:line="360" w:lineRule="auto"/>
        <w:ind w:firstLine="3600" w:firstLineChars="1500"/>
        <w:rPr>
          <w:rFonts w:ascii="宋体" w:hAnsi="宋体" w:cs="宋体"/>
          <w:color w:val="auto"/>
          <w:sz w:val="24"/>
        </w:rPr>
      </w:pPr>
      <w:r>
        <w:rPr>
          <w:rFonts w:hint="eastAsia" w:ascii="宋体" w:hAnsi="宋体" w:cs="宋体"/>
          <w:color w:val="auto"/>
          <w:sz w:val="24"/>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sz w:val="24"/>
        </w:rPr>
        <w:t xml:space="preserve">：                          </w:t>
      </w:r>
    </w:p>
    <w:p w14:paraId="7142EC98">
      <w:pPr>
        <w:spacing w:line="360" w:lineRule="auto"/>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 月  </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14:paraId="10DACBFD">
      <w:pPr>
        <w:snapToGrid w:val="0"/>
        <w:spacing w:line="360" w:lineRule="auto"/>
        <w:ind w:left="420" w:leftChars="200" w:firstLine="4200" w:firstLineChars="1750"/>
        <w:rPr>
          <w:rFonts w:ascii="宋体" w:hAnsi="宋体" w:cs="宋体"/>
          <w:color w:val="auto"/>
          <w:kern w:val="0"/>
          <w:sz w:val="24"/>
          <w:u w:val="single"/>
        </w:rPr>
      </w:pPr>
    </w:p>
    <w:p w14:paraId="5DE8FE3F">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36F6286">
      <w:pPr>
        <w:snapToGrid w:val="0"/>
        <w:spacing w:line="360" w:lineRule="auto"/>
        <w:jc w:val="center"/>
        <w:rPr>
          <w:rFonts w:ascii="宋体" w:hAnsi="宋体" w:cs="宋体"/>
          <w:b/>
          <w:color w:val="auto"/>
          <w:kern w:val="0"/>
          <w:sz w:val="32"/>
          <w:szCs w:val="32"/>
        </w:rPr>
      </w:pPr>
    </w:p>
    <w:p w14:paraId="60E1B09C">
      <w:pPr>
        <w:snapToGrid w:val="0"/>
        <w:spacing w:line="360" w:lineRule="auto"/>
        <w:rPr>
          <w:rFonts w:ascii="宋体" w:hAnsi="宋体" w:cs="宋体"/>
          <w:color w:val="auto"/>
          <w:sz w:val="24"/>
        </w:rPr>
      </w:pPr>
    </w:p>
    <w:p w14:paraId="6DC59555">
      <w:pPr>
        <w:jc w:val="center"/>
        <w:rPr>
          <w:rFonts w:ascii="宋体" w:hAnsi="宋体" w:cs="宋体"/>
          <w:b/>
          <w:color w:val="auto"/>
          <w:kern w:val="0"/>
          <w:sz w:val="32"/>
          <w:szCs w:val="32"/>
        </w:rPr>
      </w:pPr>
    </w:p>
    <w:p w14:paraId="7E7417AD">
      <w:pPr>
        <w:jc w:val="center"/>
        <w:rPr>
          <w:rFonts w:ascii="宋体" w:hAnsi="宋体" w:cs="宋体"/>
          <w:b/>
          <w:color w:val="auto"/>
          <w:kern w:val="0"/>
          <w:sz w:val="32"/>
          <w:szCs w:val="32"/>
        </w:rPr>
      </w:pPr>
    </w:p>
    <w:p w14:paraId="0654DFE5">
      <w:pPr>
        <w:jc w:val="center"/>
        <w:rPr>
          <w:rFonts w:ascii="宋体" w:hAnsi="宋体" w:cs="宋体"/>
          <w:b/>
          <w:color w:val="auto"/>
          <w:kern w:val="0"/>
          <w:sz w:val="32"/>
          <w:szCs w:val="32"/>
        </w:rPr>
      </w:pPr>
    </w:p>
    <w:p w14:paraId="5231C6A0">
      <w:pPr>
        <w:jc w:val="center"/>
        <w:rPr>
          <w:rFonts w:ascii="宋体" w:hAnsi="宋体" w:cs="宋体"/>
          <w:b/>
          <w:color w:val="auto"/>
          <w:kern w:val="0"/>
          <w:sz w:val="32"/>
          <w:szCs w:val="32"/>
        </w:rPr>
      </w:pPr>
    </w:p>
    <w:p w14:paraId="0FDA6F5D">
      <w:pPr>
        <w:jc w:val="both"/>
        <w:rPr>
          <w:rFonts w:ascii="宋体" w:hAnsi="宋体" w:cs="宋体"/>
          <w:b/>
          <w:color w:val="auto"/>
          <w:kern w:val="0"/>
          <w:sz w:val="32"/>
          <w:szCs w:val="32"/>
        </w:rPr>
      </w:pPr>
    </w:p>
    <w:p w14:paraId="0CE21ABD">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248D2AA3">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4E95ACBD">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0437000E">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14:paraId="77618151">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lang w:val="en-US" w:eastAsia="zh-CN"/>
        </w:rPr>
        <w:t>温州市政务服务管理中心（温州市政府采购中心）</w:t>
      </w:r>
      <w:r>
        <w:rPr>
          <w:rFonts w:hint="eastAsia" w:ascii="宋体" w:hAnsi="宋体" w:cs="宋体"/>
          <w:color w:val="auto"/>
          <w:kern w:val="0"/>
          <w:sz w:val="24"/>
          <w:lang w:val="zh-CN"/>
        </w:rPr>
        <w:t>：</w:t>
      </w:r>
    </w:p>
    <w:p w14:paraId="01859B73">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zh-CN"/>
        </w:rPr>
        <w:t>（姓名）</w:t>
      </w:r>
      <w:r>
        <w:rPr>
          <w:rFonts w:hint="eastAsia" w:ascii="宋体" w:hAnsi="宋体" w:cs="宋体"/>
          <w:color w:val="auto"/>
          <w:kern w:val="0"/>
          <w:sz w:val="24"/>
          <w:lang w:val="zh-CN"/>
        </w:rPr>
        <w:t>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75783E52">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6CD0693E">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15A49EB9">
      <w:pPr>
        <w:pStyle w:val="147"/>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p>
    <w:p w14:paraId="4B0BB6E0">
      <w:pPr>
        <w:pStyle w:val="147"/>
        <w:spacing w:line="360" w:lineRule="auto"/>
        <w:rPr>
          <w:rFonts w:hAnsi="宋体" w:cs="宋体"/>
          <w:bCs/>
          <w:color w:val="auto"/>
          <w:sz w:val="24"/>
        </w:rPr>
      </w:pPr>
      <w:r>
        <w:rPr>
          <w:rFonts w:hint="eastAsia" w:hAnsi="宋体" w:cs="宋体"/>
          <w:bCs/>
          <w:color w:val="auto"/>
          <w:sz w:val="24"/>
          <w:lang w:val="en-US" w:eastAsia="zh-CN"/>
        </w:rPr>
        <w:t>代理人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5E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0041430C">
            <w:pPr>
              <w:pStyle w:val="147"/>
              <w:adjustRightInd w:val="0"/>
              <w:spacing w:line="360" w:lineRule="auto"/>
              <w:rPr>
                <w:rFonts w:hAnsi="宋体" w:cs="宋体"/>
                <w:bCs/>
                <w:color w:val="auto"/>
                <w:sz w:val="24"/>
              </w:rPr>
            </w:pPr>
            <w:r>
              <w:rPr>
                <w:rFonts w:hint="eastAsia" w:hAnsi="宋体" w:cs="宋体"/>
                <w:bCs/>
                <w:color w:val="auto"/>
                <w:sz w:val="24"/>
              </w:rPr>
              <w:t>正面：                                 反面：</w:t>
            </w:r>
          </w:p>
          <w:p w14:paraId="5003D13D">
            <w:pPr>
              <w:pStyle w:val="147"/>
              <w:adjustRightInd w:val="0"/>
              <w:spacing w:line="360" w:lineRule="auto"/>
              <w:rPr>
                <w:rFonts w:hAnsi="宋体" w:cs="宋体"/>
                <w:bCs/>
                <w:color w:val="auto"/>
                <w:sz w:val="24"/>
              </w:rPr>
            </w:pPr>
          </w:p>
        </w:tc>
      </w:tr>
    </w:tbl>
    <w:p w14:paraId="2FFDEC85">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p>
    <w:p w14:paraId="5AF8D41B">
      <w:pPr>
        <w:snapToGrid w:val="0"/>
        <w:spacing w:line="360" w:lineRule="auto"/>
        <w:jc w:val="right"/>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5040600B">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447CCBF2">
      <w:pPr>
        <w:pStyle w:val="23"/>
      </w:pPr>
    </w:p>
    <w:p w14:paraId="1BF92223">
      <w:pPr>
        <w:jc w:val="center"/>
        <w:rPr>
          <w:rFonts w:hint="eastAsia" w:ascii="宋体" w:hAnsi="宋体" w:cs="宋体"/>
          <w:b/>
          <w:color w:val="auto"/>
          <w:kern w:val="0"/>
          <w:sz w:val="32"/>
          <w:szCs w:val="32"/>
        </w:rPr>
      </w:pPr>
      <w:r>
        <w:rPr>
          <w:rFonts w:hint="eastAsia" w:ascii="宋体" w:hAnsi="宋体" w:cs="宋体"/>
          <w:b/>
          <w:color w:val="auto"/>
          <w:kern w:val="0"/>
          <w:sz w:val="32"/>
          <w:szCs w:val="32"/>
          <w:lang w:val="zh-CN"/>
        </w:rPr>
        <w:t xml:space="preserve">      </w:t>
      </w:r>
      <w:r>
        <w:rPr>
          <w:rFonts w:hint="eastAsia" w:ascii="宋体" w:hAnsi="宋体" w:cs="宋体"/>
          <w:b/>
          <w:color w:val="auto"/>
          <w:kern w:val="0"/>
          <w:sz w:val="32"/>
          <w:szCs w:val="32"/>
        </w:rPr>
        <w:t xml:space="preserve"> </w:t>
      </w:r>
    </w:p>
    <w:p w14:paraId="3EDCE48F">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1712132E">
      <w:pPr>
        <w:jc w:val="center"/>
        <w:rPr>
          <w:rFonts w:ascii="宋体" w:hAnsi="宋体" w:cs="宋体"/>
          <w:b/>
          <w:color w:val="auto"/>
          <w:kern w:val="0"/>
          <w:sz w:val="32"/>
          <w:szCs w:val="32"/>
        </w:rPr>
      </w:pPr>
      <w:r>
        <w:rPr>
          <w:rFonts w:hint="eastAsia" w:ascii="宋体" w:hAnsi="宋体" w:cs="宋体"/>
          <w:b/>
          <w:color w:val="auto"/>
          <w:kern w:val="0"/>
          <w:sz w:val="32"/>
          <w:szCs w:val="32"/>
          <w:lang w:val="zh-CN"/>
        </w:rPr>
        <w:t>授权委托书（适用于联合体投标）</w:t>
      </w:r>
    </w:p>
    <w:p w14:paraId="00168642">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kern w:val="0"/>
          <w:sz w:val="24"/>
          <w:lang w:val="zh-CN"/>
        </w:rPr>
        <w:t>：</w:t>
      </w:r>
    </w:p>
    <w:p w14:paraId="41E43961">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55349C64">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D8DC09A">
      <w:pPr>
        <w:snapToGrid w:val="0"/>
        <w:spacing w:line="360" w:lineRule="auto"/>
        <w:rPr>
          <w:rFonts w:ascii="宋体" w:hAnsi="宋体" w:cs="宋体"/>
          <w:b/>
          <w:color w:val="auto"/>
          <w:kern w:val="0"/>
          <w:sz w:val="32"/>
          <w:szCs w:val="32"/>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55DD9C40">
      <w:pPr>
        <w:rPr>
          <w:rFonts w:ascii="宋体" w:hAnsi="宋体" w:cs="宋体"/>
          <w:color w:val="auto"/>
        </w:rPr>
      </w:pPr>
    </w:p>
    <w:p w14:paraId="70C8DB2C">
      <w:pPr>
        <w:pStyle w:val="147"/>
        <w:spacing w:line="360" w:lineRule="auto"/>
        <w:rPr>
          <w:rFonts w:hAnsi="宋体" w:cs="宋体"/>
          <w:bCs/>
          <w:color w:val="auto"/>
          <w:sz w:val="24"/>
        </w:rPr>
      </w:pPr>
      <w:r>
        <w:rPr>
          <w:rFonts w:hint="eastAsia" w:hAnsi="宋体" w:cs="宋体"/>
          <w:bCs/>
          <w:color w:val="auto"/>
          <w:sz w:val="24"/>
          <w:lang w:val="en-US" w:eastAsia="zh-CN"/>
        </w:rPr>
        <w:t>代理人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78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38380C1B">
            <w:pPr>
              <w:pStyle w:val="147"/>
              <w:adjustRightInd w:val="0"/>
              <w:spacing w:line="360" w:lineRule="auto"/>
              <w:rPr>
                <w:rFonts w:hAnsi="宋体" w:cs="宋体"/>
                <w:bCs/>
                <w:color w:val="auto"/>
                <w:sz w:val="24"/>
              </w:rPr>
            </w:pPr>
            <w:r>
              <w:rPr>
                <w:rFonts w:hint="eastAsia" w:hAnsi="宋体" w:cs="宋体"/>
                <w:bCs/>
                <w:color w:val="auto"/>
                <w:sz w:val="24"/>
              </w:rPr>
              <w:t>正面：                                 反面：</w:t>
            </w:r>
          </w:p>
          <w:p w14:paraId="3016B57D">
            <w:pPr>
              <w:pStyle w:val="147"/>
              <w:adjustRightInd w:val="0"/>
              <w:spacing w:line="360" w:lineRule="auto"/>
              <w:rPr>
                <w:rFonts w:hAnsi="宋体" w:cs="宋体"/>
                <w:bCs/>
                <w:color w:val="auto"/>
                <w:sz w:val="24"/>
              </w:rPr>
            </w:pPr>
          </w:p>
        </w:tc>
      </w:tr>
    </w:tbl>
    <w:p w14:paraId="65AFD6DD">
      <w:pPr>
        <w:rPr>
          <w:rFonts w:ascii="宋体" w:hAnsi="宋体" w:cs="宋体"/>
          <w:color w:val="auto"/>
        </w:rPr>
      </w:pPr>
    </w:p>
    <w:p w14:paraId="01F77540">
      <w:pPr>
        <w:rPr>
          <w:rFonts w:ascii="宋体" w:hAnsi="宋体" w:cs="宋体"/>
          <w:color w:val="auto"/>
        </w:rPr>
      </w:pPr>
    </w:p>
    <w:p w14:paraId="561523B9">
      <w:pPr>
        <w:rPr>
          <w:rFonts w:ascii="宋体" w:hAnsi="宋体" w:cs="宋体"/>
          <w:color w:val="auto"/>
        </w:rPr>
      </w:pPr>
    </w:p>
    <w:p w14:paraId="7578DD4F">
      <w:pPr>
        <w:rPr>
          <w:rFonts w:ascii="宋体" w:hAnsi="宋体" w:cs="宋体"/>
          <w:color w:val="auto"/>
        </w:rPr>
      </w:pPr>
    </w:p>
    <w:p w14:paraId="026F2EC5">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0475EE9">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190CA03D">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1B135E38">
      <w:pPr>
        <w:snapToGrid w:val="0"/>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6CC7979A">
      <w:pPr>
        <w:rPr>
          <w:rFonts w:hint="eastAsia" w:ascii="宋体" w:hAnsi="宋体" w:cs="宋体"/>
          <w:b/>
          <w:color w:val="auto"/>
          <w:kern w:val="0"/>
          <w:sz w:val="32"/>
          <w:szCs w:val="32"/>
          <w:lang w:val="zh-CN"/>
        </w:rPr>
      </w:pPr>
    </w:p>
    <w:p w14:paraId="17C998F8">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74F8F16B">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5D52592C">
      <w:pPr>
        <w:pStyle w:val="147"/>
        <w:spacing w:line="360" w:lineRule="auto"/>
        <w:rPr>
          <w:rFonts w:hAnsi="宋体" w:cs="宋体"/>
          <w:bCs/>
          <w:color w:val="auto"/>
          <w:sz w:val="24"/>
        </w:rPr>
      </w:pPr>
      <w:r>
        <w:rPr>
          <w:rFonts w:hint="eastAsia" w:hAnsi="宋体" w:cs="宋体"/>
          <w:bCs/>
          <w:color w:val="auto"/>
          <w:sz w:val="24"/>
          <w:lang w:val="en-US" w:eastAsia="zh-CN"/>
        </w:rPr>
        <w:t>法定代表人、单位负责人或自然人本人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F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78B1FBA1">
            <w:pPr>
              <w:pStyle w:val="147"/>
              <w:adjustRightInd w:val="0"/>
              <w:spacing w:line="360" w:lineRule="auto"/>
              <w:rPr>
                <w:rFonts w:hAnsi="宋体" w:cs="宋体"/>
                <w:bCs/>
                <w:color w:val="auto"/>
                <w:sz w:val="24"/>
              </w:rPr>
            </w:pPr>
            <w:r>
              <w:rPr>
                <w:rFonts w:hint="eastAsia" w:hAnsi="宋体" w:cs="宋体"/>
                <w:bCs/>
                <w:color w:val="auto"/>
                <w:sz w:val="24"/>
              </w:rPr>
              <w:t>正面：                                 反面：</w:t>
            </w:r>
          </w:p>
          <w:p w14:paraId="7196F601">
            <w:pPr>
              <w:pStyle w:val="147"/>
              <w:adjustRightInd w:val="0"/>
              <w:spacing w:line="360" w:lineRule="auto"/>
              <w:rPr>
                <w:rFonts w:hAnsi="宋体" w:cs="宋体"/>
                <w:bCs/>
                <w:color w:val="auto"/>
                <w:sz w:val="24"/>
              </w:rPr>
            </w:pPr>
          </w:p>
        </w:tc>
      </w:tr>
    </w:tbl>
    <w:p w14:paraId="7E412657">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7454126F">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w:t>
      </w:r>
    </w:p>
    <w:p w14:paraId="1FD53857">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zh-CN"/>
        </w:rPr>
        <w:t xml:space="preserve">日期：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 年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月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 日</w:t>
      </w:r>
    </w:p>
    <w:p w14:paraId="5214F247">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0BAEA6EA">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41D487CC">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04BF485C">
      <w:pPr>
        <w:rPr>
          <w:rFonts w:ascii="宋体" w:hAnsi="宋体" w:cs="宋体"/>
          <w:color w:val="auto"/>
          <w:kern w:val="0"/>
          <w:sz w:val="24"/>
        </w:rPr>
      </w:pPr>
    </w:p>
    <w:p w14:paraId="00F565FC">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29"/>
        <w:gridCol w:w="3613"/>
        <w:gridCol w:w="1418"/>
      </w:tblGrid>
      <w:tr w14:paraId="571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1600027">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3929" w:type="dxa"/>
            <w:vAlign w:val="center"/>
          </w:tcPr>
          <w:p w14:paraId="40B40F52">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3613" w:type="dxa"/>
            <w:vAlign w:val="center"/>
          </w:tcPr>
          <w:p w14:paraId="5D806C9A">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442E0F29">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14:paraId="21AAECC1">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14:paraId="127E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D4D5D1">
            <w:pPr>
              <w:jc w:val="center"/>
              <w:rPr>
                <w:rFonts w:ascii="宋体" w:hAnsi="宋体" w:cs="宋体"/>
                <w:color w:val="auto"/>
                <w:sz w:val="24"/>
              </w:rPr>
            </w:pPr>
            <w:r>
              <w:rPr>
                <w:rFonts w:hint="eastAsia" w:ascii="宋体" w:hAnsi="宋体" w:cs="宋体"/>
                <w:color w:val="auto"/>
                <w:sz w:val="24"/>
              </w:rPr>
              <w:t>1</w:t>
            </w:r>
          </w:p>
        </w:tc>
        <w:tc>
          <w:tcPr>
            <w:tcW w:w="3929" w:type="dxa"/>
          </w:tcPr>
          <w:p w14:paraId="65AE38AF">
            <w:pPr>
              <w:rPr>
                <w:rFonts w:hint="eastAsia" w:ascii="宋体" w:hAnsi="宋体" w:eastAsia="宋体" w:cs="宋体"/>
                <w:color w:val="auto"/>
                <w:kern w:val="0"/>
                <w:sz w:val="24"/>
              </w:rPr>
            </w:pPr>
            <w:r>
              <w:rPr>
                <w:rFonts w:hint="eastAsia" w:ascii="宋体" w:hAnsi="宋体" w:eastAsia="宋体" w:cs="宋体"/>
                <w:color w:val="auto"/>
                <w:kern w:val="0"/>
                <w:sz w:val="24"/>
              </w:rPr>
              <w:t>投标文件按照招标文件要求签署、盖章。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如</w:t>
            </w:r>
            <w:r>
              <w:rPr>
                <w:rFonts w:hint="eastAsia" w:ascii="宋体" w:hAnsi="宋体" w:eastAsia="宋体" w:cs="宋体"/>
                <w:color w:val="auto"/>
                <w:kern w:val="0"/>
                <w:sz w:val="24"/>
              </w:rPr>
              <w:t>法人授权委托书、廉洁自律承诺书</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投标标的清单等）</w:t>
            </w:r>
          </w:p>
        </w:tc>
        <w:tc>
          <w:tcPr>
            <w:tcW w:w="3613" w:type="dxa"/>
            <w:vAlign w:val="center"/>
          </w:tcPr>
          <w:p w14:paraId="11C1ED2F">
            <w:pPr>
              <w:rPr>
                <w:rFonts w:hint="eastAsia" w:ascii="宋体" w:hAnsi="宋体" w:eastAsia="宋体" w:cs="宋体"/>
                <w:color w:val="auto"/>
                <w:kern w:val="0"/>
                <w:sz w:val="24"/>
              </w:rPr>
            </w:pPr>
            <w:r>
              <w:rPr>
                <w:rFonts w:hint="eastAsia" w:ascii="宋体" w:hAnsi="宋体" w:eastAsia="宋体" w:cs="宋体"/>
                <w:color w:val="auto"/>
                <w:kern w:val="0"/>
                <w:sz w:val="24"/>
              </w:rPr>
              <w:t>需要使用电子签名或者签字盖章的投标文件的组成部分</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法人授权委托书、廉洁自律承诺书</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投标标的清单等</w:t>
            </w:r>
            <w:r>
              <w:rPr>
                <w:rFonts w:hint="eastAsia" w:ascii="宋体" w:hAnsi="宋体" w:eastAsia="宋体" w:cs="宋体"/>
                <w:color w:val="auto"/>
                <w:kern w:val="0"/>
                <w:sz w:val="24"/>
              </w:rPr>
              <w:t>是否均已签署、盖章）</w:t>
            </w:r>
          </w:p>
        </w:tc>
        <w:tc>
          <w:tcPr>
            <w:tcW w:w="1418" w:type="dxa"/>
          </w:tcPr>
          <w:p w14:paraId="1C1BA449">
            <w:pPr>
              <w:rPr>
                <w:rFonts w:ascii="宋体" w:hAnsi="宋体" w:cs="宋体"/>
                <w:color w:val="auto"/>
                <w:sz w:val="24"/>
              </w:rPr>
            </w:pPr>
          </w:p>
          <w:p w14:paraId="1CAA07C4">
            <w:pPr>
              <w:rPr>
                <w:rFonts w:ascii="宋体" w:hAnsi="宋体" w:cs="宋体"/>
                <w:color w:val="auto"/>
                <w:sz w:val="24"/>
              </w:rPr>
            </w:pPr>
            <w:r>
              <w:rPr>
                <w:rFonts w:hint="eastAsia" w:ascii="宋体" w:hAnsi="宋体" w:cs="宋体"/>
                <w:color w:val="auto"/>
                <w:sz w:val="24"/>
              </w:rPr>
              <w:t>见投标文件</w:t>
            </w:r>
          </w:p>
          <w:p w14:paraId="67E5C6D2">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013B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851134">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3929" w:type="dxa"/>
          </w:tcPr>
          <w:p w14:paraId="24E81580">
            <w:pPr>
              <w:rPr>
                <w:rFonts w:hint="eastAsia" w:ascii="宋体" w:hAnsi="宋体" w:eastAsia="宋体" w:cs="宋体"/>
                <w:color w:val="auto"/>
                <w:kern w:val="0"/>
                <w:sz w:val="24"/>
              </w:rPr>
            </w:pPr>
            <w:r>
              <w:rPr>
                <w:rFonts w:hint="eastAsia" w:ascii="宋体" w:hAnsi="宋体" w:eastAsia="宋体" w:cs="宋体"/>
                <w:color w:val="auto"/>
                <w:kern w:val="0"/>
                <w:sz w:val="24"/>
              </w:rPr>
              <w:t>采购人拟采购的产品属于政府强制采购的节能产品品目清单范围的，投标人按招标文件要求提供国家确定的认证机构出具的、处于有效期之内的节能产品认证证书</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（如要求）</w:t>
            </w:r>
          </w:p>
        </w:tc>
        <w:tc>
          <w:tcPr>
            <w:tcW w:w="3613" w:type="dxa"/>
            <w:vAlign w:val="center"/>
          </w:tcPr>
          <w:p w14:paraId="3DBCD053">
            <w:pPr>
              <w:rPr>
                <w:rFonts w:hint="eastAsia" w:ascii="宋体" w:hAnsi="宋体" w:eastAsia="宋体" w:cs="宋体"/>
                <w:color w:val="auto"/>
                <w:kern w:val="0"/>
                <w:sz w:val="24"/>
              </w:rPr>
            </w:pPr>
            <w:r>
              <w:rPr>
                <w:rFonts w:hint="eastAsia" w:ascii="宋体" w:hAnsi="宋体" w:eastAsia="宋体" w:cs="宋体"/>
                <w:color w:val="auto"/>
                <w:kern w:val="0"/>
                <w:sz w:val="24"/>
              </w:rPr>
              <w:t>节能产品认证证书</w:t>
            </w:r>
            <w:r>
              <w:rPr>
                <w:rFonts w:hint="eastAsia" w:ascii="宋体" w:hAnsi="宋体" w:eastAsia="宋体" w:cs="宋体"/>
                <w:color w:val="auto"/>
                <w:kern w:val="0"/>
                <w:sz w:val="24"/>
                <w:lang w:eastAsia="zh-CN"/>
              </w:rPr>
              <w:t>或截图</w:t>
            </w:r>
            <w:r>
              <w:rPr>
                <w:rFonts w:hint="eastAsia" w:ascii="宋体" w:hAnsi="宋体" w:eastAsia="宋体" w:cs="宋体"/>
                <w:color w:val="auto"/>
                <w:kern w:val="0"/>
                <w:sz w:val="24"/>
              </w:rPr>
              <w:t>（本项目拟采购的产品不属于政府强制采购的节能产品品目清单范围的，无需提供）</w:t>
            </w:r>
          </w:p>
        </w:tc>
        <w:tc>
          <w:tcPr>
            <w:tcW w:w="1418" w:type="dxa"/>
          </w:tcPr>
          <w:p w14:paraId="54D896C7">
            <w:pPr>
              <w:rPr>
                <w:rFonts w:ascii="宋体" w:hAnsi="宋体" w:cs="宋体"/>
                <w:color w:val="auto"/>
                <w:sz w:val="24"/>
              </w:rPr>
            </w:pPr>
            <w:r>
              <w:rPr>
                <w:rFonts w:hint="eastAsia" w:ascii="宋体" w:hAnsi="宋体" w:cs="宋体"/>
                <w:color w:val="auto"/>
                <w:sz w:val="24"/>
              </w:rPr>
              <w:t>见投标文件</w:t>
            </w:r>
          </w:p>
          <w:p w14:paraId="17CBC783">
            <w:pPr>
              <w:rPr>
                <w:rFonts w:hint="eastAsia" w:ascii="宋体" w:hAnsi="宋体" w:cs="宋体"/>
                <w:color w:val="auto"/>
                <w:sz w:val="24"/>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5636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958782">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p>
        </w:tc>
        <w:tc>
          <w:tcPr>
            <w:tcW w:w="3929" w:type="dxa"/>
          </w:tcPr>
          <w:p w14:paraId="04692A9D">
            <w:pPr>
              <w:rPr>
                <w:rFonts w:hint="eastAsia" w:ascii="宋体" w:hAnsi="宋体" w:eastAsia="宋体" w:cs="宋体"/>
                <w:color w:val="auto"/>
                <w:kern w:val="0"/>
                <w:sz w:val="24"/>
              </w:rPr>
            </w:pPr>
            <w:r>
              <w:rPr>
                <w:rFonts w:hint="eastAsia" w:ascii="宋体" w:hAnsi="宋体" w:eastAsia="宋体" w:cs="宋体"/>
                <w:color w:val="auto"/>
                <w:kern w:val="0"/>
                <w:sz w:val="24"/>
              </w:rPr>
              <w:t>投标文件中承诺的投标有效期不少于招标文件中载明的投标有效期。</w:t>
            </w:r>
          </w:p>
        </w:tc>
        <w:tc>
          <w:tcPr>
            <w:tcW w:w="3613" w:type="dxa"/>
            <w:vAlign w:val="center"/>
          </w:tcPr>
          <w:p w14:paraId="5E193889">
            <w:pPr>
              <w:rPr>
                <w:rFonts w:hint="eastAsia" w:ascii="宋体" w:hAnsi="宋体" w:eastAsia="宋体" w:cs="宋体"/>
                <w:color w:val="auto"/>
                <w:kern w:val="0"/>
                <w:sz w:val="24"/>
              </w:rPr>
            </w:pPr>
            <w:r>
              <w:rPr>
                <w:rFonts w:hint="eastAsia" w:ascii="宋体" w:hAnsi="宋体" w:eastAsia="宋体" w:cs="宋体"/>
                <w:color w:val="auto"/>
                <w:kern w:val="0"/>
                <w:sz w:val="24"/>
              </w:rPr>
              <w:t>投标函</w:t>
            </w:r>
          </w:p>
        </w:tc>
        <w:tc>
          <w:tcPr>
            <w:tcW w:w="1418" w:type="dxa"/>
          </w:tcPr>
          <w:p w14:paraId="408B0F9D">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5A0B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BCA798">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3929" w:type="dxa"/>
          </w:tcPr>
          <w:p w14:paraId="596F4E34">
            <w:pPr>
              <w:rPr>
                <w:rFonts w:hint="eastAsia" w:ascii="宋体" w:hAnsi="宋体" w:eastAsia="宋体" w:cs="宋体"/>
                <w:color w:val="auto"/>
                <w:kern w:val="0"/>
                <w:sz w:val="24"/>
              </w:rPr>
            </w:pPr>
            <w:r>
              <w:rPr>
                <w:rFonts w:hint="eastAsia" w:ascii="宋体" w:hAnsi="宋体" w:eastAsia="宋体" w:cs="宋体"/>
                <w:color w:val="auto"/>
                <w:kern w:val="0"/>
                <w:sz w:val="24"/>
              </w:rPr>
              <w:t>投标文件满足招标文件第三部分采购需求参数里的实质性要求（如有）</w:t>
            </w:r>
          </w:p>
        </w:tc>
        <w:tc>
          <w:tcPr>
            <w:tcW w:w="3613" w:type="dxa"/>
            <w:vAlign w:val="center"/>
          </w:tcPr>
          <w:p w14:paraId="6F0F8E60">
            <w:pPr>
              <w:rPr>
                <w:rFonts w:hint="eastAsia" w:ascii="宋体" w:hAnsi="宋体" w:eastAsia="宋体" w:cs="宋体"/>
                <w:color w:val="auto"/>
                <w:kern w:val="0"/>
                <w:sz w:val="24"/>
              </w:rPr>
            </w:pPr>
            <w:r>
              <w:rPr>
                <w:rFonts w:hint="eastAsia" w:ascii="宋体" w:hAnsi="宋体" w:eastAsia="宋体" w:cs="宋体"/>
                <w:color w:val="auto"/>
                <w:kern w:val="0"/>
                <w:sz w:val="24"/>
              </w:rPr>
              <w:t>提供招标文件需求参数里的其它实质性要求相应的材料（“▲且加下线部分” 系指实质性要求条款，招标文件无其它实质性要求的，无需提供）</w:t>
            </w:r>
          </w:p>
        </w:tc>
        <w:tc>
          <w:tcPr>
            <w:tcW w:w="1418" w:type="dxa"/>
          </w:tcPr>
          <w:p w14:paraId="2A7A5009">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5FE99E4C">
      <w:pPr>
        <w:spacing w:line="360" w:lineRule="auto"/>
        <w:ind w:right="420"/>
        <w:rPr>
          <w:rFonts w:hint="eastAsia" w:ascii="宋体" w:hAnsi="宋体" w:cs="宋体"/>
          <w:color w:val="auto"/>
          <w:sz w:val="24"/>
        </w:rPr>
      </w:pPr>
      <w:r>
        <w:rPr>
          <w:rFonts w:hint="eastAsia" w:ascii="宋体" w:hAnsi="宋体" w:cs="宋体"/>
          <w:color w:val="auto"/>
          <w:sz w:val="24"/>
        </w:rPr>
        <w:t>注：按本格式和要求提供。</w:t>
      </w:r>
    </w:p>
    <w:p w14:paraId="09890179">
      <w:pPr>
        <w:pStyle w:val="23"/>
      </w:pPr>
    </w:p>
    <w:p w14:paraId="5A511E9F">
      <w:pPr>
        <w:jc w:val="center"/>
        <w:rPr>
          <w:rFonts w:ascii="宋体" w:hAnsi="宋体" w:cs="宋体"/>
          <w:color w:val="auto"/>
        </w:rPr>
      </w:pPr>
      <w:r>
        <w:rPr>
          <w:rFonts w:hint="eastAsia" w:ascii="宋体" w:hAnsi="宋体" w:cs="宋体"/>
          <w:b/>
          <w:color w:val="auto"/>
          <w:kern w:val="0"/>
          <w:sz w:val="32"/>
          <w:szCs w:val="32"/>
        </w:rPr>
        <w:t>五、评标标准相应的商务技术资料</w:t>
      </w:r>
    </w:p>
    <w:p w14:paraId="3EBC176B">
      <w:pPr>
        <w:snapToGrid w:val="0"/>
        <w:spacing w:line="360" w:lineRule="auto"/>
        <w:jc w:val="left"/>
        <w:rPr>
          <w:rFonts w:ascii="宋体" w:hAnsi="宋体" w:cs="宋体"/>
          <w:b/>
          <w:color w:val="auto"/>
          <w:kern w:val="0"/>
          <w:sz w:val="32"/>
          <w:szCs w:val="32"/>
        </w:rPr>
      </w:pPr>
      <w:r>
        <w:rPr>
          <w:rFonts w:hint="eastAsia" w:ascii="宋体" w:hAnsi="宋体" w:cs="宋体"/>
          <w:b/>
          <w:color w:val="auto"/>
          <w:sz w:val="24"/>
        </w:rPr>
        <w:t>（按招标文件第四部分评标办法前附表中“投标文件中评标标准相应的商务技术资料目录”提供资料。）</w:t>
      </w:r>
      <w:r>
        <w:rPr>
          <w:rFonts w:hint="eastAsia" w:ascii="宋体" w:hAnsi="宋体" w:cs="宋体"/>
          <w:b/>
          <w:color w:val="auto"/>
          <w:sz w:val="24"/>
          <w:lang w:eastAsia="zh-CN"/>
        </w:rPr>
        <w:t>【</w:t>
      </w:r>
      <w:r>
        <w:rPr>
          <w:rFonts w:hint="eastAsia" w:ascii="宋体" w:hAnsi="宋体" w:cs="宋体"/>
          <w:b/>
          <w:color w:val="auto"/>
          <w:sz w:val="24"/>
          <w:lang w:val="en-US" w:eastAsia="zh-CN"/>
        </w:rPr>
        <w:t>格式自拟</w:t>
      </w:r>
      <w:r>
        <w:rPr>
          <w:rFonts w:hint="eastAsia" w:ascii="宋体" w:hAnsi="宋体" w:cs="宋体"/>
          <w:b/>
          <w:color w:val="auto"/>
          <w:sz w:val="24"/>
          <w:lang w:eastAsia="zh-CN"/>
        </w:rPr>
        <w:t>】</w:t>
      </w:r>
    </w:p>
    <w:p w14:paraId="384F82C4">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182D6468">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59"/>
        <w:gridCol w:w="1155"/>
        <w:gridCol w:w="1729"/>
        <w:gridCol w:w="2775"/>
        <w:gridCol w:w="1673"/>
      </w:tblGrid>
      <w:tr w14:paraId="6ECC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AE8FDC0">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859" w:type="dxa"/>
            <w:tcBorders>
              <w:top w:val="single" w:color="auto" w:sz="4" w:space="0"/>
              <w:left w:val="single" w:color="auto" w:sz="4" w:space="0"/>
              <w:bottom w:val="single" w:color="auto" w:sz="4" w:space="0"/>
              <w:right w:val="single" w:color="auto" w:sz="4" w:space="0"/>
            </w:tcBorders>
            <w:vAlign w:val="center"/>
          </w:tcPr>
          <w:p w14:paraId="0B7173B8">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55" w:type="dxa"/>
            <w:tcBorders>
              <w:top w:val="single" w:color="auto" w:sz="4" w:space="0"/>
              <w:left w:val="single" w:color="auto" w:sz="4" w:space="0"/>
              <w:bottom w:val="single" w:color="auto" w:sz="4" w:space="0"/>
              <w:right w:val="single" w:color="auto" w:sz="4" w:space="0"/>
            </w:tcBorders>
          </w:tcPr>
          <w:p w14:paraId="2AF5282C">
            <w:pPr>
              <w:spacing w:line="360" w:lineRule="auto"/>
              <w:jc w:val="center"/>
              <w:rPr>
                <w:rFonts w:ascii="宋体" w:hAnsi="宋体" w:cs="宋体"/>
                <w:b/>
                <w:color w:val="auto"/>
                <w:sz w:val="24"/>
              </w:rPr>
            </w:pPr>
          </w:p>
          <w:p w14:paraId="0751C92B">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1729" w:type="dxa"/>
            <w:tcBorders>
              <w:top w:val="single" w:color="auto" w:sz="4" w:space="0"/>
              <w:left w:val="single" w:color="auto" w:sz="4" w:space="0"/>
              <w:bottom w:val="single" w:color="auto" w:sz="4" w:space="0"/>
              <w:right w:val="single" w:color="auto" w:sz="4" w:space="0"/>
            </w:tcBorders>
            <w:vAlign w:val="center"/>
          </w:tcPr>
          <w:p w14:paraId="21B3EDD7">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1B2E97A">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FCB7EE2">
            <w:pPr>
              <w:spacing w:line="360" w:lineRule="auto"/>
              <w:jc w:val="center"/>
              <w:rPr>
                <w:rFonts w:ascii="宋体" w:hAnsi="宋体" w:cs="宋体"/>
                <w:b/>
                <w:color w:val="auto"/>
                <w:sz w:val="24"/>
              </w:rPr>
            </w:pPr>
            <w:r>
              <w:rPr>
                <w:rFonts w:hint="eastAsia" w:ascii="宋体" w:hAnsi="宋体" w:cs="宋体"/>
                <w:b/>
                <w:color w:val="auto"/>
                <w:sz w:val="24"/>
              </w:rPr>
              <w:t>备注</w:t>
            </w:r>
          </w:p>
        </w:tc>
      </w:tr>
      <w:tr w14:paraId="6738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0994AC">
            <w:pPr>
              <w:spacing w:line="360" w:lineRule="auto"/>
              <w:jc w:val="center"/>
              <w:rPr>
                <w:rFonts w:ascii="宋体" w:hAnsi="宋体" w:cs="宋体"/>
                <w:color w:val="auto"/>
                <w:sz w:val="24"/>
              </w:rPr>
            </w:pPr>
            <w:r>
              <w:rPr>
                <w:rFonts w:hint="eastAsia" w:ascii="宋体" w:hAnsi="宋体" w:cs="宋体"/>
                <w:color w:val="auto"/>
                <w:sz w:val="24"/>
              </w:rPr>
              <w:t>1</w:t>
            </w:r>
          </w:p>
        </w:tc>
        <w:tc>
          <w:tcPr>
            <w:tcW w:w="859" w:type="dxa"/>
            <w:tcBorders>
              <w:top w:val="single" w:color="auto" w:sz="4" w:space="0"/>
              <w:left w:val="single" w:color="auto" w:sz="4" w:space="0"/>
              <w:bottom w:val="single" w:color="auto" w:sz="4" w:space="0"/>
              <w:right w:val="single" w:color="auto" w:sz="4" w:space="0"/>
            </w:tcBorders>
            <w:vAlign w:val="center"/>
          </w:tcPr>
          <w:p w14:paraId="00E93A3A">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FC0FD5A">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38DF7317">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EDE5B76">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CADBE9E">
            <w:pPr>
              <w:spacing w:line="360" w:lineRule="auto"/>
              <w:jc w:val="center"/>
              <w:rPr>
                <w:rFonts w:ascii="宋体" w:hAnsi="宋体" w:cs="宋体"/>
                <w:color w:val="auto"/>
                <w:sz w:val="24"/>
              </w:rPr>
            </w:pPr>
          </w:p>
        </w:tc>
      </w:tr>
      <w:tr w14:paraId="63D1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C78E94D">
            <w:pPr>
              <w:spacing w:line="360" w:lineRule="auto"/>
              <w:jc w:val="center"/>
              <w:rPr>
                <w:rFonts w:ascii="宋体" w:hAnsi="宋体" w:cs="宋体"/>
                <w:color w:val="auto"/>
                <w:sz w:val="24"/>
              </w:rPr>
            </w:pPr>
            <w:r>
              <w:rPr>
                <w:rFonts w:hint="eastAsia" w:ascii="宋体" w:hAnsi="宋体" w:cs="宋体"/>
                <w:color w:val="auto"/>
                <w:sz w:val="24"/>
              </w:rPr>
              <w:t>2</w:t>
            </w:r>
          </w:p>
        </w:tc>
        <w:tc>
          <w:tcPr>
            <w:tcW w:w="859" w:type="dxa"/>
            <w:tcBorders>
              <w:top w:val="single" w:color="auto" w:sz="4" w:space="0"/>
              <w:left w:val="single" w:color="auto" w:sz="4" w:space="0"/>
              <w:bottom w:val="single" w:color="auto" w:sz="4" w:space="0"/>
              <w:right w:val="single" w:color="auto" w:sz="4" w:space="0"/>
            </w:tcBorders>
            <w:vAlign w:val="center"/>
          </w:tcPr>
          <w:p w14:paraId="7C46915F">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4E8A94F">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4B24A003">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0FC8D6">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00E230A">
            <w:pPr>
              <w:spacing w:line="360" w:lineRule="auto"/>
              <w:jc w:val="center"/>
              <w:rPr>
                <w:rFonts w:ascii="宋体" w:hAnsi="宋体" w:cs="宋体"/>
                <w:color w:val="auto"/>
                <w:sz w:val="24"/>
              </w:rPr>
            </w:pPr>
          </w:p>
        </w:tc>
      </w:tr>
      <w:tr w14:paraId="2704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7FB915D">
            <w:pPr>
              <w:spacing w:line="360" w:lineRule="auto"/>
              <w:jc w:val="center"/>
              <w:rPr>
                <w:rFonts w:ascii="宋体" w:hAnsi="宋体" w:cs="宋体"/>
                <w:color w:val="auto"/>
                <w:sz w:val="24"/>
              </w:rPr>
            </w:pPr>
            <w:r>
              <w:rPr>
                <w:rFonts w:hint="eastAsia" w:ascii="宋体" w:hAnsi="宋体" w:cs="宋体"/>
                <w:color w:val="auto"/>
                <w:sz w:val="24"/>
              </w:rPr>
              <w:t>……</w:t>
            </w:r>
          </w:p>
        </w:tc>
        <w:tc>
          <w:tcPr>
            <w:tcW w:w="859" w:type="dxa"/>
            <w:tcBorders>
              <w:top w:val="single" w:color="auto" w:sz="4" w:space="0"/>
              <w:left w:val="single" w:color="auto" w:sz="4" w:space="0"/>
              <w:bottom w:val="single" w:color="auto" w:sz="4" w:space="0"/>
              <w:right w:val="single" w:color="auto" w:sz="4" w:space="0"/>
            </w:tcBorders>
            <w:vAlign w:val="center"/>
          </w:tcPr>
          <w:p w14:paraId="1B27CC02">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9D6BBF5">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298490D9">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A628801">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76ED658">
            <w:pPr>
              <w:spacing w:line="360" w:lineRule="auto"/>
              <w:jc w:val="center"/>
              <w:rPr>
                <w:rFonts w:ascii="宋体" w:hAnsi="宋体" w:cs="宋体"/>
                <w:color w:val="auto"/>
                <w:sz w:val="24"/>
              </w:rPr>
            </w:pPr>
          </w:p>
        </w:tc>
      </w:tr>
    </w:tbl>
    <w:p w14:paraId="4AF04AB3">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7F46C5FA">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08F44DE2">
      <w:pPr>
        <w:spacing w:line="360" w:lineRule="auto"/>
        <w:jc w:val="center"/>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w:t>
      </w:r>
    </w:p>
    <w:p w14:paraId="7658FFD8">
      <w:pPr>
        <w:jc w:val="center"/>
        <w:rPr>
          <w:rFonts w:hint="eastAsia" w:ascii="宋体" w:hAnsi="宋体" w:cs="宋体"/>
          <w:b/>
          <w:color w:val="auto"/>
          <w:kern w:val="0"/>
          <w:sz w:val="32"/>
          <w:szCs w:val="32"/>
        </w:rPr>
      </w:pPr>
    </w:p>
    <w:p w14:paraId="1267DA71">
      <w:pPr>
        <w:jc w:val="center"/>
        <w:rPr>
          <w:rFonts w:hint="eastAsia" w:ascii="宋体" w:hAnsi="宋体" w:cs="宋体"/>
          <w:b/>
          <w:color w:val="auto"/>
          <w:kern w:val="0"/>
          <w:sz w:val="32"/>
          <w:szCs w:val="32"/>
        </w:rPr>
      </w:pPr>
    </w:p>
    <w:p w14:paraId="7E8CD4E1">
      <w:pPr>
        <w:jc w:val="center"/>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5C5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3F2FFD">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28B9C623">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14:paraId="08AA25F9">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14:paraId="7F4FEB7A">
            <w:pPr>
              <w:jc w:val="center"/>
              <w:rPr>
                <w:rFonts w:ascii="宋体" w:hAnsi="宋体" w:cs="宋体"/>
                <w:b/>
                <w:bCs/>
                <w:color w:val="auto"/>
                <w:sz w:val="24"/>
              </w:rPr>
            </w:pPr>
            <w:r>
              <w:rPr>
                <w:rFonts w:hint="eastAsia" w:ascii="宋体" w:hAnsi="宋体" w:cs="宋体"/>
                <w:b/>
                <w:bCs/>
                <w:color w:val="auto"/>
                <w:sz w:val="24"/>
              </w:rPr>
              <w:t>偏离说明</w:t>
            </w:r>
          </w:p>
        </w:tc>
      </w:tr>
      <w:tr w14:paraId="672D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B71FD1">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192F75C4">
            <w:pPr>
              <w:jc w:val="center"/>
              <w:rPr>
                <w:rFonts w:ascii="宋体" w:hAnsi="宋体" w:cs="宋体"/>
                <w:b/>
                <w:color w:val="auto"/>
                <w:kern w:val="0"/>
                <w:sz w:val="32"/>
                <w:szCs w:val="32"/>
              </w:rPr>
            </w:pPr>
          </w:p>
        </w:tc>
        <w:tc>
          <w:tcPr>
            <w:tcW w:w="3546" w:type="dxa"/>
          </w:tcPr>
          <w:p w14:paraId="7C7FE572">
            <w:pPr>
              <w:jc w:val="center"/>
              <w:rPr>
                <w:rFonts w:ascii="宋体" w:hAnsi="宋体" w:cs="宋体"/>
                <w:b/>
                <w:color w:val="auto"/>
                <w:kern w:val="0"/>
                <w:sz w:val="32"/>
                <w:szCs w:val="32"/>
              </w:rPr>
            </w:pPr>
          </w:p>
        </w:tc>
        <w:tc>
          <w:tcPr>
            <w:tcW w:w="1276" w:type="dxa"/>
          </w:tcPr>
          <w:p w14:paraId="5A9D9724">
            <w:pPr>
              <w:jc w:val="center"/>
              <w:rPr>
                <w:rFonts w:ascii="宋体" w:hAnsi="宋体" w:cs="宋体"/>
                <w:b/>
                <w:color w:val="auto"/>
                <w:kern w:val="0"/>
                <w:sz w:val="32"/>
                <w:szCs w:val="32"/>
              </w:rPr>
            </w:pPr>
          </w:p>
        </w:tc>
      </w:tr>
      <w:tr w14:paraId="56B4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2EE2837">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107A71BB">
            <w:pPr>
              <w:jc w:val="center"/>
              <w:rPr>
                <w:rFonts w:ascii="宋体" w:hAnsi="宋体" w:cs="宋体"/>
                <w:b/>
                <w:color w:val="auto"/>
                <w:kern w:val="0"/>
                <w:sz w:val="32"/>
                <w:szCs w:val="32"/>
              </w:rPr>
            </w:pPr>
          </w:p>
        </w:tc>
        <w:tc>
          <w:tcPr>
            <w:tcW w:w="3546" w:type="dxa"/>
          </w:tcPr>
          <w:p w14:paraId="65CA3FC1">
            <w:pPr>
              <w:jc w:val="center"/>
              <w:rPr>
                <w:rFonts w:ascii="宋体" w:hAnsi="宋体" w:cs="宋体"/>
                <w:b/>
                <w:color w:val="auto"/>
                <w:kern w:val="0"/>
                <w:sz w:val="32"/>
                <w:szCs w:val="32"/>
              </w:rPr>
            </w:pPr>
          </w:p>
        </w:tc>
        <w:tc>
          <w:tcPr>
            <w:tcW w:w="1276" w:type="dxa"/>
          </w:tcPr>
          <w:p w14:paraId="7343FAB2">
            <w:pPr>
              <w:jc w:val="center"/>
              <w:rPr>
                <w:rFonts w:ascii="宋体" w:hAnsi="宋体" w:cs="宋体"/>
                <w:b/>
                <w:color w:val="auto"/>
                <w:kern w:val="0"/>
                <w:sz w:val="32"/>
                <w:szCs w:val="32"/>
              </w:rPr>
            </w:pPr>
          </w:p>
        </w:tc>
      </w:tr>
      <w:tr w14:paraId="3B2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560971">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048B6FF6">
            <w:pPr>
              <w:jc w:val="center"/>
              <w:rPr>
                <w:rFonts w:ascii="宋体" w:hAnsi="宋体" w:cs="宋体"/>
                <w:b/>
                <w:color w:val="auto"/>
                <w:kern w:val="0"/>
                <w:sz w:val="32"/>
                <w:szCs w:val="32"/>
              </w:rPr>
            </w:pPr>
          </w:p>
        </w:tc>
        <w:tc>
          <w:tcPr>
            <w:tcW w:w="3546" w:type="dxa"/>
          </w:tcPr>
          <w:p w14:paraId="3A100442">
            <w:pPr>
              <w:jc w:val="center"/>
              <w:rPr>
                <w:rFonts w:ascii="宋体" w:hAnsi="宋体" w:cs="宋体"/>
                <w:b/>
                <w:color w:val="auto"/>
                <w:kern w:val="0"/>
                <w:sz w:val="32"/>
                <w:szCs w:val="32"/>
              </w:rPr>
            </w:pPr>
          </w:p>
        </w:tc>
        <w:tc>
          <w:tcPr>
            <w:tcW w:w="1276" w:type="dxa"/>
          </w:tcPr>
          <w:p w14:paraId="0B2FE2FE">
            <w:pPr>
              <w:jc w:val="center"/>
              <w:rPr>
                <w:rFonts w:ascii="宋体" w:hAnsi="宋体" w:cs="宋体"/>
                <w:b/>
                <w:color w:val="auto"/>
                <w:kern w:val="0"/>
                <w:sz w:val="32"/>
                <w:szCs w:val="32"/>
              </w:rPr>
            </w:pPr>
          </w:p>
        </w:tc>
      </w:tr>
    </w:tbl>
    <w:p w14:paraId="63BC0D85">
      <w:pPr>
        <w:jc w:val="left"/>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14:paraId="35454BC6">
      <w:pPr>
        <w:spacing w:line="360" w:lineRule="auto"/>
        <w:ind w:right="420"/>
        <w:rPr>
          <w:rFonts w:hint="eastAsia" w:ascii="宋体" w:hAnsi="宋体" w:cs="宋体"/>
          <w:color w:val="auto"/>
          <w:sz w:val="24"/>
        </w:rPr>
      </w:pPr>
      <w:r>
        <w:rPr>
          <w:rFonts w:hint="eastAsia" w:ascii="宋体" w:hAnsi="宋体" w:cs="宋体"/>
          <w:color w:val="auto"/>
          <w:sz w:val="24"/>
        </w:rPr>
        <w:t>注：</w:t>
      </w:r>
    </w:p>
    <w:p w14:paraId="249E7D19">
      <w:pPr>
        <w:numPr>
          <w:ilvl w:val="0"/>
          <w:numId w:val="18"/>
        </w:numPr>
        <w:spacing w:line="380" w:lineRule="exact"/>
        <w:rPr>
          <w:rFonts w:hint="eastAsia" w:ascii="楷体" w:hAnsi="楷体" w:eastAsia="楷体" w:cs="Arial"/>
          <w:color w:val="auto"/>
          <w:sz w:val="24"/>
          <w:u w:val="single"/>
        </w:rPr>
      </w:pPr>
      <w:r>
        <w:rPr>
          <w:rFonts w:hint="eastAsia" w:ascii="楷体" w:hAnsi="楷体" w:eastAsia="楷体"/>
          <w:bCs/>
          <w:color w:val="auto"/>
          <w:sz w:val="24"/>
          <w:u w:val="single"/>
        </w:rPr>
        <w:t>▲</w:t>
      </w:r>
      <w:r>
        <w:rPr>
          <w:rFonts w:hint="eastAsia" w:ascii="楷体" w:hAnsi="楷体" w:eastAsia="楷体" w:cs="Arial"/>
          <w:color w:val="auto"/>
          <w:sz w:val="24"/>
          <w:u w:val="single"/>
        </w:rPr>
        <w:t>没有填写此表视为完全满足招标文件的</w:t>
      </w:r>
      <w:r>
        <w:rPr>
          <w:rFonts w:hint="eastAsia" w:ascii="楷体" w:hAnsi="楷体" w:eastAsia="楷体" w:cs="Arial"/>
          <w:color w:val="auto"/>
          <w:sz w:val="24"/>
          <w:u w:val="single"/>
          <w:lang w:val="en-US" w:eastAsia="zh-CN"/>
        </w:rPr>
        <w:t>全部</w:t>
      </w:r>
      <w:r>
        <w:rPr>
          <w:rFonts w:hint="eastAsia" w:ascii="楷体" w:hAnsi="楷体" w:eastAsia="楷体" w:cs="Arial"/>
          <w:color w:val="auto"/>
          <w:sz w:val="24"/>
          <w:u w:val="single"/>
        </w:rPr>
        <w:t>要求</w:t>
      </w:r>
      <w:r>
        <w:rPr>
          <w:rFonts w:hint="eastAsia" w:ascii="楷体" w:hAnsi="楷体" w:eastAsia="楷体" w:cs="Arial"/>
          <w:color w:val="auto"/>
          <w:sz w:val="24"/>
          <w:u w:val="single"/>
          <w:lang w:eastAsia="zh-CN"/>
        </w:rPr>
        <w:t>（</w:t>
      </w:r>
      <w:r>
        <w:rPr>
          <w:rFonts w:hint="eastAsia" w:ascii="楷体" w:hAnsi="楷体" w:eastAsia="楷体" w:cs="Arial"/>
          <w:color w:val="auto"/>
          <w:sz w:val="24"/>
          <w:u w:val="single"/>
          <w:lang w:val="en-US" w:eastAsia="zh-CN"/>
        </w:rPr>
        <w:t>但必须提供</w:t>
      </w:r>
      <w:r>
        <w:rPr>
          <w:rFonts w:hint="eastAsia" w:ascii="楷体" w:hAnsi="楷体" w:eastAsia="楷体" w:cs="Arial"/>
          <w:color w:val="auto"/>
          <w:sz w:val="24"/>
          <w:u w:val="single"/>
          <w:lang w:eastAsia="zh-CN"/>
        </w:rPr>
        <w:t>）</w:t>
      </w:r>
      <w:r>
        <w:rPr>
          <w:rFonts w:hint="eastAsia" w:ascii="楷体" w:hAnsi="楷体" w:eastAsia="楷体" w:cs="Arial"/>
          <w:color w:val="auto"/>
          <w:sz w:val="24"/>
          <w:u w:val="single"/>
        </w:rPr>
        <w:t>；</w:t>
      </w:r>
    </w:p>
    <w:p w14:paraId="3FD4A728">
      <w:pPr>
        <w:numPr>
          <w:ilvl w:val="0"/>
          <w:numId w:val="18"/>
        </w:numPr>
        <w:spacing w:line="380" w:lineRule="exact"/>
        <w:rPr>
          <w:rFonts w:ascii="楷体" w:hAnsi="楷体" w:eastAsia="楷体" w:cs="Arial"/>
          <w:color w:val="auto"/>
          <w:sz w:val="24"/>
        </w:rPr>
      </w:pPr>
      <w:r>
        <w:rPr>
          <w:rFonts w:hint="eastAsia" w:ascii="楷体" w:hAnsi="楷体" w:eastAsia="楷体" w:cs="Arial"/>
          <w:color w:val="auto"/>
          <w:sz w:val="24"/>
        </w:rPr>
        <w:t>如出现偏离，投标人务必如实填写此表，“投标</w:t>
      </w:r>
      <w:r>
        <w:rPr>
          <w:rFonts w:hint="eastAsia" w:ascii="楷体" w:hAnsi="楷体" w:eastAsia="楷体" w:cs="Arial"/>
          <w:color w:val="auto"/>
          <w:sz w:val="24"/>
          <w:highlight w:val="none"/>
        </w:rPr>
        <w:t>文件</w:t>
      </w:r>
      <w:r>
        <w:rPr>
          <w:rFonts w:hint="eastAsia" w:ascii="楷体" w:hAnsi="楷体" w:eastAsia="楷体" w:cs="Arial"/>
          <w:color w:val="auto"/>
          <w:sz w:val="24"/>
          <w:highlight w:val="none"/>
          <w:lang w:eastAsia="zh-CN"/>
        </w:rPr>
        <w:t>章节及具体内容</w:t>
      </w:r>
      <w:r>
        <w:rPr>
          <w:rFonts w:hint="eastAsia" w:ascii="楷体" w:hAnsi="楷体" w:eastAsia="楷体" w:cs="Arial"/>
          <w:color w:val="auto"/>
          <w:sz w:val="24"/>
          <w:highlight w:val="none"/>
        </w:rPr>
        <w:t>”及“</w:t>
      </w:r>
      <w:r>
        <w:rPr>
          <w:rFonts w:hint="eastAsia" w:ascii="楷体" w:hAnsi="楷体" w:eastAsia="楷体" w:cs="Arial"/>
          <w:color w:val="auto"/>
          <w:sz w:val="24"/>
          <w:highlight w:val="none"/>
          <w:lang w:eastAsia="zh-CN"/>
        </w:rPr>
        <w:t>偏离</w:t>
      </w:r>
      <w:r>
        <w:rPr>
          <w:rFonts w:hint="eastAsia" w:ascii="楷体" w:hAnsi="楷体" w:eastAsia="楷体" w:cs="Arial"/>
          <w:color w:val="auto"/>
          <w:sz w:val="24"/>
          <w:highlight w:val="none"/>
        </w:rPr>
        <w:t>说明”</w:t>
      </w:r>
      <w:r>
        <w:rPr>
          <w:rFonts w:hint="eastAsia" w:ascii="楷体" w:hAnsi="楷体" w:eastAsia="楷体" w:cs="Arial"/>
          <w:color w:val="auto"/>
          <w:sz w:val="24"/>
        </w:rPr>
        <w:t>栏不得复制粘贴，所投产品必须对照招标文件要求详细填写说明，否则存在的风险由投标人自行承担；</w:t>
      </w:r>
    </w:p>
    <w:p w14:paraId="7765480D">
      <w:pPr>
        <w:spacing w:line="380" w:lineRule="exact"/>
        <w:rPr>
          <w:rFonts w:hint="eastAsia" w:ascii="楷体" w:hAnsi="楷体" w:eastAsia="楷体"/>
          <w:color w:val="auto"/>
          <w:sz w:val="24"/>
          <w:u w:val="single"/>
        </w:rPr>
      </w:pPr>
      <w:r>
        <w:rPr>
          <w:rFonts w:hint="eastAsia" w:ascii="楷体" w:hAnsi="楷体" w:eastAsia="楷体"/>
          <w:color w:val="auto"/>
          <w:sz w:val="24"/>
        </w:rPr>
        <w:t>3.</w:t>
      </w:r>
      <w:r>
        <w:rPr>
          <w:rFonts w:hint="eastAsia" w:ascii="楷体" w:hAnsi="楷体" w:eastAsia="楷体"/>
          <w:bCs/>
          <w:color w:val="auto"/>
          <w:sz w:val="24"/>
        </w:rPr>
        <w:t xml:space="preserve"> 投标人可按以上表格形式进行复制。</w:t>
      </w:r>
    </w:p>
    <w:p w14:paraId="13FFF0EB">
      <w:pPr>
        <w:ind w:firstLine="1911" w:firstLineChars="595"/>
        <w:rPr>
          <w:rFonts w:ascii="宋体" w:hAnsi="宋体" w:cs="宋体"/>
          <w:b/>
          <w:bCs/>
          <w:color w:val="auto"/>
          <w:sz w:val="32"/>
          <w:szCs w:val="32"/>
        </w:rPr>
      </w:pPr>
    </w:p>
    <w:p w14:paraId="2191E9E0">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2032DA56">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2D2E6F8A">
      <w:pPr>
        <w:ind w:firstLine="1911" w:firstLineChars="595"/>
        <w:rPr>
          <w:rFonts w:hint="eastAsia" w:ascii="宋体" w:hAnsi="宋体" w:cs="宋体"/>
          <w:b/>
          <w:bCs/>
          <w:color w:val="auto"/>
          <w:sz w:val="32"/>
          <w:szCs w:val="32"/>
        </w:rPr>
      </w:pPr>
    </w:p>
    <w:p w14:paraId="3C5C0834">
      <w:pPr>
        <w:rPr>
          <w:rFonts w:hint="eastAsia" w:ascii="宋体" w:hAnsi="宋体" w:cs="宋体"/>
          <w:b/>
          <w:color w:val="auto"/>
          <w:kern w:val="0"/>
          <w:sz w:val="32"/>
          <w:szCs w:val="32"/>
          <w:lang w:val="en-US" w:eastAsia="zh-CN"/>
        </w:rPr>
      </w:pPr>
      <w:r>
        <w:rPr>
          <w:rFonts w:hint="eastAsia" w:ascii="宋体" w:hAnsi="宋体" w:cs="宋体"/>
          <w:b/>
          <w:color w:val="auto"/>
          <w:kern w:val="0"/>
          <w:sz w:val="32"/>
          <w:szCs w:val="32"/>
          <w:lang w:val="en-US" w:eastAsia="zh-CN"/>
        </w:rPr>
        <w:br w:type="page"/>
      </w:r>
    </w:p>
    <w:p w14:paraId="7AB5AFFF">
      <w:pPr>
        <w:ind w:firstLine="1911" w:firstLineChars="595"/>
        <w:rPr>
          <w:rFonts w:ascii="宋体" w:hAnsi="宋体" w:cs="宋体"/>
          <w:b/>
          <w:color w:val="auto"/>
          <w:kern w:val="0"/>
          <w:sz w:val="32"/>
          <w:szCs w:val="32"/>
        </w:rPr>
      </w:pPr>
      <w:r>
        <w:rPr>
          <w:rFonts w:hint="eastAsia" w:ascii="宋体" w:hAnsi="宋体" w:cs="宋体"/>
          <w:b/>
          <w:color w:val="auto"/>
          <w:kern w:val="0"/>
          <w:sz w:val="32"/>
          <w:szCs w:val="32"/>
          <w:lang w:val="en-US" w:eastAsia="zh-CN"/>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5B82F0DA">
      <w:pPr>
        <w:snapToGrid w:val="0"/>
        <w:spacing w:line="360" w:lineRule="auto"/>
        <w:rPr>
          <w:rFonts w:ascii="宋体" w:hAnsi="宋体" w:cs="宋体"/>
          <w:color w:val="auto"/>
          <w:sz w:val="24"/>
        </w:rPr>
      </w:pPr>
    </w:p>
    <w:p w14:paraId="7C29411C">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kern w:val="0"/>
          <w:sz w:val="24"/>
          <w:lang w:val="zh-CN"/>
        </w:rPr>
        <w:t>：</w:t>
      </w:r>
    </w:p>
    <w:p w14:paraId="0EB080A1">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0AF519BE">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5D3E826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778EE6B6">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126DCBFF">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4D788721">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31C7BFE4">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47A77C11">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1BA505BE">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6DADE590">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76C0E5EA">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71C5697D">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日</w:t>
      </w:r>
    </w:p>
    <w:p w14:paraId="4D58D256">
      <w:pPr>
        <w:spacing w:line="360" w:lineRule="auto"/>
        <w:jc w:val="center"/>
        <w:rPr>
          <w:rFonts w:ascii="宋体" w:hAnsi="宋体" w:cs="宋体"/>
          <w:b/>
          <w:bCs/>
          <w:color w:val="auto"/>
          <w:sz w:val="24"/>
        </w:rPr>
      </w:pPr>
    </w:p>
    <w:p w14:paraId="1F7DE383">
      <w:pPr>
        <w:spacing w:line="360" w:lineRule="auto"/>
        <w:ind w:right="420"/>
        <w:rPr>
          <w:rFonts w:hint="eastAsia" w:ascii="宋体" w:hAnsi="宋体" w:cs="宋体"/>
          <w:color w:val="auto"/>
          <w:sz w:val="24"/>
        </w:rPr>
      </w:pPr>
      <w:r>
        <w:rPr>
          <w:rFonts w:hint="eastAsia" w:ascii="宋体" w:hAnsi="宋体" w:cs="宋体"/>
          <w:color w:val="auto"/>
          <w:sz w:val="24"/>
        </w:rPr>
        <w:t>注：按本格式和要求提供。</w:t>
      </w:r>
    </w:p>
    <w:p w14:paraId="31AEAA7A">
      <w:pPr>
        <w:pStyle w:val="23"/>
        <w:rPr>
          <w:color w:val="auto"/>
        </w:rPr>
      </w:pPr>
    </w:p>
    <w:p w14:paraId="4E3DE7D3">
      <w:pPr>
        <w:ind w:firstLine="1911" w:firstLineChars="595"/>
        <w:rPr>
          <w:rFonts w:ascii="宋体" w:hAnsi="宋体" w:cs="仿宋"/>
          <w:b/>
          <w:color w:val="auto"/>
          <w:kern w:val="0"/>
          <w:sz w:val="32"/>
          <w:szCs w:val="32"/>
          <w:lang w:val="en-US" w:eastAsia="zh-CN"/>
        </w:rPr>
      </w:pPr>
      <w:r>
        <w:rPr>
          <w:rFonts w:hint="eastAsia" w:ascii="宋体" w:hAnsi="宋体" w:cs="仿宋"/>
          <w:b/>
          <w:color w:val="auto"/>
          <w:kern w:val="0"/>
          <w:sz w:val="32"/>
          <w:szCs w:val="32"/>
          <w:lang w:val="en-US" w:eastAsia="zh-CN"/>
        </w:rPr>
        <w:t>九、认为需要的其他文件资料或说明</w:t>
      </w:r>
    </w:p>
    <w:p w14:paraId="095C8E68">
      <w:pPr>
        <w:jc w:val="center"/>
        <w:rPr>
          <w:rFonts w:hint="eastAsia" w:ascii="宋体" w:hAnsi="宋体" w:cs="仿宋"/>
          <w:b w:val="0"/>
          <w:bCs w:val="0"/>
          <w:color w:val="auto"/>
          <w:sz w:val="24"/>
          <w:lang w:val="en-US" w:eastAsia="zh-CN"/>
        </w:rPr>
      </w:pPr>
      <w:r>
        <w:rPr>
          <w:rFonts w:hint="eastAsia" w:ascii="宋体" w:hAnsi="宋体" w:cs="仿宋"/>
          <w:b w:val="0"/>
          <w:bCs w:val="0"/>
          <w:color w:val="auto"/>
          <w:sz w:val="24"/>
          <w:lang w:val="en-US" w:eastAsia="zh-CN"/>
        </w:rPr>
        <w:t>（由投标人根据采购需求自行编制）</w:t>
      </w:r>
    </w:p>
    <w:p w14:paraId="11C3B8A1">
      <w:pPr>
        <w:jc w:val="center"/>
        <w:rPr>
          <w:rFonts w:hint="eastAsia" w:ascii="宋体" w:hAnsi="宋体" w:cs="仿宋"/>
          <w:b w:val="0"/>
          <w:bCs w:val="0"/>
          <w:color w:val="auto"/>
          <w:sz w:val="24"/>
          <w:lang w:val="en-US" w:eastAsia="zh-CN"/>
        </w:rPr>
      </w:pPr>
    </w:p>
    <w:p w14:paraId="00B6D8C9">
      <w:pPr>
        <w:ind w:firstLine="5520" w:firstLineChars="2300"/>
        <w:rPr>
          <w:rFonts w:hint="eastAsia" w:ascii="宋体" w:hAnsi="宋体" w:cs="仿宋"/>
          <w:b/>
          <w:color w:val="auto"/>
          <w:kern w:val="0"/>
          <w:sz w:val="32"/>
          <w:szCs w:val="32"/>
        </w:rPr>
      </w:pPr>
      <w:r>
        <w:rPr>
          <w:rFonts w:hint="eastAsia" w:ascii="宋体" w:hAnsi="宋体" w:cs="宋体"/>
          <w:color w:val="auto"/>
          <w:kern w:val="0"/>
          <w:sz w:val="24"/>
          <w:lang w:val="en-US" w:eastAsia="zh-CN"/>
        </w:rPr>
        <w:t>投标人</w:t>
      </w:r>
      <w:r>
        <w:rPr>
          <w:rFonts w:hint="eastAsia" w:ascii="宋体" w:hAnsi="宋体" w:cs="宋体"/>
          <w:color w:val="auto"/>
          <w:kern w:val="0"/>
          <w:sz w:val="24"/>
          <w:lang w:val="zh-CN"/>
        </w:rPr>
        <w:t>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0993CB6">
      <w:pPr>
        <w:ind w:firstLine="5520" w:firstLineChars="2300"/>
        <w:rPr>
          <w:rFonts w:hint="default" w:ascii="宋体" w:hAnsi="宋体" w:eastAsia="宋体" w:cs="宋体"/>
          <w:b/>
          <w:color w:val="auto"/>
          <w:kern w:val="0"/>
          <w:sz w:val="32"/>
          <w:szCs w:val="32"/>
          <w:lang w:val="en-US" w:eastAsia="zh-CN"/>
        </w:rPr>
      </w:pP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w:t>
      </w:r>
      <w:r>
        <w:rPr>
          <w:rFonts w:hint="eastAsia" w:ascii="宋体" w:hAnsi="宋体" w:cs="宋体"/>
          <w:color w:val="auto"/>
          <w:kern w:val="0"/>
          <w:sz w:val="24"/>
          <w:lang w:val="en-US" w:eastAsia="zh-CN"/>
        </w:rPr>
        <w:t xml:space="preserve">   日</w:t>
      </w:r>
    </w:p>
    <w:p w14:paraId="34A44800">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394F0A3E">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70439F14">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7A31FBAA">
      <w:pPr>
        <w:spacing w:line="360" w:lineRule="auto"/>
        <w:jc w:val="center"/>
        <w:outlineLvl w:val="0"/>
        <w:rPr>
          <w:rFonts w:ascii="宋体" w:hAnsi="宋体" w:cs="宋体"/>
          <w:b/>
          <w:color w:val="auto"/>
          <w:kern w:val="0"/>
          <w:sz w:val="36"/>
          <w:szCs w:val="36"/>
        </w:rPr>
      </w:pPr>
    </w:p>
    <w:p w14:paraId="3A41317A">
      <w:pPr>
        <w:snapToGrid w:val="0"/>
        <w:spacing w:line="360" w:lineRule="auto"/>
        <w:rPr>
          <w:rFonts w:ascii="宋体" w:hAnsi="宋体" w:cs="宋体"/>
          <w:color w:val="auto"/>
          <w:sz w:val="24"/>
        </w:rPr>
      </w:pPr>
      <w:r>
        <w:rPr>
          <w:rFonts w:hint="eastAsia" w:ascii="宋体" w:hAnsi="宋体" w:cs="宋体"/>
          <w:color w:val="auto"/>
          <w:sz w:val="24"/>
        </w:rPr>
        <w:t>（1）开标一览表（报价表）………………………………………………………（页码）</w:t>
      </w:r>
    </w:p>
    <w:p w14:paraId="65A2349E">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（2）中小企业声明函………………………………………………………………（页码）</w:t>
      </w:r>
    </w:p>
    <w:p w14:paraId="1AABE4A2">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关于符合本国产品标准的声明函</w:t>
      </w:r>
      <w:r>
        <w:rPr>
          <w:rFonts w:hint="eastAsia" w:ascii="宋体" w:hAnsi="宋体" w:eastAsia="宋体" w:cs="宋体"/>
          <w:color w:val="auto"/>
          <w:sz w:val="24"/>
          <w:highlight w:val="none"/>
          <w:lang w:val="en-US" w:eastAsia="zh-CN"/>
        </w:rPr>
        <w:t>或财政部会同有关部门规定的有关证明文件（如是本国产品须提供）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（页码）</w:t>
      </w:r>
    </w:p>
    <w:p w14:paraId="16B14DE0">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关于符合本国产品标准的成本占比的承诺函</w:t>
      </w:r>
      <w:r>
        <w:rPr>
          <w:rFonts w:hint="eastAsia" w:ascii="宋体" w:hAnsi="宋体" w:eastAsia="宋体" w:cs="宋体"/>
          <w:color w:val="auto"/>
          <w:sz w:val="24"/>
          <w:highlight w:val="none"/>
        </w:rPr>
        <w:t>………………………………（页码）</w:t>
      </w:r>
    </w:p>
    <w:p w14:paraId="6B701060">
      <w:pPr>
        <w:snapToGrid w:val="0"/>
        <w:spacing w:line="360" w:lineRule="auto"/>
        <w:ind w:right="480"/>
        <w:jc w:val="center"/>
        <w:rPr>
          <w:rFonts w:ascii="宋体" w:hAnsi="宋体" w:cs="宋体"/>
          <w:b/>
          <w:color w:val="auto"/>
          <w:kern w:val="0"/>
          <w:sz w:val="32"/>
          <w:szCs w:val="32"/>
        </w:rPr>
      </w:pPr>
    </w:p>
    <w:p w14:paraId="00B11606">
      <w:pPr>
        <w:snapToGrid w:val="0"/>
        <w:spacing w:line="360" w:lineRule="auto"/>
        <w:ind w:right="480"/>
        <w:jc w:val="center"/>
        <w:rPr>
          <w:rFonts w:ascii="宋体" w:hAnsi="宋体" w:cs="宋体"/>
          <w:b/>
          <w:color w:val="auto"/>
          <w:kern w:val="0"/>
          <w:sz w:val="32"/>
          <w:szCs w:val="32"/>
        </w:rPr>
      </w:pPr>
    </w:p>
    <w:p w14:paraId="39335F3F">
      <w:pPr>
        <w:snapToGrid w:val="0"/>
        <w:spacing w:line="360" w:lineRule="auto"/>
        <w:ind w:right="480"/>
        <w:jc w:val="center"/>
        <w:rPr>
          <w:rFonts w:ascii="宋体" w:hAnsi="宋体" w:cs="宋体"/>
          <w:b/>
          <w:color w:val="auto"/>
          <w:kern w:val="0"/>
          <w:sz w:val="32"/>
          <w:szCs w:val="32"/>
        </w:rPr>
      </w:pPr>
    </w:p>
    <w:p w14:paraId="137F13CD">
      <w:pPr>
        <w:snapToGrid w:val="0"/>
        <w:spacing w:line="360" w:lineRule="auto"/>
        <w:ind w:right="480"/>
        <w:jc w:val="center"/>
        <w:rPr>
          <w:rFonts w:ascii="宋体" w:hAnsi="宋体" w:cs="宋体"/>
          <w:b/>
          <w:color w:val="auto"/>
          <w:kern w:val="0"/>
          <w:sz w:val="32"/>
          <w:szCs w:val="32"/>
        </w:rPr>
      </w:pPr>
    </w:p>
    <w:p w14:paraId="71DB03A6">
      <w:pPr>
        <w:snapToGrid w:val="0"/>
        <w:spacing w:line="360" w:lineRule="auto"/>
        <w:ind w:right="480"/>
        <w:jc w:val="center"/>
        <w:rPr>
          <w:rFonts w:ascii="宋体" w:hAnsi="宋体" w:cs="宋体"/>
          <w:b/>
          <w:color w:val="auto"/>
          <w:kern w:val="0"/>
          <w:sz w:val="32"/>
          <w:szCs w:val="32"/>
        </w:rPr>
      </w:pPr>
    </w:p>
    <w:p w14:paraId="7A70AE03">
      <w:pPr>
        <w:snapToGrid w:val="0"/>
        <w:spacing w:line="360" w:lineRule="auto"/>
        <w:ind w:right="480"/>
        <w:jc w:val="center"/>
        <w:rPr>
          <w:rFonts w:ascii="宋体" w:hAnsi="宋体" w:cs="宋体"/>
          <w:b/>
          <w:color w:val="auto"/>
          <w:kern w:val="0"/>
          <w:sz w:val="32"/>
          <w:szCs w:val="32"/>
        </w:rPr>
      </w:pPr>
    </w:p>
    <w:p w14:paraId="3D5C6375">
      <w:pPr>
        <w:snapToGrid w:val="0"/>
        <w:spacing w:line="360" w:lineRule="auto"/>
        <w:ind w:right="480"/>
        <w:jc w:val="center"/>
        <w:rPr>
          <w:rFonts w:ascii="宋体" w:hAnsi="宋体" w:cs="宋体"/>
          <w:b/>
          <w:color w:val="auto"/>
          <w:kern w:val="0"/>
          <w:sz w:val="32"/>
          <w:szCs w:val="32"/>
        </w:rPr>
      </w:pPr>
    </w:p>
    <w:p w14:paraId="63B3867B">
      <w:pPr>
        <w:snapToGrid w:val="0"/>
        <w:spacing w:line="360" w:lineRule="auto"/>
        <w:ind w:right="480"/>
        <w:jc w:val="center"/>
        <w:rPr>
          <w:rFonts w:ascii="宋体" w:hAnsi="宋体" w:cs="宋体"/>
          <w:b/>
          <w:color w:val="auto"/>
          <w:kern w:val="0"/>
          <w:sz w:val="32"/>
          <w:szCs w:val="32"/>
        </w:rPr>
      </w:pPr>
    </w:p>
    <w:p w14:paraId="3368D30D">
      <w:pPr>
        <w:snapToGrid w:val="0"/>
        <w:spacing w:line="360" w:lineRule="auto"/>
        <w:ind w:right="480"/>
        <w:jc w:val="center"/>
        <w:rPr>
          <w:rFonts w:ascii="宋体" w:hAnsi="宋体" w:cs="宋体"/>
          <w:b/>
          <w:color w:val="auto"/>
          <w:kern w:val="0"/>
          <w:sz w:val="32"/>
          <w:szCs w:val="32"/>
        </w:rPr>
      </w:pPr>
    </w:p>
    <w:p w14:paraId="6D875F92">
      <w:pPr>
        <w:snapToGrid w:val="0"/>
        <w:spacing w:line="360" w:lineRule="auto"/>
        <w:ind w:right="480"/>
        <w:jc w:val="center"/>
        <w:rPr>
          <w:rFonts w:ascii="宋体" w:hAnsi="宋体" w:cs="宋体"/>
          <w:b/>
          <w:color w:val="auto"/>
          <w:kern w:val="0"/>
          <w:sz w:val="32"/>
          <w:szCs w:val="32"/>
        </w:rPr>
      </w:pPr>
    </w:p>
    <w:p w14:paraId="1948191D">
      <w:pPr>
        <w:snapToGrid w:val="0"/>
        <w:spacing w:line="360" w:lineRule="auto"/>
        <w:ind w:right="480"/>
        <w:jc w:val="center"/>
        <w:rPr>
          <w:rFonts w:ascii="宋体" w:hAnsi="宋体" w:cs="宋体"/>
          <w:b/>
          <w:color w:val="auto"/>
          <w:kern w:val="0"/>
          <w:sz w:val="32"/>
          <w:szCs w:val="32"/>
        </w:rPr>
      </w:pPr>
    </w:p>
    <w:p w14:paraId="239D7097">
      <w:pPr>
        <w:snapToGrid w:val="0"/>
        <w:spacing w:line="360" w:lineRule="auto"/>
        <w:ind w:right="480"/>
        <w:jc w:val="center"/>
        <w:rPr>
          <w:rFonts w:ascii="宋体" w:hAnsi="宋体" w:cs="宋体"/>
          <w:b/>
          <w:color w:val="auto"/>
          <w:kern w:val="0"/>
          <w:sz w:val="32"/>
          <w:szCs w:val="32"/>
        </w:rPr>
      </w:pPr>
    </w:p>
    <w:p w14:paraId="459D85C8">
      <w:pPr>
        <w:snapToGrid w:val="0"/>
        <w:spacing w:line="360" w:lineRule="auto"/>
        <w:ind w:right="480"/>
        <w:jc w:val="center"/>
        <w:rPr>
          <w:rFonts w:ascii="宋体" w:hAnsi="宋体" w:cs="宋体"/>
          <w:b/>
          <w:color w:val="auto"/>
          <w:kern w:val="0"/>
          <w:sz w:val="32"/>
          <w:szCs w:val="32"/>
        </w:rPr>
      </w:pPr>
    </w:p>
    <w:p w14:paraId="212DB2B6">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2930EC94">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48E82FE2">
      <w:pPr>
        <w:snapToGrid w:val="0"/>
        <w:spacing w:line="360" w:lineRule="auto"/>
        <w:rPr>
          <w:rFonts w:hint="eastAsia" w:ascii="宋体" w:hAnsi="宋体" w:cs="宋体"/>
          <w:color w:val="auto"/>
          <w:sz w:val="24"/>
        </w:rPr>
      </w:pPr>
      <w:r>
        <w:rPr>
          <w:rFonts w:hint="eastAsia" w:ascii="宋体" w:hAnsi="宋体" w:cs="宋体"/>
          <w:color w:val="auto"/>
          <w:sz w:val="24"/>
          <w:u w:val="single"/>
          <w:lang w:val="en" w:eastAsia="zh-CN"/>
        </w:rPr>
        <w:t>（采购人名称）</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lang w:val="zh-CN"/>
        </w:rPr>
        <w:t>：</w:t>
      </w:r>
    </w:p>
    <w:p w14:paraId="00EA0E2A">
      <w:pPr>
        <w:snapToGrid w:val="0"/>
        <w:spacing w:line="360" w:lineRule="auto"/>
        <w:rPr>
          <w:rFonts w:ascii="宋体" w:hAnsi="宋体" w:cs="宋体"/>
          <w:color w:val="auto"/>
          <w:kern w:val="0"/>
          <w:sz w:val="24"/>
          <w:lang w:val="zh-CN"/>
        </w:rPr>
      </w:pPr>
      <w:r>
        <w:rPr>
          <w:rFonts w:hint="eastAsia" w:ascii="宋体" w:hAnsi="宋体" w:cs="宋体"/>
          <w:color w:val="auto"/>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】的实施</w:t>
      </w:r>
      <w:r>
        <w:rPr>
          <w:rFonts w:hint="eastAsia" w:ascii="宋体" w:hAnsi="宋体" w:cs="宋体"/>
          <w:color w:val="auto"/>
          <w:kern w:val="0"/>
          <w:sz w:val="24"/>
          <w:lang w:val="zh-CN"/>
        </w:rPr>
        <w:t>。</w:t>
      </w:r>
    </w:p>
    <w:p w14:paraId="3755675E">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0F39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A2EDB3B">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14:paraId="38195B14">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14:paraId="0E8BB9D0">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品牌（如果有）</w:t>
            </w:r>
          </w:p>
        </w:tc>
        <w:tc>
          <w:tcPr>
            <w:tcW w:w="3118" w:type="dxa"/>
            <w:vAlign w:val="center"/>
          </w:tcPr>
          <w:p w14:paraId="63D686A3">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规格型号</w:t>
            </w:r>
          </w:p>
        </w:tc>
        <w:tc>
          <w:tcPr>
            <w:tcW w:w="993" w:type="dxa"/>
            <w:vAlign w:val="center"/>
          </w:tcPr>
          <w:p w14:paraId="7784287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559" w:type="dxa"/>
            <w:vAlign w:val="center"/>
          </w:tcPr>
          <w:p w14:paraId="251C25E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984" w:type="dxa"/>
            <w:vAlign w:val="center"/>
          </w:tcPr>
          <w:p w14:paraId="277DB242">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总价</w:t>
            </w:r>
          </w:p>
        </w:tc>
        <w:tc>
          <w:tcPr>
            <w:tcW w:w="3119" w:type="dxa"/>
            <w:vAlign w:val="center"/>
          </w:tcPr>
          <w:p w14:paraId="5FB44A0C">
            <w:pPr>
              <w:spacing w:line="360" w:lineRule="auto"/>
              <w:jc w:val="center"/>
              <w:rPr>
                <w:rFonts w:ascii="宋体" w:hAnsi="宋体" w:cs="宋体"/>
                <w:b/>
                <w:color w:val="auto"/>
                <w:sz w:val="24"/>
              </w:rPr>
            </w:pPr>
            <w:r>
              <w:rPr>
                <w:rFonts w:hint="eastAsia" w:ascii="宋体" w:hAnsi="宋体" w:cs="宋体"/>
                <w:b/>
                <w:color w:val="auto"/>
                <w:sz w:val="24"/>
              </w:rPr>
              <w:t>备注（如果有）</w:t>
            </w:r>
          </w:p>
        </w:tc>
      </w:tr>
      <w:tr w14:paraId="3414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60CBD724">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14:paraId="0C584407">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451C1217">
            <w:pPr>
              <w:snapToGrid w:val="0"/>
              <w:spacing w:line="360" w:lineRule="auto"/>
              <w:jc w:val="center"/>
              <w:rPr>
                <w:rFonts w:ascii="宋体" w:hAnsi="宋体" w:cs="宋体"/>
                <w:color w:val="auto"/>
                <w:sz w:val="24"/>
              </w:rPr>
            </w:pPr>
          </w:p>
        </w:tc>
        <w:tc>
          <w:tcPr>
            <w:tcW w:w="3118" w:type="dxa"/>
            <w:vAlign w:val="center"/>
          </w:tcPr>
          <w:p w14:paraId="480885E1">
            <w:pPr>
              <w:snapToGrid w:val="0"/>
              <w:spacing w:line="360" w:lineRule="auto"/>
              <w:jc w:val="center"/>
              <w:rPr>
                <w:rFonts w:ascii="宋体" w:hAnsi="宋体" w:cs="宋体"/>
                <w:color w:val="auto"/>
                <w:sz w:val="24"/>
              </w:rPr>
            </w:pPr>
          </w:p>
        </w:tc>
        <w:tc>
          <w:tcPr>
            <w:tcW w:w="993" w:type="dxa"/>
            <w:vAlign w:val="center"/>
          </w:tcPr>
          <w:p w14:paraId="6AD48E90">
            <w:pPr>
              <w:snapToGrid w:val="0"/>
              <w:spacing w:line="360" w:lineRule="auto"/>
              <w:jc w:val="center"/>
              <w:rPr>
                <w:rFonts w:ascii="宋体" w:hAnsi="宋体" w:cs="宋体"/>
                <w:color w:val="auto"/>
                <w:sz w:val="24"/>
              </w:rPr>
            </w:pPr>
          </w:p>
        </w:tc>
        <w:tc>
          <w:tcPr>
            <w:tcW w:w="1559" w:type="dxa"/>
            <w:vAlign w:val="center"/>
          </w:tcPr>
          <w:p w14:paraId="6C99EAF2">
            <w:pPr>
              <w:spacing w:line="360" w:lineRule="auto"/>
              <w:jc w:val="center"/>
              <w:rPr>
                <w:rFonts w:ascii="宋体" w:hAnsi="宋体" w:cs="宋体"/>
                <w:color w:val="auto"/>
                <w:sz w:val="24"/>
              </w:rPr>
            </w:pPr>
          </w:p>
        </w:tc>
        <w:tc>
          <w:tcPr>
            <w:tcW w:w="1984" w:type="dxa"/>
            <w:vAlign w:val="center"/>
          </w:tcPr>
          <w:p w14:paraId="7B931E2F">
            <w:pPr>
              <w:spacing w:line="360" w:lineRule="auto"/>
              <w:jc w:val="center"/>
              <w:rPr>
                <w:rFonts w:ascii="宋体" w:hAnsi="宋体" w:cs="宋体"/>
                <w:color w:val="auto"/>
                <w:sz w:val="24"/>
              </w:rPr>
            </w:pPr>
          </w:p>
        </w:tc>
        <w:tc>
          <w:tcPr>
            <w:tcW w:w="3119" w:type="dxa"/>
            <w:vAlign w:val="center"/>
          </w:tcPr>
          <w:p w14:paraId="5F74B0A5">
            <w:pPr>
              <w:spacing w:line="360" w:lineRule="auto"/>
              <w:jc w:val="center"/>
              <w:rPr>
                <w:rFonts w:ascii="宋体" w:hAnsi="宋体" w:cs="宋体"/>
                <w:color w:val="auto"/>
                <w:sz w:val="24"/>
              </w:rPr>
            </w:pPr>
          </w:p>
        </w:tc>
      </w:tr>
      <w:tr w14:paraId="3913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E6D32F4">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14:paraId="03C97365">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00E0ACDD">
            <w:pPr>
              <w:snapToGrid w:val="0"/>
              <w:spacing w:line="360" w:lineRule="auto"/>
              <w:jc w:val="center"/>
              <w:rPr>
                <w:rFonts w:ascii="宋体" w:hAnsi="宋体" w:cs="宋体"/>
                <w:color w:val="auto"/>
                <w:sz w:val="24"/>
              </w:rPr>
            </w:pPr>
          </w:p>
        </w:tc>
        <w:tc>
          <w:tcPr>
            <w:tcW w:w="3118" w:type="dxa"/>
            <w:vAlign w:val="center"/>
          </w:tcPr>
          <w:p w14:paraId="2424F7B9">
            <w:pPr>
              <w:snapToGrid w:val="0"/>
              <w:spacing w:line="360" w:lineRule="auto"/>
              <w:jc w:val="center"/>
              <w:rPr>
                <w:rFonts w:ascii="宋体" w:hAnsi="宋体" w:cs="宋体"/>
                <w:color w:val="auto"/>
                <w:sz w:val="24"/>
              </w:rPr>
            </w:pPr>
          </w:p>
        </w:tc>
        <w:tc>
          <w:tcPr>
            <w:tcW w:w="993" w:type="dxa"/>
            <w:vAlign w:val="center"/>
          </w:tcPr>
          <w:p w14:paraId="699CCB4F">
            <w:pPr>
              <w:snapToGrid w:val="0"/>
              <w:spacing w:line="360" w:lineRule="auto"/>
              <w:jc w:val="center"/>
              <w:rPr>
                <w:rFonts w:ascii="宋体" w:hAnsi="宋体" w:cs="宋体"/>
                <w:color w:val="auto"/>
                <w:sz w:val="24"/>
              </w:rPr>
            </w:pPr>
          </w:p>
        </w:tc>
        <w:tc>
          <w:tcPr>
            <w:tcW w:w="1559" w:type="dxa"/>
            <w:vAlign w:val="center"/>
          </w:tcPr>
          <w:p w14:paraId="203C538B">
            <w:pPr>
              <w:spacing w:line="360" w:lineRule="auto"/>
              <w:jc w:val="center"/>
              <w:rPr>
                <w:rFonts w:ascii="宋体" w:hAnsi="宋体" w:cs="宋体"/>
                <w:color w:val="auto"/>
                <w:sz w:val="24"/>
              </w:rPr>
            </w:pPr>
          </w:p>
        </w:tc>
        <w:tc>
          <w:tcPr>
            <w:tcW w:w="1984" w:type="dxa"/>
            <w:vAlign w:val="center"/>
          </w:tcPr>
          <w:p w14:paraId="1BFADA12">
            <w:pPr>
              <w:spacing w:line="360" w:lineRule="auto"/>
              <w:jc w:val="center"/>
              <w:rPr>
                <w:rFonts w:ascii="宋体" w:hAnsi="宋体" w:cs="宋体"/>
                <w:color w:val="auto"/>
                <w:sz w:val="24"/>
              </w:rPr>
            </w:pPr>
          </w:p>
        </w:tc>
        <w:tc>
          <w:tcPr>
            <w:tcW w:w="3119" w:type="dxa"/>
            <w:vAlign w:val="center"/>
          </w:tcPr>
          <w:p w14:paraId="62001AB7">
            <w:pPr>
              <w:spacing w:line="360" w:lineRule="auto"/>
              <w:jc w:val="center"/>
              <w:rPr>
                <w:rFonts w:ascii="宋体" w:hAnsi="宋体" w:cs="宋体"/>
                <w:color w:val="auto"/>
                <w:sz w:val="24"/>
              </w:rPr>
            </w:pPr>
          </w:p>
        </w:tc>
      </w:tr>
      <w:tr w14:paraId="18B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E128C37">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14:paraId="5B6FF106">
            <w:pPr>
              <w:snapToGrid w:val="0"/>
              <w:spacing w:line="360" w:lineRule="auto"/>
              <w:jc w:val="center"/>
              <w:rPr>
                <w:rFonts w:ascii="宋体" w:hAnsi="宋体" w:cs="宋体"/>
                <w:color w:val="auto"/>
                <w:sz w:val="24"/>
              </w:rPr>
            </w:pPr>
          </w:p>
        </w:tc>
        <w:tc>
          <w:tcPr>
            <w:tcW w:w="1843" w:type="dxa"/>
            <w:vAlign w:val="center"/>
          </w:tcPr>
          <w:p w14:paraId="653C0D8F">
            <w:pPr>
              <w:snapToGrid w:val="0"/>
              <w:spacing w:line="360" w:lineRule="auto"/>
              <w:jc w:val="center"/>
              <w:rPr>
                <w:rFonts w:ascii="宋体" w:hAnsi="宋体" w:cs="宋体"/>
                <w:color w:val="auto"/>
                <w:sz w:val="24"/>
              </w:rPr>
            </w:pPr>
          </w:p>
        </w:tc>
        <w:tc>
          <w:tcPr>
            <w:tcW w:w="3118" w:type="dxa"/>
            <w:vAlign w:val="center"/>
          </w:tcPr>
          <w:p w14:paraId="1FE5E5FC">
            <w:pPr>
              <w:snapToGrid w:val="0"/>
              <w:spacing w:line="360" w:lineRule="auto"/>
              <w:jc w:val="center"/>
              <w:rPr>
                <w:rFonts w:ascii="宋体" w:hAnsi="宋体" w:cs="宋体"/>
                <w:color w:val="auto"/>
                <w:sz w:val="24"/>
              </w:rPr>
            </w:pPr>
          </w:p>
        </w:tc>
        <w:tc>
          <w:tcPr>
            <w:tcW w:w="993" w:type="dxa"/>
            <w:vAlign w:val="center"/>
          </w:tcPr>
          <w:p w14:paraId="6B85DC93">
            <w:pPr>
              <w:snapToGrid w:val="0"/>
              <w:spacing w:line="360" w:lineRule="auto"/>
              <w:jc w:val="center"/>
              <w:rPr>
                <w:rFonts w:ascii="宋体" w:hAnsi="宋体" w:cs="宋体"/>
                <w:color w:val="auto"/>
                <w:sz w:val="24"/>
              </w:rPr>
            </w:pPr>
          </w:p>
        </w:tc>
        <w:tc>
          <w:tcPr>
            <w:tcW w:w="1559" w:type="dxa"/>
            <w:vAlign w:val="center"/>
          </w:tcPr>
          <w:p w14:paraId="3ECA67D1">
            <w:pPr>
              <w:spacing w:line="360" w:lineRule="auto"/>
              <w:jc w:val="center"/>
              <w:rPr>
                <w:rFonts w:ascii="宋体" w:hAnsi="宋体" w:cs="宋体"/>
                <w:color w:val="auto"/>
                <w:sz w:val="24"/>
              </w:rPr>
            </w:pPr>
          </w:p>
        </w:tc>
        <w:tc>
          <w:tcPr>
            <w:tcW w:w="1984" w:type="dxa"/>
            <w:vAlign w:val="center"/>
          </w:tcPr>
          <w:p w14:paraId="05A99F99">
            <w:pPr>
              <w:spacing w:line="360" w:lineRule="auto"/>
              <w:jc w:val="center"/>
              <w:rPr>
                <w:rFonts w:ascii="宋体" w:hAnsi="宋体" w:cs="宋体"/>
                <w:color w:val="auto"/>
                <w:sz w:val="24"/>
              </w:rPr>
            </w:pPr>
          </w:p>
        </w:tc>
        <w:tc>
          <w:tcPr>
            <w:tcW w:w="3119" w:type="dxa"/>
            <w:vAlign w:val="center"/>
          </w:tcPr>
          <w:p w14:paraId="60E1E28A">
            <w:pPr>
              <w:spacing w:line="360" w:lineRule="auto"/>
              <w:jc w:val="center"/>
              <w:rPr>
                <w:rFonts w:ascii="宋体" w:hAnsi="宋体" w:cs="宋体"/>
                <w:color w:val="auto"/>
                <w:sz w:val="24"/>
              </w:rPr>
            </w:pPr>
          </w:p>
        </w:tc>
      </w:tr>
      <w:tr w14:paraId="651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3DD454D">
            <w:pPr>
              <w:spacing w:line="360" w:lineRule="auto"/>
              <w:jc w:val="center"/>
              <w:rPr>
                <w:rFonts w:ascii="宋体" w:hAnsi="宋体" w:cs="宋体"/>
                <w:color w:val="auto"/>
                <w:sz w:val="24"/>
              </w:rPr>
            </w:pPr>
          </w:p>
        </w:tc>
        <w:tc>
          <w:tcPr>
            <w:tcW w:w="1417" w:type="dxa"/>
            <w:vAlign w:val="center"/>
          </w:tcPr>
          <w:p w14:paraId="6214CE7D">
            <w:pPr>
              <w:snapToGrid w:val="0"/>
              <w:spacing w:line="360" w:lineRule="auto"/>
              <w:jc w:val="center"/>
              <w:rPr>
                <w:rFonts w:ascii="宋体" w:hAnsi="宋体" w:cs="宋体"/>
                <w:color w:val="auto"/>
                <w:sz w:val="24"/>
              </w:rPr>
            </w:pPr>
          </w:p>
        </w:tc>
        <w:tc>
          <w:tcPr>
            <w:tcW w:w="1843" w:type="dxa"/>
            <w:vAlign w:val="center"/>
          </w:tcPr>
          <w:p w14:paraId="6FF84898">
            <w:pPr>
              <w:snapToGrid w:val="0"/>
              <w:spacing w:line="360" w:lineRule="auto"/>
              <w:jc w:val="center"/>
              <w:rPr>
                <w:rFonts w:ascii="宋体" w:hAnsi="宋体" w:cs="宋体"/>
                <w:color w:val="auto"/>
                <w:sz w:val="24"/>
              </w:rPr>
            </w:pPr>
          </w:p>
        </w:tc>
        <w:tc>
          <w:tcPr>
            <w:tcW w:w="3118" w:type="dxa"/>
            <w:vAlign w:val="center"/>
          </w:tcPr>
          <w:p w14:paraId="10A6355B">
            <w:pPr>
              <w:snapToGrid w:val="0"/>
              <w:spacing w:line="360" w:lineRule="auto"/>
              <w:jc w:val="center"/>
              <w:rPr>
                <w:rFonts w:ascii="宋体" w:hAnsi="宋体" w:cs="宋体"/>
                <w:color w:val="auto"/>
                <w:sz w:val="24"/>
              </w:rPr>
            </w:pPr>
          </w:p>
        </w:tc>
        <w:tc>
          <w:tcPr>
            <w:tcW w:w="993" w:type="dxa"/>
            <w:vAlign w:val="center"/>
          </w:tcPr>
          <w:p w14:paraId="6757ABE6">
            <w:pPr>
              <w:snapToGrid w:val="0"/>
              <w:spacing w:line="360" w:lineRule="auto"/>
              <w:jc w:val="center"/>
              <w:rPr>
                <w:rFonts w:ascii="宋体" w:hAnsi="宋体" w:cs="宋体"/>
                <w:color w:val="auto"/>
                <w:sz w:val="24"/>
              </w:rPr>
            </w:pPr>
          </w:p>
        </w:tc>
        <w:tc>
          <w:tcPr>
            <w:tcW w:w="1559" w:type="dxa"/>
            <w:vAlign w:val="center"/>
          </w:tcPr>
          <w:p w14:paraId="288DECDE">
            <w:pPr>
              <w:spacing w:line="360" w:lineRule="auto"/>
              <w:jc w:val="center"/>
              <w:rPr>
                <w:rFonts w:ascii="宋体" w:hAnsi="宋体" w:cs="宋体"/>
                <w:color w:val="auto"/>
                <w:sz w:val="24"/>
              </w:rPr>
            </w:pPr>
          </w:p>
        </w:tc>
        <w:tc>
          <w:tcPr>
            <w:tcW w:w="1984" w:type="dxa"/>
            <w:vAlign w:val="center"/>
          </w:tcPr>
          <w:p w14:paraId="2BED855B">
            <w:pPr>
              <w:spacing w:line="360" w:lineRule="auto"/>
              <w:jc w:val="center"/>
              <w:rPr>
                <w:rFonts w:ascii="宋体" w:hAnsi="宋体" w:cs="宋体"/>
                <w:color w:val="auto"/>
                <w:sz w:val="24"/>
              </w:rPr>
            </w:pPr>
          </w:p>
        </w:tc>
        <w:tc>
          <w:tcPr>
            <w:tcW w:w="3119" w:type="dxa"/>
            <w:vAlign w:val="center"/>
          </w:tcPr>
          <w:p w14:paraId="21CD8C13">
            <w:pPr>
              <w:spacing w:line="360" w:lineRule="auto"/>
              <w:jc w:val="center"/>
              <w:rPr>
                <w:rFonts w:ascii="宋体" w:hAnsi="宋体" w:cs="宋体"/>
                <w:color w:val="auto"/>
                <w:sz w:val="24"/>
              </w:rPr>
            </w:pPr>
          </w:p>
        </w:tc>
      </w:tr>
      <w:tr w14:paraId="4D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B7A92F5">
            <w:pPr>
              <w:spacing w:line="360" w:lineRule="auto"/>
              <w:jc w:val="center"/>
              <w:rPr>
                <w:rFonts w:ascii="宋体" w:hAnsi="宋体" w:cs="宋体"/>
                <w:color w:val="auto"/>
                <w:sz w:val="24"/>
              </w:rPr>
            </w:pPr>
          </w:p>
        </w:tc>
        <w:tc>
          <w:tcPr>
            <w:tcW w:w="1417" w:type="dxa"/>
            <w:vAlign w:val="center"/>
          </w:tcPr>
          <w:p w14:paraId="04776682">
            <w:pPr>
              <w:snapToGrid w:val="0"/>
              <w:spacing w:line="360" w:lineRule="auto"/>
              <w:jc w:val="center"/>
              <w:rPr>
                <w:rFonts w:ascii="宋体" w:hAnsi="宋体" w:cs="宋体"/>
                <w:color w:val="auto"/>
                <w:sz w:val="24"/>
              </w:rPr>
            </w:pPr>
          </w:p>
        </w:tc>
        <w:tc>
          <w:tcPr>
            <w:tcW w:w="1843" w:type="dxa"/>
            <w:vAlign w:val="center"/>
          </w:tcPr>
          <w:p w14:paraId="0C523331">
            <w:pPr>
              <w:snapToGrid w:val="0"/>
              <w:spacing w:line="360" w:lineRule="auto"/>
              <w:jc w:val="center"/>
              <w:rPr>
                <w:rFonts w:ascii="宋体" w:hAnsi="宋体" w:cs="宋体"/>
                <w:color w:val="auto"/>
                <w:sz w:val="24"/>
              </w:rPr>
            </w:pPr>
          </w:p>
        </w:tc>
        <w:tc>
          <w:tcPr>
            <w:tcW w:w="3118" w:type="dxa"/>
            <w:vAlign w:val="center"/>
          </w:tcPr>
          <w:p w14:paraId="183274AC">
            <w:pPr>
              <w:snapToGrid w:val="0"/>
              <w:spacing w:line="360" w:lineRule="auto"/>
              <w:jc w:val="center"/>
              <w:rPr>
                <w:rFonts w:ascii="宋体" w:hAnsi="宋体" w:cs="宋体"/>
                <w:color w:val="auto"/>
                <w:sz w:val="24"/>
              </w:rPr>
            </w:pPr>
          </w:p>
        </w:tc>
        <w:tc>
          <w:tcPr>
            <w:tcW w:w="993" w:type="dxa"/>
            <w:vAlign w:val="center"/>
          </w:tcPr>
          <w:p w14:paraId="58801E6D">
            <w:pPr>
              <w:snapToGrid w:val="0"/>
              <w:spacing w:line="360" w:lineRule="auto"/>
              <w:jc w:val="center"/>
              <w:rPr>
                <w:rFonts w:ascii="宋体" w:hAnsi="宋体" w:cs="宋体"/>
                <w:color w:val="auto"/>
                <w:sz w:val="24"/>
              </w:rPr>
            </w:pPr>
          </w:p>
        </w:tc>
        <w:tc>
          <w:tcPr>
            <w:tcW w:w="1559" w:type="dxa"/>
            <w:vAlign w:val="center"/>
          </w:tcPr>
          <w:p w14:paraId="1F96227B">
            <w:pPr>
              <w:spacing w:line="360" w:lineRule="auto"/>
              <w:jc w:val="center"/>
              <w:rPr>
                <w:rFonts w:ascii="宋体" w:hAnsi="宋体" w:cs="宋体"/>
                <w:color w:val="auto"/>
                <w:sz w:val="24"/>
              </w:rPr>
            </w:pPr>
          </w:p>
        </w:tc>
        <w:tc>
          <w:tcPr>
            <w:tcW w:w="1984" w:type="dxa"/>
            <w:vAlign w:val="center"/>
          </w:tcPr>
          <w:p w14:paraId="1FA04D38">
            <w:pPr>
              <w:spacing w:line="360" w:lineRule="auto"/>
              <w:jc w:val="center"/>
              <w:rPr>
                <w:rFonts w:ascii="宋体" w:hAnsi="宋体" w:cs="宋体"/>
                <w:color w:val="auto"/>
                <w:sz w:val="24"/>
              </w:rPr>
            </w:pPr>
          </w:p>
        </w:tc>
        <w:tc>
          <w:tcPr>
            <w:tcW w:w="3119" w:type="dxa"/>
            <w:vAlign w:val="center"/>
          </w:tcPr>
          <w:p w14:paraId="0CF97945">
            <w:pPr>
              <w:spacing w:line="360" w:lineRule="auto"/>
              <w:jc w:val="center"/>
              <w:rPr>
                <w:rFonts w:ascii="宋体" w:hAnsi="宋体" w:cs="宋体"/>
                <w:color w:val="auto"/>
                <w:sz w:val="24"/>
              </w:rPr>
            </w:pPr>
          </w:p>
        </w:tc>
      </w:tr>
      <w:tr w14:paraId="579F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5408F7B">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7655" w:type="dxa"/>
            <w:gridSpan w:val="4"/>
            <w:vAlign w:val="center"/>
          </w:tcPr>
          <w:p w14:paraId="6D85AC01">
            <w:pPr>
              <w:spacing w:line="360" w:lineRule="auto"/>
              <w:jc w:val="center"/>
              <w:rPr>
                <w:rFonts w:ascii="宋体" w:hAnsi="宋体" w:cs="宋体"/>
                <w:color w:val="auto"/>
                <w:sz w:val="24"/>
              </w:rPr>
            </w:pPr>
          </w:p>
        </w:tc>
      </w:tr>
      <w:tr w14:paraId="7EC1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89C91A7">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7655" w:type="dxa"/>
            <w:gridSpan w:val="4"/>
            <w:vAlign w:val="center"/>
          </w:tcPr>
          <w:p w14:paraId="21B00FDC">
            <w:pPr>
              <w:spacing w:line="360" w:lineRule="auto"/>
              <w:jc w:val="center"/>
              <w:rPr>
                <w:rFonts w:ascii="宋体" w:hAnsi="宋体" w:cs="宋体"/>
                <w:color w:val="auto"/>
                <w:sz w:val="24"/>
              </w:rPr>
            </w:pPr>
          </w:p>
        </w:tc>
      </w:tr>
    </w:tbl>
    <w:p w14:paraId="76C746A2">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6ABDF8D8">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14:paraId="3873211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0E4396C">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3、特别提示：采购代理机构将对项目名称和项目编号，中标人名称、地址和中标金额，主要中标标的名称、品牌（如果有）、规格型号、数量、单价等予以公示。</w:t>
      </w:r>
    </w:p>
    <w:p w14:paraId="42924A67">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E50102E">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、符合招标文件中列明的可享受本国产品优惠政策的投标人，请填写</w:t>
      </w:r>
      <w:r>
        <w:rPr>
          <w:rFonts w:hint="eastAsia" w:ascii="宋体" w:hAnsi="宋体" w:eastAsia="宋体" w:cs="宋体"/>
          <w:color w:val="auto"/>
          <w:sz w:val="24"/>
          <w:highlight w:val="none"/>
        </w:rPr>
        <w:t>关于符合本国产品标准的声明函</w:t>
      </w:r>
      <w:r>
        <w:rPr>
          <w:rFonts w:hint="eastAsia" w:ascii="宋体" w:hAnsi="宋体" w:eastAsia="宋体" w:cs="宋体"/>
          <w:color w:val="auto"/>
          <w:sz w:val="24"/>
          <w:highlight w:val="none"/>
          <w:lang w:val="en-US" w:eastAsia="zh-CN"/>
        </w:rPr>
        <w:t>或财政部会同有关部门规定的有关证明文件、关于符合本国产品标准的成本占比的承诺函</w:t>
      </w:r>
      <w:r>
        <w:rPr>
          <w:rFonts w:hint="eastAsia" w:ascii="宋体" w:hAnsi="宋体" w:cs="宋体"/>
          <w:color w:val="auto"/>
          <w:kern w:val="0"/>
          <w:sz w:val="24"/>
          <w:lang w:val="zh-CN"/>
        </w:rPr>
        <w:t>。注：投标人提供的材料内容不实的，属于提供虚假材料谋取中标、成交，依照《中华人民共和国政府采购法》等国家有关规定追究相应责任。</w:t>
      </w:r>
    </w:p>
    <w:p w14:paraId="07FDBEDF">
      <w:pPr>
        <w:snapToGrid w:val="0"/>
        <w:spacing w:line="360" w:lineRule="auto"/>
        <w:ind w:firstLine="576"/>
        <w:jc w:val="center"/>
        <w:rPr>
          <w:rFonts w:hint="eastAsia" w:ascii="宋体" w:hAnsi="宋体" w:cs="宋体"/>
          <w:color w:val="auto"/>
          <w:kern w:val="0"/>
          <w:sz w:val="24"/>
          <w:lang w:val="en-US" w:eastAsia="zh-CN"/>
        </w:rPr>
      </w:pPr>
    </w:p>
    <w:p w14:paraId="5CF9433E">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2F71726F">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日期：</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w:t>
      </w:r>
    </w:p>
    <w:p w14:paraId="6227E5A0">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14:paraId="7B37BBED">
      <w:pPr>
        <w:pStyle w:val="691"/>
        <w:keepNext w:val="0"/>
        <w:pageBreakBefore w:val="0"/>
        <w:tabs>
          <w:tab w:val="clear" w:pos="720"/>
        </w:tabs>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中小企业声明函（如果有）</w:t>
      </w:r>
    </w:p>
    <w:p w14:paraId="160283F2">
      <w:pPr>
        <w:widowControl/>
        <w:spacing w:line="360" w:lineRule="auto"/>
        <w:ind w:firstLine="120" w:firstLineChars="50"/>
        <w:jc w:val="left"/>
        <w:rPr>
          <w:rFonts w:hint="eastAsia" w:ascii="宋体" w:hAnsi="宋体" w:cs="宋体"/>
          <w:b/>
          <w:color w:val="auto"/>
          <w:sz w:val="24"/>
        </w:rPr>
        <w:sectPr>
          <w:headerReference r:id="rId15" w:type="first"/>
          <w:footerReference r:id="rId18" w:type="first"/>
          <w:headerReference r:id="rId14" w:type="default"/>
          <w:footerReference r:id="rId16" w:type="default"/>
          <w:footerReference r:id="rId17" w:type="even"/>
          <w:pgSz w:w="11906" w:h="16838"/>
          <w:pgMar w:top="1276" w:right="1418" w:bottom="1247" w:left="1418" w:header="851" w:footer="992" w:gutter="0"/>
          <w:cols w:space="720" w:num="1"/>
          <w:titlePg/>
          <w:docGrid w:linePitch="312" w:charSpace="0"/>
        </w:sect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1843EE41">
      <w:pPr>
        <w:spacing w:after="240"/>
        <w:jc w:val="center"/>
        <w:outlineLvl w:val="1"/>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三、关于符合本国产品标准的声明函（如果有）</w:t>
      </w:r>
    </w:p>
    <w:p w14:paraId="35D9C35D">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09D7F4C5">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w:t>
      </w:r>
      <w:r>
        <w:rPr>
          <w:rFonts w:hint="eastAsia" w:asciiTheme="minorEastAsia" w:hAnsiTheme="minorEastAsia" w:eastAsiaTheme="minorEastAsia" w:cstheme="minorEastAsia"/>
          <w:b/>
          <w:bCs/>
          <w:kern w:val="0"/>
          <w:sz w:val="24"/>
          <w:szCs w:val="20"/>
          <w:u w:val="single"/>
          <w:lang w:val="en-US" w:eastAsia="zh-CN"/>
        </w:rPr>
        <w:t>（产品名称1）</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1</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2</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3</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4</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5</w:t>
      </w:r>
      <w:r>
        <w:rPr>
          <w:rFonts w:hint="eastAsia" w:asciiTheme="minorEastAsia" w:hAnsiTheme="minorEastAsia" w:eastAsiaTheme="minorEastAsia" w:cstheme="minorEastAsia"/>
          <w:kern w:val="0"/>
          <w:sz w:val="24"/>
          <w:szCs w:val="20"/>
          <w:lang w:val="en-US" w:eastAsia="zh-CN"/>
        </w:rPr>
        <w:t>在中国境内完成。</w:t>
      </w:r>
    </w:p>
    <w:p w14:paraId="048FFE78">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0"/>
          <w:lang w:val="en-US" w:eastAsia="zh-CN"/>
        </w:rPr>
        <w:t>2.</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Fonts w:hint="eastAsia" w:asciiTheme="minorEastAsia" w:hAnsiTheme="minorEastAsia" w:eastAsiaTheme="minorEastAsia" w:cstheme="minorEastAsia"/>
          <w:kern w:val="0"/>
          <w:sz w:val="24"/>
          <w:szCs w:val="20"/>
          <w:lang w:val="en-US" w:eastAsia="zh-CN"/>
        </w:rPr>
        <w:t>在中国境内完成。</w:t>
      </w:r>
    </w:p>
    <w:p w14:paraId="1568D6C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eastAsiaTheme="minorEastAsia" w:cstheme="minorEastAsia"/>
          <w:color w:val="auto"/>
          <w:kern w:val="0"/>
          <w:sz w:val="24"/>
          <w:lang w:val="en-US" w:eastAsia="zh-CN"/>
        </w:rPr>
        <w:t>……</w:t>
      </w:r>
    </w:p>
    <w:p w14:paraId="4DC06FFE">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本公司（单位）对上述声明内容的真实性负责。如有虚假，愿承担相应法律责任。</w:t>
      </w:r>
    </w:p>
    <w:p w14:paraId="23EF78C9">
      <w:pPr>
        <w:snapToGrid w:val="0"/>
        <w:spacing w:line="360" w:lineRule="auto"/>
        <w:ind w:firstLine="576"/>
        <w:rPr>
          <w:rFonts w:hint="eastAsia" w:ascii="宋体" w:hAnsi="宋体" w:eastAsia="宋体" w:cs="宋体"/>
          <w:color w:val="auto"/>
          <w:kern w:val="0"/>
          <w:sz w:val="24"/>
          <w:lang w:val="en-US" w:eastAsia="zh-CN"/>
        </w:rPr>
      </w:pPr>
    </w:p>
    <w:p w14:paraId="516E82FA">
      <w:pPr>
        <w:pStyle w:val="23"/>
        <w:rPr>
          <w:rFonts w:hint="eastAsia"/>
          <w:lang w:val="en-US" w:eastAsia="zh-CN"/>
        </w:rPr>
      </w:pPr>
    </w:p>
    <w:p w14:paraId="525D182E">
      <w:pPr>
        <w:keepNext w:val="0"/>
        <w:keepLines w:val="0"/>
        <w:pageBreakBefore w:val="0"/>
        <w:widowControl w:val="0"/>
        <w:kinsoku/>
        <w:wordWrap/>
        <w:overflowPunct/>
        <w:topLinePunct w:val="0"/>
        <w:autoSpaceDE/>
        <w:autoSpaceDN/>
        <w:bidi w:val="0"/>
        <w:adjustRightInd w:val="0"/>
        <w:snapToGrid w:val="0"/>
        <w:spacing w:line="360" w:lineRule="auto"/>
        <w:ind w:firstLine="578"/>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r>
        <w:rPr>
          <w:rFonts w:hint="eastAsia" w:ascii="宋体" w:hAnsi="宋体" w:eastAsia="宋体" w:cs="宋体"/>
          <w:color w:val="auto"/>
          <w:kern w:val="0"/>
          <w:sz w:val="24"/>
          <w:lang w:val="en-US" w:eastAsia="zh-CN"/>
        </w:rPr>
        <w:t>　  </w:t>
      </w:r>
    </w:p>
    <w:p w14:paraId="491E935F">
      <w:pPr>
        <w:keepNext w:val="0"/>
        <w:keepLines w:val="0"/>
        <w:pageBreakBefore w:val="0"/>
        <w:widowControl w:val="0"/>
        <w:kinsoku/>
        <w:wordWrap/>
        <w:overflowPunct/>
        <w:topLinePunct w:val="0"/>
        <w:autoSpaceDE/>
        <w:autoSpaceDN/>
        <w:bidi w:val="0"/>
        <w:adjustRightInd w:val="0"/>
        <w:snapToGrid w:val="0"/>
        <w:spacing w:line="360" w:lineRule="auto"/>
        <w:ind w:firstLine="578"/>
        <w:jc w:val="right"/>
        <w:textAlignment w:val="auto"/>
        <w:rPr>
          <w:rFonts w:hint="eastAsia" w:ascii="宋体" w:hAnsi="宋体" w:eastAsia="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　  年　  月 　日       </w:t>
      </w:r>
      <w:r>
        <w:rPr>
          <w:rFonts w:hint="eastAsia" w:ascii="宋体" w:hAnsi="宋体" w:eastAsia="宋体" w:cs="宋体"/>
          <w:color w:val="auto"/>
          <w:kern w:val="0"/>
          <w:sz w:val="24"/>
          <w:lang w:val="zh-CN"/>
        </w:rPr>
        <w:t> </w:t>
      </w:r>
    </w:p>
    <w:p w14:paraId="1AFD6EB7">
      <w:pPr>
        <w:snapToGrid w:val="0"/>
        <w:spacing w:line="360" w:lineRule="auto"/>
        <w:rPr>
          <w:rFonts w:hint="eastAsia" w:ascii="宋体" w:hAnsi="宋体" w:eastAsia="宋体" w:cs="宋体"/>
          <w:color w:val="auto"/>
          <w:kern w:val="0"/>
          <w:sz w:val="24"/>
          <w:lang w:val="en-US" w:eastAsia="zh-CN"/>
        </w:rPr>
      </w:pPr>
      <w:r>
        <w:rPr>
          <w:rFonts w:hint="eastAsia" w:ascii="宋体" w:hAnsi="宋体" w:cs="宋体"/>
          <w:color w:val="auto"/>
          <w:sz w:val="24"/>
          <w:u w:val="dotted"/>
        </w:rPr>
        <w:t xml:space="preserve">                                          </w:t>
      </w:r>
    </w:p>
    <w:p w14:paraId="1C55F5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1.产品如有型号，请在“产品名称”栏一并填写。</w:t>
      </w:r>
    </w:p>
    <w:p w14:paraId="54962E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2.生产厂名与厂址应与生产厂营业执照载明的相关信息保持一致。</w:t>
      </w:r>
    </w:p>
    <w:p w14:paraId="4FE84FAC">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3.该产品的中国境内生产的组件成本占比相关要求实施前，“规定比例”栏可不填，下同。</w:t>
      </w:r>
    </w:p>
    <w:p w14:paraId="5A6366E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4.该产品的关键组件要求实施前，“关键组件”栏可不填，下同。</w:t>
      </w:r>
    </w:p>
    <w:p w14:paraId="59CC0FC0">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5.该产品的关键工序要求实施前，“关键工序”栏可不填，下同。</w:t>
      </w:r>
    </w:p>
    <w:p w14:paraId="276AE212">
      <w:pPr>
        <w:snapToGrid w:val="0"/>
        <w:spacing w:line="360" w:lineRule="auto"/>
        <w:ind w:firstLine="576"/>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6.本函或有关证明文件随中标、成交结果同时公告。</w:t>
      </w:r>
    </w:p>
    <w:p w14:paraId="2A45FF08">
      <w:pPr>
        <w:snapToGrid/>
        <w:rPr>
          <w:rFonts w:hint="eastAsia" w:ascii="仿宋" w:hAnsi="仿宋" w:eastAsia="仿宋" w:cs="Times New Roman"/>
          <w:color w:val="000000"/>
          <w:sz w:val="30"/>
          <w:szCs w:val="30"/>
        </w:rPr>
      </w:pPr>
      <w:r>
        <w:rPr>
          <w:rFonts w:hint="eastAsia" w:ascii="宋体" w:hAnsi="宋体" w:eastAsia="宋体" w:cs="宋体"/>
          <w:b/>
          <w:color w:val="auto"/>
          <w:kern w:val="44"/>
          <w:sz w:val="32"/>
          <w:szCs w:val="32"/>
          <w:lang w:val="en-US" w:eastAsia="zh-CN" w:bidi="ar-SA"/>
        </w:rPr>
        <w:br w:type="page"/>
      </w:r>
    </w:p>
    <w:p w14:paraId="3E080D0C">
      <w:pPr>
        <w:numPr>
          <w:ilvl w:val="0"/>
          <w:numId w:val="19"/>
        </w:numPr>
        <w:spacing w:after="240"/>
        <w:jc w:val="center"/>
        <w:outlineLvl w:val="1"/>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关于符合本国产品标准的成本占比的承诺函</w:t>
      </w:r>
    </w:p>
    <w:p w14:paraId="358E39BC">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（当采购项目或者采购包中含有多种产品，供应商为该采购项目或者采购包提供的符合本国产品标准的产品成本之和占该供应商提供的全部产品成本之和的比例达到80%以上时须提供）</w:t>
      </w:r>
    </w:p>
    <w:p w14:paraId="7EC05C0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本公司（单位）郑重声明，根据《国务院办公厅关于在政府采购中实施本国产品标准及相关政策的通知》（国办发〔2025〕34号）的规定，本公司（单位）提供的产品符合本国产品标准的成本占比。具体情况如下：</w:t>
      </w:r>
    </w:p>
    <w:p w14:paraId="7D5A3996">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 w:eastAsia="zh-CN"/>
        </w:rPr>
        <w:t>采购项目名称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eastAsia="宋体" w:cs="宋体"/>
          <w:color w:val="auto"/>
          <w:kern w:val="0"/>
          <w:sz w:val="24"/>
          <w:highlight w:val="none"/>
          <w:lang w:val="en-US" w:eastAsia="zh-CN"/>
        </w:rPr>
        <w:t>，提供的符合本国产品标准的产品成本之和占提供的全部产品成本之和的比例≥80%。</w:t>
      </w:r>
    </w:p>
    <w:p w14:paraId="5BA827E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本公司（单位）对上述声明内容的真实性负责。如有虚假，愿承担相应法律责任。</w:t>
      </w:r>
    </w:p>
    <w:p w14:paraId="63417B4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p>
    <w:p w14:paraId="7F58C70B">
      <w:pPr>
        <w:keepNext w:val="0"/>
        <w:keepLines w:val="0"/>
        <w:pageBreakBefore w:val="0"/>
        <w:kinsoku/>
        <w:wordWrap/>
        <w:overflowPunct/>
        <w:topLinePunct w:val="0"/>
        <w:autoSpaceDE/>
        <w:autoSpaceDN/>
        <w:bidi w:val="0"/>
        <w:adjustRightInd w:val="0"/>
        <w:snapToGrid w:val="0"/>
        <w:spacing w:line="360" w:lineRule="auto"/>
        <w:ind w:firstLine="576"/>
        <w:jc w:val="righ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68E28A8">
      <w:pPr>
        <w:keepNext w:val="0"/>
        <w:keepLines w:val="0"/>
        <w:pageBreakBefore w:val="0"/>
        <w:kinsoku/>
        <w:wordWrap/>
        <w:overflowPunct/>
        <w:topLinePunct w:val="0"/>
        <w:autoSpaceDE/>
        <w:autoSpaceDN/>
        <w:bidi w:val="0"/>
        <w:adjustRightInd w:val="0"/>
        <w:snapToGrid w:val="0"/>
        <w:spacing w:line="360" w:lineRule="auto"/>
        <w:ind w:firstLine="576"/>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月   日</w:t>
      </w:r>
    </w:p>
    <w:p w14:paraId="6F61C398">
      <w:pP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br w:type="page"/>
      </w:r>
    </w:p>
    <w:p w14:paraId="7A1D39F2">
      <w:pPr>
        <w:spacing w:after="240"/>
        <w:jc w:val="center"/>
        <w:outlineLvl w:val="1"/>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中国境内生产的组件成本核算基本规则</w:t>
      </w:r>
    </w:p>
    <w:p w14:paraId="5BE84017">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8E22BAA">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一、产品的一级组件是指直接组成产品的组件。产品的二级组件是指直接组成产品一级组件的组件。一级组件不可分解的，视同二级组件。</w:t>
      </w:r>
    </w:p>
    <w:p w14:paraId="2BD87FAC">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二、二级组件在中国境内生产的，其全部成本计入中国境内生产的组件成本；二级组件不在中国境内生产的，其成本不计入中国境内生产的组件成本。</w:t>
      </w:r>
    </w:p>
    <w:p w14:paraId="47DF4CB3">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三、产品总成本和组件成本以相关会计核算数据、采购合同、进货记录等为基础进行计算。</w:t>
      </w:r>
    </w:p>
    <w:p w14:paraId="4BC21C4B">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四、需要对成本核算规则予以进一步明确的其他有关事项，由财政部会同有关部门另行规定。</w:t>
      </w:r>
    </w:p>
    <w:p w14:paraId="1923CDA5">
      <w:pPr>
        <w:pStyle w:val="61"/>
        <w:sectPr>
          <w:pgSz w:w="11906" w:h="16838"/>
          <w:pgMar w:top="1276" w:right="1418" w:bottom="1247" w:left="1418" w:header="851" w:footer="992" w:gutter="0"/>
          <w:cols w:space="720" w:num="1"/>
          <w:titlePg/>
          <w:docGrid w:linePitch="312" w:charSpace="0"/>
        </w:sectPr>
      </w:pPr>
    </w:p>
    <w:p w14:paraId="62A80F36">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rPr>
      </w:pPr>
      <w:r>
        <w:rPr>
          <w:rFonts w:hint="eastAsia" w:ascii="宋体" w:hAnsi="宋体" w:cs="宋体"/>
          <w:color w:val="auto"/>
        </w:rPr>
        <w:t>附件</w:t>
      </w:r>
    </w:p>
    <w:p w14:paraId="7EFEBABF">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1CAF288A">
      <w:pPr>
        <w:spacing w:line="360" w:lineRule="auto"/>
        <w:jc w:val="center"/>
        <w:rPr>
          <w:rFonts w:ascii="宋体" w:hAnsi="宋体" w:cs="宋体"/>
          <w:b/>
          <w:color w:val="auto"/>
          <w:spacing w:val="6"/>
          <w:sz w:val="32"/>
          <w:szCs w:val="32"/>
        </w:rPr>
      </w:pPr>
      <w:bookmarkStart w:id="401" w:name="OLE_LINK14"/>
      <w:bookmarkStart w:id="402" w:name="OLE_LINK13"/>
      <w:r>
        <w:rPr>
          <w:rFonts w:hint="eastAsia" w:ascii="宋体" w:hAnsi="宋体" w:cs="宋体"/>
          <w:b/>
          <w:color w:val="auto"/>
          <w:spacing w:val="6"/>
          <w:sz w:val="32"/>
          <w:szCs w:val="32"/>
        </w:rPr>
        <w:t>残疾人福利性单位声明函</w:t>
      </w:r>
    </w:p>
    <w:bookmarkEnd w:id="401"/>
    <w:bookmarkEnd w:id="402"/>
    <w:p w14:paraId="0C2DB38A">
      <w:pPr>
        <w:spacing w:line="360" w:lineRule="auto"/>
        <w:rPr>
          <w:rFonts w:ascii="宋体" w:hAnsi="宋体" w:cs="宋体"/>
          <w:b/>
          <w:color w:val="auto"/>
          <w:spacing w:val="6"/>
          <w:sz w:val="30"/>
          <w:szCs w:val="30"/>
        </w:rPr>
      </w:pPr>
    </w:p>
    <w:p w14:paraId="51F7AA07">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(采购人)</w:t>
      </w:r>
      <w:r>
        <w:rPr>
          <w:rFonts w:hint="eastAsia" w:ascii="宋体" w:hAnsi="宋体" w:cs="宋体"/>
          <w:color w:val="auto"/>
          <w:sz w:val="24"/>
          <w:u w:val="single"/>
          <w:lang w:val="en-US" w:eastAsia="zh-CN"/>
        </w:rPr>
        <w:t xml:space="preserve"> </w:t>
      </w:r>
      <w:r>
        <w:rPr>
          <w:rFonts w:hint="eastAsia" w:ascii="宋体" w:hAnsi="宋体" w:cs="宋体"/>
          <w:color w:val="auto"/>
          <w:sz w:val="24"/>
        </w:rPr>
        <w:t>单位的</w:t>
      </w:r>
      <w:r>
        <w:rPr>
          <w:rFonts w:hint="eastAsia" w:ascii="宋体" w:hAnsi="宋体" w:cs="宋体"/>
          <w:color w:val="auto"/>
          <w:sz w:val="24"/>
          <w:u w:val="single"/>
          <w:lang w:val="en-US" w:eastAsia="zh-CN"/>
        </w:rPr>
        <w:t xml:space="preserve"> （采购项目名称）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314C708C">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263325E5">
      <w:pPr>
        <w:spacing w:line="360" w:lineRule="auto"/>
        <w:ind w:firstLine="480" w:firstLineChars="200"/>
        <w:rPr>
          <w:rFonts w:ascii="宋体" w:hAnsi="宋体" w:cs="宋体"/>
          <w:color w:val="auto"/>
          <w:sz w:val="24"/>
        </w:rPr>
      </w:pPr>
    </w:p>
    <w:p w14:paraId="36C31F32">
      <w:pPr>
        <w:spacing w:line="360" w:lineRule="auto"/>
        <w:ind w:firstLine="480" w:firstLineChars="200"/>
        <w:rPr>
          <w:rFonts w:ascii="宋体" w:hAnsi="宋体" w:cs="宋体"/>
          <w:color w:val="auto"/>
          <w:sz w:val="24"/>
        </w:rPr>
      </w:pPr>
    </w:p>
    <w:p w14:paraId="7902AF65">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sz w:val="24"/>
        </w:rPr>
        <w:t>：</w:t>
      </w:r>
    </w:p>
    <w:p w14:paraId="2B7A2A4F">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月   日</w:t>
      </w:r>
    </w:p>
    <w:p w14:paraId="18420501">
      <w:pPr>
        <w:spacing w:line="360" w:lineRule="auto"/>
        <w:rPr>
          <w:rFonts w:ascii="宋体" w:hAnsi="宋体" w:cs="宋体"/>
          <w:b/>
          <w:color w:val="auto"/>
          <w:sz w:val="24"/>
        </w:rPr>
      </w:pPr>
    </w:p>
    <w:p w14:paraId="5A357533">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3327605">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0BAE7896">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0D8400DB">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24151770">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38E2C6CF">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FD4AD2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01BFFD8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0CA77EF1">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5276A7F">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E0DD6D9">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17C44EDD">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688DF47B">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98A7956">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D36B6BC">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2CAE9166">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633F8E75">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7D395C26">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334957A9">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3C8DD4C">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7522266">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976CF22">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20523ED9">
      <w:pPr>
        <w:snapToGrid w:val="0"/>
        <w:spacing w:line="360" w:lineRule="auto"/>
        <w:rPr>
          <w:rFonts w:ascii="宋体" w:hAnsi="宋体" w:cs="宋体"/>
          <w:color w:val="auto"/>
          <w:sz w:val="24"/>
        </w:rPr>
      </w:pPr>
      <w:r>
        <w:rPr>
          <w:rFonts w:hint="eastAsia" w:ascii="宋体" w:hAnsi="宋体" w:cs="宋体"/>
          <w:color w:val="auto"/>
          <w:sz w:val="24"/>
        </w:rPr>
        <w:t>……</w:t>
      </w:r>
    </w:p>
    <w:p w14:paraId="524F86B0">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4065ED3B">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60F17E8D">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6137C5C">
      <w:pPr>
        <w:spacing w:line="360" w:lineRule="auto"/>
        <w:rPr>
          <w:rFonts w:ascii="宋体" w:hAnsi="宋体" w:cs="宋体"/>
          <w:color w:val="auto"/>
          <w:sz w:val="24"/>
        </w:rPr>
      </w:pPr>
      <w:r>
        <w:rPr>
          <w:rFonts w:hint="eastAsia" w:ascii="宋体" w:hAnsi="宋体" w:cs="宋体"/>
          <w:color w:val="auto"/>
          <w:sz w:val="24"/>
        </w:rPr>
        <w:t xml:space="preserve">日期：    </w:t>
      </w:r>
    </w:p>
    <w:p w14:paraId="4AB77D80">
      <w:pPr>
        <w:rPr>
          <w:rFonts w:hint="eastAsia" w:ascii="宋体" w:hAnsi="宋体" w:cs="宋体"/>
          <w:b/>
          <w:color w:val="auto"/>
          <w:sz w:val="24"/>
        </w:rPr>
      </w:pPr>
      <w:r>
        <w:rPr>
          <w:rFonts w:hint="eastAsia" w:ascii="宋体" w:hAnsi="宋体" w:cs="宋体"/>
          <w:b/>
          <w:color w:val="auto"/>
          <w:sz w:val="24"/>
        </w:rPr>
        <w:br w:type="page"/>
      </w:r>
    </w:p>
    <w:p w14:paraId="4DF640D9">
      <w:pPr>
        <w:spacing w:line="360" w:lineRule="auto"/>
        <w:rPr>
          <w:rFonts w:ascii="宋体" w:hAnsi="宋体" w:cs="宋体"/>
          <w:b/>
          <w:color w:val="auto"/>
          <w:sz w:val="24"/>
        </w:rPr>
      </w:pPr>
      <w:r>
        <w:rPr>
          <w:rFonts w:hint="eastAsia" w:ascii="宋体" w:hAnsi="宋体" w:cs="宋体"/>
          <w:b/>
          <w:color w:val="auto"/>
          <w:sz w:val="24"/>
        </w:rPr>
        <w:t>质疑函制作说明：</w:t>
      </w:r>
    </w:p>
    <w:p w14:paraId="4A60036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093BA09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56943F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551D736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993DA6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2F34A7B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017F84E5">
      <w:pPr>
        <w:widowControl/>
        <w:spacing w:line="360" w:lineRule="auto"/>
        <w:ind w:firstLine="600" w:firstLineChars="200"/>
        <w:jc w:val="left"/>
        <w:rPr>
          <w:rFonts w:ascii="宋体" w:hAnsi="宋体" w:cs="宋体"/>
          <w:color w:val="auto"/>
          <w:sz w:val="30"/>
          <w:szCs w:val="30"/>
        </w:rPr>
      </w:pPr>
    </w:p>
    <w:p w14:paraId="7EFEEF3F">
      <w:pPr>
        <w:spacing w:line="360" w:lineRule="auto"/>
        <w:jc w:val="center"/>
        <w:rPr>
          <w:rFonts w:ascii="宋体" w:hAnsi="宋体" w:cs="宋体"/>
          <w:b/>
          <w:color w:val="auto"/>
          <w:spacing w:val="6"/>
          <w:sz w:val="32"/>
          <w:szCs w:val="32"/>
        </w:rPr>
      </w:pPr>
    </w:p>
    <w:p w14:paraId="5CF020DF">
      <w:pPr>
        <w:spacing w:line="360" w:lineRule="auto"/>
        <w:jc w:val="center"/>
        <w:rPr>
          <w:rFonts w:ascii="宋体" w:hAnsi="宋体" w:cs="宋体"/>
          <w:b/>
          <w:color w:val="auto"/>
          <w:spacing w:val="6"/>
          <w:sz w:val="32"/>
          <w:szCs w:val="32"/>
        </w:rPr>
      </w:pPr>
    </w:p>
    <w:p w14:paraId="695FF28C">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7523745E">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627B8FEE">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29B9AB02">
      <w:pPr>
        <w:spacing w:line="360" w:lineRule="auto"/>
        <w:rPr>
          <w:rFonts w:ascii="宋体" w:hAnsi="宋体" w:cs="宋体"/>
          <w:color w:val="auto"/>
          <w:sz w:val="24"/>
        </w:rPr>
      </w:pPr>
      <w:r>
        <w:rPr>
          <w:rFonts w:hint="eastAsia" w:ascii="宋体" w:hAnsi="宋体" w:cs="宋体"/>
          <w:color w:val="auto"/>
          <w:sz w:val="24"/>
        </w:rPr>
        <w:t>一、投诉相关主体基本情况</w:t>
      </w:r>
    </w:p>
    <w:p w14:paraId="414F5CA3">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74768E64">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17964BB">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6C0474D">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25974324">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6C623B20">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E4C81EB">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p>
    <w:p w14:paraId="354B4A81">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00550FB">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13876C5">
      <w:pPr>
        <w:spacing w:line="360" w:lineRule="auto"/>
        <w:rPr>
          <w:rFonts w:ascii="宋体" w:hAnsi="宋体" w:cs="宋体"/>
          <w:color w:val="auto"/>
          <w:sz w:val="24"/>
        </w:rPr>
      </w:pPr>
      <w:r>
        <w:rPr>
          <w:rFonts w:hint="eastAsia" w:ascii="宋体" w:hAnsi="宋体" w:cs="宋体"/>
          <w:color w:val="auto"/>
          <w:sz w:val="24"/>
        </w:rPr>
        <w:t>被投诉人2</w:t>
      </w:r>
    </w:p>
    <w:p w14:paraId="3F9E1AFA">
      <w:pPr>
        <w:spacing w:line="360" w:lineRule="auto"/>
        <w:rPr>
          <w:rFonts w:ascii="宋体" w:hAnsi="宋体" w:cs="宋体"/>
          <w:color w:val="auto"/>
          <w:sz w:val="24"/>
          <w:u w:val="dotted"/>
        </w:rPr>
      </w:pPr>
      <w:r>
        <w:rPr>
          <w:rFonts w:hint="eastAsia" w:ascii="宋体" w:hAnsi="宋体" w:cs="宋体"/>
          <w:color w:val="auto"/>
          <w:sz w:val="24"/>
        </w:rPr>
        <w:t>……</w:t>
      </w:r>
    </w:p>
    <w:p w14:paraId="4B2FCFDE">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p>
    <w:p w14:paraId="13FF460F">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170FBE18">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2137ED4">
      <w:pPr>
        <w:spacing w:line="360" w:lineRule="auto"/>
        <w:rPr>
          <w:rFonts w:ascii="宋体" w:hAnsi="宋体" w:cs="宋体"/>
          <w:color w:val="auto"/>
          <w:sz w:val="24"/>
        </w:rPr>
      </w:pPr>
      <w:r>
        <w:rPr>
          <w:rFonts w:hint="eastAsia" w:ascii="宋体" w:hAnsi="宋体" w:cs="宋体"/>
          <w:color w:val="auto"/>
          <w:sz w:val="24"/>
        </w:rPr>
        <w:t>二、投诉项目基本情况</w:t>
      </w:r>
    </w:p>
    <w:p w14:paraId="5B237181">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7F6A56BA">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26A2549">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48727626">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70953E73">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6F32BF85">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56E8C172">
      <w:pPr>
        <w:spacing w:line="360" w:lineRule="auto"/>
        <w:rPr>
          <w:rFonts w:ascii="宋体" w:hAnsi="宋体" w:cs="宋体"/>
          <w:color w:val="auto"/>
          <w:sz w:val="24"/>
        </w:rPr>
      </w:pPr>
      <w:r>
        <w:rPr>
          <w:rFonts w:hint="eastAsia" w:ascii="宋体" w:hAnsi="宋体" w:cs="宋体"/>
          <w:color w:val="auto"/>
          <w:sz w:val="24"/>
        </w:rPr>
        <w:t>三、质疑基本情况</w:t>
      </w:r>
    </w:p>
    <w:p w14:paraId="7B9445E1">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1138471C">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456095C">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14:paraId="60C1CADC">
      <w:pPr>
        <w:spacing w:line="360" w:lineRule="auto"/>
        <w:rPr>
          <w:rFonts w:ascii="宋体" w:hAnsi="宋体" w:cs="宋体"/>
          <w:color w:val="auto"/>
          <w:sz w:val="24"/>
        </w:rPr>
      </w:pPr>
      <w:r>
        <w:rPr>
          <w:rFonts w:hint="eastAsia" w:ascii="宋体" w:hAnsi="宋体" w:cs="宋体"/>
          <w:color w:val="auto"/>
          <w:sz w:val="24"/>
        </w:rPr>
        <w:t>四、投诉事项具体内容</w:t>
      </w:r>
    </w:p>
    <w:p w14:paraId="0FB3641C">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12A75A56">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30BDF573">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41CFA527">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84ACE2F">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B7081AF">
      <w:pPr>
        <w:spacing w:line="360" w:lineRule="auto"/>
        <w:rPr>
          <w:rFonts w:ascii="宋体" w:hAnsi="宋体" w:cs="宋体"/>
          <w:color w:val="auto"/>
          <w:sz w:val="24"/>
        </w:rPr>
      </w:pPr>
      <w:r>
        <w:rPr>
          <w:rFonts w:hint="eastAsia" w:ascii="宋体" w:hAnsi="宋体" w:cs="宋体"/>
          <w:color w:val="auto"/>
          <w:sz w:val="24"/>
        </w:rPr>
        <w:t>投诉事项2</w:t>
      </w:r>
    </w:p>
    <w:p w14:paraId="29ED1C31">
      <w:pPr>
        <w:spacing w:line="360" w:lineRule="auto"/>
        <w:rPr>
          <w:rFonts w:ascii="宋体" w:hAnsi="宋体" w:cs="宋体"/>
          <w:color w:val="auto"/>
          <w:sz w:val="24"/>
          <w:u w:val="dotted"/>
        </w:rPr>
      </w:pPr>
      <w:r>
        <w:rPr>
          <w:rFonts w:hint="eastAsia" w:ascii="宋体" w:hAnsi="宋体" w:cs="宋体"/>
          <w:color w:val="auto"/>
          <w:sz w:val="24"/>
        </w:rPr>
        <w:t>……</w:t>
      </w:r>
    </w:p>
    <w:p w14:paraId="0AAD9B36">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13897767">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34B1EA8">
      <w:pPr>
        <w:spacing w:line="360" w:lineRule="auto"/>
        <w:rPr>
          <w:rFonts w:ascii="宋体" w:hAnsi="宋体" w:cs="宋体"/>
          <w:color w:val="auto"/>
          <w:sz w:val="24"/>
          <w:u w:val="single"/>
        </w:rPr>
      </w:pPr>
      <w:r>
        <w:rPr>
          <w:rFonts w:hint="eastAsia" w:ascii="宋体" w:hAnsi="宋体" w:cs="宋体"/>
          <w:color w:val="auto"/>
          <w:sz w:val="24"/>
        </w:rPr>
        <w:t xml:space="preserve">                                                                                                    </w:t>
      </w:r>
    </w:p>
    <w:p w14:paraId="22BF07B2">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6A17D09">
      <w:pPr>
        <w:spacing w:line="360" w:lineRule="auto"/>
        <w:rPr>
          <w:rFonts w:ascii="宋体" w:hAnsi="宋体" w:cs="宋体"/>
          <w:color w:val="auto"/>
          <w:sz w:val="24"/>
        </w:rPr>
      </w:pPr>
      <w:r>
        <w:rPr>
          <w:rFonts w:hint="eastAsia" w:ascii="宋体" w:hAnsi="宋体" w:cs="宋体"/>
          <w:color w:val="auto"/>
          <w:sz w:val="24"/>
        </w:rPr>
        <w:t xml:space="preserve">日期：    </w:t>
      </w:r>
    </w:p>
    <w:p w14:paraId="63C21AFA">
      <w:pPr>
        <w:spacing w:line="360" w:lineRule="auto"/>
        <w:rPr>
          <w:rFonts w:ascii="宋体" w:hAnsi="宋体" w:cs="宋体"/>
          <w:b/>
          <w:color w:val="auto"/>
          <w:sz w:val="24"/>
        </w:rPr>
      </w:pPr>
      <w:r>
        <w:rPr>
          <w:rFonts w:hint="eastAsia" w:ascii="宋体" w:hAnsi="宋体" w:cs="宋体"/>
          <w:b/>
          <w:color w:val="auto"/>
          <w:sz w:val="24"/>
        </w:rPr>
        <w:t>投诉书制作说明：</w:t>
      </w:r>
    </w:p>
    <w:p w14:paraId="161C5A17">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050B170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425ECCA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1289BBB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54059E4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045E8DD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5526F7D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56E8CA7F">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063CD53D">
      <w:pPr>
        <w:autoSpaceDE w:val="0"/>
        <w:autoSpaceDN w:val="0"/>
        <w:jc w:val="both"/>
        <w:rPr>
          <w:rFonts w:hint="eastAsia" w:ascii="宋体" w:hAnsi="宋体" w:cs="宋体"/>
          <w:b/>
          <w:color w:val="auto"/>
          <w:spacing w:val="6"/>
          <w:sz w:val="32"/>
          <w:szCs w:val="32"/>
        </w:rPr>
      </w:pPr>
      <w:r>
        <w:rPr>
          <w:rFonts w:hint="eastAsia" w:ascii="宋体" w:hAnsi="宋体" w:cs="宋体"/>
          <w:b/>
          <w:color w:val="auto"/>
          <w:spacing w:val="6"/>
          <w:sz w:val="32"/>
          <w:szCs w:val="32"/>
        </w:rPr>
        <w:t>附件4：</w:t>
      </w:r>
    </w:p>
    <w:p w14:paraId="200C2055">
      <w:pPr>
        <w:autoSpaceDE w:val="0"/>
        <w:autoSpaceDN w:val="0"/>
        <w:jc w:val="center"/>
        <w:rPr>
          <w:rFonts w:ascii="宋体" w:hAnsi="宋体" w:cs="宋体"/>
          <w:b/>
          <w:bCs/>
          <w:color w:val="auto"/>
          <w:sz w:val="32"/>
          <w:szCs w:val="32"/>
        </w:rPr>
      </w:pPr>
      <w:r>
        <w:rPr>
          <w:rFonts w:hint="eastAsia" w:ascii="宋体" w:hAnsi="宋体" w:cs="宋体"/>
          <w:b/>
          <w:bCs/>
          <w:color w:val="auto"/>
          <w:sz w:val="32"/>
          <w:szCs w:val="32"/>
        </w:rPr>
        <w:t>业务专用章使用说明函</w:t>
      </w:r>
    </w:p>
    <w:p w14:paraId="496AC862">
      <w:pPr>
        <w:spacing w:line="360" w:lineRule="auto"/>
        <w:rPr>
          <w:rFonts w:ascii="宋体" w:hAnsi="宋体" w:cs="宋体"/>
          <w:color w:val="auto"/>
          <w:sz w:val="24"/>
          <w:u w:val="single"/>
        </w:rPr>
      </w:pPr>
    </w:p>
    <w:p w14:paraId="7287233A">
      <w:pPr>
        <w:spacing w:line="360" w:lineRule="auto"/>
        <w:rPr>
          <w:rFonts w:ascii="宋体" w:hAnsi="宋体" w:cs="宋体"/>
          <w:color w:val="auto"/>
          <w:sz w:val="24"/>
        </w:rPr>
      </w:pP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采购人名称</w:t>
      </w:r>
      <w:r>
        <w:rPr>
          <w:rFonts w:hint="eastAsia" w:ascii="宋体" w:hAnsi="宋体" w:cs="宋体"/>
          <w:color w:val="auto"/>
          <w:sz w:val="24"/>
          <w:u w:val="single"/>
          <w:lang w:eastAsia="zh-CN"/>
        </w:rPr>
        <w:t>）</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u w:val="single"/>
        </w:rPr>
        <w:t>：</w:t>
      </w:r>
    </w:p>
    <w:p w14:paraId="3CC482DC">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u w:val="single"/>
        </w:rPr>
        <w:t>(投标人全称)</w:t>
      </w:r>
      <w:r>
        <w:rPr>
          <w:rFonts w:hint="eastAsia" w:ascii="宋体" w:hAnsi="宋体" w:cs="宋体"/>
          <w:color w:val="auto"/>
          <w:sz w:val="24"/>
        </w:rPr>
        <w:t>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699CCFF8">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5E3B2D9B">
      <w:pPr>
        <w:spacing w:line="360" w:lineRule="auto"/>
        <w:ind w:firstLine="494"/>
        <w:rPr>
          <w:rFonts w:ascii="宋体" w:hAnsi="宋体" w:cs="宋体"/>
          <w:color w:val="auto"/>
          <w:sz w:val="24"/>
        </w:rPr>
      </w:pPr>
    </w:p>
    <w:p w14:paraId="7E476CE4">
      <w:pPr>
        <w:spacing w:line="360" w:lineRule="auto"/>
        <w:ind w:firstLine="494"/>
        <w:rPr>
          <w:rFonts w:ascii="宋体" w:hAnsi="宋体" w:cs="宋体"/>
          <w:color w:val="auto"/>
          <w:sz w:val="24"/>
        </w:rPr>
      </w:pPr>
    </w:p>
    <w:p w14:paraId="4D6648E0">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2A97873E">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7840AC79">
      <w:pPr>
        <w:rPr>
          <w:rFonts w:ascii="宋体" w:hAnsi="宋体" w:cs="宋体"/>
          <w:color w:val="auto"/>
          <w:sz w:val="24"/>
        </w:rPr>
      </w:pPr>
      <w:r>
        <w:rPr>
          <w:rFonts w:hint="eastAsia" w:ascii="宋体" w:hAnsi="宋体" w:cs="宋体"/>
          <w:b/>
          <w:bCs/>
          <w:color w:val="auto"/>
          <w:sz w:val="24"/>
        </w:rPr>
        <w:t>附：</w:t>
      </w:r>
    </w:p>
    <w:p w14:paraId="7DA7CCC2">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7EBB8789">
      <w:pPr>
        <w:autoSpaceDE w:val="0"/>
        <w:autoSpaceDN w:val="0"/>
        <w:jc w:val="center"/>
        <w:rPr>
          <w:rFonts w:ascii="宋体" w:hAnsi="宋体" w:cs="宋体"/>
          <w:b/>
          <w:color w:val="auto"/>
          <w:spacing w:val="6"/>
          <w:sz w:val="32"/>
          <w:szCs w:val="32"/>
        </w:rPr>
      </w:pPr>
    </w:p>
    <w:p w14:paraId="0B3740C8">
      <w:pPr>
        <w:autoSpaceDE w:val="0"/>
        <w:autoSpaceDN w:val="0"/>
        <w:jc w:val="center"/>
        <w:rPr>
          <w:rFonts w:ascii="宋体" w:hAnsi="宋体" w:cs="宋体"/>
          <w:b/>
          <w:color w:val="auto"/>
          <w:spacing w:val="6"/>
          <w:sz w:val="32"/>
          <w:szCs w:val="32"/>
        </w:rPr>
      </w:pPr>
    </w:p>
    <w:p w14:paraId="50BDDD95">
      <w:pPr>
        <w:autoSpaceDE w:val="0"/>
        <w:autoSpaceDN w:val="0"/>
        <w:jc w:val="center"/>
        <w:rPr>
          <w:rFonts w:ascii="宋体" w:hAnsi="宋体" w:cs="宋体"/>
          <w:b/>
          <w:color w:val="auto"/>
          <w:spacing w:val="6"/>
          <w:sz w:val="32"/>
          <w:szCs w:val="32"/>
        </w:rPr>
      </w:pPr>
    </w:p>
    <w:p w14:paraId="57CCAF89">
      <w:pPr>
        <w:autoSpaceDE w:val="0"/>
        <w:autoSpaceDN w:val="0"/>
        <w:jc w:val="center"/>
        <w:rPr>
          <w:rFonts w:ascii="宋体" w:hAnsi="宋体" w:cs="宋体"/>
          <w:b/>
          <w:color w:val="auto"/>
          <w:spacing w:val="6"/>
          <w:sz w:val="32"/>
          <w:szCs w:val="32"/>
        </w:rPr>
      </w:pPr>
    </w:p>
    <w:p w14:paraId="07C8AA53">
      <w:pPr>
        <w:autoSpaceDE w:val="0"/>
        <w:autoSpaceDN w:val="0"/>
        <w:jc w:val="center"/>
        <w:rPr>
          <w:rFonts w:ascii="宋体" w:hAnsi="宋体" w:cs="宋体"/>
          <w:b/>
          <w:color w:val="auto"/>
          <w:spacing w:val="6"/>
          <w:sz w:val="32"/>
          <w:szCs w:val="32"/>
        </w:rPr>
      </w:pPr>
    </w:p>
    <w:p w14:paraId="41CA9701">
      <w:pPr>
        <w:autoSpaceDE w:val="0"/>
        <w:autoSpaceDN w:val="0"/>
        <w:jc w:val="center"/>
        <w:rPr>
          <w:rFonts w:ascii="宋体" w:hAnsi="宋体" w:cs="宋体"/>
          <w:b/>
          <w:color w:val="auto"/>
          <w:spacing w:val="6"/>
          <w:sz w:val="32"/>
          <w:szCs w:val="32"/>
        </w:rPr>
      </w:pPr>
    </w:p>
    <w:p w14:paraId="02487EB0">
      <w:pPr>
        <w:autoSpaceDE w:val="0"/>
        <w:autoSpaceDN w:val="0"/>
        <w:jc w:val="center"/>
        <w:rPr>
          <w:rFonts w:ascii="宋体" w:hAnsi="宋体" w:cs="宋体"/>
          <w:b/>
          <w:color w:val="auto"/>
          <w:spacing w:val="6"/>
          <w:sz w:val="32"/>
          <w:szCs w:val="32"/>
        </w:rPr>
      </w:pPr>
    </w:p>
    <w:p w14:paraId="611E3B8E">
      <w:pPr>
        <w:autoSpaceDE w:val="0"/>
        <w:autoSpaceDN w:val="0"/>
        <w:jc w:val="center"/>
        <w:rPr>
          <w:rFonts w:ascii="宋体" w:hAnsi="宋体" w:cs="宋体"/>
          <w:b/>
          <w:color w:val="auto"/>
          <w:spacing w:val="6"/>
          <w:sz w:val="32"/>
          <w:szCs w:val="32"/>
        </w:rPr>
      </w:pPr>
    </w:p>
    <w:p w14:paraId="6D7B39EE">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DB337F7">
      <w:pPr>
        <w:autoSpaceDE w:val="0"/>
        <w:autoSpaceDN w:val="0"/>
        <w:jc w:val="both"/>
        <w:rPr>
          <w:rFonts w:hint="eastAsia"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p>
    <w:p w14:paraId="380F3E6A">
      <w:pPr>
        <w:autoSpaceDE w:val="0"/>
        <w:autoSpaceDN w:val="0"/>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联合协议</w:t>
      </w:r>
    </w:p>
    <w:p w14:paraId="1AE42EAD">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2F2CEC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 w:eastAsia="zh-CN"/>
        </w:rPr>
        <w:t>采购项目名称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kern w:val="0"/>
          <w:sz w:val="24"/>
          <w:lang w:val="zh-CN"/>
        </w:rPr>
        <w:t xml:space="preserve">投标。 </w:t>
      </w:r>
    </w:p>
    <w:p w14:paraId="48E7342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A1FCE2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14:paraId="529A52E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14:paraId="0440AAEA">
      <w:pPr>
        <w:snapToGrid w:val="0"/>
        <w:spacing w:line="360" w:lineRule="auto"/>
        <w:ind w:firstLine="576"/>
        <w:rPr>
          <w:rFonts w:ascii="宋体" w:hAnsi="宋体" w:cs="宋体"/>
          <w:color w:val="auto"/>
          <w:kern w:val="0"/>
          <w:sz w:val="24"/>
          <w:lang w:val="zh-CN"/>
        </w:rPr>
      </w:pPr>
      <w:bookmarkStart w:id="403"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78CE00E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06D28A6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403"/>
    <w:p w14:paraId="08349BA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14:paraId="1AAAB6E8">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F3E5BC3">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7404B77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614F4410">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76E7E72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4090ECA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695B268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2A51D4DC">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136D461A">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5FB5D53">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536FE927">
      <w:pPr>
        <w:snapToGrid w:val="0"/>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5A05C2D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621257F">
      <w:pPr>
        <w:autoSpaceDE w:val="0"/>
        <w:autoSpaceDN w:val="0"/>
        <w:jc w:val="center"/>
        <w:rPr>
          <w:rFonts w:ascii="宋体" w:hAnsi="宋体" w:cs="宋体"/>
          <w:b/>
          <w:color w:val="auto"/>
          <w:spacing w:val="6"/>
          <w:sz w:val="32"/>
          <w:szCs w:val="32"/>
        </w:rPr>
      </w:pPr>
    </w:p>
    <w:p w14:paraId="570BC973">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08DC333">
      <w:pPr>
        <w:widowControl/>
        <w:adjustRightInd/>
        <w:jc w:val="left"/>
        <w:rPr>
          <w:rFonts w:hint="eastAsia"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p>
    <w:p w14:paraId="0E398A8E">
      <w:pPr>
        <w:widowControl/>
        <w:adjustRightInd/>
        <w:jc w:val="center"/>
        <w:rPr>
          <w:rFonts w:ascii="宋体" w:hAnsi="宋体" w:cs="宋体"/>
          <w:b/>
          <w:color w:val="auto"/>
          <w:kern w:val="0"/>
          <w:sz w:val="32"/>
          <w:szCs w:val="32"/>
        </w:rPr>
      </w:pPr>
      <w:r>
        <w:rPr>
          <w:rFonts w:hint="eastAsia" w:ascii="宋体" w:hAnsi="宋体" w:cs="宋体"/>
          <w:b/>
          <w:color w:val="auto"/>
          <w:kern w:val="0"/>
          <w:sz w:val="32"/>
          <w:szCs w:val="32"/>
        </w:rPr>
        <w:t>分包意向协议</w:t>
      </w:r>
    </w:p>
    <w:p w14:paraId="052CA5F2">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6E2BAB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u w:val="single"/>
          <w:lang w:val="en" w:eastAsia="zh-CN"/>
        </w:rPr>
        <w:t>xxx</w:t>
      </w:r>
      <w:r>
        <w:rPr>
          <w:rFonts w:hint="eastAsia" w:ascii="宋体" w:hAnsi="宋体" w:cs="宋体"/>
          <w:color w:val="auto"/>
          <w:sz w:val="24"/>
        </w:rPr>
        <w:t>【招标编号：</w:t>
      </w:r>
      <w:r>
        <w:rPr>
          <w:rFonts w:hint="eastAsia" w:ascii="宋体" w:hAnsi="宋体" w:cs="宋体"/>
          <w:color w:val="auto"/>
          <w:sz w:val="24"/>
          <w:u w:val="single"/>
          <w:lang w:val="en" w:eastAsia="zh-CN"/>
        </w:rPr>
        <w:t>xxx</w:t>
      </w:r>
      <w:r>
        <w:rPr>
          <w:rFonts w:hint="eastAsia" w:ascii="宋体" w:hAnsi="宋体" w:cs="宋体"/>
          <w:color w:val="auto"/>
          <w:sz w:val="24"/>
        </w:rPr>
        <w:t>】</w:t>
      </w:r>
      <w:r>
        <w:rPr>
          <w:rFonts w:hint="eastAsia" w:ascii="宋体" w:hAnsi="宋体" w:cs="宋体"/>
          <w:color w:val="auto"/>
          <w:kern w:val="0"/>
          <w:sz w:val="24"/>
          <w:lang w:val="zh-CN"/>
        </w:rPr>
        <w:t>的中标人，将依法采取分包方式履行合同。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75ADF96F">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5B7B188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14:paraId="47018856">
      <w:pPr>
        <w:pStyle w:val="3"/>
        <w:ind w:left="664" w:leftChars="316" w:firstLine="229" w:firstLineChars="95"/>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14:paraId="12B257B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14:paraId="0F085419">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48536D8B">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0594263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7003F0E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935B9D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14:paraId="40C31C87">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0ED91E5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11875434">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14:paraId="69BAEA6A">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14:paraId="4250A5F4">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45400FB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131E0899">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1C335AA5">
      <w:pPr>
        <w:snapToGrid w:val="0"/>
        <w:spacing w:line="360" w:lineRule="auto"/>
        <w:ind w:left="5758" w:leftChars="342" w:hanging="5040" w:hangingChars="2100"/>
        <w:rPr>
          <w:rFonts w:ascii="宋体" w:hAnsi="宋体" w:cs="宋体"/>
          <w:color w:val="auto"/>
          <w:kern w:val="0"/>
          <w:sz w:val="24"/>
          <w:lang w:val="zh-CN"/>
        </w:rPr>
      </w:pPr>
      <w:r>
        <w:rPr>
          <w:rFonts w:hint="eastAsia" w:ascii="宋体" w:hAnsi="宋体" w:cs="宋体"/>
          <w:color w:val="auto"/>
          <w:kern w:val="0"/>
          <w:sz w:val="24"/>
          <w:lang w:val="zh-CN"/>
        </w:rPr>
        <w:t xml:space="preserve">                                     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D63906B">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分包供应商名称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536D261">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14AF16B4">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日</w:t>
      </w:r>
    </w:p>
    <w:p w14:paraId="7296686F">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47FAD6C2">
      <w:pPr>
        <w:pStyle w:val="3"/>
        <w:rPr>
          <w:rFonts w:ascii="宋体" w:hAnsi="宋体" w:cs="宋体"/>
          <w:b/>
          <w:color w:val="auto"/>
          <w:spacing w:val="6"/>
          <w:sz w:val="32"/>
          <w:szCs w:val="32"/>
        </w:rPr>
      </w:pPr>
    </w:p>
    <w:p w14:paraId="3E28B694">
      <w:pPr>
        <w:rPr>
          <w:color w:val="auto"/>
        </w:rPr>
      </w:pPr>
    </w:p>
    <w:p w14:paraId="24D5BFDE">
      <w:pPr>
        <w:autoSpaceDE w:val="0"/>
        <w:autoSpaceDN w:val="0"/>
        <w:jc w:val="center"/>
        <w:rPr>
          <w:rFonts w:ascii="宋体" w:hAnsi="宋体" w:cs="宋体"/>
          <w:b/>
          <w:color w:val="auto"/>
          <w:spacing w:val="6"/>
          <w:sz w:val="32"/>
          <w:szCs w:val="32"/>
        </w:rPr>
      </w:pPr>
    </w:p>
    <w:p w14:paraId="00E43F60">
      <w:pPr>
        <w:rPr>
          <w:rFonts w:hint="eastAsia" w:ascii="宋体" w:hAnsi="宋体" w:cs="宋体"/>
          <w:b/>
          <w:color w:val="auto"/>
          <w:sz w:val="36"/>
          <w:szCs w:val="20"/>
        </w:rPr>
      </w:pPr>
      <w:r>
        <w:rPr>
          <w:rFonts w:hint="eastAsia" w:ascii="宋体" w:hAnsi="宋体" w:cs="宋体"/>
          <w:b/>
          <w:color w:val="auto"/>
          <w:sz w:val="36"/>
          <w:szCs w:val="20"/>
        </w:rPr>
        <w:br w:type="page"/>
      </w:r>
    </w:p>
    <w:p w14:paraId="32704B78">
      <w:pPr>
        <w:spacing w:line="360" w:lineRule="auto"/>
        <w:jc w:val="left"/>
        <w:outlineLvl w:val="0"/>
        <w:rPr>
          <w:rFonts w:ascii="宋体" w:hAnsi="宋体" w:cs="宋体"/>
          <w:b/>
          <w:color w:val="auto"/>
          <w:sz w:val="36"/>
          <w:szCs w:val="20"/>
        </w:rPr>
      </w:pPr>
      <w:r>
        <w:rPr>
          <w:rFonts w:hint="eastAsia" w:ascii="宋体" w:hAnsi="宋体" w:cs="宋体"/>
          <w:b/>
          <w:color w:val="auto"/>
          <w:sz w:val="36"/>
          <w:szCs w:val="20"/>
        </w:rPr>
        <w:t>附件</w:t>
      </w:r>
      <w:r>
        <w:rPr>
          <w:rFonts w:ascii="宋体" w:hAnsi="宋体" w:cs="宋体"/>
          <w:b/>
          <w:color w:val="auto"/>
          <w:sz w:val="36"/>
          <w:szCs w:val="20"/>
        </w:rPr>
        <w:t>7</w:t>
      </w:r>
      <w:r>
        <w:rPr>
          <w:rFonts w:hint="eastAsia" w:ascii="宋体" w:hAnsi="宋体" w:cs="宋体"/>
          <w:b/>
          <w:color w:val="auto"/>
          <w:sz w:val="36"/>
          <w:szCs w:val="20"/>
        </w:rPr>
        <w:t>：中小企业声明函</w:t>
      </w:r>
    </w:p>
    <w:p w14:paraId="21E1ADD0">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14:paraId="55CBE48B">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lang w:val="en" w:eastAsia="zh-CN"/>
        </w:rPr>
        <w:t>xxx</w:t>
      </w:r>
      <w:r>
        <w:rPr>
          <w:rFonts w:hint="eastAsia" w:ascii="宋体" w:hAnsi="宋体" w:cs="宋体"/>
          <w:color w:val="auto"/>
          <w:sz w:val="24"/>
        </w:rPr>
        <w:t xml:space="preserve">的 </w:t>
      </w:r>
      <w:r>
        <w:rPr>
          <w:rFonts w:hint="eastAsia" w:ascii="宋体" w:hAnsi="宋体" w:cs="宋体"/>
          <w:color w:val="auto"/>
          <w:sz w:val="24"/>
          <w:u w:val="single"/>
          <w:lang w:val="en" w:eastAsia="zh-CN"/>
        </w:rPr>
        <w:t>xxx</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14:paraId="562D6B9C">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6A878406">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3C85FBDF">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57889B5C">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2BE11EEC">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4C34058">
      <w:pPr>
        <w:snapToGrid w:val="0"/>
        <w:spacing w:line="360" w:lineRule="auto"/>
        <w:ind w:firstLine="5160" w:firstLineChars="2150"/>
        <w:rPr>
          <w:rFonts w:hint="eastAsia" w:ascii="宋体" w:hAnsi="宋体" w:cs="宋体"/>
          <w:color w:val="auto"/>
          <w:kern w:val="0"/>
          <w:sz w:val="24"/>
          <w:lang w:val="zh-CN"/>
        </w:rPr>
      </w:pPr>
    </w:p>
    <w:p w14:paraId="02949BAA">
      <w:pPr>
        <w:snapToGrid w:val="0"/>
        <w:spacing w:line="360" w:lineRule="auto"/>
        <w:ind w:firstLine="5160" w:firstLineChars="2150"/>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ED6F744">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6C4F7B7D">
      <w:pPr>
        <w:spacing w:line="360" w:lineRule="auto"/>
        <w:jc w:val="left"/>
        <w:rPr>
          <w:rFonts w:hint="eastAsia" w:ascii="宋体" w:hAnsi="宋体" w:cs="宋体"/>
          <w:b/>
          <w:bCs/>
          <w:color w:val="auto"/>
          <w:sz w:val="21"/>
          <w:szCs w:val="21"/>
        </w:rPr>
      </w:pPr>
    </w:p>
    <w:p w14:paraId="0313FBD8">
      <w:pPr>
        <w:spacing w:line="360" w:lineRule="auto"/>
        <w:jc w:val="left"/>
        <w:rPr>
          <w:rFonts w:hint="eastAsia" w:ascii="宋体" w:hAnsi="宋体" w:cs="宋体"/>
          <w:b/>
          <w:bCs/>
          <w:color w:val="auto"/>
          <w:sz w:val="21"/>
          <w:szCs w:val="21"/>
        </w:rPr>
      </w:pPr>
    </w:p>
    <w:p w14:paraId="27959AB7">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从业人员、营业收入、资产总额填报上一年度数据，无上一年度数据的新成立企业可不填报。</w:t>
      </w:r>
    </w:p>
    <w:p w14:paraId="6F677995">
      <w:pPr>
        <w:spacing w:line="360" w:lineRule="auto"/>
        <w:ind w:right="420"/>
        <w:rPr>
          <w:rFonts w:ascii="宋体" w:hAnsi="宋体" w:cs="宋体"/>
          <w:color w:val="auto"/>
          <w:sz w:val="24"/>
        </w:rPr>
      </w:pPr>
      <w:r>
        <w:rPr>
          <w:rFonts w:hint="eastAsia" w:ascii="宋体" w:hAnsi="宋体" w:cs="宋体"/>
          <w:color w:val="auto"/>
          <w:sz w:val="24"/>
        </w:rPr>
        <w:t>注：</w:t>
      </w:r>
    </w:p>
    <w:p w14:paraId="771FEE17">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0A424C8">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7B85EB7">
      <w:pPr>
        <w:spacing w:line="360" w:lineRule="auto"/>
        <w:jc w:val="center"/>
        <w:rPr>
          <w:rFonts w:ascii="宋体" w:hAnsi="宋体" w:cs="宋体"/>
          <w:b/>
          <w:color w:val="auto"/>
          <w:sz w:val="32"/>
          <w:szCs w:val="32"/>
        </w:rPr>
      </w:pPr>
    </w:p>
    <w:p w14:paraId="24E164DF">
      <w:pPr>
        <w:spacing w:line="360" w:lineRule="auto"/>
        <w:jc w:val="center"/>
        <w:rPr>
          <w:rFonts w:ascii="宋体" w:hAnsi="宋体" w:cs="宋体"/>
          <w:b/>
          <w:color w:val="auto"/>
          <w:sz w:val="32"/>
          <w:szCs w:val="32"/>
        </w:rPr>
      </w:pPr>
    </w:p>
    <w:p w14:paraId="4097F235">
      <w:pPr>
        <w:spacing w:line="360" w:lineRule="auto"/>
        <w:jc w:val="center"/>
        <w:rPr>
          <w:rFonts w:ascii="宋体" w:hAnsi="宋体" w:cs="宋体"/>
          <w:b/>
          <w:color w:val="auto"/>
          <w:sz w:val="32"/>
          <w:szCs w:val="32"/>
        </w:rPr>
      </w:pPr>
    </w:p>
    <w:p w14:paraId="0AC378F3">
      <w:pPr>
        <w:spacing w:line="360" w:lineRule="auto"/>
        <w:jc w:val="center"/>
        <w:rPr>
          <w:rFonts w:ascii="宋体" w:hAnsi="宋体" w:cs="宋体"/>
          <w:b/>
          <w:color w:val="auto"/>
          <w:sz w:val="32"/>
          <w:szCs w:val="32"/>
        </w:rPr>
      </w:pPr>
    </w:p>
    <w:p w14:paraId="3462D352">
      <w:pPr>
        <w:spacing w:line="360" w:lineRule="auto"/>
        <w:rPr>
          <w:rFonts w:ascii="宋体" w:hAnsi="宋体" w:cs="宋体"/>
          <w:bCs/>
          <w:color w:val="auto"/>
          <w:sz w:val="24"/>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Times New Roman"/>
    <w:panose1 w:val="00000000000000000000"/>
    <w:charset w:val="00"/>
    <w:family w:val="swiss"/>
    <w:pitch w:val="default"/>
    <w:sig w:usb0="00000000" w:usb1="00000000" w:usb2="00000000" w:usb3="00000000" w:csb0="0000001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Tahoma">
    <w:panose1 w:val="020B0604030504040204"/>
    <w:charset w:val="00"/>
    <w:family w:val="swiss"/>
    <w:pitch w:val="default"/>
    <w:sig w:usb0="E1002EFF" w:usb1="C000605B" w:usb2="00000029" w:usb3="00000000" w:csb0="200101FF" w:csb1="20280000"/>
  </w:font>
  <w:font w:name="MS Sans Serif">
    <w:altName w:val="Times New Roman"/>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宋体"/>
    <w:panose1 w:val="00000000000000000000"/>
    <w:charset w:val="00"/>
    <w:family w:val="roman"/>
    <w:pitch w:val="default"/>
    <w:sig w:usb0="00000000" w:usb1="00000000" w:usb2="00000000" w:usb3="00000000" w:csb0="00040001" w:csb1="00000000"/>
  </w:font>
  <w:font w:name="幼圆">
    <w:altName w:val="黑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30204"/>
    <w:charset w:val="00"/>
    <w:family w:val="swiss"/>
    <w:pitch w:val="default"/>
    <w:sig w:usb0="00000000" w:usb1="00000000" w:usb2="00000000" w:usb3="00000000" w:csb0="00000093" w:csb1="00000000"/>
  </w:font>
  <w:font w:name="Cumberland">
    <w:altName w:val="宋体"/>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Times New Roman"/>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Times New Roman"/>
    <w:panose1 w:val="02000400000000000000"/>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Times New Roman"/>
    <w:panose1 w:val="020B0502020202020204"/>
    <w:charset w:val="00"/>
    <w:family w:val="swiss"/>
    <w:pitch w:val="default"/>
    <w:sig w:usb0="00000000" w:usb1="00000000" w:usb2="00000000" w:usb3="00000000" w:csb0="2000009F" w:csb1="DFD70000"/>
  </w:font>
  <w:font w:name="Aldine401 BT">
    <w:altName w:val="Times New Roman"/>
    <w:panose1 w:val="00000000000000000000"/>
    <w:charset w:val="00"/>
    <w:family w:val="roman"/>
    <w:pitch w:val="default"/>
    <w:sig w:usb0="00000000" w:usb1="00000000" w:usb2="00000000" w:usb3="00000000" w:csb0="00000011" w:csb1="00000000"/>
  </w:font>
  <w:font w:name=".PingFang SC">
    <w:altName w:val="宋体"/>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2AD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EB94">
    <w:pPr>
      <w:pStyle w:val="40"/>
      <w:framePr w:wrap="around" w:vAnchor="text" w:hAnchor="margin" w:xAlign="right" w:y="1"/>
      <w:rPr>
        <w:rStyle w:val="72"/>
      </w:rPr>
    </w:pPr>
    <w:r>
      <w:fldChar w:fldCharType="begin"/>
    </w:r>
    <w:r>
      <w:rPr>
        <w:rStyle w:val="72"/>
      </w:rPr>
      <w:instrText xml:space="preserve">PAGE  </w:instrText>
    </w:r>
    <w:r>
      <w:fldChar w:fldCharType="end"/>
    </w:r>
  </w:p>
  <w:p w14:paraId="25AB93B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B4F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2648">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D0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ECBBC6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3F5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522F9F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97C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A346">
    <w:pPr>
      <w:pStyle w:val="40"/>
      <w:framePr w:wrap="around" w:vAnchor="text" w:hAnchor="margin" w:xAlign="right" w:y="1"/>
      <w:rPr>
        <w:rStyle w:val="72"/>
      </w:rPr>
    </w:pPr>
    <w:r>
      <w:fldChar w:fldCharType="begin"/>
    </w:r>
    <w:r>
      <w:rPr>
        <w:rStyle w:val="72"/>
      </w:rPr>
      <w:instrText xml:space="preserve">PAGE  </w:instrText>
    </w:r>
    <w:r>
      <w:fldChar w:fldCharType="end"/>
    </w:r>
  </w:p>
  <w:p w14:paraId="31788248">
    <w:pPr>
      <w:pStyle w:val="4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4ED3">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4" w:name="_Toc91899912"/>
    <w:bookmarkStart w:id="405" w:name="_Toc164085800"/>
    <w:bookmarkStart w:id="406" w:name="_Toc36110187"/>
    <w:bookmarkStart w:id="407" w:name="_Toc131845147"/>
    <w:r>
      <w:rPr>
        <w:rFonts w:hint="eastAsia" w:ascii="仿宋_GB2312" w:eastAsia="仿宋_GB2312"/>
        <w:kern w:val="0"/>
        <w:szCs w:val="21"/>
      </w:rPr>
      <w:t xml:space="preserve"> 页</w:t>
    </w:r>
    <w:bookmarkEnd w:id="404"/>
    <w:bookmarkEnd w:id="405"/>
    <w:bookmarkEnd w:id="406"/>
    <w:bookmarkEnd w:id="407"/>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410">
    <w:pPr>
      <w:pStyle w:val="41"/>
      <w:pBdr>
        <w:bottom w:val="single" w:color="auto" w:sz="6" w:space="4"/>
      </w:pBdr>
      <w:jc w:val="right"/>
    </w:pPr>
    <w:r>
      <w:rPr>
        <w:rFonts w:hint="eastAsia"/>
        <w:lang w:val="en-US" w:eastAsia="zh-CN"/>
      </w:rPr>
      <w:t>温</w:t>
    </w:r>
    <w:r>
      <w:t>州市政府采购公开招标文件</w:t>
    </w:r>
  </w:p>
  <w:p w14:paraId="6604952D">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3040">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en-US" w:eastAsia="zh-CN"/>
      </w:rPr>
      <w:t>温</w:t>
    </w:r>
    <w:r>
      <w:rPr>
        <w:lang w:val="zh-CN"/>
      </w:rPr>
      <w:t>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962D">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3B21">
    <w:pPr>
      <w:pStyle w:val="41"/>
      <w:jc w:val="right"/>
      <w:rPr>
        <w:rFonts w:ascii="仿宋_GB2312" w:eastAsia="仿宋_GB2312"/>
        <w:b/>
        <w:i/>
        <w:u w:val="single"/>
      </w:rPr>
    </w:pPr>
    <w:r>
      <w:rPr>
        <w:rFonts w:hint="eastAsia"/>
      </w:rPr>
      <w:t xml:space="preserve">                                  </w:t>
    </w:r>
    <w:r>
      <w:rPr>
        <w:rFonts w:hint="eastAsia"/>
        <w:lang w:val="en-US" w:eastAsia="zh-CN"/>
      </w:rPr>
      <w:t>温</w:t>
    </w:r>
    <w:r>
      <w:t>州市政府采购公开招标文件</w:t>
    </w:r>
  </w:p>
  <w:p w14:paraId="3EAE346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6B60">
    <w:pPr>
      <w:pStyle w:val="41"/>
      <w:jc w:val="right"/>
    </w:pPr>
    <w:r>
      <w:rPr>
        <w:rFonts w:hint="eastAsia"/>
      </w:rPr>
      <w:t xml:space="preserve">                                                                                                        </w:t>
    </w:r>
    <w:r>
      <w:rPr>
        <w:rFonts w:hint="eastAsia"/>
        <w:lang w:val="en-US" w:eastAsia="zh-CN"/>
      </w:rPr>
      <w:t>温</w:t>
    </w:r>
    <w:r>
      <w:t>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FD8D">
    <w:pPr>
      <w:pStyle w:val="41"/>
      <w:jc w:val="right"/>
      <w:rPr>
        <w:rFonts w:ascii="仿宋_GB2312" w:eastAsia="仿宋_GB2312"/>
        <w:b/>
        <w:i/>
        <w:iCs/>
        <w:u w:val="single"/>
      </w:rPr>
    </w:pPr>
    <w:r>
      <w:rPr>
        <w:rFonts w:hint="eastAsia"/>
        <w:lang w:val="en-US" w:eastAsia="zh-CN"/>
      </w:rPr>
      <w:t>温</w:t>
    </w:r>
    <w:r>
      <w:t>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115E">
    <w:pPr>
      <w:pStyle w:val="41"/>
      <w:jc w:val="right"/>
    </w:pPr>
    <w:r>
      <w:rPr>
        <w:rFonts w:hint="eastAsia"/>
        <w:lang w:val="en-US" w:eastAsia="zh-CN"/>
      </w:rPr>
      <w:t>温</w:t>
    </w:r>
    <w:r>
      <w:t>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5D12"/>
    <w:multiLevelType w:val="singleLevel"/>
    <w:tmpl w:val="93FA5D12"/>
    <w:lvl w:ilvl="0" w:tentative="0">
      <w:start w:val="1"/>
      <w:numFmt w:val="chineseCounting"/>
      <w:suff w:val="nothing"/>
      <w:lvlText w:val="%1、"/>
      <w:lvlJc w:val="left"/>
      <w:rPr>
        <w:rFonts w:hint="eastAsia"/>
      </w:rPr>
    </w:lvl>
  </w:abstractNum>
  <w:abstractNum w:abstractNumId="1">
    <w:nsid w:val="99E995C8"/>
    <w:multiLevelType w:val="singleLevel"/>
    <w:tmpl w:val="99E995C8"/>
    <w:lvl w:ilvl="0" w:tentative="0">
      <w:start w:val="1"/>
      <w:numFmt w:val="decimal"/>
      <w:suff w:val="space"/>
      <w:lvlText w:val="%1."/>
      <w:lvlJc w:val="left"/>
    </w:lvl>
  </w:abstractNum>
  <w:abstractNum w:abstractNumId="2">
    <w:nsid w:val="BBFA2154"/>
    <w:multiLevelType w:val="singleLevel"/>
    <w:tmpl w:val="BBFA2154"/>
    <w:lvl w:ilvl="0" w:tentative="0">
      <w:start w:val="1"/>
      <w:numFmt w:val="decimal"/>
      <w:lvlText w:val="%1."/>
      <w:lvlJc w:val="left"/>
      <w:pPr>
        <w:ind w:left="425" w:hanging="425"/>
      </w:pPr>
      <w:rPr>
        <w:rFonts w:hint="default"/>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BFE7937F"/>
    <w:multiLevelType w:val="singleLevel"/>
    <w:tmpl w:val="BFE7937F"/>
    <w:lvl w:ilvl="0" w:tentative="0">
      <w:start w:val="1"/>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BBF5FBA"/>
    <w:multiLevelType w:val="singleLevel"/>
    <w:tmpl w:val="DBBF5FBA"/>
    <w:lvl w:ilvl="0" w:tentative="0">
      <w:start w:val="1"/>
      <w:numFmt w:val="decimal"/>
      <w:lvlText w:val="%1."/>
      <w:lvlJc w:val="left"/>
      <w:pPr>
        <w:tabs>
          <w:tab w:val="left" w:pos="312"/>
        </w:tabs>
      </w:pPr>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EDFA53F1"/>
    <w:multiLevelType w:val="singleLevel"/>
    <w:tmpl w:val="EDFA53F1"/>
    <w:lvl w:ilvl="0" w:tentative="0">
      <w:start w:val="22"/>
      <w:numFmt w:val="decimal"/>
      <w:suff w:val="space"/>
      <w:lvlText w:val="%1."/>
      <w:lvlJc w:val="left"/>
    </w:lvl>
  </w:abstractNum>
  <w:abstractNum w:abstractNumId="11">
    <w:nsid w:val="F6720CDC"/>
    <w:multiLevelType w:val="singleLevel"/>
    <w:tmpl w:val="F6720CDC"/>
    <w:lvl w:ilvl="0" w:tentative="0">
      <w:start w:val="5"/>
      <w:numFmt w:val="decimal"/>
      <w:suff w:val="space"/>
      <w:lvlText w:val="%1."/>
      <w:lvlJc w:val="left"/>
    </w:lvl>
  </w:abstractNum>
  <w:abstractNum w:abstractNumId="12">
    <w:nsid w:val="FA9E5459"/>
    <w:multiLevelType w:val="singleLevel"/>
    <w:tmpl w:val="FA9E5459"/>
    <w:lvl w:ilvl="0" w:tentative="0">
      <w:start w:val="17"/>
      <w:numFmt w:val="decimal"/>
      <w:suff w:val="space"/>
      <w:lvlText w:val="%1."/>
      <w:lvlJc w:val="left"/>
    </w:lvl>
  </w:abstractNum>
  <w:abstractNum w:abstractNumId="13">
    <w:nsid w:val="FCDEFCE1"/>
    <w:multiLevelType w:val="singleLevel"/>
    <w:tmpl w:val="FCDEFCE1"/>
    <w:lvl w:ilvl="0" w:tentative="0">
      <w:start w:val="4"/>
      <w:numFmt w:val="chineseCounting"/>
      <w:suff w:val="nothing"/>
      <w:lvlText w:val="%1、"/>
      <w:lvlJc w:val="left"/>
      <w:rPr>
        <w:rFonts w:hint="eastAsia"/>
      </w:rPr>
    </w:lvl>
  </w:abstractNum>
  <w:abstractNum w:abstractNumId="14">
    <w:nsid w:val="FDCCEC8C"/>
    <w:multiLevelType w:val="singleLevel"/>
    <w:tmpl w:val="FDCCEC8C"/>
    <w:lvl w:ilvl="0" w:tentative="0">
      <w:start w:val="14"/>
      <w:numFmt w:val="decimal"/>
      <w:suff w:val="space"/>
      <w:lvlText w:val="%1."/>
      <w:lvlJc w:val="left"/>
    </w:lvl>
  </w:abstractNum>
  <w:abstractNum w:abstractNumId="15">
    <w:nsid w:val="FEDF01A1"/>
    <w:multiLevelType w:val="singleLevel"/>
    <w:tmpl w:val="FEDF01A1"/>
    <w:lvl w:ilvl="0" w:tentative="0">
      <w:start w:val="3"/>
      <w:numFmt w:val="chineseCounting"/>
      <w:suff w:val="space"/>
      <w:lvlText w:val="第%1部分"/>
      <w:lvlJc w:val="left"/>
      <w:rPr>
        <w:rFonts w:hint="eastAsia"/>
      </w:rPr>
    </w:lvl>
  </w:abstractNum>
  <w:abstractNum w:abstractNumId="16">
    <w:nsid w:val="FFEFC674"/>
    <w:multiLevelType w:val="singleLevel"/>
    <w:tmpl w:val="FFEFC674"/>
    <w:lvl w:ilvl="0" w:tentative="0">
      <w:start w:val="1"/>
      <w:numFmt w:val="decimal"/>
      <w:suff w:val="nothing"/>
      <w:lvlText w:val="（%1）"/>
      <w:lvlJc w:val="left"/>
    </w:lvl>
  </w:abstractNum>
  <w:abstractNum w:abstractNumId="17">
    <w:nsid w:val="5AFF4CE7"/>
    <w:multiLevelType w:val="singleLevel"/>
    <w:tmpl w:val="5AFF4CE7"/>
    <w:lvl w:ilvl="0" w:tentative="0">
      <w:start w:val="1"/>
      <w:numFmt w:val="decimal"/>
      <w:lvlText w:val="%1."/>
      <w:lvlJc w:val="left"/>
      <w:pPr>
        <w:tabs>
          <w:tab w:val="left" w:pos="312"/>
        </w:tabs>
      </w:pPr>
    </w:lvl>
  </w:abstractNum>
  <w:abstractNum w:abstractNumId="18">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12"/>
  </w:num>
  <w:num w:numId="4">
    <w:abstractNumId w:val="10"/>
  </w:num>
  <w:num w:numId="5">
    <w:abstractNumId w:val="15"/>
  </w:num>
  <w:num w:numId="6">
    <w:abstractNumId w:val="4"/>
  </w:num>
  <w:num w:numId="7">
    <w:abstractNumId w:val="6"/>
  </w:num>
  <w:num w:numId="8">
    <w:abstractNumId w:val="17"/>
  </w:num>
  <w:num w:numId="9">
    <w:abstractNumId w:val="2"/>
  </w:num>
  <w:num w:numId="10">
    <w:abstractNumId w:val="0"/>
  </w:num>
  <w:num w:numId="11">
    <w:abstractNumId w:val="18"/>
  </w:num>
  <w:num w:numId="12">
    <w:abstractNumId w:val="5"/>
  </w:num>
  <w:num w:numId="13">
    <w:abstractNumId w:val="16"/>
  </w:num>
  <w:num w:numId="14">
    <w:abstractNumId w:val="8"/>
  </w:num>
  <w:num w:numId="15">
    <w:abstractNumId w:val="7"/>
  </w:num>
  <w:num w:numId="16">
    <w:abstractNumId w:val="3"/>
  </w:num>
  <w:num w:numId="17">
    <w:abstractNumId w:val="9"/>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C5"/>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7127F8"/>
    <w:rsid w:val="019F7441"/>
    <w:rsid w:val="01B37585"/>
    <w:rsid w:val="01D55165"/>
    <w:rsid w:val="01DF6BF8"/>
    <w:rsid w:val="01EC2C57"/>
    <w:rsid w:val="025F0711"/>
    <w:rsid w:val="026B2E25"/>
    <w:rsid w:val="02736746"/>
    <w:rsid w:val="02824D4D"/>
    <w:rsid w:val="02DC4B10"/>
    <w:rsid w:val="02DD76CE"/>
    <w:rsid w:val="02F36323"/>
    <w:rsid w:val="02F5619C"/>
    <w:rsid w:val="0326446A"/>
    <w:rsid w:val="032D5555"/>
    <w:rsid w:val="036634D2"/>
    <w:rsid w:val="03D80B6A"/>
    <w:rsid w:val="03DD35E4"/>
    <w:rsid w:val="03EDF3D4"/>
    <w:rsid w:val="04076900"/>
    <w:rsid w:val="041A5A3B"/>
    <w:rsid w:val="042311BA"/>
    <w:rsid w:val="042B157A"/>
    <w:rsid w:val="048F763B"/>
    <w:rsid w:val="049F330E"/>
    <w:rsid w:val="04AA775C"/>
    <w:rsid w:val="04AF1889"/>
    <w:rsid w:val="04B975D3"/>
    <w:rsid w:val="04F66F48"/>
    <w:rsid w:val="05251E14"/>
    <w:rsid w:val="05A16594"/>
    <w:rsid w:val="05A7762D"/>
    <w:rsid w:val="060E5941"/>
    <w:rsid w:val="06110FAF"/>
    <w:rsid w:val="06493CA7"/>
    <w:rsid w:val="065A6178"/>
    <w:rsid w:val="066F1CF3"/>
    <w:rsid w:val="06930BB8"/>
    <w:rsid w:val="06DF2155"/>
    <w:rsid w:val="07245D42"/>
    <w:rsid w:val="07264C62"/>
    <w:rsid w:val="0763530C"/>
    <w:rsid w:val="0779354C"/>
    <w:rsid w:val="07FFB361"/>
    <w:rsid w:val="08061376"/>
    <w:rsid w:val="083E6B71"/>
    <w:rsid w:val="08452D77"/>
    <w:rsid w:val="086401F8"/>
    <w:rsid w:val="08751CAA"/>
    <w:rsid w:val="087E4C40"/>
    <w:rsid w:val="08A871D0"/>
    <w:rsid w:val="08D66AD6"/>
    <w:rsid w:val="08DA33A3"/>
    <w:rsid w:val="08E80F13"/>
    <w:rsid w:val="090E293E"/>
    <w:rsid w:val="09335624"/>
    <w:rsid w:val="0944690F"/>
    <w:rsid w:val="09535675"/>
    <w:rsid w:val="095F057D"/>
    <w:rsid w:val="09642282"/>
    <w:rsid w:val="09733572"/>
    <w:rsid w:val="09772C16"/>
    <w:rsid w:val="097A0C86"/>
    <w:rsid w:val="098353B5"/>
    <w:rsid w:val="09A92330"/>
    <w:rsid w:val="09B06B87"/>
    <w:rsid w:val="09C13146"/>
    <w:rsid w:val="09E04166"/>
    <w:rsid w:val="0A1C0718"/>
    <w:rsid w:val="0A3E7710"/>
    <w:rsid w:val="0A403978"/>
    <w:rsid w:val="0A5B7E63"/>
    <w:rsid w:val="0A764BF1"/>
    <w:rsid w:val="0A7DA4FB"/>
    <w:rsid w:val="0AA374A5"/>
    <w:rsid w:val="0AAB7649"/>
    <w:rsid w:val="0ABC5606"/>
    <w:rsid w:val="0B30404E"/>
    <w:rsid w:val="0B4C6C14"/>
    <w:rsid w:val="0B547599"/>
    <w:rsid w:val="0B631A88"/>
    <w:rsid w:val="0B683D45"/>
    <w:rsid w:val="0B7F3F11"/>
    <w:rsid w:val="0B884417"/>
    <w:rsid w:val="0BC2290B"/>
    <w:rsid w:val="0BF6188C"/>
    <w:rsid w:val="0BF71DAF"/>
    <w:rsid w:val="0BF73C91"/>
    <w:rsid w:val="0C170175"/>
    <w:rsid w:val="0C2668AF"/>
    <w:rsid w:val="0C344E3E"/>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30024"/>
    <w:rsid w:val="11266F33"/>
    <w:rsid w:val="118963A1"/>
    <w:rsid w:val="11C6522A"/>
    <w:rsid w:val="11E104CC"/>
    <w:rsid w:val="11E20309"/>
    <w:rsid w:val="12255233"/>
    <w:rsid w:val="12530213"/>
    <w:rsid w:val="127723A9"/>
    <w:rsid w:val="12862074"/>
    <w:rsid w:val="12883966"/>
    <w:rsid w:val="129E45B4"/>
    <w:rsid w:val="12CA3FF4"/>
    <w:rsid w:val="12D81596"/>
    <w:rsid w:val="13072A44"/>
    <w:rsid w:val="135F4BE2"/>
    <w:rsid w:val="136E2386"/>
    <w:rsid w:val="139B1A0A"/>
    <w:rsid w:val="139D25C7"/>
    <w:rsid w:val="13BF3CE4"/>
    <w:rsid w:val="141008D8"/>
    <w:rsid w:val="14125FE6"/>
    <w:rsid w:val="146D271E"/>
    <w:rsid w:val="14982588"/>
    <w:rsid w:val="149A5AD9"/>
    <w:rsid w:val="14A7619D"/>
    <w:rsid w:val="14D546E3"/>
    <w:rsid w:val="150536C3"/>
    <w:rsid w:val="150C1963"/>
    <w:rsid w:val="151447A0"/>
    <w:rsid w:val="1520660E"/>
    <w:rsid w:val="152C17F5"/>
    <w:rsid w:val="154A6454"/>
    <w:rsid w:val="15762120"/>
    <w:rsid w:val="15AA4FC6"/>
    <w:rsid w:val="163708BC"/>
    <w:rsid w:val="16631F32"/>
    <w:rsid w:val="166B3E01"/>
    <w:rsid w:val="16A8729C"/>
    <w:rsid w:val="16B33777"/>
    <w:rsid w:val="16BC70A7"/>
    <w:rsid w:val="16C6339E"/>
    <w:rsid w:val="172F2D79"/>
    <w:rsid w:val="17557BEF"/>
    <w:rsid w:val="17645F07"/>
    <w:rsid w:val="17D349C1"/>
    <w:rsid w:val="1830729E"/>
    <w:rsid w:val="1870062C"/>
    <w:rsid w:val="18817102"/>
    <w:rsid w:val="18830A15"/>
    <w:rsid w:val="18852B28"/>
    <w:rsid w:val="188B5321"/>
    <w:rsid w:val="194A0D52"/>
    <w:rsid w:val="19730E4F"/>
    <w:rsid w:val="19932372"/>
    <w:rsid w:val="19A20DD5"/>
    <w:rsid w:val="19AE03F1"/>
    <w:rsid w:val="1A071A03"/>
    <w:rsid w:val="1A1F16AE"/>
    <w:rsid w:val="1A3B5C77"/>
    <w:rsid w:val="1A984BAD"/>
    <w:rsid w:val="1AA77C2A"/>
    <w:rsid w:val="1AB8220E"/>
    <w:rsid w:val="1AE4166C"/>
    <w:rsid w:val="1AF06CFB"/>
    <w:rsid w:val="1AF11B8D"/>
    <w:rsid w:val="1B11359C"/>
    <w:rsid w:val="1B2A271F"/>
    <w:rsid w:val="1B530544"/>
    <w:rsid w:val="1B713184"/>
    <w:rsid w:val="1BA209CF"/>
    <w:rsid w:val="1BB4777D"/>
    <w:rsid w:val="1BD75AB8"/>
    <w:rsid w:val="1C0459C2"/>
    <w:rsid w:val="1C16496A"/>
    <w:rsid w:val="1C1B3B4A"/>
    <w:rsid w:val="1C88086E"/>
    <w:rsid w:val="1D266CE1"/>
    <w:rsid w:val="1D3963AF"/>
    <w:rsid w:val="1D6A673C"/>
    <w:rsid w:val="1D9247AE"/>
    <w:rsid w:val="1DB567EC"/>
    <w:rsid w:val="1DBFFF0F"/>
    <w:rsid w:val="1DF51A98"/>
    <w:rsid w:val="1E3D060F"/>
    <w:rsid w:val="1E3F7D2E"/>
    <w:rsid w:val="1E4134E4"/>
    <w:rsid w:val="1E5062B3"/>
    <w:rsid w:val="1E523514"/>
    <w:rsid w:val="1E714A66"/>
    <w:rsid w:val="1E8006D2"/>
    <w:rsid w:val="1E802593"/>
    <w:rsid w:val="1E8B6156"/>
    <w:rsid w:val="1EA703CC"/>
    <w:rsid w:val="1EAA5461"/>
    <w:rsid w:val="1EB7330C"/>
    <w:rsid w:val="1F0A0FF3"/>
    <w:rsid w:val="1F5771FF"/>
    <w:rsid w:val="1F773B93"/>
    <w:rsid w:val="1F7DB96D"/>
    <w:rsid w:val="1FBD7ED1"/>
    <w:rsid w:val="1FD52DD5"/>
    <w:rsid w:val="1FDDBC33"/>
    <w:rsid w:val="1FE868A9"/>
    <w:rsid w:val="1FEF04FD"/>
    <w:rsid w:val="1FFEBCCB"/>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57F79"/>
    <w:rsid w:val="236B425F"/>
    <w:rsid w:val="23836192"/>
    <w:rsid w:val="23901F29"/>
    <w:rsid w:val="239C0061"/>
    <w:rsid w:val="23B908A4"/>
    <w:rsid w:val="23D13B92"/>
    <w:rsid w:val="23E53AA9"/>
    <w:rsid w:val="23E95BEF"/>
    <w:rsid w:val="23FD0064"/>
    <w:rsid w:val="245375B0"/>
    <w:rsid w:val="24642C0A"/>
    <w:rsid w:val="24B22173"/>
    <w:rsid w:val="24B95AD9"/>
    <w:rsid w:val="24BE24DA"/>
    <w:rsid w:val="24CF5825"/>
    <w:rsid w:val="24D663E6"/>
    <w:rsid w:val="24D77F2B"/>
    <w:rsid w:val="258B00E2"/>
    <w:rsid w:val="2599746D"/>
    <w:rsid w:val="25A917A6"/>
    <w:rsid w:val="25BE27CC"/>
    <w:rsid w:val="25F74A5C"/>
    <w:rsid w:val="2628662C"/>
    <w:rsid w:val="262D45DE"/>
    <w:rsid w:val="262D4B53"/>
    <w:rsid w:val="26871DC8"/>
    <w:rsid w:val="26A3E3F5"/>
    <w:rsid w:val="26A53EF9"/>
    <w:rsid w:val="26A94201"/>
    <w:rsid w:val="26AC274F"/>
    <w:rsid w:val="26CE6E53"/>
    <w:rsid w:val="27044A29"/>
    <w:rsid w:val="2709250F"/>
    <w:rsid w:val="271D34C8"/>
    <w:rsid w:val="276142BF"/>
    <w:rsid w:val="27783712"/>
    <w:rsid w:val="27907362"/>
    <w:rsid w:val="27BE7A61"/>
    <w:rsid w:val="28333E1D"/>
    <w:rsid w:val="28454BD6"/>
    <w:rsid w:val="28455253"/>
    <w:rsid w:val="28551971"/>
    <w:rsid w:val="285B1C53"/>
    <w:rsid w:val="289F7086"/>
    <w:rsid w:val="28C32028"/>
    <w:rsid w:val="28CC490F"/>
    <w:rsid w:val="28DE40AA"/>
    <w:rsid w:val="29345E77"/>
    <w:rsid w:val="294C65AD"/>
    <w:rsid w:val="297DFDF4"/>
    <w:rsid w:val="29806583"/>
    <w:rsid w:val="2981730F"/>
    <w:rsid w:val="298B3C4C"/>
    <w:rsid w:val="29F26D24"/>
    <w:rsid w:val="29FE3957"/>
    <w:rsid w:val="29FF4D41"/>
    <w:rsid w:val="29FF7169"/>
    <w:rsid w:val="2A15033F"/>
    <w:rsid w:val="2A1662C1"/>
    <w:rsid w:val="2A1C7367"/>
    <w:rsid w:val="2A2815FA"/>
    <w:rsid w:val="2A2B55DA"/>
    <w:rsid w:val="2A6D6092"/>
    <w:rsid w:val="2A7B51D4"/>
    <w:rsid w:val="2A7D76B4"/>
    <w:rsid w:val="2AC62C21"/>
    <w:rsid w:val="2AD601D4"/>
    <w:rsid w:val="2B2F9C75"/>
    <w:rsid w:val="2B437463"/>
    <w:rsid w:val="2B4734D3"/>
    <w:rsid w:val="2B7807EE"/>
    <w:rsid w:val="2BA50BF7"/>
    <w:rsid w:val="2BBF00EC"/>
    <w:rsid w:val="2BC37CFD"/>
    <w:rsid w:val="2BD5237F"/>
    <w:rsid w:val="2BE536CE"/>
    <w:rsid w:val="2BE758D9"/>
    <w:rsid w:val="2C09049E"/>
    <w:rsid w:val="2C0A653C"/>
    <w:rsid w:val="2C191F85"/>
    <w:rsid w:val="2CE82D6F"/>
    <w:rsid w:val="2D343236"/>
    <w:rsid w:val="2D62013C"/>
    <w:rsid w:val="2DD15014"/>
    <w:rsid w:val="2DF72DE4"/>
    <w:rsid w:val="2E0220AF"/>
    <w:rsid w:val="2E2C1379"/>
    <w:rsid w:val="2E4B082A"/>
    <w:rsid w:val="2E5D4E86"/>
    <w:rsid w:val="2E5D790B"/>
    <w:rsid w:val="2E9A3C18"/>
    <w:rsid w:val="2EBB0FEE"/>
    <w:rsid w:val="2EC63002"/>
    <w:rsid w:val="2F0A6B38"/>
    <w:rsid w:val="2F1241EC"/>
    <w:rsid w:val="2F76FFDB"/>
    <w:rsid w:val="2F946CCB"/>
    <w:rsid w:val="2FD25781"/>
    <w:rsid w:val="2FDC745C"/>
    <w:rsid w:val="2FFD7934"/>
    <w:rsid w:val="2FFFB689"/>
    <w:rsid w:val="30733ACD"/>
    <w:rsid w:val="308C3862"/>
    <w:rsid w:val="309379D8"/>
    <w:rsid w:val="30A270F7"/>
    <w:rsid w:val="30DF1478"/>
    <w:rsid w:val="30EC586F"/>
    <w:rsid w:val="31294261"/>
    <w:rsid w:val="314550B7"/>
    <w:rsid w:val="3157486F"/>
    <w:rsid w:val="319B0B5E"/>
    <w:rsid w:val="319C6071"/>
    <w:rsid w:val="31AC537E"/>
    <w:rsid w:val="31E3679B"/>
    <w:rsid w:val="31E732FD"/>
    <w:rsid w:val="3249748F"/>
    <w:rsid w:val="32517576"/>
    <w:rsid w:val="32BE5C2C"/>
    <w:rsid w:val="32EC52C6"/>
    <w:rsid w:val="32FB6478"/>
    <w:rsid w:val="32FC1BA1"/>
    <w:rsid w:val="33263B3F"/>
    <w:rsid w:val="336963EB"/>
    <w:rsid w:val="33816EEB"/>
    <w:rsid w:val="33EB55CD"/>
    <w:rsid w:val="33EC4C02"/>
    <w:rsid w:val="33FB0D68"/>
    <w:rsid w:val="340D2360"/>
    <w:rsid w:val="3410665D"/>
    <w:rsid w:val="34211214"/>
    <w:rsid w:val="342E63AB"/>
    <w:rsid w:val="344E0F11"/>
    <w:rsid w:val="34950E68"/>
    <w:rsid w:val="34986E94"/>
    <w:rsid w:val="34AF62C9"/>
    <w:rsid w:val="34CB4388"/>
    <w:rsid w:val="34FA6E12"/>
    <w:rsid w:val="354D7158"/>
    <w:rsid w:val="358D5588"/>
    <w:rsid w:val="36293391"/>
    <w:rsid w:val="363A3B40"/>
    <w:rsid w:val="365302AE"/>
    <w:rsid w:val="36563702"/>
    <w:rsid w:val="36607A0A"/>
    <w:rsid w:val="366E227C"/>
    <w:rsid w:val="366F2E0D"/>
    <w:rsid w:val="367B6A5C"/>
    <w:rsid w:val="36A74ADA"/>
    <w:rsid w:val="36AD60D5"/>
    <w:rsid w:val="36B224F9"/>
    <w:rsid w:val="36EC0CC9"/>
    <w:rsid w:val="36FFDCFB"/>
    <w:rsid w:val="373F410B"/>
    <w:rsid w:val="379E1735"/>
    <w:rsid w:val="37EE51B6"/>
    <w:rsid w:val="37EE7094"/>
    <w:rsid w:val="37FB4A7C"/>
    <w:rsid w:val="37FB69DB"/>
    <w:rsid w:val="37FEEE03"/>
    <w:rsid w:val="37FFB28F"/>
    <w:rsid w:val="38296C89"/>
    <w:rsid w:val="383002EB"/>
    <w:rsid w:val="38586797"/>
    <w:rsid w:val="387974A5"/>
    <w:rsid w:val="387E0CBD"/>
    <w:rsid w:val="38894A5C"/>
    <w:rsid w:val="38BC0149"/>
    <w:rsid w:val="38D87D1C"/>
    <w:rsid w:val="39636459"/>
    <w:rsid w:val="396B7F6C"/>
    <w:rsid w:val="39B417A9"/>
    <w:rsid w:val="39FC1508"/>
    <w:rsid w:val="39FC5695"/>
    <w:rsid w:val="3A006D8E"/>
    <w:rsid w:val="3A3651E5"/>
    <w:rsid w:val="3A3B7643"/>
    <w:rsid w:val="3A744481"/>
    <w:rsid w:val="3A8C7BEF"/>
    <w:rsid w:val="3A906246"/>
    <w:rsid w:val="3B2349B7"/>
    <w:rsid w:val="3B347F4B"/>
    <w:rsid w:val="3B616CFF"/>
    <w:rsid w:val="3B6259F6"/>
    <w:rsid w:val="3B726DE6"/>
    <w:rsid w:val="3B976654"/>
    <w:rsid w:val="3B9F336D"/>
    <w:rsid w:val="3BC01EFC"/>
    <w:rsid w:val="3BCA786A"/>
    <w:rsid w:val="3BD31E2F"/>
    <w:rsid w:val="3BF15831"/>
    <w:rsid w:val="3BFF5620"/>
    <w:rsid w:val="3C105946"/>
    <w:rsid w:val="3C471448"/>
    <w:rsid w:val="3C5F759A"/>
    <w:rsid w:val="3C6C525A"/>
    <w:rsid w:val="3C8B2380"/>
    <w:rsid w:val="3CCE23CB"/>
    <w:rsid w:val="3CD17D17"/>
    <w:rsid w:val="3D17507E"/>
    <w:rsid w:val="3D1D6A8E"/>
    <w:rsid w:val="3D3C7F39"/>
    <w:rsid w:val="3D440F09"/>
    <w:rsid w:val="3D4504A0"/>
    <w:rsid w:val="3D638696"/>
    <w:rsid w:val="3D7DDECA"/>
    <w:rsid w:val="3D7E6827"/>
    <w:rsid w:val="3D8734BB"/>
    <w:rsid w:val="3D9A11D4"/>
    <w:rsid w:val="3DA16D89"/>
    <w:rsid w:val="3DA364BE"/>
    <w:rsid w:val="3DE041CB"/>
    <w:rsid w:val="3DF13E30"/>
    <w:rsid w:val="3DFD7A4E"/>
    <w:rsid w:val="3DFF5BD2"/>
    <w:rsid w:val="3E0D48F6"/>
    <w:rsid w:val="3E1868B4"/>
    <w:rsid w:val="3E377251"/>
    <w:rsid w:val="3E42664B"/>
    <w:rsid w:val="3E5A7334"/>
    <w:rsid w:val="3E7B5D6B"/>
    <w:rsid w:val="3E7E4F79"/>
    <w:rsid w:val="3E843E66"/>
    <w:rsid w:val="3E8F51FE"/>
    <w:rsid w:val="3E926F87"/>
    <w:rsid w:val="3E9A59DE"/>
    <w:rsid w:val="3EAF4836"/>
    <w:rsid w:val="3EC33DFA"/>
    <w:rsid w:val="3EFB42B8"/>
    <w:rsid w:val="3F060E16"/>
    <w:rsid w:val="3F1D1096"/>
    <w:rsid w:val="3F1F06F0"/>
    <w:rsid w:val="3F2F0234"/>
    <w:rsid w:val="3F3A19F7"/>
    <w:rsid w:val="3F6363FE"/>
    <w:rsid w:val="3F756B8F"/>
    <w:rsid w:val="3F7BA42F"/>
    <w:rsid w:val="3F7C338B"/>
    <w:rsid w:val="3F95482B"/>
    <w:rsid w:val="3F9F6F6B"/>
    <w:rsid w:val="3FBF5ED9"/>
    <w:rsid w:val="3FDFA22E"/>
    <w:rsid w:val="3FEF48D2"/>
    <w:rsid w:val="3FEFEB56"/>
    <w:rsid w:val="3FFFDCF4"/>
    <w:rsid w:val="4019356B"/>
    <w:rsid w:val="403C5211"/>
    <w:rsid w:val="40592157"/>
    <w:rsid w:val="406E1CAE"/>
    <w:rsid w:val="40A0133A"/>
    <w:rsid w:val="40C31A53"/>
    <w:rsid w:val="40E5018F"/>
    <w:rsid w:val="40FF545D"/>
    <w:rsid w:val="410067C8"/>
    <w:rsid w:val="418F0D2A"/>
    <w:rsid w:val="41AB23B6"/>
    <w:rsid w:val="41D01505"/>
    <w:rsid w:val="42474939"/>
    <w:rsid w:val="424C3C57"/>
    <w:rsid w:val="42613FF3"/>
    <w:rsid w:val="42660D96"/>
    <w:rsid w:val="428667D2"/>
    <w:rsid w:val="42CD1CE0"/>
    <w:rsid w:val="42E1381E"/>
    <w:rsid w:val="42ED6459"/>
    <w:rsid w:val="42FE58DD"/>
    <w:rsid w:val="43174B3D"/>
    <w:rsid w:val="433A5F23"/>
    <w:rsid w:val="434B790E"/>
    <w:rsid w:val="4360274F"/>
    <w:rsid w:val="43897C45"/>
    <w:rsid w:val="43977AB6"/>
    <w:rsid w:val="43A3342B"/>
    <w:rsid w:val="43B241D8"/>
    <w:rsid w:val="43C77C27"/>
    <w:rsid w:val="43DE09EE"/>
    <w:rsid w:val="44002FAD"/>
    <w:rsid w:val="445D4316"/>
    <w:rsid w:val="449101DD"/>
    <w:rsid w:val="44B8774F"/>
    <w:rsid w:val="44DE1391"/>
    <w:rsid w:val="45176F26"/>
    <w:rsid w:val="451B225C"/>
    <w:rsid w:val="452410C9"/>
    <w:rsid w:val="45317DFB"/>
    <w:rsid w:val="45527BB0"/>
    <w:rsid w:val="456D3CE4"/>
    <w:rsid w:val="4579042C"/>
    <w:rsid w:val="457F0571"/>
    <w:rsid w:val="45851176"/>
    <w:rsid w:val="45C63B94"/>
    <w:rsid w:val="45C71987"/>
    <w:rsid w:val="460E7DA5"/>
    <w:rsid w:val="46422483"/>
    <w:rsid w:val="4659254A"/>
    <w:rsid w:val="465B0637"/>
    <w:rsid w:val="465E3F0D"/>
    <w:rsid w:val="466A16E6"/>
    <w:rsid w:val="46893F2B"/>
    <w:rsid w:val="46C4686E"/>
    <w:rsid w:val="47654223"/>
    <w:rsid w:val="477B778F"/>
    <w:rsid w:val="478203EC"/>
    <w:rsid w:val="47B025FA"/>
    <w:rsid w:val="47BFA04E"/>
    <w:rsid w:val="48065F85"/>
    <w:rsid w:val="4809698F"/>
    <w:rsid w:val="48103A1B"/>
    <w:rsid w:val="4811697D"/>
    <w:rsid w:val="487A3E25"/>
    <w:rsid w:val="488B5503"/>
    <w:rsid w:val="48937E21"/>
    <w:rsid w:val="489A0361"/>
    <w:rsid w:val="48B229BF"/>
    <w:rsid w:val="48B94FF3"/>
    <w:rsid w:val="48C97DB4"/>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7D06F"/>
    <w:rsid w:val="4B707271"/>
    <w:rsid w:val="4B9739F7"/>
    <w:rsid w:val="4BEE2503"/>
    <w:rsid w:val="4C245A30"/>
    <w:rsid w:val="4CB6685F"/>
    <w:rsid w:val="4CC367FE"/>
    <w:rsid w:val="4D077F3C"/>
    <w:rsid w:val="4D123355"/>
    <w:rsid w:val="4D2A3B31"/>
    <w:rsid w:val="4D312C52"/>
    <w:rsid w:val="4D905305"/>
    <w:rsid w:val="4D964A72"/>
    <w:rsid w:val="4D9C1254"/>
    <w:rsid w:val="4DFE5F47"/>
    <w:rsid w:val="4E775A73"/>
    <w:rsid w:val="4E793892"/>
    <w:rsid w:val="4E800872"/>
    <w:rsid w:val="4EA20185"/>
    <w:rsid w:val="4EC569ED"/>
    <w:rsid w:val="4ED50EA1"/>
    <w:rsid w:val="4EEC050C"/>
    <w:rsid w:val="4EFF8BE4"/>
    <w:rsid w:val="4F104EC3"/>
    <w:rsid w:val="4F47354A"/>
    <w:rsid w:val="4F7AD5DF"/>
    <w:rsid w:val="4F911C54"/>
    <w:rsid w:val="4F9F54FF"/>
    <w:rsid w:val="4FD7DDCE"/>
    <w:rsid w:val="4FE219B6"/>
    <w:rsid w:val="4FE625E0"/>
    <w:rsid w:val="4FFC0139"/>
    <w:rsid w:val="5021480F"/>
    <w:rsid w:val="50962ECB"/>
    <w:rsid w:val="50A42E38"/>
    <w:rsid w:val="50A4577F"/>
    <w:rsid w:val="50A644C8"/>
    <w:rsid w:val="50B73D1F"/>
    <w:rsid w:val="50BD5BC9"/>
    <w:rsid w:val="50C11EEE"/>
    <w:rsid w:val="50E97CFC"/>
    <w:rsid w:val="50FA4028"/>
    <w:rsid w:val="510D65B7"/>
    <w:rsid w:val="511157AB"/>
    <w:rsid w:val="5142540C"/>
    <w:rsid w:val="518832C8"/>
    <w:rsid w:val="519D3C50"/>
    <w:rsid w:val="51A0432A"/>
    <w:rsid w:val="51A86090"/>
    <w:rsid w:val="51B247D8"/>
    <w:rsid w:val="51B7396D"/>
    <w:rsid w:val="522E4CC3"/>
    <w:rsid w:val="5244713B"/>
    <w:rsid w:val="525B1CED"/>
    <w:rsid w:val="52615633"/>
    <w:rsid w:val="526F4DE4"/>
    <w:rsid w:val="52977FD4"/>
    <w:rsid w:val="52A25790"/>
    <w:rsid w:val="52A90F3C"/>
    <w:rsid w:val="52A96B6F"/>
    <w:rsid w:val="52B45975"/>
    <w:rsid w:val="52D94AA4"/>
    <w:rsid w:val="52E57F8A"/>
    <w:rsid w:val="52EA3A62"/>
    <w:rsid w:val="52F50BB8"/>
    <w:rsid w:val="53097272"/>
    <w:rsid w:val="53544462"/>
    <w:rsid w:val="537F6C04"/>
    <w:rsid w:val="53837B1B"/>
    <w:rsid w:val="5397158E"/>
    <w:rsid w:val="53C7328A"/>
    <w:rsid w:val="53DB1ADC"/>
    <w:rsid w:val="54013861"/>
    <w:rsid w:val="54487265"/>
    <w:rsid w:val="544D6070"/>
    <w:rsid w:val="54605E1E"/>
    <w:rsid w:val="54B3506A"/>
    <w:rsid w:val="54C461B8"/>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DE2F3B"/>
    <w:rsid w:val="55F45FE4"/>
    <w:rsid w:val="566B6D1E"/>
    <w:rsid w:val="567FCA34"/>
    <w:rsid w:val="56BFB5A1"/>
    <w:rsid w:val="57032A2C"/>
    <w:rsid w:val="570F5219"/>
    <w:rsid w:val="575D12B5"/>
    <w:rsid w:val="57610A87"/>
    <w:rsid w:val="577B1140"/>
    <w:rsid w:val="577B7F21"/>
    <w:rsid w:val="577F181B"/>
    <w:rsid w:val="57921984"/>
    <w:rsid w:val="579737F0"/>
    <w:rsid w:val="57A97081"/>
    <w:rsid w:val="57AB7B30"/>
    <w:rsid w:val="57AF5251"/>
    <w:rsid w:val="57B26373"/>
    <w:rsid w:val="57B63F04"/>
    <w:rsid w:val="57CD20C2"/>
    <w:rsid w:val="57D675AB"/>
    <w:rsid w:val="57D95FDD"/>
    <w:rsid w:val="57DB745C"/>
    <w:rsid w:val="57FF7E62"/>
    <w:rsid w:val="584C77BE"/>
    <w:rsid w:val="58917D2F"/>
    <w:rsid w:val="5894085C"/>
    <w:rsid w:val="58AE4F0C"/>
    <w:rsid w:val="58B85899"/>
    <w:rsid w:val="58E363A9"/>
    <w:rsid w:val="58F0587D"/>
    <w:rsid w:val="593257A1"/>
    <w:rsid w:val="5955469F"/>
    <w:rsid w:val="595E1678"/>
    <w:rsid w:val="596D5BD4"/>
    <w:rsid w:val="597E3DD8"/>
    <w:rsid w:val="59C19559"/>
    <w:rsid w:val="59E652EA"/>
    <w:rsid w:val="59F80043"/>
    <w:rsid w:val="5A09252F"/>
    <w:rsid w:val="5A0B2778"/>
    <w:rsid w:val="5A2A7C7B"/>
    <w:rsid w:val="5A3E2560"/>
    <w:rsid w:val="5A5D3B6E"/>
    <w:rsid w:val="5A637A76"/>
    <w:rsid w:val="5A6D33BA"/>
    <w:rsid w:val="5A730923"/>
    <w:rsid w:val="5A792B1F"/>
    <w:rsid w:val="5A874767"/>
    <w:rsid w:val="5AA46468"/>
    <w:rsid w:val="5AA85BE2"/>
    <w:rsid w:val="5AAD6F28"/>
    <w:rsid w:val="5AD63A24"/>
    <w:rsid w:val="5AE4EAB0"/>
    <w:rsid w:val="5B2E1A1D"/>
    <w:rsid w:val="5B4D1F57"/>
    <w:rsid w:val="5B843A1C"/>
    <w:rsid w:val="5B873E3F"/>
    <w:rsid w:val="5BAC4492"/>
    <w:rsid w:val="5BAD110F"/>
    <w:rsid w:val="5BFF4CA0"/>
    <w:rsid w:val="5C02690E"/>
    <w:rsid w:val="5C196DA7"/>
    <w:rsid w:val="5C2A048C"/>
    <w:rsid w:val="5C80234E"/>
    <w:rsid w:val="5C8A680C"/>
    <w:rsid w:val="5CEA143A"/>
    <w:rsid w:val="5CFE37D6"/>
    <w:rsid w:val="5D0C4701"/>
    <w:rsid w:val="5D0F0395"/>
    <w:rsid w:val="5D1F4B91"/>
    <w:rsid w:val="5D221076"/>
    <w:rsid w:val="5D397964"/>
    <w:rsid w:val="5D5A391C"/>
    <w:rsid w:val="5D5F0F09"/>
    <w:rsid w:val="5D5F10C0"/>
    <w:rsid w:val="5D891B7B"/>
    <w:rsid w:val="5DA76C37"/>
    <w:rsid w:val="5DAD38EE"/>
    <w:rsid w:val="5DD91130"/>
    <w:rsid w:val="5DEF2522"/>
    <w:rsid w:val="5DF7F535"/>
    <w:rsid w:val="5E006862"/>
    <w:rsid w:val="5E0207B9"/>
    <w:rsid w:val="5E1834A1"/>
    <w:rsid w:val="5E261785"/>
    <w:rsid w:val="5E4A7017"/>
    <w:rsid w:val="5E552BBA"/>
    <w:rsid w:val="5E611C10"/>
    <w:rsid w:val="5E7A0F3F"/>
    <w:rsid w:val="5ED12231"/>
    <w:rsid w:val="5EF32A72"/>
    <w:rsid w:val="5EF6D633"/>
    <w:rsid w:val="5EFC7377"/>
    <w:rsid w:val="5F06174D"/>
    <w:rsid w:val="5F3A3602"/>
    <w:rsid w:val="5F45733B"/>
    <w:rsid w:val="5F57CD71"/>
    <w:rsid w:val="5F6277C6"/>
    <w:rsid w:val="5F6D0B1D"/>
    <w:rsid w:val="5F7F3771"/>
    <w:rsid w:val="5F8D0B82"/>
    <w:rsid w:val="5FCC5339"/>
    <w:rsid w:val="5FE34A5B"/>
    <w:rsid w:val="5FEFDFA5"/>
    <w:rsid w:val="5FF3BAD2"/>
    <w:rsid w:val="5FFBE1D8"/>
    <w:rsid w:val="5FFE1E36"/>
    <w:rsid w:val="5FFE640D"/>
    <w:rsid w:val="60232584"/>
    <w:rsid w:val="607330CE"/>
    <w:rsid w:val="60825176"/>
    <w:rsid w:val="609F2AC4"/>
    <w:rsid w:val="60D7414A"/>
    <w:rsid w:val="60FA2EE8"/>
    <w:rsid w:val="61054A27"/>
    <w:rsid w:val="610A52BC"/>
    <w:rsid w:val="611D2366"/>
    <w:rsid w:val="61421856"/>
    <w:rsid w:val="615227C4"/>
    <w:rsid w:val="61654E3F"/>
    <w:rsid w:val="6182292A"/>
    <w:rsid w:val="619F7F92"/>
    <w:rsid w:val="61F94C26"/>
    <w:rsid w:val="62000E56"/>
    <w:rsid w:val="624F3E49"/>
    <w:rsid w:val="62632286"/>
    <w:rsid w:val="626FE16E"/>
    <w:rsid w:val="62885958"/>
    <w:rsid w:val="62F40B65"/>
    <w:rsid w:val="62F768EF"/>
    <w:rsid w:val="62FC2CFE"/>
    <w:rsid w:val="63024505"/>
    <w:rsid w:val="635600A5"/>
    <w:rsid w:val="635B1DB5"/>
    <w:rsid w:val="63678960"/>
    <w:rsid w:val="63711FED"/>
    <w:rsid w:val="63880DDC"/>
    <w:rsid w:val="638D750D"/>
    <w:rsid w:val="63A577D2"/>
    <w:rsid w:val="63AC6CC0"/>
    <w:rsid w:val="63B0063F"/>
    <w:rsid w:val="63DB4F81"/>
    <w:rsid w:val="64055776"/>
    <w:rsid w:val="64240056"/>
    <w:rsid w:val="643E143A"/>
    <w:rsid w:val="64491666"/>
    <w:rsid w:val="647A0912"/>
    <w:rsid w:val="648B6EEF"/>
    <w:rsid w:val="64AB7982"/>
    <w:rsid w:val="64C158BF"/>
    <w:rsid w:val="64CE2EAA"/>
    <w:rsid w:val="64EEF9DE"/>
    <w:rsid w:val="653C3090"/>
    <w:rsid w:val="65854376"/>
    <w:rsid w:val="65856625"/>
    <w:rsid w:val="658767BE"/>
    <w:rsid w:val="65892531"/>
    <w:rsid w:val="65D35C16"/>
    <w:rsid w:val="65EF0810"/>
    <w:rsid w:val="66195831"/>
    <w:rsid w:val="662E75B1"/>
    <w:rsid w:val="66342C2E"/>
    <w:rsid w:val="663D6D20"/>
    <w:rsid w:val="663E784C"/>
    <w:rsid w:val="668B6A45"/>
    <w:rsid w:val="66C90890"/>
    <w:rsid w:val="66F74D63"/>
    <w:rsid w:val="67011F07"/>
    <w:rsid w:val="672F3F24"/>
    <w:rsid w:val="673E055F"/>
    <w:rsid w:val="67551CE3"/>
    <w:rsid w:val="67A22552"/>
    <w:rsid w:val="67B22DCC"/>
    <w:rsid w:val="67BE71AA"/>
    <w:rsid w:val="67D90273"/>
    <w:rsid w:val="67DE5875"/>
    <w:rsid w:val="67E55852"/>
    <w:rsid w:val="67EB1AB4"/>
    <w:rsid w:val="67F8B537"/>
    <w:rsid w:val="67FA1285"/>
    <w:rsid w:val="67FE0A6C"/>
    <w:rsid w:val="68551F4F"/>
    <w:rsid w:val="686F297B"/>
    <w:rsid w:val="687C10C9"/>
    <w:rsid w:val="68840C16"/>
    <w:rsid w:val="68872541"/>
    <w:rsid w:val="68876EFB"/>
    <w:rsid w:val="68884654"/>
    <w:rsid w:val="689F444F"/>
    <w:rsid w:val="68B96DBB"/>
    <w:rsid w:val="68CA2805"/>
    <w:rsid w:val="68E937A3"/>
    <w:rsid w:val="68FF74C4"/>
    <w:rsid w:val="691664E5"/>
    <w:rsid w:val="693E15D3"/>
    <w:rsid w:val="69627681"/>
    <w:rsid w:val="6977531D"/>
    <w:rsid w:val="69CC2BFF"/>
    <w:rsid w:val="69F64FFA"/>
    <w:rsid w:val="69F78994"/>
    <w:rsid w:val="69FD55B8"/>
    <w:rsid w:val="6A0B1C62"/>
    <w:rsid w:val="6A1D3029"/>
    <w:rsid w:val="6A2406C8"/>
    <w:rsid w:val="6ADE0BD1"/>
    <w:rsid w:val="6AE96859"/>
    <w:rsid w:val="6B147746"/>
    <w:rsid w:val="6B24787C"/>
    <w:rsid w:val="6B573233"/>
    <w:rsid w:val="6B5B6274"/>
    <w:rsid w:val="6B793D2A"/>
    <w:rsid w:val="6B935D53"/>
    <w:rsid w:val="6BCE4C39"/>
    <w:rsid w:val="6BFB8D2B"/>
    <w:rsid w:val="6BFD3900"/>
    <w:rsid w:val="6BFFFB28"/>
    <w:rsid w:val="6C196F71"/>
    <w:rsid w:val="6C226FCB"/>
    <w:rsid w:val="6C31226F"/>
    <w:rsid w:val="6C552F0B"/>
    <w:rsid w:val="6C8C67B7"/>
    <w:rsid w:val="6C9D744C"/>
    <w:rsid w:val="6D167928"/>
    <w:rsid w:val="6D26299B"/>
    <w:rsid w:val="6D4772EC"/>
    <w:rsid w:val="6D9078AF"/>
    <w:rsid w:val="6DAA3FEF"/>
    <w:rsid w:val="6DC0172B"/>
    <w:rsid w:val="6DCB690C"/>
    <w:rsid w:val="6DD41A5B"/>
    <w:rsid w:val="6DEDCAEB"/>
    <w:rsid w:val="6DF43C2E"/>
    <w:rsid w:val="6DF51CA3"/>
    <w:rsid w:val="6E280089"/>
    <w:rsid w:val="6E8335BD"/>
    <w:rsid w:val="6E8E12EF"/>
    <w:rsid w:val="6E972936"/>
    <w:rsid w:val="6ED446C5"/>
    <w:rsid w:val="6ED566BD"/>
    <w:rsid w:val="6EDFC919"/>
    <w:rsid w:val="6EFF6D18"/>
    <w:rsid w:val="6F2A7D94"/>
    <w:rsid w:val="6F7F53E8"/>
    <w:rsid w:val="6F7F7D41"/>
    <w:rsid w:val="6F8331F1"/>
    <w:rsid w:val="6F9EC1C9"/>
    <w:rsid w:val="6FAE1A09"/>
    <w:rsid w:val="6FBF009D"/>
    <w:rsid w:val="6FD75BF8"/>
    <w:rsid w:val="6FD97D81"/>
    <w:rsid w:val="6FDA8CC2"/>
    <w:rsid w:val="6FDE1181"/>
    <w:rsid w:val="6FE733DB"/>
    <w:rsid w:val="6FED9A48"/>
    <w:rsid w:val="6FF106FE"/>
    <w:rsid w:val="6FFB08B4"/>
    <w:rsid w:val="6FFD782A"/>
    <w:rsid w:val="6FFF3122"/>
    <w:rsid w:val="707723D0"/>
    <w:rsid w:val="70F5661B"/>
    <w:rsid w:val="71360107"/>
    <w:rsid w:val="713B688E"/>
    <w:rsid w:val="71B7753B"/>
    <w:rsid w:val="71BB5545"/>
    <w:rsid w:val="71D43752"/>
    <w:rsid w:val="71F1796A"/>
    <w:rsid w:val="720C127E"/>
    <w:rsid w:val="72154626"/>
    <w:rsid w:val="72262B5D"/>
    <w:rsid w:val="72283FF7"/>
    <w:rsid w:val="722E7212"/>
    <w:rsid w:val="723A0474"/>
    <w:rsid w:val="724D20AF"/>
    <w:rsid w:val="725923E4"/>
    <w:rsid w:val="72864BF7"/>
    <w:rsid w:val="729023FC"/>
    <w:rsid w:val="72FFBE50"/>
    <w:rsid w:val="7395391F"/>
    <w:rsid w:val="73C0646E"/>
    <w:rsid w:val="73D8F563"/>
    <w:rsid w:val="73FEEBEC"/>
    <w:rsid w:val="742222F5"/>
    <w:rsid w:val="74476126"/>
    <w:rsid w:val="74706664"/>
    <w:rsid w:val="747F3682"/>
    <w:rsid w:val="748E1B79"/>
    <w:rsid w:val="749C4185"/>
    <w:rsid w:val="74B83EDD"/>
    <w:rsid w:val="74FA4FF3"/>
    <w:rsid w:val="74FB124E"/>
    <w:rsid w:val="75023E50"/>
    <w:rsid w:val="75067759"/>
    <w:rsid w:val="752E6DCD"/>
    <w:rsid w:val="7551380D"/>
    <w:rsid w:val="75600BE5"/>
    <w:rsid w:val="7564475C"/>
    <w:rsid w:val="756E6F13"/>
    <w:rsid w:val="757C9D2B"/>
    <w:rsid w:val="7583797F"/>
    <w:rsid w:val="759B71A5"/>
    <w:rsid w:val="75D20F1D"/>
    <w:rsid w:val="75DA2C18"/>
    <w:rsid w:val="75DD5869"/>
    <w:rsid w:val="75F54412"/>
    <w:rsid w:val="761D08E0"/>
    <w:rsid w:val="763FA0E3"/>
    <w:rsid w:val="76443A70"/>
    <w:rsid w:val="765D347C"/>
    <w:rsid w:val="766FBBA3"/>
    <w:rsid w:val="767F9A10"/>
    <w:rsid w:val="76826699"/>
    <w:rsid w:val="76A7147B"/>
    <w:rsid w:val="76C87133"/>
    <w:rsid w:val="76CD08D5"/>
    <w:rsid w:val="76DB4B92"/>
    <w:rsid w:val="76DDEDC5"/>
    <w:rsid w:val="76ED59F8"/>
    <w:rsid w:val="76EE081A"/>
    <w:rsid w:val="76FD013A"/>
    <w:rsid w:val="77052AA4"/>
    <w:rsid w:val="77136511"/>
    <w:rsid w:val="77340A39"/>
    <w:rsid w:val="77351FD0"/>
    <w:rsid w:val="77377EE6"/>
    <w:rsid w:val="77472422"/>
    <w:rsid w:val="774775DA"/>
    <w:rsid w:val="77516237"/>
    <w:rsid w:val="777D41E5"/>
    <w:rsid w:val="777F31F2"/>
    <w:rsid w:val="778F4309"/>
    <w:rsid w:val="77D1700D"/>
    <w:rsid w:val="77EC04CC"/>
    <w:rsid w:val="77FBCE9D"/>
    <w:rsid w:val="77FF5DBD"/>
    <w:rsid w:val="77FFFD63"/>
    <w:rsid w:val="78775729"/>
    <w:rsid w:val="78A42DB0"/>
    <w:rsid w:val="78A656AB"/>
    <w:rsid w:val="78B2245C"/>
    <w:rsid w:val="78E172CC"/>
    <w:rsid w:val="78EA1D1F"/>
    <w:rsid w:val="7904172F"/>
    <w:rsid w:val="790F7E27"/>
    <w:rsid w:val="79283319"/>
    <w:rsid w:val="792A231A"/>
    <w:rsid w:val="79316829"/>
    <w:rsid w:val="797E1D12"/>
    <w:rsid w:val="797E66A9"/>
    <w:rsid w:val="798518A4"/>
    <w:rsid w:val="79A97383"/>
    <w:rsid w:val="79E25A47"/>
    <w:rsid w:val="79E27E8B"/>
    <w:rsid w:val="79F850CE"/>
    <w:rsid w:val="79FD443C"/>
    <w:rsid w:val="79FFDA22"/>
    <w:rsid w:val="7A1D1975"/>
    <w:rsid w:val="7A3E5150"/>
    <w:rsid w:val="7A4670D6"/>
    <w:rsid w:val="7A534B63"/>
    <w:rsid w:val="7A615382"/>
    <w:rsid w:val="7A67303B"/>
    <w:rsid w:val="7A7D5600"/>
    <w:rsid w:val="7AAB1D04"/>
    <w:rsid w:val="7ABA4368"/>
    <w:rsid w:val="7AD05746"/>
    <w:rsid w:val="7AFF7B7F"/>
    <w:rsid w:val="7AFFC30E"/>
    <w:rsid w:val="7B257FFD"/>
    <w:rsid w:val="7B273D20"/>
    <w:rsid w:val="7B343476"/>
    <w:rsid w:val="7B522F29"/>
    <w:rsid w:val="7B5A2978"/>
    <w:rsid w:val="7B5A7E4C"/>
    <w:rsid w:val="7B667AF9"/>
    <w:rsid w:val="7B7468F8"/>
    <w:rsid w:val="7BB7D3CC"/>
    <w:rsid w:val="7BBF21B3"/>
    <w:rsid w:val="7BEE0103"/>
    <w:rsid w:val="7BEF1978"/>
    <w:rsid w:val="7BEF4200"/>
    <w:rsid w:val="7BF561B3"/>
    <w:rsid w:val="7BF6B414"/>
    <w:rsid w:val="7BFFB3BC"/>
    <w:rsid w:val="7C0A0FE4"/>
    <w:rsid w:val="7C254906"/>
    <w:rsid w:val="7C590818"/>
    <w:rsid w:val="7C68003D"/>
    <w:rsid w:val="7C6FD72A"/>
    <w:rsid w:val="7C7C10F6"/>
    <w:rsid w:val="7C853BEA"/>
    <w:rsid w:val="7C881368"/>
    <w:rsid w:val="7CE27788"/>
    <w:rsid w:val="7D0C32F1"/>
    <w:rsid w:val="7D0F408D"/>
    <w:rsid w:val="7D491C6C"/>
    <w:rsid w:val="7D5429C0"/>
    <w:rsid w:val="7D5F1396"/>
    <w:rsid w:val="7D6E6D43"/>
    <w:rsid w:val="7D7E08ED"/>
    <w:rsid w:val="7DB57A34"/>
    <w:rsid w:val="7DBA56AF"/>
    <w:rsid w:val="7DDDD89F"/>
    <w:rsid w:val="7DE60973"/>
    <w:rsid w:val="7DEC2867"/>
    <w:rsid w:val="7DEF0916"/>
    <w:rsid w:val="7DF74B19"/>
    <w:rsid w:val="7DFD325E"/>
    <w:rsid w:val="7DFF2462"/>
    <w:rsid w:val="7E1E5218"/>
    <w:rsid w:val="7E9A4E1F"/>
    <w:rsid w:val="7EA7723A"/>
    <w:rsid w:val="7ED36375"/>
    <w:rsid w:val="7EE7C92C"/>
    <w:rsid w:val="7EEB1FC2"/>
    <w:rsid w:val="7EF2B3FA"/>
    <w:rsid w:val="7EF56FBB"/>
    <w:rsid w:val="7EF78122"/>
    <w:rsid w:val="7EF9DE6B"/>
    <w:rsid w:val="7EFB82FA"/>
    <w:rsid w:val="7EFDF093"/>
    <w:rsid w:val="7EFE7BBC"/>
    <w:rsid w:val="7F0768EB"/>
    <w:rsid w:val="7F0949E3"/>
    <w:rsid w:val="7F143BEC"/>
    <w:rsid w:val="7F36EB6E"/>
    <w:rsid w:val="7F3F9EFE"/>
    <w:rsid w:val="7F5584C9"/>
    <w:rsid w:val="7F5BD339"/>
    <w:rsid w:val="7F715AF2"/>
    <w:rsid w:val="7F736056"/>
    <w:rsid w:val="7F755EE3"/>
    <w:rsid w:val="7F7722D9"/>
    <w:rsid w:val="7F7BCBC6"/>
    <w:rsid w:val="7F7F22AA"/>
    <w:rsid w:val="7F886E69"/>
    <w:rsid w:val="7F9F3C30"/>
    <w:rsid w:val="7FBF7E1C"/>
    <w:rsid w:val="7FBFBEA5"/>
    <w:rsid w:val="7FDF0C30"/>
    <w:rsid w:val="7FDF2D68"/>
    <w:rsid w:val="7FE27D33"/>
    <w:rsid w:val="7FEB9BD9"/>
    <w:rsid w:val="7FEF5EE5"/>
    <w:rsid w:val="7FEF8321"/>
    <w:rsid w:val="7FFA87E1"/>
    <w:rsid w:val="7FFAA7F7"/>
    <w:rsid w:val="7FFB5541"/>
    <w:rsid w:val="7FFB7855"/>
    <w:rsid w:val="7FFC5C0E"/>
    <w:rsid w:val="7FFD7414"/>
    <w:rsid w:val="7FFE5C91"/>
    <w:rsid w:val="7FFEDC89"/>
    <w:rsid w:val="7FFF0D68"/>
    <w:rsid w:val="7FFFB669"/>
    <w:rsid w:val="8BFC12FA"/>
    <w:rsid w:val="95EF3D98"/>
    <w:rsid w:val="95F79B8A"/>
    <w:rsid w:val="99FFEA26"/>
    <w:rsid w:val="9B7F5EBB"/>
    <w:rsid w:val="9B7FC667"/>
    <w:rsid w:val="9CFFAB02"/>
    <w:rsid w:val="9D25DE01"/>
    <w:rsid w:val="9DFE3511"/>
    <w:rsid w:val="9ED5FEE5"/>
    <w:rsid w:val="9F8F1C5B"/>
    <w:rsid w:val="9FB2AAA9"/>
    <w:rsid w:val="A355569E"/>
    <w:rsid w:val="AAB9A2F0"/>
    <w:rsid w:val="ABDEF38D"/>
    <w:rsid w:val="AD6D2C46"/>
    <w:rsid w:val="AFFDC40C"/>
    <w:rsid w:val="B37FCADC"/>
    <w:rsid w:val="B77FD689"/>
    <w:rsid w:val="B7DFCF69"/>
    <w:rsid w:val="B9BFC99E"/>
    <w:rsid w:val="BB7D6065"/>
    <w:rsid w:val="BB7FA927"/>
    <w:rsid w:val="BBDDB367"/>
    <w:rsid w:val="BBF6110D"/>
    <w:rsid w:val="BBFAF14A"/>
    <w:rsid w:val="BCD71E1C"/>
    <w:rsid w:val="BD27F7A5"/>
    <w:rsid w:val="BDEFC5BC"/>
    <w:rsid w:val="BDEFE6C8"/>
    <w:rsid w:val="BDF56125"/>
    <w:rsid w:val="BE7B2DB9"/>
    <w:rsid w:val="BF3E0194"/>
    <w:rsid w:val="BF7C8640"/>
    <w:rsid w:val="BF9DFDD8"/>
    <w:rsid w:val="BF9F7E93"/>
    <w:rsid w:val="BFB28167"/>
    <w:rsid w:val="BFB7D947"/>
    <w:rsid w:val="BFD4CC0F"/>
    <w:rsid w:val="BFEEC347"/>
    <w:rsid w:val="BFF1679A"/>
    <w:rsid w:val="BFF52C38"/>
    <w:rsid w:val="C7F0D174"/>
    <w:rsid w:val="C9F60236"/>
    <w:rsid w:val="CABB2B7F"/>
    <w:rsid w:val="CB37E98A"/>
    <w:rsid w:val="CB7F3477"/>
    <w:rsid w:val="CDEF71EA"/>
    <w:rsid w:val="CFFEF9CC"/>
    <w:rsid w:val="D2D71110"/>
    <w:rsid w:val="D4CA7560"/>
    <w:rsid w:val="D4F7476C"/>
    <w:rsid w:val="D5DF0350"/>
    <w:rsid w:val="D5EFAEF8"/>
    <w:rsid w:val="D63FD853"/>
    <w:rsid w:val="D7332124"/>
    <w:rsid w:val="D7E766C2"/>
    <w:rsid w:val="D9EF9103"/>
    <w:rsid w:val="DBBFAAA7"/>
    <w:rsid w:val="DBBFB4B5"/>
    <w:rsid w:val="DBF7B57F"/>
    <w:rsid w:val="DBFA8D8D"/>
    <w:rsid w:val="DC7F3749"/>
    <w:rsid w:val="DCCBC47B"/>
    <w:rsid w:val="DDFD1AE5"/>
    <w:rsid w:val="DDFF7FE3"/>
    <w:rsid w:val="DDFFB7CC"/>
    <w:rsid w:val="DDFFDC12"/>
    <w:rsid w:val="DEEFC1CC"/>
    <w:rsid w:val="DF3FCC2A"/>
    <w:rsid w:val="DF97997E"/>
    <w:rsid w:val="DF9FF431"/>
    <w:rsid w:val="DFB3129D"/>
    <w:rsid w:val="DFBFB6F6"/>
    <w:rsid w:val="DFCFB380"/>
    <w:rsid w:val="DFFC7095"/>
    <w:rsid w:val="E1FB6CB6"/>
    <w:rsid w:val="E2B69593"/>
    <w:rsid w:val="E4DFF77C"/>
    <w:rsid w:val="E7EE397B"/>
    <w:rsid w:val="E9B0F715"/>
    <w:rsid w:val="EAEB66A0"/>
    <w:rsid w:val="EBAF5E57"/>
    <w:rsid w:val="EBDFD1A5"/>
    <w:rsid w:val="EEEBC993"/>
    <w:rsid w:val="EF5FB63E"/>
    <w:rsid w:val="EF6C1B42"/>
    <w:rsid w:val="EF7E3F6D"/>
    <w:rsid w:val="EFBF4709"/>
    <w:rsid w:val="EFD7B253"/>
    <w:rsid w:val="EFDFDC78"/>
    <w:rsid w:val="EFF32BEB"/>
    <w:rsid w:val="EFFF5E27"/>
    <w:rsid w:val="EFFFBB1A"/>
    <w:rsid w:val="F32ADBE6"/>
    <w:rsid w:val="F3DFC734"/>
    <w:rsid w:val="F3F79AB2"/>
    <w:rsid w:val="F4DEA467"/>
    <w:rsid w:val="F575642C"/>
    <w:rsid w:val="F5FF270B"/>
    <w:rsid w:val="F5FFD31F"/>
    <w:rsid w:val="F64FB690"/>
    <w:rsid w:val="F6D7899C"/>
    <w:rsid w:val="F777A8A0"/>
    <w:rsid w:val="F7BF3A2C"/>
    <w:rsid w:val="F83B5C6F"/>
    <w:rsid w:val="F96BB8E6"/>
    <w:rsid w:val="F9B21067"/>
    <w:rsid w:val="FA7ED3CC"/>
    <w:rsid w:val="FAFB9ED5"/>
    <w:rsid w:val="FB2D1E18"/>
    <w:rsid w:val="FB770673"/>
    <w:rsid w:val="FB77318D"/>
    <w:rsid w:val="FB7FDFD1"/>
    <w:rsid w:val="FB8559CC"/>
    <w:rsid w:val="FBC4C821"/>
    <w:rsid w:val="FBDB4927"/>
    <w:rsid w:val="FBFDFC9A"/>
    <w:rsid w:val="FBFF51E0"/>
    <w:rsid w:val="FBFF5B7C"/>
    <w:rsid w:val="FC75529C"/>
    <w:rsid w:val="FCFB8D81"/>
    <w:rsid w:val="FDEF67AD"/>
    <w:rsid w:val="FDF0F1B6"/>
    <w:rsid w:val="FDF3FCBD"/>
    <w:rsid w:val="FDF7E0C0"/>
    <w:rsid w:val="FDF89801"/>
    <w:rsid w:val="FDFF5CCD"/>
    <w:rsid w:val="FE5FCE13"/>
    <w:rsid w:val="FE7E87B0"/>
    <w:rsid w:val="FE7F362F"/>
    <w:rsid w:val="FEBFB25E"/>
    <w:rsid w:val="FEC3351A"/>
    <w:rsid w:val="FECF3E41"/>
    <w:rsid w:val="FEDEAF19"/>
    <w:rsid w:val="FEEDC17B"/>
    <w:rsid w:val="FEFD3E09"/>
    <w:rsid w:val="FEFEA9C6"/>
    <w:rsid w:val="FF377CFA"/>
    <w:rsid w:val="FF479B24"/>
    <w:rsid w:val="FF5ABEBC"/>
    <w:rsid w:val="FF5FD7A8"/>
    <w:rsid w:val="FF6FBE43"/>
    <w:rsid w:val="FF7E4A63"/>
    <w:rsid w:val="FF9FA706"/>
    <w:rsid w:val="FFB77E5B"/>
    <w:rsid w:val="FFBB25BD"/>
    <w:rsid w:val="FFBD649C"/>
    <w:rsid w:val="FFD75DDC"/>
    <w:rsid w:val="FFD85B5A"/>
    <w:rsid w:val="FFDC25C7"/>
    <w:rsid w:val="FFDD9AB8"/>
    <w:rsid w:val="FFDE7E9B"/>
    <w:rsid w:val="FFDFCFD1"/>
    <w:rsid w:val="FFE79582"/>
    <w:rsid w:val="FFEB3944"/>
    <w:rsid w:val="FFEFBF0A"/>
    <w:rsid w:val="FFF619D2"/>
    <w:rsid w:val="FFFA7A70"/>
    <w:rsid w:val="FFFD57AC"/>
    <w:rsid w:val="FFFD8505"/>
    <w:rsid w:val="FFFD8719"/>
    <w:rsid w:val="FFFE2EDE"/>
    <w:rsid w:val="FFFF031E"/>
    <w:rsid w:val="FFFFD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2"/>
    <w:basedOn w:val="1"/>
    <w:link w:val="300"/>
    <w:qFormat/>
    <w:uiPriority w:val="0"/>
    <w:pPr>
      <w:spacing w:after="120" w:line="480" w:lineRule="auto"/>
    </w:pPr>
  </w:style>
  <w:style w:type="paragraph" w:styleId="25">
    <w:name w:val="Body Text Indent"/>
    <w:basedOn w:val="1"/>
    <w:link w:val="26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30"/>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basedOn w:val="1"/>
    <w:next w:val="1"/>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next w:val="51"/>
    <w:link w:val="319"/>
    <w:qFormat/>
    <w:uiPriority w:val="0"/>
    <w:pPr>
      <w:ind w:firstLine="420"/>
    </w:pPr>
    <w:rPr>
      <w:rFonts w:hAnsi="Calibri" w:cs="Times New Roman"/>
      <w:snapToGrid/>
      <w:szCs w:val="20"/>
    </w:rPr>
  </w:style>
  <w:style w:type="paragraph" w:styleId="61">
    <w:name w:val="Body Text First Indent 2"/>
    <w:basedOn w:val="25"/>
    <w:next w:val="1"/>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basedOn w:val="69"/>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basedOn w:val="69"/>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basedOn w:val="69"/>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24"/>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basedOn w:val="69"/>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24"/>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2"/>
    <w:qFormat/>
    <w:uiPriority w:val="0"/>
    <w:pPr>
      <w:tabs>
        <w:tab w:val="left" w:pos="840"/>
      </w:tabs>
      <w:adjustRightInd/>
      <w:ind w:left="840" w:hanging="420"/>
    </w:pPr>
  </w:style>
  <w:style w:type="paragraph" w:customStyle="1" w:styleId="62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8"/>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8"/>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basedOn w:val="69"/>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3">
    <w:name w:val="font101"/>
    <w:basedOn w:val="69"/>
    <w:qFormat/>
    <w:uiPriority w:val="0"/>
    <w:rPr>
      <w:rFonts w:hint="eastAsia" w:ascii="宋体" w:hAnsi="宋体" w:eastAsia="宋体" w:cs="宋体"/>
      <w:color w:val="000000"/>
      <w:sz w:val="20"/>
      <w:szCs w:val="20"/>
      <w:u w:val="none"/>
    </w:rPr>
  </w:style>
  <w:style w:type="character" w:customStyle="1" w:styleId="964">
    <w:name w:val="font112"/>
    <w:qFormat/>
    <w:uiPriority w:val="0"/>
    <w:rPr>
      <w:rFonts w:ascii="Arial" w:hAnsi="Arial" w:cs="Arial"/>
      <w:color w:val="000000"/>
      <w:sz w:val="18"/>
      <w:szCs w:val="18"/>
      <w:u w:val="none"/>
    </w:rPr>
  </w:style>
  <w:style w:type="character" w:customStyle="1" w:styleId="965">
    <w:name w:val="font121"/>
    <w:qFormat/>
    <w:uiPriority w:val="0"/>
    <w:rPr>
      <w:rFonts w:ascii="等线" w:hAnsi="等线" w:eastAsia="等线" w:cs="等线"/>
      <w:color w:val="000000"/>
      <w:sz w:val="18"/>
      <w:szCs w:val="18"/>
      <w:u w:val="none"/>
    </w:rPr>
  </w:style>
  <w:style w:type="character" w:customStyle="1" w:styleId="966">
    <w:name w:val="font111"/>
    <w:qFormat/>
    <w:uiPriority w:val="0"/>
    <w:rPr>
      <w:rFonts w:hint="eastAsia" w:ascii="宋体" w:hAnsi="宋体" w:eastAsia="宋体" w:cs="宋体"/>
      <w:color w:val="000000"/>
      <w:sz w:val="18"/>
      <w:szCs w:val="18"/>
      <w:u w:val="none"/>
    </w:rPr>
  </w:style>
  <w:style w:type="character" w:customStyle="1" w:styleId="967">
    <w:name w:val="font122"/>
    <w:qFormat/>
    <w:uiPriority w:val="0"/>
    <w:rPr>
      <w:rFonts w:hint="eastAsia" w:ascii="微软雅黑" w:hAnsi="微软雅黑" w:eastAsia="微软雅黑" w:cs="微软雅黑"/>
      <w:color w:val="000000"/>
      <w:sz w:val="18"/>
      <w:szCs w:val="18"/>
      <w:u w:val="none"/>
    </w:rPr>
  </w:style>
  <w:style w:type="paragraph" w:customStyle="1" w:styleId="968">
    <w:name w:val="Fließtext"/>
    <w:basedOn w:val="1"/>
    <w:qFormat/>
    <w:uiPriority w:val="0"/>
    <w:pPr>
      <w:overflowPunct w:val="0"/>
      <w:autoSpaceDE w:val="0"/>
      <w:autoSpaceDN w:val="0"/>
      <w:textAlignment w:val="baseline"/>
    </w:pPr>
    <w:rPr>
      <w:kern w:val="28"/>
      <w:szCs w:val="20"/>
    </w:rPr>
  </w:style>
  <w:style w:type="table" w:customStyle="1" w:styleId="969">
    <w:name w:val="Table Normal"/>
    <w:basedOn w:val="62"/>
    <w:unhideWhenUsed/>
    <w:qFormat/>
    <w:uiPriority w:val="0"/>
    <w:tblPr>
      <w:tblCellMar>
        <w:top w:w="0" w:type="dxa"/>
        <w:left w:w="0" w:type="dxa"/>
        <w:bottom w:w="0" w:type="dxa"/>
        <w:right w:w="0" w:type="dxa"/>
      </w:tblCellMar>
    </w:tblPr>
  </w:style>
  <w:style w:type="paragraph" w:customStyle="1" w:styleId="970">
    <w:name w:val="正文空2字"/>
    <w:basedOn w:val="97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1">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92</Pages>
  <Words>18350</Words>
  <Characters>19684</Characters>
  <Lines>281</Lines>
  <Paragraphs>79</Paragraphs>
  <TotalTime>17</TotalTime>
  <ScaleCrop>false</ScaleCrop>
  <LinksUpToDate>false</LinksUpToDate>
  <CharactersWithSpaces>20124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2021-08-14T08:22:00Z</dcterms:created>
  <dc:creator>玥</dc:creator>
  <cp:lastModifiedBy>Zyt</cp:lastModifiedBy>
  <cp:lastPrinted>2026-01-24T09:21:00Z</cp:lastPrinted>
  <dcterms:modified xsi:type="dcterms:W3CDTF">2026-06-18T07:32:15Z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D48F3A349E194736876B8579C038F49B_13</vt:lpwstr>
  </property>
  <property fmtid="{D5CDD505-2E9C-101B-9397-08002B2CF9AE}" pid="5" name="KSOTemplateDocerSaveRecord">
    <vt:lpwstr>eyJoZGlkIjoiNGI3MzVhMzBhNjMzMjg5OWMxZGI2NTAxNTAzZDg2OGMiLCJ1c2VySWQiOiI3OTA0NzcwMDMifQ==</vt:lpwstr>
  </property>
</Properties>
</file>