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版本号：N510001202600135120260702001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2026年计算机软件租赁服务采购(二次)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N5100012026001351</w:t>
      </w:r>
    </w:p>
    <w:p>
      <w:pPr>
        <w:pStyle w:val="null3"/>
        <w:jc w:val="left"/>
        <w:outlineLvl w:val="2"/>
      </w:pPr>
      <w:r>
        <w:rPr>
          <w:rFonts w:ascii="仿宋_GB2312" w:hAnsi="仿宋_GB2312" w:cs="仿宋_GB2312" w:eastAsia="仿宋_GB2312"/>
          <w:sz w:val="28"/>
          <w:b/>
        </w:rPr>
        <w:t>成都理工大学</w:t>
      </w:r>
    </w:p>
    <w:p>
      <w:pPr>
        <w:pStyle w:val="null3"/>
        <w:jc w:val="center"/>
        <w:outlineLvl w:val="2"/>
      </w:pPr>
      <w:r>
        <w:rPr>
          <w:rFonts w:ascii="仿宋_GB2312" w:hAnsi="仿宋_GB2312" w:cs="仿宋_GB2312" w:eastAsia="仿宋_GB2312"/>
          <w:sz w:val="28"/>
          <w:b/>
        </w:rPr>
        <w:t>中金招标有限责任公司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中金招标有限责任公司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成都理工大学</w:t>
      </w:r>
      <w:r>
        <w:rPr>
          <w:rFonts w:ascii="仿宋_GB2312" w:hAnsi="仿宋_GB2312" w:cs="仿宋_GB2312" w:eastAsia="仿宋_GB2312"/>
        </w:rPr>
        <w:t xml:space="preserve"> 委托，拟对 </w:t>
      </w:r>
      <w:r>
        <w:rPr>
          <w:rFonts w:ascii="仿宋_GB2312" w:hAnsi="仿宋_GB2312" w:cs="仿宋_GB2312" w:eastAsia="仿宋_GB2312"/>
        </w:rPr>
        <w:t>2026年计算机软件租赁服务采购(二次)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N5100012026001351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2026年计算机软件租赁服务采购(二次)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2026年计算机软件租赁服务采购。</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成都理工大学</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成都市成华区二仙桥东三路1号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610051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84078845</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中金招标有限责任公司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成都市高新区天晖路360号晶科1号商务楼20楼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610095</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袁老师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02884469198-633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采购包1：490,000.00元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 xml:space="preserve">合同签订前，中标（成交）供应商向采购人支付中标（成交）总金额的 5 %作为本合同履约保证金，并将相关材料加盖供应商财务鲜章交采购人采购与招标管理中心核验和管理登记，履约保证金可以以银行转账，支票/汇票/本票，保函/保险等形式缴纳。中标（成交）供应商在项目交付完成且不存在任何违约行为的情况下，向采购人使用单位提出退还履约保证金申请，由采购人在20个工作日内一次性向中标（成交）供应商无息全额退还。若中标（成交）供应商违约，采购人可以先从履约保证金中扣除违约金，不足部分由中标（成交）供应商应另行支付，同时中标（成交）供应商应在3日内补足履约保证金。 </w:t>
              <w:br/>
              <w:t>履约保证金缴纳账号（缴纳信息）：</w:t>
              <w:br/>
              <w:t>收款单位：成都理工大学</w:t>
              <w:br/>
              <w:t>开户行：中国建设银行股份有限公司成都双建路支行</w:t>
              <w:br/>
              <w:t>银行账号：5100 1885 3360 5071 6993</w:t>
              <w:br/>
              <w:t>纳税人识别号：12510000450722107H</w:t>
              <w:br/>
              <w:t>或</w:t>
              <w:br/>
              <w:t>收款单位：成都理工大学</w:t>
              <w:br/>
              <w:t>开户行：工行成都沙河支行理工大学分理处；</w:t>
              <w:br/>
              <w:t>银行账号：4402 2280 0900 8800 382；</w:t>
              <w:br/>
              <w:t>纳税人识别号：12510000450722107H</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代理服务费收费标准：以中标价作为计算基数,参照1980号文收费标准下浮20%分别向各包件中标人收取</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成都理工大学</w:t>
      </w:r>
      <w:r>
        <w:rPr>
          <w:rFonts w:ascii="仿宋_GB2312" w:hAnsi="仿宋_GB2312" w:cs="仿宋_GB2312" w:eastAsia="仿宋_GB2312"/>
        </w:rPr>
        <w:t xml:space="preserve"> 和 </w:t>
      </w:r>
      <w:r>
        <w:rPr>
          <w:rFonts w:ascii="仿宋_GB2312" w:hAnsi="仿宋_GB2312" w:cs="仿宋_GB2312" w:eastAsia="仿宋_GB2312"/>
        </w:rPr>
        <w:t>中金招标有限责任公司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成都理工大学</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中金招标有限责任公司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获取正版软件授权，供应商提出申请之日起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95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服务期满，供应商提出申请之日起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5</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按合同约定的技术条款进行验收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按合同约定的商务条款进行验收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达到合同要求</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由校内需求单位自行组织验收。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成都理工大学</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中金招标有限责任公司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中金招标有限责任公司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联系人：朱老师</w:t>
      </w:r>
    </w:p>
    <w:p>
      <w:pPr>
        <w:pStyle w:val="null3"/>
        <w:jc w:val="left"/>
      </w:pPr>
      <w:r>
        <w:rPr>
          <w:rFonts w:ascii="仿宋_GB2312" w:hAnsi="仿宋_GB2312" w:cs="仿宋_GB2312" w:eastAsia="仿宋_GB2312"/>
        </w:rPr>
        <w:t>联系电话：02884469198</w:t>
      </w:r>
    </w:p>
    <w:p>
      <w:pPr>
        <w:pStyle w:val="null3"/>
        <w:jc w:val="left"/>
      </w:pPr>
      <w:r>
        <w:rPr>
          <w:rFonts w:ascii="仿宋_GB2312" w:hAnsi="仿宋_GB2312" w:cs="仿宋_GB2312" w:eastAsia="仿宋_GB2312"/>
        </w:rPr>
        <w:t>地址：成都市高新区天晖路360号晶科1号商务楼20楼</w:t>
      </w:r>
    </w:p>
    <w:p>
      <w:pPr>
        <w:pStyle w:val="null3"/>
        <w:jc w:val="left"/>
      </w:pPr>
      <w:r>
        <w:rPr>
          <w:rFonts w:ascii="仿宋_GB2312" w:hAnsi="仿宋_GB2312" w:cs="仿宋_GB2312" w:eastAsia="仿宋_GB2312"/>
        </w:rPr>
        <w:t>邮编：610095</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490,000.00</w:t>
      </w:r>
    </w:p>
    <w:p>
      <w:pPr>
        <w:pStyle w:val="null3"/>
        <w:jc w:val="left"/>
      </w:pPr>
      <w:r>
        <w:rPr>
          <w:rFonts w:ascii="仿宋_GB2312" w:hAnsi="仿宋_GB2312" w:cs="仿宋_GB2312" w:eastAsia="仿宋_GB2312"/>
        </w:rPr>
        <w:t>采购包最高限价（元）: 490,000.00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C23110100 计算机设备和软件租赁服务</w:t>
            </w:r>
          </w:p>
        </w:tc>
        <w:tc>
          <w:tcPr>
            <w:tcW w:type="dxa" w:w="821"/>
          </w:tcPr>
          <w:p>
            <w:pPr>
              <w:pStyle w:val="null3"/>
              <w:jc w:val="left"/>
            </w:pPr>
            <w:r>
              <w:rPr>
                <w:rFonts w:ascii="仿宋_GB2312" w:hAnsi="仿宋_GB2312" w:cs="仿宋_GB2312" w:eastAsia="仿宋_GB2312"/>
              </w:rPr>
              <w:t>WPS 正版化服务（含办公云服务）</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200,000.00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C23110100 计算机设备和软件租赁服务</w:t>
            </w:r>
          </w:p>
        </w:tc>
        <w:tc>
          <w:tcPr>
            <w:tcW w:type="dxa" w:w="821"/>
          </w:tcPr>
          <w:p>
            <w:pPr>
              <w:pStyle w:val="null3"/>
              <w:jc w:val="left"/>
            </w:pPr>
            <w:r>
              <w:rPr>
                <w:rFonts w:ascii="仿宋_GB2312" w:hAnsi="仿宋_GB2312" w:cs="仿宋_GB2312" w:eastAsia="仿宋_GB2312"/>
              </w:rPr>
              <w:t>图形图像创意软件产品使用权</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290,000.00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WPS 正版化服务（含办公云服务）</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200,000.00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图形图像创意软件产品使用权</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290,000.00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标的名称：WPS 正版化服务（含办公云服务）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tbl>
            <w:tblPr>
              <w:tblInd w:type="dxa" w:w="30"/>
              <w:tblBorders>
                <w:top w:val="none" w:color="000000" w:sz="4"/>
                <w:left w:val="none" w:color="000000" w:sz="4"/>
                <w:bottom w:val="none" w:color="000000" w:sz="4"/>
                <w:right w:val="none" w:color="000000" w:sz="4"/>
                <w:insideH w:val="none"/>
                <w:insideV w:val="none"/>
              </w:tblBorders>
            </w:tblPr>
            <w:tblGrid>
              <w:gridCol w:w="783"/>
              <w:gridCol w:w="741"/>
              <w:gridCol w:w="5555"/>
            </w:tblGrid>
            <w:tr>
              <w:tc>
                <w:tcPr>
                  <w:tcW w:type="dxa" w:w="783"/>
                  <w:tcBorders>
                    <w:top w:val="singl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4"/>
                      <w:b/>
                      <w:color w:val="333333"/>
                      <w:shd w:fill="FFFFFF" w:val="clear"/>
                    </w:rPr>
                    <w:t>标的名称</w:t>
                  </w:r>
                </w:p>
              </w:tc>
              <w:tc>
                <w:tcPr>
                  <w:tcW w:type="dxa" w:w="741"/>
                  <w:tcBorders>
                    <w:top w:val="singl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4"/>
                      <w:b/>
                      <w:shd w:fill="FFFFFF" w:val="clear"/>
                    </w:rPr>
                    <w:t>参数性质</w:t>
                  </w:r>
                </w:p>
              </w:tc>
              <w:tc>
                <w:tcPr>
                  <w:tcW w:type="dxa" w:w="5555"/>
                  <w:tcBorders>
                    <w:top w:val="singl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4"/>
                      <w:b/>
                      <w:shd w:fill="FFFFFF" w:val="clear"/>
                    </w:rPr>
                    <w:t>技术参数与性能指标</w:t>
                  </w:r>
                </w:p>
              </w:tc>
            </w:tr>
            <w:tr>
              <w:tc>
                <w:tcPr>
                  <w:tcW w:type="dxa" w:w="783"/>
                  <w:vMerge w:val="restart"/>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4"/>
                      <w:b/>
                      <w:shd w:fill="FFFFFF" w:val="clear"/>
                    </w:rPr>
                    <w:t>WPS 正版化服务（含办公云服务）</w:t>
                  </w:r>
                </w:p>
                <w:p>
                  <w:pPr>
                    <w:pStyle w:val="null3"/>
                    <w:jc w:val="center"/>
                  </w:p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4"/>
                      <w:shd w:fill="FFFFFF" w:val="clear"/>
                    </w:rPr>
                    <w:t>★</w:t>
                  </w: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b/>
                    </w:rPr>
                    <w:t>一、总体要求</w:t>
                  </w:r>
                </w:p>
                <w:p>
                  <w:pPr>
                    <w:pStyle w:val="null3"/>
                    <w:jc w:val="left"/>
                  </w:pPr>
                  <w:r>
                    <w:rPr>
                      <w:rFonts w:ascii="仿宋_GB2312" w:hAnsi="仿宋_GB2312" w:cs="仿宋_GB2312" w:eastAsia="仿宋_GB2312"/>
                      <w:sz w:val="24"/>
                    </w:rPr>
                    <w:t>1、提供 WPS Office教育版正版软件场地授权服务，服务期内校内（校内Windows 电脑设备，初始用户量≥4000）不限安装使用数量。</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4"/>
                      <w:shd w:fill="FFFFFF" w:val="clear"/>
                    </w:rPr>
                    <w:t>★</w:t>
                  </w: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left="15" w:right="420"/>
                    <w:jc w:val="left"/>
                  </w:pPr>
                  <w:r>
                    <w:rPr>
                      <w:rFonts w:ascii="仿宋_GB2312" w:hAnsi="仿宋_GB2312" w:cs="仿宋_GB2312" w:eastAsia="仿宋_GB2312"/>
                      <w:sz w:val="24"/>
                    </w:rPr>
                    <w:t>2、WPS 365 教育应用版（办公云服务）200 用户订阅许可。</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4"/>
                      <w:color w:val="333333"/>
                      <w:shd w:fill="FFFFFF" w:val="clear"/>
                    </w:rPr>
                    <w:t>▲</w:t>
                  </w: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right="420"/>
                    <w:jc w:val="left"/>
                  </w:pPr>
                  <w:r>
                    <w:rPr>
                      <w:rFonts w:ascii="仿宋_GB2312" w:hAnsi="仿宋_GB2312" w:cs="仿宋_GB2312" w:eastAsia="仿宋_GB2312"/>
                      <w:sz w:val="24"/>
                      <w:b/>
                    </w:rPr>
                    <w:t>二、</w:t>
                  </w:r>
                  <w:r>
                    <w:rPr>
                      <w:rFonts w:ascii="仿宋_GB2312" w:hAnsi="仿宋_GB2312" w:cs="仿宋_GB2312" w:eastAsia="仿宋_GB2312"/>
                      <w:sz w:val="24"/>
                      <w:b/>
                    </w:rPr>
                    <w:t>WPS 教育版端功能性指标</w:t>
                  </w:r>
                </w:p>
                <w:p>
                  <w:pPr>
                    <w:pStyle w:val="null3"/>
                    <w:ind w:right="420"/>
                    <w:jc w:val="left"/>
                  </w:pPr>
                  <w:r>
                    <w:rPr>
                      <w:rFonts w:ascii="仿宋_GB2312" w:hAnsi="仿宋_GB2312" w:cs="仿宋_GB2312" w:eastAsia="仿宋_GB2312"/>
                      <w:sz w:val="24"/>
                    </w:rPr>
                    <w:t>（一）基础功能指标：</w:t>
                  </w:r>
                </w:p>
                <w:p>
                  <w:pPr>
                    <w:pStyle w:val="null3"/>
                    <w:ind w:right="420"/>
                    <w:jc w:val="left"/>
                  </w:pPr>
                  <w:r>
                    <w:rPr>
                      <w:rFonts w:ascii="仿宋_GB2312" w:hAnsi="仿宋_GB2312" w:cs="仿宋_GB2312" w:eastAsia="仿宋_GB2312"/>
                      <w:sz w:val="24"/>
                    </w:rPr>
                    <w:t>3、支持窗口多组件/整合模式，支持进行单窗口多标签的拆分与组合，在多窗口模式下支持在系统任务栏显示多主窗口，可以通过 ALT+TAB 快捷键来回切换查看多个文档。</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4"/>
                    </w:rPr>
                    <w:t>▲</w:t>
                  </w: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right="420"/>
                    <w:jc w:val="left"/>
                  </w:pPr>
                  <w:r>
                    <w:rPr>
                      <w:rFonts w:ascii="仿宋_GB2312" w:hAnsi="仿宋_GB2312" w:cs="仿宋_GB2312" w:eastAsia="仿宋_GB2312"/>
                      <w:sz w:val="24"/>
                    </w:rPr>
                    <w:t>4、需要能直接打开 PDF 格式文件，进行阅读查看。同时保障可将其他格式文档另存为 PDF 格式文件，在导出过程中可对文档信息、书签、超链接等进行输出项选择，可进行打印。</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both"/>
                  </w:pP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5、支持文字、表格、演示模块对图形图片设置颜色支持取色器功能，有效的进行颜色适配填充。</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4"/>
                    </w:rPr>
                    <w:t>▲</w:t>
                  </w: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6、支持输出 OFD 格式。</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7、安装包不超过 300M。</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4"/>
                    </w:rPr>
                    <w:t>▲</w:t>
                  </w: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8、文字模块智能目录导航，自动识别文档结构，实时调整文档目录；标题格式不用调整样式， 也可智能自动生成目录。</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4"/>
                    </w:rPr>
                    <w:t>▲</w:t>
                  </w: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9、文字模块支持“翻译”功能，能支持≥5 种语言互相翻译转换，支持截图取字功能。</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10、文字模块导航窗格，支持目录导航、页面导航、书签导航功能。</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11、文字模块阅读版式，文字模块支持阅读版式的全屏窗口显示，方便和清晰浏览大篇幅文章的内容。</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12、软件内置主题功能，能够效格式化文档。文字模块提供段落布局工具，通过拖动方式直观调整悬挂缩进、段落间距等格式。</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b/>
                    </w:rPr>
                    <w:t>（三）表格模块</w:t>
                  </w:r>
                </w:p>
                <w:p>
                  <w:pPr>
                    <w:pStyle w:val="null3"/>
                    <w:jc w:val="left"/>
                  </w:pPr>
                  <w:r>
                    <w:rPr>
                      <w:rFonts w:ascii="仿宋_GB2312" w:hAnsi="仿宋_GB2312" w:cs="仿宋_GB2312" w:eastAsia="仿宋_GB2312"/>
                      <w:sz w:val="24"/>
                    </w:rPr>
                    <w:t>13、表格模块支持共享工作薄，电子表格支持创建并兼容微软 office 的 xls/xlsx,doc/docx,ppt/pptx 格式的共享工作薄，允许多人同时对电子表格进行编辑。</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14、支持在表格中一键插入求和、计数、平均值、取整常用公式。</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15、支持多列数据合并操作，支持单元格数据的循环引用。</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16、表格模块支持文件一键瘦身功能，能有效地减少文件体积，提高存储量。</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4"/>
                    </w:rPr>
                    <w:t>▲</w:t>
                  </w: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17、支持右键插入行数的手动输入，便于一次性插入多行。</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4"/>
                    </w:rPr>
                    <w:t>▲</w:t>
                  </w: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18、表格模块支持筛选计数功能，让用户可以直观的了解当前内容所在列中出现的次数，并支持对计数结果进行导出，提高用户数据分析。</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b/>
                    </w:rPr>
                    <w:t>（四）演示模块</w:t>
                  </w:r>
                </w:p>
                <w:p>
                  <w:pPr>
                    <w:pStyle w:val="null3"/>
                    <w:jc w:val="left"/>
                  </w:pPr>
                  <w:r>
                    <w:rPr>
                      <w:rFonts w:ascii="仿宋_GB2312" w:hAnsi="仿宋_GB2312" w:cs="仿宋_GB2312" w:eastAsia="仿宋_GB2312"/>
                      <w:sz w:val="24"/>
                    </w:rPr>
                    <w:t>19、演示模块支持一键美化，可对演示模板进行设计板式、配色调色、统一字体和字号、为图片加效果。</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20、演示模块支持双击幻灯片页启动播放的功能。</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21、演示模块支持将文档保存为视频格式和放映中录制视频。</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22、演示支持幻灯片库按封面、过渡页、正文、目录、结束页进行分类。</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b/>
                    </w:rPr>
                    <w:t>（五）其他指标</w:t>
                  </w:r>
                </w:p>
                <w:p>
                  <w:pPr>
                    <w:pStyle w:val="null3"/>
                    <w:jc w:val="left"/>
                  </w:pPr>
                  <w:r>
                    <w:rPr>
                      <w:rFonts w:ascii="仿宋_GB2312" w:hAnsi="仿宋_GB2312" w:cs="仿宋_GB2312" w:eastAsia="仿宋_GB2312"/>
                      <w:sz w:val="24"/>
                    </w:rPr>
                    <w:t>23、服务期内支持将低版本的办公软件升级到最新的版本。</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4"/>
                    </w:rPr>
                    <w:t>▲</w:t>
                  </w: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b/>
                    </w:rPr>
                    <w:t>一、</w:t>
                  </w:r>
                  <w:r>
                    <w:rPr>
                      <w:rFonts w:ascii="仿宋_GB2312" w:hAnsi="仿宋_GB2312" w:cs="仿宋_GB2312" w:eastAsia="仿宋_GB2312"/>
                      <w:sz w:val="24"/>
                      <w:b/>
                    </w:rPr>
                    <w:t>WPS 365 功能性指标</w:t>
                  </w:r>
                </w:p>
                <w:p>
                  <w:pPr>
                    <w:pStyle w:val="null3"/>
                    <w:jc w:val="left"/>
                  </w:pPr>
                  <w:r>
                    <w:rPr>
                      <w:rFonts w:ascii="仿宋_GB2312" w:hAnsi="仿宋_GB2312" w:cs="仿宋_GB2312" w:eastAsia="仿宋_GB2312"/>
                      <w:sz w:val="24"/>
                      <w:b/>
                    </w:rPr>
                    <w:t>（一）云端存储指标</w:t>
                  </w:r>
                </w:p>
                <w:p>
                  <w:pPr>
                    <w:pStyle w:val="null3"/>
                    <w:jc w:val="left"/>
                  </w:pPr>
                  <w:r>
                    <w:rPr>
                      <w:rFonts w:ascii="仿宋_GB2312" w:hAnsi="仿宋_GB2312" w:cs="仿宋_GB2312" w:eastAsia="仿宋_GB2312"/>
                      <w:sz w:val="24"/>
                    </w:rPr>
                    <w:t>24、云文档空间具备≥100GB/人的存储容量， 还可以根据教师使用情况进行分配。</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25、支持提供公网云存储，可通过账号登录；支持外链分享、支持文档漫游，支持历史版本、全文检索等功能；支持文档实时跟踪与备份恢复；支持提供后台管理功能，文档统一把控。</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26、支持在线文档应用：在内容创建过程中，支持@引用云文档、联系人、时间信息，支持插入表格、电子表格、思维导图、流程图、分割线、超链接素材，支持引入地图、视频、音乐平台链接地址，以文本形式显示。</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4"/>
                    </w:rPr>
                    <w:t>▲</w:t>
                  </w: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b/>
                    </w:rPr>
                    <w:t>（二）功能应用指标</w:t>
                  </w:r>
                </w:p>
                <w:p>
                  <w:pPr>
                    <w:pStyle w:val="null3"/>
                    <w:jc w:val="left"/>
                  </w:pPr>
                  <w:r>
                    <w:rPr>
                      <w:rFonts w:ascii="仿宋_GB2312" w:hAnsi="仿宋_GB2312" w:cs="仿宋_GB2312" w:eastAsia="仿宋_GB2312"/>
                      <w:sz w:val="24"/>
                    </w:rPr>
                    <w:t>27、支持 PDF 版式文件格式互转功能，可与 Word、Excel、PPT 格式文档相互转换。</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28、支持 PDF 编辑、压缩、拆分、合并、水印的能力。</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29、支持表格的智能排版、高级筛选、数据对比的能力。</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30、支持图片转 TXT、图片转表格、图片转文字的能力。</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4"/>
                    </w:rPr>
                    <w:t>▲</w:t>
                  </w: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31、支持实时通讯能力，支持一对一单聊会话和创建群聊会话；会话支持设置消息免打扰、聊天列表置顶等功能。</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32、提供可以共享协作的日历服务，可以将日历分享给其他人，其他人可以根据分享者配置的编辑、查看、仅查看忙闲权限，对于分享者的日历进行管理和查看。日程可以分享到聊天，选择参与人。</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4"/>
                    </w:rPr>
                    <w:t>▲</w:t>
                  </w: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33、支持会议功能，可基于文档发起会议功能， 并邀请其他成员参与；支持单独创建会议，通过会议 ID 或者链接可进行在线会议，可提供云文档共享、屏幕共享多种内容共享方式。</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4"/>
                    </w:rPr>
                    <w:t>▲</w:t>
                  </w: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34、支持表单功能，可创建基础表单、考试、打卡、接龙常用信息采集表，提供多种常用模板， 并且支持链接、二维码、海报、微信、QQ 等方式进行邀请填写，后台自动生成 Excel 表格和填报情况汇总。</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4"/>
                    </w:rPr>
                    <w:t>▲</w:t>
                  </w: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b/>
                    </w:rPr>
                    <w:t>（三）模板库资源包：</w:t>
                  </w:r>
                </w:p>
                <w:p>
                  <w:pPr>
                    <w:pStyle w:val="null3"/>
                    <w:jc w:val="left"/>
                  </w:pPr>
                  <w:r>
                    <w:rPr>
                      <w:rFonts w:ascii="仿宋_GB2312" w:hAnsi="仿宋_GB2312" w:cs="仿宋_GB2312" w:eastAsia="仿宋_GB2312"/>
                      <w:sz w:val="24"/>
                    </w:rPr>
                    <w:t>35、支持模板素材应用，智能模板工具支持提供文字模板、表格模板、演示模板，各类模板应用不少于 100 套/月。</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36、文字模板包括：行业简历、述职汇报、人资新政、规章制度、论文文献、试题试卷类别；</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37、表格模板包括：工作计划表、学习计划表、考勤表、财务报表、登记表类别。</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38、演示模板类别包括：总结汇报、毕业答辩、教学通用、活动策划、主题教育。</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39、功能支持统一字体、智能配色、智能拼图、一键速排、全文美化、单页美化、智能动画、艺术字体。</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b/>
                    </w:rPr>
                    <w:t>（四）后台管理指标</w:t>
                  </w:r>
                </w:p>
                <w:p>
                  <w:pPr>
                    <w:pStyle w:val="null3"/>
                    <w:jc w:val="left"/>
                  </w:pPr>
                  <w:r>
                    <w:rPr>
                      <w:rFonts w:ascii="仿宋_GB2312" w:hAnsi="仿宋_GB2312" w:cs="仿宋_GB2312" w:eastAsia="仿宋_GB2312"/>
                      <w:sz w:val="24"/>
                    </w:rPr>
                    <w:t>40、提供文档安全管理能力，支持团队文档水印、团队文档加密保护、团队文档分享范围管控的能力。</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4"/>
                    </w:rPr>
                    <w:t>▲</w:t>
                  </w: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41、角色管理：根据不同的管理能力，创建不同角色，如日志管理员、组织架构管理员，完成分权管理。</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4"/>
                    </w:rPr>
                    <w:t>▲</w:t>
                  </w: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42、日志管理：支持对文档操作、团队操作、后台操作和登录操作进行日志记录，并支持日志导出。</w:t>
                  </w:r>
                </w:p>
              </w:tc>
            </w:tr>
          </w:tbl>
          <w:p/>
        </w:tc>
      </w:tr>
    </w:tbl>
    <w:p>
      <w:pPr>
        <w:pStyle w:val="null3"/>
        <w:jc w:val="left"/>
      </w:pPr>
      <w:r>
        <w:rPr>
          <w:rFonts w:ascii="仿宋_GB2312" w:hAnsi="仿宋_GB2312" w:cs="仿宋_GB2312" w:eastAsia="仿宋_GB2312"/>
        </w:rPr>
        <w:t>标的名称：图形图像创意软件产品使用权</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tbl>
            <w:tblPr>
              <w:tblInd w:type="dxa" w:w="30"/>
              <w:tblBorders>
                <w:top w:val="none" w:color="000000" w:sz="4"/>
                <w:left w:val="none" w:color="000000" w:sz="4"/>
                <w:bottom w:val="none" w:color="000000" w:sz="4"/>
                <w:right w:val="none" w:color="000000" w:sz="4"/>
                <w:insideH w:val="none"/>
                <w:insideV w:val="none"/>
              </w:tblBorders>
            </w:tblPr>
            <w:tblGrid>
              <w:gridCol w:w="783"/>
              <w:gridCol w:w="741"/>
              <w:gridCol w:w="5555"/>
            </w:tblGrid>
            <w:tr>
              <w:tc>
                <w:tcPr>
                  <w:tcW w:type="dxa" w:w="783"/>
                  <w:tcBorders>
                    <w:top w:val="singl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4"/>
                      <w:b/>
                      <w:color w:val="333333"/>
                      <w:shd w:fill="FFFFFF" w:val="clear"/>
                    </w:rPr>
                    <w:t>标的名称</w:t>
                  </w:r>
                </w:p>
              </w:tc>
              <w:tc>
                <w:tcPr>
                  <w:tcW w:type="dxa" w:w="741"/>
                  <w:tcBorders>
                    <w:top w:val="singl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4"/>
                      <w:b/>
                      <w:shd w:fill="FFFFFF" w:val="clear"/>
                    </w:rPr>
                    <w:t>参数性质</w:t>
                  </w:r>
                </w:p>
              </w:tc>
              <w:tc>
                <w:tcPr>
                  <w:tcW w:type="dxa" w:w="5555"/>
                  <w:tcBorders>
                    <w:top w:val="singl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4"/>
                      <w:b/>
                      <w:shd w:fill="FFFFFF" w:val="clear"/>
                    </w:rPr>
                    <w:t>技术参数与性能指标</w:t>
                  </w:r>
                </w:p>
              </w:tc>
            </w:tr>
            <w:tr>
              <w:tc>
                <w:tcPr>
                  <w:tcW w:type="dxa" w:w="783"/>
                  <w:vMerge w:val="restart"/>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b/>
                    </w:rPr>
                    <w:t>图形图像创意软件产品使用</w:t>
                  </w:r>
                </w:p>
                <w:p>
                  <w:pPr>
                    <w:pStyle w:val="null3"/>
                    <w:jc w:val="center"/>
                  </w:pPr>
                  <w:r>
                    <w:rPr>
                      <w:rFonts w:ascii="仿宋_GB2312" w:hAnsi="仿宋_GB2312" w:cs="仿宋_GB2312" w:eastAsia="仿宋_GB2312"/>
                      <w:sz w:val="24"/>
                      <w:b/>
                    </w:rPr>
                    <w:t>权</w:t>
                  </w:r>
                </w:p>
                <w:p>
                  <w:pPr>
                    <w:pStyle w:val="null3"/>
                    <w:jc w:val="center"/>
                  </w:p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4"/>
                    </w:rPr>
                    <w:t>★</w:t>
                  </w: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b/>
                    </w:rPr>
                    <w:t>一、总体要求</w:t>
                  </w:r>
                </w:p>
                <w:p>
                  <w:pPr>
                    <w:pStyle w:val="null3"/>
                    <w:jc w:val="left"/>
                  </w:pPr>
                  <w:r>
                    <w:rPr>
                      <w:rFonts w:ascii="仿宋_GB2312" w:hAnsi="仿宋_GB2312" w:cs="仿宋_GB2312" w:eastAsia="仿宋_GB2312"/>
                      <w:sz w:val="24"/>
                    </w:rPr>
                    <w:t>1、授权方式：场地授权。</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4"/>
                    </w:rPr>
                    <w:t>★</w:t>
                  </w: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right="420"/>
                    <w:jc w:val="both"/>
                  </w:pPr>
                  <w:r>
                    <w:rPr>
                      <w:rFonts w:ascii="仿宋_GB2312" w:hAnsi="仿宋_GB2312" w:cs="仿宋_GB2312" w:eastAsia="仿宋_GB2312"/>
                      <w:sz w:val="24"/>
                    </w:rPr>
                    <w:t>2、涵盖范围：全校办公室、教室、实验室和图书馆场所的所有计算机包括师生电脑和笔记本。</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4"/>
                    </w:rPr>
                    <w:t>★</w:t>
                  </w: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二、具体参数要求</w:t>
                  </w:r>
                </w:p>
                <w:p>
                  <w:pPr>
                    <w:pStyle w:val="null3"/>
                    <w:ind w:right="420"/>
                    <w:jc w:val="both"/>
                  </w:pPr>
                  <w:r>
                    <w:rPr>
                      <w:rFonts w:ascii="仿宋_GB2312" w:hAnsi="仿宋_GB2312" w:cs="仿宋_GB2312" w:eastAsia="仿宋_GB2312"/>
                      <w:sz w:val="24"/>
                    </w:rPr>
                    <w:t>3、图形图像创意软件套包（教育版）必须包含以下软件（创建、编辑和签署 pdf 文档和表单， 图像编辑和合成、图片后期处理软件，矢量图形和插图，元数据采集、记录和粗剪，以桌面为中心的照片编辑，面向印刷和数字出版的页面设计和布局，专业视频和电影编辑，电影视觉效果和动态图形，录音、混音和复原，可向任何屏幕快速输出视频文件，设计和开发新式响应式网站， 极致 3D 渲染，集中管理创意资源，适用于多个平台的交互式动画，与文案人员和编辑合作）。</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其他服务要求</w:t>
            </w:r>
          </w:p>
        </w:tc>
        <w:tc>
          <w:tcPr>
            <w:tcW w:type="dxa" w:w="5814"/>
          </w:tcPr>
          <w:p>
            <w:pPr>
              <w:pStyle w:val="null3"/>
              <w:ind w:firstLine="420"/>
              <w:jc w:val="both"/>
            </w:pP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1）在本项目服务期内，中标（成交）供应商不可私自变更服务团队人员，如确需要变更的，需报请采购人书面同意后方可变更。</w:t>
            </w:r>
          </w:p>
          <w:p>
            <w:pPr>
              <w:pStyle w:val="null3"/>
              <w:ind w:firstLine="420"/>
              <w:jc w:val="both"/>
            </w:pP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2）中标（成交）供应商应建立7×24小时联系机制，确保采购人在任意时间均可与中标（成交）供应商保持通畅的渠道。</w:t>
            </w:r>
          </w:p>
          <w:p>
            <w:pPr>
              <w:pStyle w:val="null3"/>
              <w:jc w:val="left"/>
            </w:pP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3）中标（成交）供应商应建立完善的应急机制，确保在出现意外或紧急情况下可妥善完成服务内容。</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（1）WPS 正版化服务（含办公云服务）：WPS Office教育版服务期限为：2026年10月27日-2027年10月26日、WPS 365服务期限为：2026年10月29日-2027年10月28日（2）图形图像创意软件服务期限为：2026年9月29日-2027年9月28日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成都理工大学本部</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采购人按照《财政部关于进一步加强政府采购需求和履约验收管理的指导意见》（财库[2016]205号）及《成都理工大学采购验收管理办法》（成理校发[2023]11号）的有关规定开展验收。</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取得正版软件授权后三十（30）个工作日内，中标（成交）供应商将发票原件（原则上须为增值税专用发票）和合同复印件交采购人使用单位，采购人收到资料后，达到付款条件起30日内，支付合同总金额的95.00%</w:t>
            </w:r>
          </w:p>
          <w:p>
            <w:pPr>
              <w:pStyle w:val="null3"/>
              <w:jc w:val="left"/>
            </w:pPr>
            <w:r>
              <w:rPr>
                <w:rFonts w:ascii="仿宋_GB2312" w:hAnsi="仿宋_GB2312" w:cs="仿宋_GB2312" w:eastAsia="仿宋_GB2312"/>
              </w:rPr>
              <w:t>2、合同服务期满后进行验收，验收合格后三（3）个工作日内，中标（成交）供应商将发票原件（原则上须为增值税专用发票）和合同复印件交采购人使用单位，采购人收到资料后，达到付款条件起30日内，支付合同总金额的5.00%</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双方协商解决；协商不成时，双方可向甲方所在地人民法院提起诉讼。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供应商针对本项目提供服务方案（包含： ①项目需求理解及分析（包括对教育场景应用的理解、对学校现有软件环境与师生使用习惯的分析） ②人员配置方案（包括人员设置及其职责分工、联系方式） ③项目进度保证措施（包括进度计划编制、风险预警与应急预案、与采购人的沟通协调机制） ④项目实施方案（包括授权获取与验证、用户激活流程、验收测试流程等具体执行步骤） ⑤培训方案（包括培训对象与目标、培训内容大纲、培训方式与时间安排） ⑥维保服务方案（包括服务响应时间与级别、售后维护处理流程） ⑦定期回访（包括回访周期与方式、回访内容清单） 。</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①投标人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2024年以来任意一年年度经审计的财务报告扫描件（包含审计报告和审计报告中所涉及的财务报表和报表附注）；②也可提供2024年以来任意一年年度供应商内部财务报表扫描件（至少包含资产负债表）;③可提供截至投标文件递交截止日一年内银行出具的资信证明（扫描件）;④投标人注册时间截至投标文件递交截止日不足一年的，也可提供在工商备案的公司章程（扫描件）；）。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属于专门面向中小企业采购。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投标（响应）函,承诺函.docx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招标文件第三章中的★条款（实质性要求）、其他实质性条款</w:t>
            </w:r>
          </w:p>
        </w:tc>
        <w:tc>
          <w:tcPr>
            <w:tcW w:type="dxa" w:w="3322"/>
          </w:tcPr>
          <w:p>
            <w:pPr>
              <w:pStyle w:val="null3"/>
              <w:jc w:val="left"/>
            </w:pPr>
            <w:r>
              <w:rPr>
                <w:rFonts w:ascii="仿宋_GB2312" w:hAnsi="仿宋_GB2312" w:cs="仿宋_GB2312" w:eastAsia="仿宋_GB2312"/>
              </w:rPr>
              <w:t>按招标文件中要求的进行响应</w:t>
            </w:r>
          </w:p>
        </w:tc>
        <w:tc>
          <w:tcPr>
            <w:tcW w:type="dxa" w:w="1661"/>
          </w:tcPr>
          <w:p>
            <w:pPr>
              <w:pStyle w:val="null3"/>
              <w:jc w:val="left"/>
            </w:pPr>
            <w:r>
              <w:rPr>
                <w:rFonts w:ascii="仿宋_GB2312" w:hAnsi="仿宋_GB2312" w:cs="仿宋_GB2312" w:eastAsia="仿宋_GB2312"/>
              </w:rPr>
              <w:t>报价明细表,其他证明材料.docx,服务应答表,报价表,商务应答表.docx,承诺函.docx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投标文件符合性审查部分签章</w:t>
            </w:r>
          </w:p>
        </w:tc>
        <w:tc>
          <w:tcPr>
            <w:tcW w:type="dxa" w:w="3322"/>
          </w:tcPr>
          <w:p>
            <w:pPr>
              <w:pStyle w:val="null3"/>
              <w:jc w:val="left"/>
            </w:pPr>
            <w:r>
              <w:rPr>
                <w:rFonts w:ascii="仿宋_GB2312" w:hAnsi="仿宋_GB2312" w:cs="仿宋_GB2312" w:eastAsia="仿宋_GB2312"/>
              </w:rPr>
              <w:t>按照招标文件要求进行签章。</w:t>
            </w:r>
          </w:p>
        </w:tc>
        <w:tc>
          <w:tcPr>
            <w:tcW w:type="dxa" w:w="1661"/>
          </w:tcPr>
          <w:p>
            <w:pPr>
              <w:pStyle w:val="null3"/>
              <w:jc w:val="left"/>
            </w:pPr>
            <w:r>
              <w:rPr>
                <w:rFonts w:ascii="仿宋_GB2312" w:hAnsi="仿宋_GB2312" w:cs="仿宋_GB2312" w:eastAsia="仿宋_GB2312"/>
              </w:rPr>
              <w:t>报价明细表,其他证明材料.docx,投标文件封面,服务应答表,报价表,商务应答表.docx,承诺函.docx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服务响应</w:t>
            </w:r>
          </w:p>
        </w:tc>
        <w:tc>
          <w:tcPr>
            <w:tcW w:type="dxa" w:w="2575"/>
          </w:tcPr>
          <w:p>
            <w:pPr>
              <w:pStyle w:val="null3"/>
              <w:jc w:val="left"/>
            </w:pPr>
            <w:r>
              <w:rPr>
                <w:rFonts w:ascii="仿宋_GB2312" w:hAnsi="仿宋_GB2312" w:cs="仿宋_GB2312" w:eastAsia="仿宋_GB2312"/>
              </w:rPr>
              <w:t>完全满足招标文件第3章“技术要求”中所有条款要求的得40分。 1.★条款为实质性条款，不满足作无效投标处理，不在此评分范围内，共5项； 2.带▲指标为重点参数，不满足带▲技术参数，每有一项扣2分（共15条，共30分）； 3.其余参数为普通参数，每有一项不满足扣0.4分（共25条，共10分）。</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其他证明材料.docx</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根据供应商针对本项目提供的服务方案（包含： ①项目需求理解及分析（包括对教育场景应用的理解、对学校现有软件环境与师生使用习惯的分析） ②人员配置方案（包括人员设置及其职责分工、联系方式） ③项目进度保证措施（包括进度计划编制、风险预警与应急预案、与采购人的沟通协调机制） ④项目实施方案（包括授权获取与验证、用户激活流程、验收测试流程等具体执行步骤） ⑤培训方案（包括培训对象与目标、培训内容大纲、培训方式与时间安排） ⑥维保服务方案（包括服务响应时间与级别、售后维护处理流程） ⑦定期回访（包括回访周期与方式、回访内容清单） 进行综合评审,以上内容无缺项且满足采购文件要求得 21 分；每缺少一项或仅有大纲标题无正文内容扣 3 分；每有一项存在缺陷（缺陷是指①项目名称、实施地点、履约期限与本项目要求的不一致；②本项目提供的方案中引用的法律、法规、标准存在失效或错误；③前后内容相互矛盾；④复制或套用其他项目内容；）扣 1.5 分，扣完为止。</w:t>
            </w:r>
          </w:p>
        </w:tc>
        <w:tc>
          <w:tcPr>
            <w:tcW w:type="dxa" w:w="831"/>
          </w:tcPr>
          <w:p>
            <w:pPr>
              <w:pStyle w:val="null3"/>
              <w:jc w:val="center"/>
            </w:pPr>
            <w:r>
              <w:rPr>
                <w:rFonts w:ascii="仿宋_GB2312" w:hAnsi="仿宋_GB2312" w:cs="仿宋_GB2312" w:eastAsia="仿宋_GB2312"/>
              </w:rPr>
              <w:t>21.0000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供应商具有2022年1月1日以来的类似业绩，每有一个得1.5分，满分6分。无类似业绩的得0分。 （提供销售合同及能证明验收合格的证明材料复印件加盖供应商公章，以合同签订之日为准。）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履约能力.docx</w:t>
            </w:r>
          </w:p>
        </w:tc>
      </w:tr>
      <w:tr>
        <w:tc>
          <w:tcPr>
            <w:tcW w:type="dxa" w:w="831"/>
            <w:vMerge/>
          </w:tcPr>
          <w:p/>
        </w:tc>
        <w:tc>
          <w:tcPr>
            <w:tcW w:type="dxa" w:w="1661"/>
          </w:tcPr>
          <w:p>
            <w:pPr>
              <w:pStyle w:val="null3"/>
              <w:jc w:val="left"/>
            </w:pPr>
            <w:r>
              <w:rPr>
                <w:rFonts w:ascii="仿宋_GB2312" w:hAnsi="仿宋_GB2312" w:cs="仿宋_GB2312" w:eastAsia="仿宋_GB2312"/>
              </w:rPr>
              <w:t>售后服务机构配置</w:t>
            </w:r>
          </w:p>
        </w:tc>
        <w:tc>
          <w:tcPr>
            <w:tcW w:type="dxa" w:w="2575"/>
          </w:tcPr>
          <w:p>
            <w:pPr>
              <w:pStyle w:val="null3"/>
              <w:jc w:val="left"/>
            </w:pPr>
            <w:r>
              <w:rPr>
                <w:rFonts w:ascii="仿宋_GB2312" w:hAnsi="仿宋_GB2312" w:cs="仿宋_GB2312" w:eastAsia="仿宋_GB2312"/>
              </w:rPr>
              <w:t>售后服务机构配置（3分）： 供应商在本项目所在地有售后服务机构或承诺中标后建立，且配备本项目所在地专职售后服务队伍，得3分。（提供承诺函，加盖供应商公章，格式自拟，承诺在中标后提供以上本地化服务，并在合同中约定。）</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其他证明材料.docx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详见附件：承诺函.docx</w:t>
      </w:r>
    </w:p>
    <w:p>
      <w:pPr>
        <w:pStyle w:val="null3"/>
        <w:ind w:firstLine="960"/>
        <w:jc w:val="left"/>
      </w:pPr>
      <w:r>
        <w:rPr>
          <w:rFonts w:ascii="仿宋_GB2312" w:hAnsi="仿宋_GB2312" w:cs="仿宋_GB2312" w:eastAsia="仿宋_GB2312"/>
        </w:rPr>
        <w:t>详见附件：具有健全财务会计制度的证明材料.docx</w:t>
      </w:r>
    </w:p>
    <w:p>
      <w:pPr>
        <w:pStyle w:val="null3"/>
        <w:ind w:firstLine="960"/>
        <w:jc w:val="left"/>
      </w:pPr>
      <w:r>
        <w:rPr>
          <w:rFonts w:ascii="仿宋_GB2312" w:hAnsi="仿宋_GB2312" w:cs="仿宋_GB2312" w:eastAsia="仿宋_GB2312"/>
        </w:rPr>
        <w:t>详见附件：履约能力.docx</w:t>
      </w:r>
    </w:p>
    <w:p>
      <w:pPr>
        <w:pStyle w:val="null3"/>
        <w:ind w:firstLine="960"/>
        <w:jc w:val="left"/>
      </w:pPr>
      <w:r>
        <w:rPr>
          <w:rFonts w:ascii="仿宋_GB2312" w:hAnsi="仿宋_GB2312" w:cs="仿宋_GB2312" w:eastAsia="仿宋_GB2312"/>
        </w:rPr>
        <w:t>详见附件：其他证明材料.docx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详见附件：服务方案.docx</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详见附件：服务类合同模板.docx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