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left" w:pos="3780"/>
        </w:tabs>
        <w:spacing w:line="300" w:lineRule="auto"/>
        <w:jc w:val="left"/>
        <w:rPr>
          <w:color w:val="000000"/>
          <w:sz w:val="21"/>
          <w:szCs w:val="21"/>
          <w:u w:val="single"/>
        </w:rPr>
      </w:pPr>
      <w:r>
        <w:rPr>
          <w:color w:val="000000"/>
          <w:sz w:val="21"/>
          <w:szCs w:val="21"/>
          <w:u w:val="single"/>
        </w:rPr>
        <w:t xml:space="preserve">                                                                                                                              </w:t>
      </w:r>
    </w:p>
    <w:p>
      <w:pPr>
        <w:pStyle w:val="7"/>
        <w:spacing w:line="300" w:lineRule="auto"/>
        <w:jc w:val="left"/>
        <w:rPr>
          <w:color w:val="000000"/>
          <w:sz w:val="21"/>
          <w:szCs w:val="21"/>
        </w:rPr>
      </w:pPr>
      <w:r>
        <w:rPr>
          <w:color w:val="000000"/>
          <w:sz w:val="21"/>
          <w:szCs w:val="21"/>
        </w:rPr>
        <w:t>成都理工大学</w:t>
      </w:r>
      <w:r>
        <w:rPr>
          <w:rFonts w:hint="eastAsia"/>
          <w:color w:val="000000"/>
          <w:sz w:val="21"/>
          <w:szCs w:val="21"/>
        </w:rPr>
        <w:t>服务</w:t>
      </w:r>
      <w:r>
        <w:rPr>
          <w:color w:val="000000"/>
          <w:sz w:val="21"/>
          <w:szCs w:val="21"/>
        </w:rPr>
        <w:t>买卖合同（  年）  招标编号：</w:t>
      </w:r>
      <w:r>
        <w:rPr>
          <w:color w:val="000000"/>
          <w:sz w:val="21"/>
          <w:szCs w:val="21"/>
          <w:u w:val="single"/>
        </w:rPr>
        <w:t xml:space="preserve">                 </w:t>
      </w:r>
      <w:r>
        <w:rPr>
          <w:color w:val="000000"/>
          <w:sz w:val="21"/>
          <w:szCs w:val="21"/>
        </w:rPr>
        <w:t xml:space="preserve">   实施计划备案号：</w:t>
      </w:r>
      <w:r>
        <w:rPr>
          <w:color w:val="000000"/>
          <w:sz w:val="21"/>
          <w:szCs w:val="21"/>
          <w:u w:val="single"/>
        </w:rPr>
        <w:t xml:space="preserve">              </w:t>
      </w:r>
    </w:p>
    <w:p>
      <w:pPr>
        <w:pStyle w:val="7"/>
        <w:spacing w:line="300" w:lineRule="auto"/>
        <w:jc w:val="left"/>
        <w:rPr>
          <w:color w:val="000000"/>
          <w:sz w:val="21"/>
          <w:szCs w:val="21"/>
          <w:u w:val="single"/>
        </w:rPr>
      </w:pPr>
      <w:r>
        <w:rPr>
          <w:color w:val="000000"/>
          <w:sz w:val="21"/>
          <w:szCs w:val="21"/>
        </w:rPr>
        <w:t>经费</w:t>
      </w:r>
      <w:r>
        <w:rPr>
          <w:rFonts w:hint="eastAsia"/>
          <w:color w:val="000000"/>
          <w:sz w:val="21"/>
          <w:szCs w:val="21"/>
        </w:rPr>
        <w:t>名称</w:t>
      </w:r>
      <w:r>
        <w:rPr>
          <w:color w:val="000000"/>
          <w:sz w:val="21"/>
          <w:szCs w:val="21"/>
        </w:rPr>
        <w:t>：</w:t>
      </w:r>
      <w:r>
        <w:rPr>
          <w:color w:val="000000"/>
          <w:sz w:val="21"/>
          <w:szCs w:val="21"/>
          <w:u w:val="single"/>
        </w:rPr>
        <w:t xml:space="preserve">           </w:t>
      </w:r>
      <w:r>
        <w:rPr>
          <w:color w:val="000000"/>
          <w:sz w:val="21"/>
          <w:szCs w:val="21"/>
        </w:rPr>
        <w:t xml:space="preserve">    </w:t>
      </w:r>
      <w:r>
        <w:rPr>
          <w:rFonts w:hint="eastAsia"/>
          <w:color w:val="000000"/>
          <w:sz w:val="21"/>
          <w:szCs w:val="21"/>
        </w:rPr>
        <w:t>经费</w:t>
      </w:r>
      <w:r>
        <w:rPr>
          <w:color w:val="000000"/>
          <w:sz w:val="21"/>
          <w:szCs w:val="21"/>
        </w:rPr>
        <w:t>归口部门：</w:t>
      </w:r>
      <w:r>
        <w:rPr>
          <w:color w:val="000000"/>
          <w:sz w:val="21"/>
          <w:szCs w:val="21"/>
          <w:u w:val="single"/>
        </w:rPr>
        <w:t xml:space="preserve">             </w:t>
      </w:r>
      <w:r>
        <w:rPr>
          <w:color w:val="000000"/>
          <w:sz w:val="21"/>
          <w:szCs w:val="21"/>
        </w:rPr>
        <w:t xml:space="preserve">    合同编号：</w:t>
      </w:r>
      <w:r>
        <w:rPr>
          <w:color w:val="000000"/>
          <w:sz w:val="21"/>
          <w:szCs w:val="21"/>
          <w:u w:val="single"/>
        </w:rPr>
        <w:t xml:space="preserve">                   </w:t>
      </w:r>
      <w:r>
        <w:rPr>
          <w:color w:val="000000"/>
          <w:sz w:val="21"/>
          <w:szCs w:val="21"/>
        </w:rPr>
        <w:t xml:space="preserve"> </w:t>
      </w:r>
    </w:p>
    <w:p>
      <w:pPr>
        <w:pStyle w:val="7"/>
        <w:spacing w:line="300" w:lineRule="auto"/>
        <w:jc w:val="left"/>
        <w:rPr>
          <w:rFonts w:hint="eastAsia"/>
          <w:color w:val="000000"/>
          <w:sz w:val="21"/>
          <w:szCs w:val="21"/>
        </w:rPr>
      </w:pPr>
      <w:r>
        <w:rPr>
          <w:color w:val="000000"/>
          <w:sz w:val="21"/>
          <w:szCs w:val="21"/>
        </w:rPr>
        <w:t xml:space="preserve">预算金额： </w:t>
      </w:r>
      <w:r>
        <w:rPr>
          <w:color w:val="000000"/>
          <w:sz w:val="21"/>
          <w:szCs w:val="21"/>
          <w:u w:val="single"/>
        </w:rPr>
        <w:t xml:space="preserve">             </w:t>
      </w:r>
      <w:r>
        <w:rPr>
          <w:color w:val="000000"/>
          <w:sz w:val="21"/>
          <w:szCs w:val="21"/>
        </w:rPr>
        <w:t xml:space="preserve">  </w:t>
      </w:r>
    </w:p>
    <w:p>
      <w:pPr>
        <w:spacing w:line="300" w:lineRule="auto"/>
        <w:jc w:val="center"/>
        <w:rPr>
          <w:color w:val="000000"/>
          <w:sz w:val="36"/>
          <w:szCs w:val="36"/>
        </w:rPr>
      </w:pPr>
      <w:r>
        <w:rPr>
          <w:b/>
          <w:color w:val="000000"/>
          <w:sz w:val="36"/>
          <w:szCs w:val="36"/>
        </w:rPr>
        <w:t>XXX采购项目合同</w:t>
      </w:r>
    </w:p>
    <w:p>
      <w:pPr>
        <w:spacing w:line="300" w:lineRule="auto"/>
        <w:ind w:firstLine="28"/>
        <w:rPr>
          <w:color w:val="000000"/>
          <w:szCs w:val="21"/>
        </w:rPr>
      </w:pPr>
    </w:p>
    <w:p>
      <w:pPr>
        <w:spacing w:line="300" w:lineRule="auto"/>
        <w:ind w:firstLine="28"/>
        <w:rPr>
          <w:color w:val="000000"/>
          <w:szCs w:val="21"/>
        </w:rPr>
      </w:pPr>
      <w:r>
        <w:rPr>
          <w:color w:val="000000"/>
          <w:szCs w:val="21"/>
        </w:rPr>
        <w:t>甲方（买方）：成都理工大学（盖章）</w:t>
      </w:r>
    </w:p>
    <w:p>
      <w:pPr>
        <w:tabs>
          <w:tab w:val="left" w:pos="7285"/>
        </w:tabs>
        <w:spacing w:line="300" w:lineRule="auto"/>
        <w:ind w:firstLine="28"/>
        <w:rPr>
          <w:color w:val="000000"/>
          <w:szCs w:val="21"/>
        </w:rPr>
      </w:pPr>
      <w:r>
        <w:rPr>
          <w:color w:val="000000"/>
          <w:szCs w:val="21"/>
        </w:rPr>
        <w:t>地址：成都市成华区二仙桥东三路一号</w:t>
      </w:r>
      <w:r>
        <w:rPr>
          <w:color w:val="000000"/>
          <w:szCs w:val="21"/>
        </w:rPr>
        <w:tab/>
      </w:r>
    </w:p>
    <w:p>
      <w:pPr>
        <w:spacing w:line="300" w:lineRule="auto"/>
        <w:ind w:firstLine="28"/>
        <w:rPr>
          <w:color w:val="000000"/>
          <w:szCs w:val="21"/>
        </w:rPr>
      </w:pPr>
      <w:r>
        <w:rPr>
          <w:color w:val="000000"/>
          <w:szCs w:val="21"/>
        </w:rPr>
        <w:t xml:space="preserve">联系电话： 84078845  </w:t>
      </w:r>
    </w:p>
    <w:p>
      <w:pPr>
        <w:spacing w:line="300" w:lineRule="auto"/>
        <w:ind w:firstLine="28"/>
        <w:rPr>
          <w:color w:val="000000"/>
          <w:szCs w:val="21"/>
        </w:rPr>
      </w:pPr>
      <w:r>
        <w:rPr>
          <w:color w:val="000000"/>
          <w:szCs w:val="21"/>
        </w:rPr>
        <w:t>开户单位：成都理工大学</w:t>
      </w:r>
    </w:p>
    <w:p>
      <w:pPr>
        <w:spacing w:line="300" w:lineRule="auto"/>
        <w:ind w:firstLine="28"/>
        <w:rPr>
          <w:color w:val="000000"/>
          <w:szCs w:val="21"/>
        </w:rPr>
      </w:pPr>
      <w:r>
        <w:rPr>
          <w:color w:val="000000"/>
          <w:szCs w:val="21"/>
        </w:rPr>
        <w:t>开户行： 中国建设银行股份有限公司成都双建路支行</w:t>
      </w:r>
    </w:p>
    <w:p>
      <w:pPr>
        <w:spacing w:line="300" w:lineRule="auto"/>
        <w:ind w:firstLine="28"/>
        <w:rPr>
          <w:color w:val="000000"/>
          <w:szCs w:val="21"/>
        </w:rPr>
      </w:pPr>
      <w:r>
        <w:rPr>
          <w:color w:val="000000"/>
          <w:szCs w:val="21"/>
        </w:rPr>
        <w:t>银行账号： 5100 1885 3360 5071 6993</w:t>
      </w:r>
    </w:p>
    <w:p>
      <w:pPr>
        <w:spacing w:line="300" w:lineRule="auto"/>
        <w:ind w:firstLine="28"/>
        <w:rPr>
          <w:color w:val="000000"/>
          <w:szCs w:val="21"/>
        </w:rPr>
      </w:pPr>
      <w:r>
        <w:rPr>
          <w:color w:val="000000"/>
          <w:szCs w:val="21"/>
        </w:rPr>
        <w:t>纳税人识别号：12510000450722107H</w:t>
      </w:r>
    </w:p>
    <w:p>
      <w:pPr>
        <w:spacing w:line="300" w:lineRule="auto"/>
        <w:ind w:firstLine="28"/>
        <w:rPr>
          <w:color w:val="000000"/>
          <w:szCs w:val="21"/>
        </w:rPr>
      </w:pPr>
      <w:r>
        <w:rPr>
          <w:color w:val="000000"/>
          <w:szCs w:val="21"/>
        </w:rPr>
        <w:t>邮政编码：610059</w:t>
      </w:r>
    </w:p>
    <w:p>
      <w:pPr>
        <w:spacing w:line="300" w:lineRule="auto"/>
        <w:ind w:firstLine="28"/>
        <w:rPr>
          <w:color w:val="000000"/>
          <w:szCs w:val="21"/>
        </w:rPr>
      </w:pPr>
      <w:r>
        <w:rPr>
          <w:color w:val="000000"/>
          <w:szCs w:val="21"/>
        </w:rPr>
        <w:t xml:space="preserve">                 </w:t>
      </w:r>
    </w:p>
    <w:p>
      <w:pPr>
        <w:spacing w:line="300" w:lineRule="auto"/>
        <w:ind w:firstLine="28"/>
        <w:rPr>
          <w:color w:val="000000"/>
          <w:szCs w:val="21"/>
        </w:rPr>
      </w:pPr>
      <w:r>
        <w:rPr>
          <w:color w:val="000000"/>
          <w:szCs w:val="21"/>
        </w:rPr>
        <w:t>乙方（卖方）：（盖章）</w:t>
      </w:r>
    </w:p>
    <w:p>
      <w:pPr>
        <w:spacing w:line="300" w:lineRule="auto"/>
        <w:ind w:firstLine="28"/>
        <w:rPr>
          <w:color w:val="000000"/>
          <w:szCs w:val="21"/>
        </w:rPr>
      </w:pPr>
      <w:r>
        <w:rPr>
          <w:color w:val="000000"/>
          <w:szCs w:val="21"/>
        </w:rPr>
        <w:t xml:space="preserve">地址：                 </w:t>
      </w:r>
    </w:p>
    <w:p>
      <w:pPr>
        <w:spacing w:line="300" w:lineRule="auto"/>
        <w:ind w:firstLine="28"/>
        <w:rPr>
          <w:color w:val="000000"/>
          <w:szCs w:val="21"/>
        </w:rPr>
      </w:pPr>
      <w:r>
        <w:rPr>
          <w:rFonts w:hint="eastAsia"/>
          <w:color w:val="000000"/>
          <w:szCs w:val="21"/>
        </w:rPr>
        <w:t>联系电话</w:t>
      </w:r>
      <w:r>
        <w:rPr>
          <w:color w:val="000000"/>
          <w:szCs w:val="21"/>
        </w:rPr>
        <w:t>（</w:t>
      </w:r>
      <w:r>
        <w:rPr>
          <w:rFonts w:hint="eastAsia"/>
          <w:color w:val="000000"/>
          <w:szCs w:val="21"/>
        </w:rPr>
        <w:t>手机</w:t>
      </w:r>
      <w:r>
        <w:rPr>
          <w:color w:val="000000"/>
          <w:szCs w:val="21"/>
        </w:rPr>
        <w:t>）：</w:t>
      </w:r>
    </w:p>
    <w:p>
      <w:pPr>
        <w:spacing w:line="300" w:lineRule="auto"/>
        <w:ind w:firstLine="28"/>
        <w:rPr>
          <w:color w:val="000000"/>
          <w:szCs w:val="21"/>
        </w:rPr>
      </w:pPr>
      <w:r>
        <w:rPr>
          <w:color w:val="000000"/>
          <w:szCs w:val="21"/>
        </w:rPr>
        <w:t>联系人：</w:t>
      </w:r>
    </w:p>
    <w:p>
      <w:pPr>
        <w:spacing w:line="300" w:lineRule="auto"/>
        <w:ind w:firstLine="28"/>
        <w:rPr>
          <w:color w:val="000000"/>
          <w:szCs w:val="21"/>
        </w:rPr>
      </w:pPr>
      <w:r>
        <w:rPr>
          <w:color w:val="000000"/>
          <w:szCs w:val="21"/>
        </w:rPr>
        <w:t>银行行号：</w:t>
      </w:r>
    </w:p>
    <w:p>
      <w:pPr>
        <w:spacing w:line="300" w:lineRule="auto"/>
        <w:ind w:firstLine="28"/>
        <w:rPr>
          <w:color w:val="000000"/>
          <w:szCs w:val="21"/>
        </w:rPr>
      </w:pPr>
      <w:r>
        <w:rPr>
          <w:color w:val="000000"/>
          <w:szCs w:val="21"/>
        </w:rPr>
        <w:t xml:space="preserve">开户银行：                            </w:t>
      </w:r>
    </w:p>
    <w:p>
      <w:pPr>
        <w:spacing w:line="300" w:lineRule="auto"/>
        <w:ind w:firstLine="28"/>
        <w:rPr>
          <w:color w:val="000000"/>
          <w:szCs w:val="21"/>
        </w:rPr>
      </w:pPr>
      <w:r>
        <w:rPr>
          <w:color w:val="000000"/>
          <w:szCs w:val="21"/>
        </w:rPr>
        <w:t>银行账号：</w:t>
      </w:r>
    </w:p>
    <w:p>
      <w:pPr>
        <w:spacing w:line="300" w:lineRule="auto"/>
        <w:ind w:firstLine="28"/>
        <w:rPr>
          <w:color w:val="000000"/>
          <w:szCs w:val="21"/>
        </w:rPr>
      </w:pPr>
      <w:r>
        <w:rPr>
          <w:color w:val="000000"/>
          <w:szCs w:val="21"/>
        </w:rPr>
        <w:t>统一社会信用代码：</w:t>
      </w:r>
    </w:p>
    <w:p>
      <w:pPr>
        <w:spacing w:line="300" w:lineRule="auto"/>
        <w:ind w:firstLine="28"/>
        <w:rPr>
          <w:color w:val="000000"/>
          <w:szCs w:val="21"/>
        </w:rPr>
      </w:pPr>
      <w:r>
        <w:rPr>
          <w:color w:val="000000"/>
          <w:szCs w:val="21"/>
        </w:rPr>
        <w:t>企业规模（大型、中型、小微型）：</w:t>
      </w:r>
    </w:p>
    <w:p>
      <w:pPr>
        <w:spacing w:line="300" w:lineRule="auto"/>
        <w:ind w:firstLine="28"/>
        <w:rPr>
          <w:color w:val="000000"/>
          <w:szCs w:val="21"/>
        </w:rPr>
      </w:pPr>
      <w:r>
        <w:rPr>
          <w:color w:val="000000"/>
          <w:szCs w:val="21"/>
        </w:rPr>
        <w:t>邮政编码：</w:t>
      </w:r>
    </w:p>
    <w:p>
      <w:pPr>
        <w:spacing w:line="300" w:lineRule="auto"/>
        <w:ind w:firstLine="28"/>
        <w:rPr>
          <w:color w:val="000000"/>
          <w:szCs w:val="21"/>
        </w:rPr>
      </w:pPr>
    </w:p>
    <w:p>
      <w:pPr>
        <w:spacing w:line="300" w:lineRule="auto"/>
        <w:ind w:firstLine="28"/>
        <w:rPr>
          <w:color w:val="000000"/>
          <w:szCs w:val="21"/>
        </w:rPr>
      </w:pPr>
    </w:p>
    <w:p>
      <w:pPr>
        <w:spacing w:line="300" w:lineRule="auto"/>
        <w:ind w:firstLine="315" w:firstLineChars="150"/>
        <w:rPr>
          <w:szCs w:val="21"/>
        </w:rPr>
      </w:pPr>
      <w:r>
        <w:rPr>
          <w:szCs w:val="21"/>
        </w:rPr>
        <w:t>依据《中华人民共和国民法典》《中华人民共和国政府采购法》及其他相关法律法规规定并结合甲方关于XXXX项目（项目编号：XXXX）的《</w:t>
      </w:r>
      <w:r>
        <w:rPr>
          <w:rFonts w:hint="eastAsia"/>
          <w:szCs w:val="21"/>
          <w:lang w:eastAsia="zh-CN"/>
        </w:rPr>
        <w:t>招标（采购）文件</w:t>
      </w:r>
      <w:r>
        <w:rPr>
          <w:szCs w:val="21"/>
        </w:rPr>
        <w:t>》</w:t>
      </w:r>
      <w:r>
        <w:rPr>
          <w:rFonts w:hint="eastAsia"/>
          <w:szCs w:val="21"/>
        </w:rPr>
        <w:t>、</w:t>
      </w:r>
      <w:r>
        <w:rPr>
          <w:szCs w:val="21"/>
        </w:rPr>
        <w:t>乙方的《</w:t>
      </w:r>
      <w:r>
        <w:rPr>
          <w:rFonts w:hint="eastAsia"/>
          <w:szCs w:val="21"/>
          <w:lang w:eastAsia="zh-CN"/>
        </w:rPr>
        <w:t>投标（响应）文件</w:t>
      </w:r>
      <w:r>
        <w:rPr>
          <w:szCs w:val="21"/>
        </w:rPr>
        <w:t>》及《</w:t>
      </w:r>
      <w:r>
        <w:rPr>
          <w:rFonts w:hint="eastAsia"/>
          <w:szCs w:val="21"/>
          <w:lang w:eastAsia="zh-CN"/>
        </w:rPr>
        <w:t>中标（成交）通知书</w:t>
      </w:r>
      <w:r>
        <w:rPr>
          <w:szCs w:val="21"/>
        </w:rPr>
        <w:t>》，甲、乙双方同意签订本合同。详细技术说明及其他有关合同项目的特定信息由合同附件予以说明，合同附件及本项目的《</w:t>
      </w:r>
      <w:r>
        <w:rPr>
          <w:rFonts w:hint="eastAsia"/>
          <w:szCs w:val="21"/>
          <w:lang w:eastAsia="zh-CN"/>
        </w:rPr>
        <w:t>招标（采购）文件</w:t>
      </w:r>
      <w:r>
        <w:rPr>
          <w:szCs w:val="21"/>
        </w:rPr>
        <w:t>》《</w:t>
      </w:r>
      <w:r>
        <w:rPr>
          <w:rFonts w:hint="eastAsia"/>
          <w:szCs w:val="21"/>
          <w:lang w:eastAsia="zh-CN"/>
        </w:rPr>
        <w:t>投标（响应）文件</w:t>
      </w:r>
      <w:r>
        <w:rPr>
          <w:szCs w:val="21"/>
        </w:rPr>
        <w:t>》《</w:t>
      </w:r>
      <w:r>
        <w:rPr>
          <w:rFonts w:hint="eastAsia"/>
          <w:szCs w:val="21"/>
          <w:lang w:eastAsia="zh-CN"/>
        </w:rPr>
        <w:t>中标（成交）通知书</w:t>
      </w:r>
      <w:r>
        <w:rPr>
          <w:szCs w:val="21"/>
        </w:rPr>
        <w:t>》等均为本合同的组成部分。</w:t>
      </w:r>
    </w:p>
    <w:p>
      <w:pPr>
        <w:numPr>
          <w:ilvl w:val="0"/>
          <w:numId w:val="1"/>
        </w:numPr>
        <w:spacing w:before="120" w:beforeLines="50" w:after="120" w:afterLines="50" w:line="360" w:lineRule="auto"/>
        <w:ind w:left="1519" w:hanging="1094"/>
        <w:rPr>
          <w:b/>
          <w:szCs w:val="21"/>
        </w:rPr>
      </w:pPr>
      <w:r>
        <w:rPr>
          <w:b/>
          <w:szCs w:val="21"/>
        </w:rPr>
        <w:t>项目基本情况</w:t>
      </w:r>
    </w:p>
    <w:p>
      <w:pPr>
        <w:spacing w:line="300" w:lineRule="auto"/>
        <w:ind w:left="426"/>
        <w:rPr>
          <w:b/>
          <w:szCs w:val="21"/>
        </w:rPr>
      </w:pPr>
    </w:p>
    <w:p>
      <w:pPr>
        <w:numPr>
          <w:ilvl w:val="0"/>
          <w:numId w:val="1"/>
        </w:numPr>
        <w:spacing w:before="120" w:beforeLines="50" w:after="120" w:afterLines="50" w:line="360" w:lineRule="auto"/>
        <w:ind w:left="1519" w:hanging="1094"/>
        <w:rPr>
          <w:b/>
          <w:szCs w:val="21"/>
        </w:rPr>
      </w:pPr>
      <w:r>
        <w:rPr>
          <w:b/>
          <w:szCs w:val="21"/>
        </w:rPr>
        <w:t>项目完成时间</w:t>
      </w:r>
    </w:p>
    <w:p>
      <w:pPr>
        <w:spacing w:line="300" w:lineRule="auto"/>
        <w:ind w:left="426"/>
        <w:rPr>
          <w:b/>
          <w:szCs w:val="21"/>
        </w:rPr>
      </w:pPr>
    </w:p>
    <w:p>
      <w:pPr>
        <w:numPr>
          <w:ilvl w:val="0"/>
          <w:numId w:val="1"/>
        </w:numPr>
        <w:spacing w:before="120" w:beforeLines="50" w:after="120" w:afterLines="50" w:line="360" w:lineRule="auto"/>
        <w:ind w:left="1519" w:hanging="1094"/>
        <w:rPr>
          <w:b/>
          <w:szCs w:val="21"/>
        </w:rPr>
      </w:pPr>
      <w:r>
        <w:rPr>
          <w:b/>
          <w:szCs w:val="21"/>
        </w:rPr>
        <w:t>服务期限</w:t>
      </w:r>
      <w:r>
        <w:rPr>
          <w:rFonts w:hint="eastAsia"/>
          <w:b/>
          <w:szCs w:val="21"/>
        </w:rPr>
        <w:t>和</w:t>
      </w:r>
      <w:r>
        <w:rPr>
          <w:b/>
          <w:szCs w:val="21"/>
        </w:rPr>
        <w:t>服务地点</w:t>
      </w:r>
    </w:p>
    <w:p>
      <w:pPr>
        <w:spacing w:line="300" w:lineRule="auto"/>
        <w:ind w:firstLine="420" w:firstLineChars="200"/>
        <w:rPr>
          <w:bCs/>
          <w:szCs w:val="21"/>
        </w:rPr>
      </w:pPr>
      <w:r>
        <w:rPr>
          <w:bCs/>
          <w:szCs w:val="21"/>
        </w:rPr>
        <w:t>1</w:t>
      </w:r>
      <w:r>
        <w:rPr>
          <w:rFonts w:hint="eastAsia"/>
          <w:bCs/>
          <w:szCs w:val="21"/>
        </w:rPr>
        <w:t>、服务期限：</w:t>
      </w:r>
    </w:p>
    <w:p>
      <w:pPr>
        <w:pStyle w:val="22"/>
        <w:spacing w:line="300" w:lineRule="auto"/>
        <w:ind w:firstLine="420" w:firstLineChars="200"/>
        <w:rPr>
          <w:bCs/>
          <w:szCs w:val="21"/>
        </w:rPr>
      </w:pPr>
      <w:r>
        <w:rPr>
          <w:rFonts w:hint="eastAsia"/>
          <w:bCs/>
          <w:szCs w:val="21"/>
        </w:rPr>
        <w:t>2、服务</w:t>
      </w:r>
      <w:r>
        <w:rPr>
          <w:bCs/>
          <w:szCs w:val="21"/>
        </w:rPr>
        <w:t>地点：</w:t>
      </w:r>
    </w:p>
    <w:p>
      <w:pPr>
        <w:numPr>
          <w:ilvl w:val="0"/>
          <w:numId w:val="1"/>
        </w:numPr>
        <w:spacing w:before="120" w:beforeLines="50" w:after="120" w:afterLines="50" w:line="360" w:lineRule="auto"/>
        <w:ind w:left="1519" w:hanging="1094"/>
        <w:rPr>
          <w:b/>
          <w:szCs w:val="21"/>
        </w:rPr>
      </w:pPr>
      <w:bookmarkStart w:id="0" w:name="_Toc282696226"/>
      <w:bookmarkStart w:id="1" w:name="_Toc212019594"/>
      <w:bookmarkStart w:id="2" w:name="_Toc238984975"/>
      <w:bookmarkStart w:id="3" w:name="_Toc251768862"/>
      <w:bookmarkStart w:id="4" w:name="_Toc211854449"/>
      <w:bookmarkStart w:id="5" w:name="_Toc225670751"/>
      <w:bookmarkStart w:id="6" w:name="_Toc237145406"/>
      <w:bookmarkStart w:id="7" w:name="_Toc247334841"/>
      <w:bookmarkStart w:id="8" w:name="_Toc211911348"/>
      <w:bookmarkStart w:id="9" w:name="_Toc241833903"/>
      <w:bookmarkStart w:id="10" w:name="_Toc225244852"/>
      <w:bookmarkStart w:id="11" w:name="_Toc232492928"/>
      <w:bookmarkStart w:id="12" w:name="_Toc286993786"/>
      <w:bookmarkStart w:id="13" w:name="_Toc239568418"/>
      <w:bookmarkStart w:id="14" w:name="_Toc185395249"/>
      <w:bookmarkStart w:id="15" w:name="_Toc239233914"/>
      <w:bookmarkStart w:id="16" w:name="_Toc225654644"/>
      <w:bookmarkStart w:id="17" w:name="_Toc283019214"/>
      <w:r>
        <w:rPr>
          <w:b/>
          <w:szCs w:val="21"/>
        </w:rPr>
        <w:t>服务内容与</w:t>
      </w:r>
      <w:r>
        <w:rPr>
          <w:rFonts w:hint="eastAsia"/>
          <w:b/>
          <w:szCs w:val="21"/>
        </w:rPr>
        <w:t>验收</w:t>
      </w:r>
      <w:r>
        <w:rPr>
          <w:b/>
          <w:szCs w:val="21"/>
        </w:rPr>
        <w:t>标准</w:t>
      </w:r>
    </w:p>
    <w:p>
      <w:pPr>
        <w:spacing w:line="300" w:lineRule="auto"/>
        <w:ind w:left="426"/>
        <w:rPr>
          <w:b/>
          <w:color w:val="000000"/>
          <w:kern w:val="0"/>
          <w:szCs w:val="21"/>
        </w:rPr>
      </w:pPr>
      <w:r>
        <w:rPr>
          <w:rFonts w:hint="eastAsia"/>
          <w:b/>
          <w:color w:val="000000"/>
          <w:kern w:val="0"/>
          <w:szCs w:val="21"/>
        </w:rPr>
        <w:t>（一）服务</w:t>
      </w:r>
      <w:r>
        <w:rPr>
          <w:b/>
          <w:color w:val="000000"/>
          <w:kern w:val="0"/>
          <w:szCs w:val="21"/>
        </w:rPr>
        <w:t>内容</w:t>
      </w:r>
    </w:p>
    <w:tbl>
      <w:tblPr>
        <w:tblStyle w:val="9"/>
        <w:tblW w:w="10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302"/>
        <w:gridCol w:w="850"/>
        <w:gridCol w:w="4445"/>
        <w:gridCol w:w="92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75" w:type="dxa"/>
            <w:vAlign w:val="center"/>
          </w:tcPr>
          <w:p>
            <w:pPr>
              <w:jc w:val="center"/>
              <w:rPr>
                <w:szCs w:val="21"/>
              </w:rPr>
            </w:pPr>
            <w:bookmarkStart w:id="18" w:name="_Toc479608118"/>
            <w:bookmarkStart w:id="19" w:name="_Toc495254137"/>
            <w:bookmarkStart w:id="20" w:name="_Toc479608271"/>
            <w:r>
              <w:rPr>
                <w:szCs w:val="21"/>
              </w:rPr>
              <w:t>序号</w:t>
            </w:r>
            <w:bookmarkEnd w:id="18"/>
            <w:bookmarkEnd w:id="19"/>
            <w:bookmarkEnd w:id="20"/>
          </w:p>
        </w:tc>
        <w:tc>
          <w:tcPr>
            <w:tcW w:w="2302" w:type="dxa"/>
            <w:vAlign w:val="center"/>
          </w:tcPr>
          <w:p>
            <w:pPr>
              <w:jc w:val="center"/>
              <w:rPr>
                <w:szCs w:val="21"/>
              </w:rPr>
            </w:pPr>
            <w:bookmarkStart w:id="21" w:name="_Toc479608272"/>
            <w:bookmarkStart w:id="22" w:name="_Toc479608119"/>
            <w:bookmarkStart w:id="23" w:name="_Toc495254138"/>
            <w:r>
              <w:rPr>
                <w:szCs w:val="21"/>
              </w:rPr>
              <w:t>产品/服务名称</w:t>
            </w:r>
            <w:bookmarkEnd w:id="21"/>
            <w:bookmarkEnd w:id="22"/>
            <w:bookmarkEnd w:id="23"/>
          </w:p>
        </w:tc>
        <w:tc>
          <w:tcPr>
            <w:tcW w:w="850" w:type="dxa"/>
            <w:vAlign w:val="center"/>
          </w:tcPr>
          <w:p>
            <w:pPr>
              <w:jc w:val="center"/>
              <w:rPr>
                <w:szCs w:val="21"/>
              </w:rPr>
            </w:pPr>
            <w:bookmarkStart w:id="24" w:name="_Toc495254140"/>
            <w:bookmarkStart w:id="25" w:name="_Toc479608274"/>
            <w:bookmarkStart w:id="26" w:name="_Toc479608121"/>
            <w:r>
              <w:rPr>
                <w:szCs w:val="21"/>
              </w:rPr>
              <w:t>品牌</w:t>
            </w:r>
            <w:bookmarkEnd w:id="24"/>
            <w:bookmarkEnd w:id="25"/>
            <w:bookmarkEnd w:id="26"/>
          </w:p>
        </w:tc>
        <w:tc>
          <w:tcPr>
            <w:tcW w:w="4445" w:type="dxa"/>
            <w:vAlign w:val="center"/>
          </w:tcPr>
          <w:p>
            <w:pPr>
              <w:jc w:val="center"/>
              <w:rPr>
                <w:szCs w:val="21"/>
              </w:rPr>
            </w:pPr>
            <w:r>
              <w:rPr>
                <w:rFonts w:hint="eastAsia"/>
                <w:szCs w:val="21"/>
              </w:rPr>
              <w:t>服务</w:t>
            </w:r>
            <w:r>
              <w:rPr>
                <w:szCs w:val="21"/>
              </w:rPr>
              <w:t>要求</w:t>
            </w:r>
          </w:p>
        </w:tc>
        <w:tc>
          <w:tcPr>
            <w:tcW w:w="927" w:type="dxa"/>
            <w:vAlign w:val="center"/>
          </w:tcPr>
          <w:p>
            <w:pPr>
              <w:jc w:val="center"/>
              <w:rPr>
                <w:szCs w:val="21"/>
              </w:rPr>
            </w:pPr>
            <w:bookmarkStart w:id="27" w:name="_Toc479608122"/>
            <w:bookmarkStart w:id="28" w:name="_Toc479608275"/>
            <w:bookmarkStart w:id="29" w:name="_Toc495254141"/>
            <w:r>
              <w:rPr>
                <w:szCs w:val="21"/>
              </w:rPr>
              <w:t>单位</w:t>
            </w:r>
            <w:bookmarkEnd w:id="27"/>
            <w:bookmarkEnd w:id="28"/>
            <w:bookmarkEnd w:id="29"/>
          </w:p>
        </w:tc>
        <w:tc>
          <w:tcPr>
            <w:tcW w:w="851" w:type="dxa"/>
            <w:vAlign w:val="center"/>
          </w:tcPr>
          <w:p>
            <w:pPr>
              <w:jc w:val="center"/>
              <w:rPr>
                <w:szCs w:val="21"/>
              </w:rPr>
            </w:pPr>
            <w:bookmarkStart w:id="30" w:name="_Toc479608123"/>
            <w:bookmarkStart w:id="31" w:name="_Toc495254142"/>
            <w:bookmarkStart w:id="32" w:name="_Toc479608276"/>
            <w:r>
              <w:rPr>
                <w:szCs w:val="21"/>
              </w:rPr>
              <w:t>数量</w:t>
            </w:r>
            <w:bookmarkEnd w:id="30"/>
            <w:bookmarkEnd w:id="31"/>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75" w:type="dxa"/>
            <w:vAlign w:val="center"/>
          </w:tcPr>
          <w:p>
            <w:pPr>
              <w:jc w:val="center"/>
              <w:rPr>
                <w:bCs/>
                <w:szCs w:val="21"/>
              </w:rPr>
            </w:pPr>
            <w:r>
              <w:rPr>
                <w:bCs/>
                <w:szCs w:val="21"/>
              </w:rPr>
              <w:t>1</w:t>
            </w:r>
          </w:p>
        </w:tc>
        <w:tc>
          <w:tcPr>
            <w:tcW w:w="2302" w:type="dxa"/>
            <w:vAlign w:val="center"/>
          </w:tcPr>
          <w:p>
            <w:pPr>
              <w:jc w:val="center"/>
              <w:rPr>
                <w:bCs/>
                <w:szCs w:val="21"/>
              </w:rPr>
            </w:pPr>
          </w:p>
        </w:tc>
        <w:tc>
          <w:tcPr>
            <w:tcW w:w="850" w:type="dxa"/>
            <w:vAlign w:val="center"/>
          </w:tcPr>
          <w:p>
            <w:pPr>
              <w:jc w:val="center"/>
              <w:rPr>
                <w:bCs/>
                <w:szCs w:val="21"/>
              </w:rPr>
            </w:pPr>
          </w:p>
        </w:tc>
        <w:tc>
          <w:tcPr>
            <w:tcW w:w="4445" w:type="dxa"/>
            <w:vAlign w:val="center"/>
          </w:tcPr>
          <w:p>
            <w:pPr>
              <w:jc w:val="center"/>
              <w:rPr>
                <w:bCs/>
                <w:szCs w:val="21"/>
              </w:rPr>
            </w:pPr>
          </w:p>
        </w:tc>
        <w:tc>
          <w:tcPr>
            <w:tcW w:w="927" w:type="dxa"/>
            <w:vAlign w:val="center"/>
          </w:tcPr>
          <w:p>
            <w:pPr>
              <w:jc w:val="center"/>
              <w:rPr>
                <w:bCs/>
                <w:szCs w:val="21"/>
              </w:rPr>
            </w:pPr>
          </w:p>
        </w:tc>
        <w:tc>
          <w:tcPr>
            <w:tcW w:w="851" w:type="dxa"/>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75" w:type="dxa"/>
            <w:vAlign w:val="center"/>
          </w:tcPr>
          <w:p>
            <w:pPr>
              <w:jc w:val="center"/>
              <w:rPr>
                <w:bCs/>
                <w:szCs w:val="21"/>
              </w:rPr>
            </w:pPr>
            <w:r>
              <w:rPr>
                <w:bCs/>
                <w:szCs w:val="21"/>
              </w:rPr>
              <w:t>2</w:t>
            </w:r>
          </w:p>
        </w:tc>
        <w:tc>
          <w:tcPr>
            <w:tcW w:w="2302" w:type="dxa"/>
            <w:vAlign w:val="center"/>
          </w:tcPr>
          <w:p>
            <w:pPr>
              <w:jc w:val="center"/>
              <w:rPr>
                <w:bCs/>
                <w:szCs w:val="21"/>
              </w:rPr>
            </w:pPr>
          </w:p>
        </w:tc>
        <w:tc>
          <w:tcPr>
            <w:tcW w:w="850" w:type="dxa"/>
            <w:vAlign w:val="center"/>
          </w:tcPr>
          <w:p>
            <w:pPr>
              <w:jc w:val="center"/>
              <w:rPr>
                <w:bCs/>
                <w:szCs w:val="21"/>
              </w:rPr>
            </w:pPr>
          </w:p>
        </w:tc>
        <w:tc>
          <w:tcPr>
            <w:tcW w:w="4445" w:type="dxa"/>
            <w:vAlign w:val="center"/>
          </w:tcPr>
          <w:p>
            <w:pPr>
              <w:jc w:val="center"/>
              <w:rPr>
                <w:bCs/>
                <w:szCs w:val="21"/>
              </w:rPr>
            </w:pPr>
          </w:p>
        </w:tc>
        <w:tc>
          <w:tcPr>
            <w:tcW w:w="927" w:type="dxa"/>
            <w:vAlign w:val="center"/>
          </w:tcPr>
          <w:p>
            <w:pPr>
              <w:jc w:val="center"/>
              <w:rPr>
                <w:bCs/>
                <w:szCs w:val="21"/>
              </w:rPr>
            </w:pPr>
          </w:p>
        </w:tc>
        <w:tc>
          <w:tcPr>
            <w:tcW w:w="851" w:type="dxa"/>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75" w:type="dxa"/>
            <w:vAlign w:val="center"/>
          </w:tcPr>
          <w:p>
            <w:pPr>
              <w:jc w:val="center"/>
              <w:rPr>
                <w:bCs/>
                <w:szCs w:val="21"/>
              </w:rPr>
            </w:pPr>
            <w:r>
              <w:rPr>
                <w:bCs/>
                <w:szCs w:val="21"/>
              </w:rPr>
              <w:t>3</w:t>
            </w:r>
          </w:p>
        </w:tc>
        <w:tc>
          <w:tcPr>
            <w:tcW w:w="2302" w:type="dxa"/>
            <w:vAlign w:val="center"/>
          </w:tcPr>
          <w:p>
            <w:pPr>
              <w:jc w:val="center"/>
              <w:rPr>
                <w:bCs/>
                <w:szCs w:val="21"/>
              </w:rPr>
            </w:pPr>
          </w:p>
        </w:tc>
        <w:tc>
          <w:tcPr>
            <w:tcW w:w="850" w:type="dxa"/>
            <w:vAlign w:val="center"/>
          </w:tcPr>
          <w:p>
            <w:pPr>
              <w:jc w:val="center"/>
              <w:rPr>
                <w:bCs/>
                <w:szCs w:val="21"/>
              </w:rPr>
            </w:pPr>
          </w:p>
        </w:tc>
        <w:tc>
          <w:tcPr>
            <w:tcW w:w="4445" w:type="dxa"/>
            <w:vAlign w:val="center"/>
          </w:tcPr>
          <w:p>
            <w:pPr>
              <w:jc w:val="center"/>
              <w:rPr>
                <w:bCs/>
                <w:szCs w:val="21"/>
              </w:rPr>
            </w:pPr>
          </w:p>
        </w:tc>
        <w:tc>
          <w:tcPr>
            <w:tcW w:w="927" w:type="dxa"/>
            <w:vAlign w:val="center"/>
          </w:tcPr>
          <w:p>
            <w:pPr>
              <w:jc w:val="center"/>
              <w:rPr>
                <w:bCs/>
                <w:szCs w:val="21"/>
              </w:rPr>
            </w:pPr>
          </w:p>
        </w:tc>
        <w:tc>
          <w:tcPr>
            <w:tcW w:w="851" w:type="dxa"/>
            <w:vAlign w:val="center"/>
          </w:tcPr>
          <w:p>
            <w:pPr>
              <w:jc w:val="center"/>
              <w:rPr>
                <w:bCs/>
                <w:szCs w:val="21"/>
              </w:rPr>
            </w:pPr>
          </w:p>
        </w:tc>
      </w:tr>
    </w:tbl>
    <w:p>
      <w:pPr>
        <w:ind w:left="426"/>
      </w:pPr>
    </w:p>
    <w:p>
      <w:pPr>
        <w:spacing w:before="120" w:beforeLines="50" w:line="300" w:lineRule="auto"/>
        <w:ind w:left="425"/>
        <w:rPr>
          <w:b/>
          <w:kern w:val="0"/>
          <w:szCs w:val="21"/>
        </w:rPr>
      </w:pPr>
      <w:r>
        <w:rPr>
          <w:rFonts w:hint="eastAsia"/>
          <w:b/>
          <w:kern w:val="0"/>
          <w:szCs w:val="21"/>
        </w:rPr>
        <w:t>（二）验收</w:t>
      </w:r>
      <w:r>
        <w:rPr>
          <w:b/>
          <w:kern w:val="0"/>
          <w:szCs w:val="21"/>
        </w:rPr>
        <w:t>标准</w:t>
      </w:r>
    </w:p>
    <w:p>
      <w:pPr>
        <w:spacing w:line="300" w:lineRule="auto"/>
        <w:ind w:firstLine="420" w:firstLineChars="200"/>
        <w:rPr>
          <w:szCs w:val="21"/>
        </w:rPr>
      </w:pPr>
      <w:r>
        <w:rPr>
          <w:rFonts w:hint="eastAsia"/>
          <w:szCs w:val="21"/>
          <w:lang w:val="en-US" w:eastAsia="zh-CN"/>
        </w:rPr>
        <w:t>甲方</w:t>
      </w:r>
      <w:r>
        <w:rPr>
          <w:rFonts w:hint="eastAsia"/>
          <w:szCs w:val="21"/>
        </w:rPr>
        <w:t>按照</w:t>
      </w:r>
      <w:r>
        <w:rPr>
          <w:szCs w:val="21"/>
        </w:rPr>
        <w:t>《</w:t>
      </w:r>
      <w:r>
        <w:rPr>
          <w:rFonts w:hint="eastAsia"/>
          <w:szCs w:val="21"/>
        </w:rPr>
        <w:t>财政部关于进一步加强政府采购需求和履约验收管理的指导意见</w:t>
      </w:r>
      <w:r>
        <w:rPr>
          <w:szCs w:val="21"/>
        </w:rPr>
        <w:t>》（财库</w:t>
      </w:r>
      <w:r>
        <w:rPr>
          <w:rFonts w:hint="eastAsia"/>
          <w:szCs w:val="21"/>
        </w:rPr>
        <w:t xml:space="preserve"> </w:t>
      </w:r>
      <w:r>
        <w:rPr>
          <w:szCs w:val="21"/>
        </w:rPr>
        <w:t>[2016] 205号）</w:t>
      </w:r>
      <w:r>
        <w:rPr>
          <w:rFonts w:hint="eastAsia"/>
          <w:szCs w:val="21"/>
        </w:rPr>
        <w:t>及《成都理工大学采购验收管理办法》（成理校发 [2023]</w:t>
      </w:r>
      <w:r>
        <w:rPr>
          <w:szCs w:val="21"/>
        </w:rPr>
        <w:t xml:space="preserve"> </w:t>
      </w:r>
      <w:r>
        <w:rPr>
          <w:rFonts w:hint="eastAsia"/>
          <w:szCs w:val="21"/>
        </w:rPr>
        <w:t>11号）规定验收。</w:t>
      </w:r>
    </w:p>
    <w:p>
      <w:pPr>
        <w:numPr>
          <w:ilvl w:val="0"/>
          <w:numId w:val="1"/>
        </w:numPr>
        <w:spacing w:before="120" w:beforeLines="50" w:after="120" w:afterLines="50" w:line="360" w:lineRule="auto"/>
        <w:ind w:left="1519" w:hanging="1094"/>
        <w:rPr>
          <w:b/>
          <w:szCs w:val="21"/>
        </w:rPr>
      </w:pPr>
      <w:r>
        <w:rPr>
          <w:b/>
          <w:szCs w:val="21"/>
        </w:rPr>
        <w:t>服务费用及支付方式</w:t>
      </w:r>
    </w:p>
    <w:p>
      <w:pPr>
        <w:spacing w:before="120" w:beforeLines="50" w:line="300" w:lineRule="auto"/>
        <w:ind w:left="425"/>
        <w:rPr>
          <w:b/>
          <w:kern w:val="0"/>
          <w:szCs w:val="21"/>
        </w:rPr>
      </w:pPr>
      <w:r>
        <w:rPr>
          <w:rFonts w:hint="eastAsia"/>
          <w:b/>
          <w:kern w:val="0"/>
          <w:szCs w:val="21"/>
        </w:rPr>
        <w:t>（一）</w:t>
      </w:r>
      <w:r>
        <w:rPr>
          <w:b/>
          <w:kern w:val="0"/>
          <w:szCs w:val="21"/>
        </w:rPr>
        <w:t>费用组成：</w:t>
      </w:r>
    </w:p>
    <w:tbl>
      <w:tblPr>
        <w:tblStyle w:val="9"/>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552"/>
        <w:gridCol w:w="1417"/>
        <w:gridCol w:w="709"/>
        <w:gridCol w:w="709"/>
        <w:gridCol w:w="1559"/>
        <w:gridCol w:w="1276"/>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7" w:type="dxa"/>
            <w:vAlign w:val="center"/>
          </w:tcPr>
          <w:p>
            <w:pPr>
              <w:jc w:val="center"/>
              <w:rPr>
                <w:szCs w:val="21"/>
              </w:rPr>
            </w:pPr>
            <w:r>
              <w:rPr>
                <w:szCs w:val="21"/>
              </w:rPr>
              <w:t>序号</w:t>
            </w:r>
          </w:p>
        </w:tc>
        <w:tc>
          <w:tcPr>
            <w:tcW w:w="2552" w:type="dxa"/>
            <w:vAlign w:val="center"/>
          </w:tcPr>
          <w:p>
            <w:pPr>
              <w:jc w:val="center"/>
              <w:rPr>
                <w:szCs w:val="21"/>
              </w:rPr>
            </w:pPr>
            <w:r>
              <w:rPr>
                <w:szCs w:val="21"/>
              </w:rPr>
              <w:t>服务名称</w:t>
            </w:r>
          </w:p>
        </w:tc>
        <w:tc>
          <w:tcPr>
            <w:tcW w:w="1417" w:type="dxa"/>
            <w:vAlign w:val="center"/>
          </w:tcPr>
          <w:p>
            <w:pPr>
              <w:jc w:val="center"/>
              <w:rPr>
                <w:szCs w:val="21"/>
              </w:rPr>
            </w:pPr>
            <w:r>
              <w:rPr>
                <w:szCs w:val="21"/>
              </w:rPr>
              <w:t>品牌</w:t>
            </w:r>
          </w:p>
        </w:tc>
        <w:tc>
          <w:tcPr>
            <w:tcW w:w="709" w:type="dxa"/>
            <w:vAlign w:val="center"/>
          </w:tcPr>
          <w:p>
            <w:pPr>
              <w:jc w:val="center"/>
              <w:rPr>
                <w:szCs w:val="21"/>
              </w:rPr>
            </w:pPr>
            <w:r>
              <w:rPr>
                <w:szCs w:val="21"/>
              </w:rPr>
              <w:t>单位</w:t>
            </w:r>
          </w:p>
        </w:tc>
        <w:tc>
          <w:tcPr>
            <w:tcW w:w="709" w:type="dxa"/>
            <w:vAlign w:val="center"/>
          </w:tcPr>
          <w:p>
            <w:pPr>
              <w:jc w:val="center"/>
              <w:rPr>
                <w:szCs w:val="21"/>
              </w:rPr>
            </w:pPr>
            <w:r>
              <w:rPr>
                <w:szCs w:val="21"/>
              </w:rPr>
              <w:t>数量</w:t>
            </w:r>
          </w:p>
        </w:tc>
        <w:tc>
          <w:tcPr>
            <w:tcW w:w="1559" w:type="dxa"/>
            <w:vAlign w:val="center"/>
          </w:tcPr>
          <w:p>
            <w:pPr>
              <w:jc w:val="center"/>
            </w:pPr>
            <w:r>
              <w:rPr>
                <w:rFonts w:hint="eastAsia"/>
                <w:szCs w:val="21"/>
              </w:rPr>
              <w:t>单价</w:t>
            </w:r>
            <w:r>
              <w:rPr>
                <w:rFonts w:hint="eastAsia"/>
              </w:rPr>
              <w:t>（元）</w:t>
            </w:r>
          </w:p>
        </w:tc>
        <w:tc>
          <w:tcPr>
            <w:tcW w:w="1276" w:type="dxa"/>
            <w:vAlign w:val="center"/>
          </w:tcPr>
          <w:p>
            <w:pPr>
              <w:jc w:val="center"/>
              <w:rPr>
                <w:szCs w:val="21"/>
              </w:rPr>
            </w:pPr>
            <w:r>
              <w:rPr>
                <w:rFonts w:hint="eastAsia"/>
                <w:szCs w:val="21"/>
              </w:rPr>
              <w:t>金额</w:t>
            </w:r>
            <w:r>
              <w:rPr>
                <w:rFonts w:hint="eastAsia"/>
              </w:rPr>
              <w:t>（元）</w:t>
            </w:r>
          </w:p>
        </w:tc>
        <w:tc>
          <w:tcPr>
            <w:tcW w:w="734"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7" w:type="dxa"/>
            <w:vAlign w:val="center"/>
          </w:tcPr>
          <w:p>
            <w:pPr>
              <w:jc w:val="center"/>
              <w:rPr>
                <w:bCs/>
                <w:szCs w:val="21"/>
              </w:rPr>
            </w:pPr>
            <w:r>
              <w:rPr>
                <w:bCs/>
                <w:szCs w:val="21"/>
              </w:rPr>
              <w:t>1</w:t>
            </w:r>
          </w:p>
        </w:tc>
        <w:tc>
          <w:tcPr>
            <w:tcW w:w="2552" w:type="dxa"/>
            <w:vAlign w:val="center"/>
          </w:tcPr>
          <w:p>
            <w:pPr>
              <w:jc w:val="center"/>
              <w:rPr>
                <w:bCs/>
                <w:szCs w:val="21"/>
              </w:rPr>
            </w:pPr>
          </w:p>
        </w:tc>
        <w:tc>
          <w:tcPr>
            <w:tcW w:w="1417" w:type="dxa"/>
            <w:vAlign w:val="center"/>
          </w:tcPr>
          <w:p>
            <w:pPr>
              <w:jc w:val="center"/>
              <w:rPr>
                <w:bCs/>
                <w:szCs w:val="21"/>
              </w:rPr>
            </w:pPr>
          </w:p>
        </w:tc>
        <w:tc>
          <w:tcPr>
            <w:tcW w:w="709" w:type="dxa"/>
            <w:vAlign w:val="center"/>
          </w:tcPr>
          <w:p>
            <w:pPr>
              <w:jc w:val="center"/>
              <w:rPr>
                <w:bCs/>
                <w:szCs w:val="21"/>
              </w:rPr>
            </w:pPr>
          </w:p>
        </w:tc>
        <w:tc>
          <w:tcPr>
            <w:tcW w:w="709" w:type="dxa"/>
            <w:vAlign w:val="center"/>
          </w:tcPr>
          <w:p>
            <w:pPr>
              <w:jc w:val="center"/>
              <w:rPr>
                <w:bCs/>
                <w:szCs w:val="21"/>
              </w:rPr>
            </w:pPr>
          </w:p>
        </w:tc>
        <w:tc>
          <w:tcPr>
            <w:tcW w:w="1559" w:type="dxa"/>
            <w:vAlign w:val="center"/>
          </w:tcPr>
          <w:p>
            <w:pPr>
              <w:jc w:val="center"/>
              <w:rPr>
                <w:bCs/>
                <w:szCs w:val="21"/>
              </w:rPr>
            </w:pPr>
          </w:p>
        </w:tc>
        <w:tc>
          <w:tcPr>
            <w:tcW w:w="1276" w:type="dxa"/>
            <w:vAlign w:val="center"/>
          </w:tcPr>
          <w:p>
            <w:pPr>
              <w:jc w:val="center"/>
              <w:rPr>
                <w:bCs/>
                <w:szCs w:val="21"/>
              </w:rPr>
            </w:pPr>
          </w:p>
        </w:tc>
        <w:tc>
          <w:tcPr>
            <w:tcW w:w="734" w:type="dxa"/>
            <w:vMerge w:val="restart"/>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7" w:type="dxa"/>
            <w:vAlign w:val="center"/>
          </w:tcPr>
          <w:p>
            <w:pPr>
              <w:jc w:val="center"/>
              <w:rPr>
                <w:bCs/>
                <w:szCs w:val="21"/>
              </w:rPr>
            </w:pPr>
            <w:r>
              <w:rPr>
                <w:bCs/>
                <w:szCs w:val="21"/>
              </w:rPr>
              <w:t>2</w:t>
            </w:r>
          </w:p>
        </w:tc>
        <w:tc>
          <w:tcPr>
            <w:tcW w:w="2552" w:type="dxa"/>
            <w:vAlign w:val="center"/>
          </w:tcPr>
          <w:p>
            <w:pPr>
              <w:jc w:val="center"/>
              <w:rPr>
                <w:bCs/>
                <w:szCs w:val="21"/>
              </w:rPr>
            </w:pPr>
          </w:p>
        </w:tc>
        <w:tc>
          <w:tcPr>
            <w:tcW w:w="1417" w:type="dxa"/>
            <w:vAlign w:val="center"/>
          </w:tcPr>
          <w:p>
            <w:pPr>
              <w:jc w:val="center"/>
              <w:rPr>
                <w:bCs/>
                <w:szCs w:val="21"/>
              </w:rPr>
            </w:pPr>
          </w:p>
        </w:tc>
        <w:tc>
          <w:tcPr>
            <w:tcW w:w="709" w:type="dxa"/>
            <w:vAlign w:val="center"/>
          </w:tcPr>
          <w:p>
            <w:pPr>
              <w:jc w:val="center"/>
              <w:rPr>
                <w:bCs/>
                <w:szCs w:val="21"/>
              </w:rPr>
            </w:pPr>
          </w:p>
        </w:tc>
        <w:tc>
          <w:tcPr>
            <w:tcW w:w="709" w:type="dxa"/>
            <w:vAlign w:val="center"/>
          </w:tcPr>
          <w:p>
            <w:pPr>
              <w:jc w:val="center"/>
              <w:rPr>
                <w:bCs/>
                <w:szCs w:val="21"/>
              </w:rPr>
            </w:pPr>
          </w:p>
        </w:tc>
        <w:tc>
          <w:tcPr>
            <w:tcW w:w="1559" w:type="dxa"/>
            <w:vAlign w:val="center"/>
          </w:tcPr>
          <w:p>
            <w:pPr>
              <w:jc w:val="center"/>
              <w:rPr>
                <w:bCs/>
                <w:szCs w:val="21"/>
              </w:rPr>
            </w:pPr>
          </w:p>
        </w:tc>
        <w:tc>
          <w:tcPr>
            <w:tcW w:w="1276" w:type="dxa"/>
            <w:vAlign w:val="center"/>
          </w:tcPr>
          <w:p>
            <w:pPr>
              <w:jc w:val="center"/>
              <w:rPr>
                <w:bCs/>
                <w:szCs w:val="21"/>
              </w:rPr>
            </w:pPr>
          </w:p>
        </w:tc>
        <w:tc>
          <w:tcPr>
            <w:tcW w:w="734" w:type="dxa"/>
            <w:vMerge w:val="continue"/>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7" w:type="dxa"/>
            <w:vAlign w:val="center"/>
          </w:tcPr>
          <w:p>
            <w:pPr>
              <w:jc w:val="center"/>
              <w:rPr>
                <w:bCs/>
                <w:szCs w:val="21"/>
              </w:rPr>
            </w:pPr>
            <w:r>
              <w:rPr>
                <w:bCs/>
                <w:szCs w:val="21"/>
              </w:rPr>
              <w:t>3</w:t>
            </w:r>
          </w:p>
        </w:tc>
        <w:tc>
          <w:tcPr>
            <w:tcW w:w="2552" w:type="dxa"/>
            <w:vAlign w:val="center"/>
          </w:tcPr>
          <w:p>
            <w:pPr>
              <w:jc w:val="center"/>
              <w:rPr>
                <w:bCs/>
                <w:szCs w:val="21"/>
              </w:rPr>
            </w:pPr>
          </w:p>
        </w:tc>
        <w:tc>
          <w:tcPr>
            <w:tcW w:w="1417" w:type="dxa"/>
            <w:vAlign w:val="center"/>
          </w:tcPr>
          <w:p>
            <w:pPr>
              <w:jc w:val="center"/>
              <w:rPr>
                <w:bCs/>
                <w:szCs w:val="21"/>
              </w:rPr>
            </w:pPr>
          </w:p>
        </w:tc>
        <w:tc>
          <w:tcPr>
            <w:tcW w:w="709" w:type="dxa"/>
            <w:vAlign w:val="center"/>
          </w:tcPr>
          <w:p>
            <w:pPr>
              <w:jc w:val="center"/>
              <w:rPr>
                <w:bCs/>
                <w:szCs w:val="21"/>
              </w:rPr>
            </w:pPr>
          </w:p>
        </w:tc>
        <w:tc>
          <w:tcPr>
            <w:tcW w:w="709" w:type="dxa"/>
            <w:vAlign w:val="center"/>
          </w:tcPr>
          <w:p>
            <w:pPr>
              <w:jc w:val="center"/>
              <w:rPr>
                <w:bCs/>
                <w:szCs w:val="21"/>
              </w:rPr>
            </w:pPr>
          </w:p>
        </w:tc>
        <w:tc>
          <w:tcPr>
            <w:tcW w:w="1559" w:type="dxa"/>
            <w:vAlign w:val="center"/>
          </w:tcPr>
          <w:p>
            <w:pPr>
              <w:jc w:val="center"/>
              <w:rPr>
                <w:bCs/>
                <w:szCs w:val="21"/>
              </w:rPr>
            </w:pPr>
          </w:p>
        </w:tc>
        <w:tc>
          <w:tcPr>
            <w:tcW w:w="1276" w:type="dxa"/>
            <w:vAlign w:val="center"/>
          </w:tcPr>
          <w:p>
            <w:pPr>
              <w:jc w:val="center"/>
              <w:rPr>
                <w:bCs/>
                <w:szCs w:val="21"/>
              </w:rPr>
            </w:pPr>
          </w:p>
        </w:tc>
        <w:tc>
          <w:tcPr>
            <w:tcW w:w="734" w:type="dxa"/>
            <w:vMerge w:val="continue"/>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693" w:type="dxa"/>
            <w:gridSpan w:val="8"/>
            <w:vAlign w:val="center"/>
          </w:tcPr>
          <w:p>
            <w:pPr>
              <w:spacing w:line="300" w:lineRule="auto"/>
              <w:ind w:firstLine="28"/>
              <w:rPr>
                <w:rFonts w:ascii="宋体" w:hAnsi="宋体" w:cs="宋体"/>
                <w:color w:val="000000"/>
                <w:szCs w:val="21"/>
              </w:rPr>
            </w:pPr>
            <w:r>
              <w:rPr>
                <w:rFonts w:hint="eastAsia" w:ascii="宋体" w:hAnsi="宋体" w:cs="宋体"/>
                <w:color w:val="000000"/>
                <w:szCs w:val="21"/>
              </w:rPr>
              <w:t>合计</w:t>
            </w:r>
            <w:r>
              <w:rPr>
                <w:color w:val="000000"/>
                <w:szCs w:val="21"/>
              </w:rPr>
              <w:t>：</w:t>
            </w:r>
            <w:r>
              <w:rPr>
                <w:rFonts w:hint="eastAsia"/>
                <w:color w:val="000000"/>
                <w:szCs w:val="21"/>
              </w:rPr>
              <w:t xml:space="preserve">   </w:t>
            </w:r>
            <w:r>
              <w:rPr>
                <w:color w:val="000000"/>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693" w:type="dxa"/>
            <w:gridSpan w:val="8"/>
            <w:vAlign w:val="center"/>
          </w:tcPr>
          <w:p>
            <w:pPr>
              <w:spacing w:line="300" w:lineRule="auto"/>
              <w:ind w:firstLine="28"/>
              <w:rPr>
                <w:rFonts w:ascii="宋体" w:hAnsi="宋体" w:cs="宋体"/>
                <w:b/>
                <w:color w:val="000000"/>
                <w:szCs w:val="21"/>
              </w:rPr>
            </w:pPr>
            <w:r>
              <w:rPr>
                <w:rFonts w:hint="eastAsia" w:ascii="宋体" w:hAnsi="宋体" w:cs="宋体"/>
                <w:b/>
                <w:color w:val="000000"/>
                <w:szCs w:val="21"/>
              </w:rPr>
              <w:t>合计人民币（大写）：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693" w:type="dxa"/>
            <w:gridSpan w:val="8"/>
            <w:vAlign w:val="center"/>
          </w:tcPr>
          <w:p>
            <w:pPr>
              <w:spacing w:line="300" w:lineRule="auto"/>
              <w:ind w:firstLine="28"/>
              <w:rPr>
                <w:rFonts w:ascii="宋体" w:hAnsi="宋体" w:cs="宋体"/>
                <w:color w:val="000000"/>
                <w:szCs w:val="21"/>
              </w:rPr>
            </w:pPr>
            <w:r>
              <w:rPr>
                <w:rFonts w:hint="eastAsia" w:ascii="宋体" w:hAnsi="宋体" w:cs="宋体"/>
                <w:color w:val="000000"/>
                <w:szCs w:val="21"/>
              </w:rPr>
              <w:t>备注：该合同金额包括但不限于与服务有关的一切运输、保险、税费、人工费、搬运费等费用，甲方不再另行向乙方支付任何款项。</w:t>
            </w:r>
          </w:p>
        </w:tc>
      </w:tr>
    </w:tbl>
    <w:p>
      <w:pPr>
        <w:spacing w:line="300" w:lineRule="auto"/>
        <w:ind w:firstLine="420" w:firstLineChars="200"/>
        <w:rPr>
          <w:szCs w:val="21"/>
        </w:rPr>
      </w:pPr>
    </w:p>
    <w:p>
      <w:pPr>
        <w:spacing w:before="120" w:beforeLines="50" w:line="300" w:lineRule="auto"/>
        <w:ind w:left="425"/>
        <w:rPr>
          <w:b/>
          <w:kern w:val="0"/>
          <w:szCs w:val="21"/>
        </w:rPr>
      </w:pPr>
      <w:r>
        <w:rPr>
          <w:rFonts w:hint="eastAsia"/>
          <w:b/>
          <w:kern w:val="0"/>
          <w:szCs w:val="21"/>
        </w:rPr>
        <w:t>（二）</w:t>
      </w:r>
      <w:r>
        <w:rPr>
          <w:b/>
          <w:kern w:val="0"/>
          <w:szCs w:val="21"/>
        </w:rPr>
        <w:t>支付方式：</w:t>
      </w:r>
    </w:p>
    <w:p>
      <w:pPr>
        <w:spacing w:line="300" w:lineRule="auto"/>
        <w:ind w:firstLine="420" w:firstLineChars="200"/>
        <w:rPr>
          <w:szCs w:val="21"/>
        </w:rPr>
      </w:pPr>
      <w:r>
        <w:rPr>
          <w:szCs w:val="21"/>
        </w:rPr>
        <w:t>1、合同签订前，乙方向甲方支付本合同总金额</w:t>
      </w:r>
      <w:r>
        <w:rPr>
          <w:rFonts w:hint="eastAsia"/>
          <w:szCs w:val="21"/>
        </w:rPr>
        <w:t>的</w:t>
      </w:r>
      <w:r>
        <w:rPr>
          <w:szCs w:val="21"/>
        </w:rPr>
        <w:t>5%（即RMB￥</w:t>
      </w:r>
      <w:r>
        <w:rPr>
          <w:rFonts w:hint="eastAsia"/>
          <w:szCs w:val="21"/>
        </w:rPr>
        <w:t xml:space="preserve">   </w:t>
      </w:r>
      <w:r>
        <w:rPr>
          <w:szCs w:val="21"/>
        </w:rPr>
        <w:t>元整）作为本</w:t>
      </w:r>
      <w:r>
        <w:rPr>
          <w:rFonts w:hint="eastAsia"/>
          <w:szCs w:val="21"/>
        </w:rPr>
        <w:t>项目</w:t>
      </w:r>
      <w:r>
        <w:rPr>
          <w:szCs w:val="21"/>
        </w:rPr>
        <w:t>履约保证金</w:t>
      </w:r>
      <w:r>
        <w:rPr>
          <w:rFonts w:hint="eastAsia"/>
          <w:szCs w:val="21"/>
        </w:rPr>
        <w:t>，并将银行转账凭据加盖公司财务鲜章交</w:t>
      </w:r>
      <w:r>
        <w:rPr>
          <w:rFonts w:hint="eastAsia"/>
          <w:szCs w:val="21"/>
          <w:lang w:val="en-US" w:eastAsia="zh-CN"/>
        </w:rPr>
        <w:t>甲方</w:t>
      </w:r>
      <w:bookmarkStart w:id="67" w:name="_GoBack"/>
      <w:bookmarkEnd w:id="67"/>
      <w:r>
        <w:rPr>
          <w:rFonts w:hint="eastAsia"/>
          <w:szCs w:val="21"/>
        </w:rPr>
        <w:t>采购与招标管理中心核验和管理登记。在验收合格且不存在任何违约行为的情况下，乙方向甲方使用单位提出退还履约保证金申请，由甲方在二十（20）个工作日内一次性向乙方无息全额退还。</w:t>
      </w:r>
      <w:r>
        <w:rPr>
          <w:szCs w:val="21"/>
        </w:rPr>
        <w:t>若乙方违约，甲方有权优先从履约保证金中扣除违约金</w:t>
      </w:r>
      <w:r>
        <w:rPr>
          <w:rFonts w:hint="eastAsia"/>
          <w:szCs w:val="21"/>
        </w:rPr>
        <w:t>，</w:t>
      </w:r>
      <w:r>
        <w:rPr>
          <w:szCs w:val="21"/>
        </w:rPr>
        <w:t>不足部分乙方应另行支付，同时乙方应在3日内补足履约保证金。</w:t>
      </w:r>
    </w:p>
    <w:p>
      <w:pPr>
        <w:spacing w:line="300" w:lineRule="auto"/>
        <w:ind w:firstLine="420" w:firstLineChars="200"/>
        <w:rPr>
          <w:b/>
          <w:szCs w:val="21"/>
        </w:rPr>
      </w:pPr>
      <w:r>
        <w:rPr>
          <w:szCs w:val="21"/>
        </w:rPr>
        <w:t>2</w:t>
      </w:r>
      <w:r>
        <w:rPr>
          <w:rFonts w:hint="eastAsia"/>
          <w:szCs w:val="21"/>
        </w:rPr>
        <w:t>．</w:t>
      </w:r>
      <w:r>
        <w:rPr>
          <w:szCs w:val="21"/>
        </w:rPr>
        <w:t>甲方验收合格后</w:t>
      </w:r>
      <w:r>
        <w:rPr>
          <w:rFonts w:hint="eastAsia"/>
          <w:szCs w:val="21"/>
        </w:rPr>
        <w:t>三（3）</w:t>
      </w:r>
      <w:r>
        <w:rPr>
          <w:szCs w:val="21"/>
        </w:rPr>
        <w:t>个工作日内，乙方应将发票原件（原则上须为增值税专用发票）和合同复印件交甲方使用单位，甲方使用单位收到资料后在二十</w:t>
      </w:r>
      <w:r>
        <w:rPr>
          <w:rFonts w:hint="eastAsia"/>
          <w:szCs w:val="21"/>
        </w:rPr>
        <w:t>（20）</w:t>
      </w:r>
      <w:r>
        <w:rPr>
          <w:szCs w:val="21"/>
        </w:rPr>
        <w:t>个工作日内完成支付合同总金额的100%给乙方</w:t>
      </w:r>
      <w:r>
        <w:rPr>
          <w:rFonts w:hint="eastAsia"/>
          <w:szCs w:val="21"/>
        </w:rPr>
        <w:t>，</w:t>
      </w:r>
      <w:r>
        <w:rPr>
          <w:szCs w:val="21"/>
        </w:rPr>
        <w:t>即</w:t>
      </w:r>
      <w:r>
        <w:rPr>
          <w:b/>
          <w:szCs w:val="21"/>
        </w:rPr>
        <w:t>人民币：</w:t>
      </w:r>
      <w:r>
        <w:rPr>
          <w:rFonts w:hint="eastAsia"/>
          <w:b/>
          <w:szCs w:val="21"/>
        </w:rPr>
        <w:t xml:space="preserve">  </w:t>
      </w:r>
      <w:r>
        <w:rPr>
          <w:b/>
          <w:szCs w:val="21"/>
        </w:rPr>
        <w:t xml:space="preserve"> 元</w:t>
      </w:r>
      <w:r>
        <w:rPr>
          <w:szCs w:val="21"/>
        </w:rPr>
        <w:t>（</w:t>
      </w:r>
      <w:r>
        <w:rPr>
          <w:b/>
          <w:szCs w:val="21"/>
        </w:rPr>
        <w:t>大写：</w:t>
      </w:r>
      <w:r>
        <w:rPr>
          <w:rFonts w:hint="eastAsia"/>
          <w:b/>
          <w:szCs w:val="21"/>
        </w:rPr>
        <w:t xml:space="preserve">   </w:t>
      </w:r>
      <w:r>
        <w:rPr>
          <w:b/>
          <w:szCs w:val="21"/>
        </w:rPr>
        <w:t>元整）。</w:t>
      </w:r>
    </w:p>
    <w:p>
      <w:pPr>
        <w:numPr>
          <w:ilvl w:val="0"/>
          <w:numId w:val="1"/>
        </w:numPr>
        <w:spacing w:before="120" w:beforeLines="50" w:after="120" w:afterLines="50" w:line="360" w:lineRule="auto"/>
        <w:ind w:left="1519" w:hanging="1094"/>
        <w:rPr>
          <w:b/>
          <w:szCs w:val="21"/>
        </w:rPr>
      </w:pPr>
      <w:r>
        <w:rPr>
          <w:rFonts w:hint="eastAsia"/>
          <w:b/>
          <w:szCs w:val="21"/>
        </w:rPr>
        <w:t>其他</w:t>
      </w:r>
      <w:r>
        <w:rPr>
          <w:b/>
          <w:szCs w:val="21"/>
        </w:rPr>
        <w:t>服务要求</w:t>
      </w:r>
    </w:p>
    <w:p>
      <w:pPr>
        <w:tabs>
          <w:tab w:val="left" w:pos="780"/>
        </w:tabs>
        <w:spacing w:line="300" w:lineRule="auto"/>
        <w:ind w:firstLine="420" w:firstLineChars="200"/>
        <w:rPr>
          <w:szCs w:val="21"/>
        </w:rPr>
      </w:pPr>
      <w:r>
        <w:rPr>
          <w:rFonts w:hint="eastAsia"/>
          <w:szCs w:val="21"/>
        </w:rPr>
        <w:t>1.详见投标</w:t>
      </w:r>
      <w:r>
        <w:rPr>
          <w:rFonts w:hint="eastAsia"/>
          <w:szCs w:val="21"/>
          <w:lang w:eastAsia="zh-CN"/>
        </w:rPr>
        <w:t>（</w:t>
      </w:r>
      <w:r>
        <w:rPr>
          <w:rFonts w:hint="eastAsia"/>
          <w:szCs w:val="21"/>
          <w:lang w:val="en-US" w:eastAsia="zh-CN"/>
        </w:rPr>
        <w:t>响应）</w:t>
      </w:r>
      <w:r>
        <w:rPr>
          <w:rFonts w:hint="eastAsia"/>
          <w:szCs w:val="21"/>
        </w:rPr>
        <w:t>文件商务应答表中的售后服务要求</w:t>
      </w:r>
    </w:p>
    <w:p>
      <w:pPr>
        <w:adjustRightInd w:val="0"/>
        <w:snapToGrid w:val="0"/>
        <w:spacing w:before="0" w:beforeLines="0" w:line="400" w:lineRule="exact"/>
        <w:ind w:firstLine="420" w:firstLineChars="200"/>
        <w:rPr>
          <w:rFonts w:ascii="宋体" w:hAnsi="宋体"/>
          <w:szCs w:val="21"/>
        </w:rPr>
      </w:pPr>
      <w:r>
        <w:rPr>
          <w:rFonts w:hint="eastAsia"/>
          <w:szCs w:val="21"/>
        </w:rPr>
        <w:t>2.</w:t>
      </w:r>
      <w:r>
        <w:rPr>
          <w:rFonts w:hint="eastAsia" w:ascii="宋体" w:hAnsi="宋体"/>
          <w:szCs w:val="21"/>
        </w:rPr>
        <w:t>本协议书与下列文件一起构成合同文件，如下述文件之间有任何抵触、矛盾或歧义，应按以下顺序解释：</w:t>
      </w:r>
    </w:p>
    <w:p>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szCs w:val="21"/>
        </w:rPr>
        <w:t>投标（响应）文件</w:t>
      </w:r>
    </w:p>
    <w:p>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招标（</w:t>
      </w:r>
      <w:r>
        <w:rPr>
          <w:rFonts w:hint="eastAsia" w:ascii="宋体" w:hAnsi="宋体"/>
          <w:szCs w:val="21"/>
        </w:rPr>
        <w:t>采购</w:t>
      </w:r>
      <w:r>
        <w:rPr>
          <w:rFonts w:hint="eastAsia" w:ascii="宋体" w:hAnsi="宋体"/>
          <w:szCs w:val="21"/>
          <w:lang w:eastAsia="zh-CN"/>
        </w:rPr>
        <w:t>）</w:t>
      </w:r>
      <w:r>
        <w:rPr>
          <w:rFonts w:hint="eastAsia" w:ascii="宋体" w:hAnsi="宋体"/>
          <w:szCs w:val="21"/>
        </w:rPr>
        <w:t>文件</w:t>
      </w:r>
      <w:r>
        <w:rPr>
          <w:rFonts w:hint="eastAsia" w:ascii="宋体" w:hAnsi="宋体"/>
          <w:szCs w:val="21"/>
          <w:lang w:val="en-US" w:eastAsia="zh-CN"/>
        </w:rPr>
        <w:t xml:space="preserve"> </w:t>
      </w:r>
    </w:p>
    <w:p>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val="en-US" w:eastAsia="zh-CN"/>
        </w:rPr>
        <w:t xml:space="preserve">  </w:t>
      </w:r>
      <w:r>
        <w:rPr>
          <w:rFonts w:hint="eastAsia" w:ascii="宋体" w:hAnsi="宋体"/>
          <w:szCs w:val="21"/>
          <w:lang w:val="en-US" w:eastAsia="zh-CN"/>
        </w:rPr>
        <w:t xml:space="preserve"> </w:t>
      </w:r>
    </w:p>
    <w:p>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）政府采购合同专用条款</w:t>
      </w:r>
    </w:p>
    <w:p>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）政府采购合同通用条款</w:t>
      </w:r>
    </w:p>
    <w:p>
      <w:pPr>
        <w:adjustRightInd w:val="0"/>
        <w:snapToGrid w:val="0"/>
        <w:spacing w:before="0" w:beforeLines="0" w:line="400" w:lineRule="exact"/>
        <w:ind w:firstLine="420" w:firstLineChars="200"/>
        <w:rPr>
          <w:rFonts w:hint="default" w:ascii="宋体" w:hAnsi="宋体" w:eastAsia="宋体"/>
          <w:szCs w:val="21"/>
          <w:lang w:val="en-US" w:eastAsia="zh-CN"/>
        </w:rPr>
      </w:pPr>
      <w:r>
        <w:rPr>
          <w:rFonts w:hint="eastAsia" w:ascii="宋体" w:hAnsi="宋体"/>
          <w:szCs w:val="21"/>
        </w:rPr>
        <w:t>（7）有关技术文件，图纸</w:t>
      </w:r>
      <w:r>
        <w:rPr>
          <w:rFonts w:hint="eastAsia" w:ascii="宋体" w:hAnsi="宋体"/>
          <w:szCs w:val="21"/>
          <w:lang w:val="en-US" w:eastAsia="zh-CN"/>
        </w:rPr>
        <w:t>(如有）</w:t>
      </w:r>
    </w:p>
    <w:p>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rPr>
        <w:t>国家法律、行政法规和规章制度规定或合同约定的作为合同组成部分的其他文件</w:t>
      </w:r>
    </w:p>
    <w:p>
      <w:pPr>
        <w:numPr>
          <w:ilvl w:val="0"/>
          <w:numId w:val="1"/>
        </w:numPr>
        <w:spacing w:before="120" w:beforeLines="50" w:after="120" w:afterLines="50" w:line="360" w:lineRule="auto"/>
        <w:ind w:left="1519" w:hanging="1094"/>
        <w:rPr>
          <w:b/>
          <w:szCs w:val="21"/>
        </w:rPr>
      </w:pPr>
      <w:r>
        <w:rPr>
          <w:b/>
          <w:szCs w:val="21"/>
        </w:rPr>
        <w:t>知识产权</w:t>
      </w:r>
    </w:p>
    <w:p>
      <w:pPr>
        <w:spacing w:line="300" w:lineRule="auto"/>
        <w:ind w:firstLine="315" w:firstLineChars="150"/>
        <w:rPr>
          <w:szCs w:val="21"/>
        </w:rPr>
      </w:pPr>
      <w:r>
        <w:rPr>
          <w:szCs w:val="21"/>
        </w:rPr>
        <w:t>乙方应保证所提供的服务或其他相关事项均不会侵犯任何第三方的专利权、商标权或著作权。否则，乙方应承担合同总费30%的违约金，违约金不足以弥补甲方损失的，甲方有权向乙方追偿，乙方还应当承担甲方因主张权利产生的包括但不限于调查费、评估费、鉴定费、律师费、公证费、诉讼费、财产保全费、差旅费等费用。</w:t>
      </w:r>
    </w:p>
    <w:p>
      <w:pPr>
        <w:numPr>
          <w:ilvl w:val="0"/>
          <w:numId w:val="1"/>
        </w:numPr>
        <w:spacing w:before="120" w:beforeLines="50" w:after="120" w:afterLines="50" w:line="360" w:lineRule="auto"/>
        <w:ind w:left="1519" w:hanging="1094"/>
        <w:rPr>
          <w:b/>
          <w:szCs w:val="21"/>
        </w:rPr>
      </w:pPr>
      <w:r>
        <w:rPr>
          <w:b/>
          <w:szCs w:val="21"/>
        </w:rPr>
        <w:t>无产权瑕疵条款</w:t>
      </w:r>
    </w:p>
    <w:p>
      <w:pPr>
        <w:spacing w:line="300" w:lineRule="auto"/>
        <w:ind w:firstLine="315" w:firstLineChars="150"/>
        <w:rPr>
          <w:szCs w:val="21"/>
        </w:rPr>
      </w:pPr>
      <w:r>
        <w:rPr>
          <w:szCs w:val="21"/>
        </w:rPr>
        <w:t>乙方保证所提供服务的所有权完全属于乙方且无任何抵押、查封等产权瑕疵。如有产权瑕疵的，视为乙方违约。乙方应负担由此而产生的一切损失。</w:t>
      </w:r>
    </w:p>
    <w:p>
      <w:pPr>
        <w:numPr>
          <w:ilvl w:val="0"/>
          <w:numId w:val="1"/>
        </w:numPr>
        <w:spacing w:before="120" w:beforeLines="50" w:after="120" w:afterLines="50" w:line="360" w:lineRule="auto"/>
        <w:ind w:left="1519" w:hanging="1094"/>
        <w:rPr>
          <w:b/>
          <w:szCs w:val="21"/>
        </w:rPr>
      </w:pPr>
      <w:r>
        <w:rPr>
          <w:b/>
          <w:szCs w:val="21"/>
        </w:rPr>
        <w:t>甲方的权利和义务</w:t>
      </w:r>
    </w:p>
    <w:p>
      <w:pPr>
        <w:spacing w:line="300" w:lineRule="auto"/>
        <w:ind w:firstLine="315" w:firstLineChars="150"/>
        <w:rPr>
          <w:szCs w:val="21"/>
        </w:rPr>
      </w:pPr>
      <w:r>
        <w:rPr>
          <w:szCs w:val="21"/>
        </w:rPr>
        <w:t>1、甲方有权对合同规定范围内乙方的服务行为进行监督和检查，拥有监管权。有权定期核对乙方提供服务所配备的人员数量。甲方认为乙方服务行为存在不合理的，有权下达整改通知书并要求乙方限期整改。</w:t>
      </w:r>
    </w:p>
    <w:p>
      <w:pPr>
        <w:spacing w:line="300" w:lineRule="auto"/>
        <w:ind w:firstLine="315" w:firstLineChars="150"/>
        <w:rPr>
          <w:szCs w:val="21"/>
        </w:rPr>
      </w:pPr>
      <w:r>
        <w:rPr>
          <w:szCs w:val="21"/>
        </w:rPr>
        <w:t>2、甲方有权依据双方签订的考评办法对乙方提供的服务进行定期考评。当考评结果未达到标准时，有权依据考评办法约定的数额要求乙方承担违约金。</w:t>
      </w:r>
    </w:p>
    <w:p>
      <w:pPr>
        <w:spacing w:line="300" w:lineRule="auto"/>
        <w:ind w:firstLine="315" w:firstLineChars="150"/>
        <w:rPr>
          <w:szCs w:val="21"/>
        </w:rPr>
      </w:pPr>
      <w:r>
        <w:rPr>
          <w:szCs w:val="21"/>
        </w:rPr>
        <w:t>3、负责检查监督乙方管理工作的实施及制度的执行情况。</w:t>
      </w:r>
    </w:p>
    <w:p>
      <w:pPr>
        <w:spacing w:line="300" w:lineRule="auto"/>
        <w:ind w:firstLine="315" w:firstLineChars="150"/>
        <w:rPr>
          <w:szCs w:val="21"/>
        </w:rPr>
      </w:pPr>
      <w:r>
        <w:rPr>
          <w:szCs w:val="21"/>
        </w:rPr>
        <w:t>4、根据本合同规定，按时向乙方支付服务费用。</w:t>
      </w:r>
    </w:p>
    <w:p>
      <w:pPr>
        <w:spacing w:line="300" w:lineRule="auto"/>
        <w:ind w:firstLine="315" w:firstLineChars="150"/>
        <w:rPr>
          <w:szCs w:val="21"/>
        </w:rPr>
      </w:pPr>
      <w:r>
        <w:rPr>
          <w:szCs w:val="21"/>
        </w:rPr>
        <w:t>5、国家法律、法规所规定由甲方承担的其它责任。</w:t>
      </w:r>
    </w:p>
    <w:p>
      <w:pPr>
        <w:numPr>
          <w:ilvl w:val="0"/>
          <w:numId w:val="1"/>
        </w:numPr>
        <w:spacing w:before="120" w:beforeLines="50" w:after="120" w:afterLines="50" w:line="360" w:lineRule="auto"/>
        <w:ind w:left="1519" w:hanging="1094"/>
        <w:rPr>
          <w:b/>
          <w:szCs w:val="21"/>
        </w:rPr>
      </w:pPr>
      <w:r>
        <w:rPr>
          <w:b/>
          <w:szCs w:val="21"/>
        </w:rPr>
        <w:t>乙方的权利和义务</w:t>
      </w:r>
    </w:p>
    <w:p>
      <w:pPr>
        <w:spacing w:line="300" w:lineRule="auto"/>
        <w:ind w:firstLine="315" w:firstLineChars="150"/>
        <w:rPr>
          <w:szCs w:val="21"/>
        </w:rPr>
      </w:pPr>
      <w:r>
        <w:rPr>
          <w:szCs w:val="21"/>
        </w:rPr>
        <w:t>1、对本合同委托服务范围内的项目享有管理权及按照合同约定提供服务的义务。</w:t>
      </w:r>
    </w:p>
    <w:p>
      <w:pPr>
        <w:spacing w:line="300" w:lineRule="auto"/>
        <w:ind w:firstLine="315" w:firstLineChars="150"/>
        <w:rPr>
          <w:szCs w:val="21"/>
        </w:rPr>
      </w:pPr>
      <w:r>
        <w:rPr>
          <w:szCs w:val="21"/>
        </w:rPr>
        <w:t>2、根据本合同规定向甲方收取相关服务费用，并在本项目管理范围内管理及合理使用。</w:t>
      </w:r>
    </w:p>
    <w:p>
      <w:pPr>
        <w:spacing w:line="300" w:lineRule="auto"/>
        <w:ind w:firstLine="315" w:firstLineChars="150"/>
        <w:rPr>
          <w:szCs w:val="21"/>
        </w:rPr>
      </w:pPr>
      <w:r>
        <w:rPr>
          <w:szCs w:val="21"/>
        </w:rPr>
        <w:t>3、及时向甲方报告本项目服务范围内的重大事项，及时配合处理投诉。</w:t>
      </w:r>
    </w:p>
    <w:p>
      <w:pPr>
        <w:spacing w:line="300" w:lineRule="auto"/>
        <w:ind w:firstLine="315" w:firstLineChars="150"/>
        <w:rPr>
          <w:szCs w:val="21"/>
        </w:rPr>
      </w:pPr>
      <w:r>
        <w:rPr>
          <w:szCs w:val="21"/>
        </w:rPr>
        <w:t>4、接受行业管理部门及政府有关部门的指导，接受甲方监督。</w:t>
      </w:r>
    </w:p>
    <w:p>
      <w:pPr>
        <w:spacing w:line="300" w:lineRule="auto"/>
        <w:ind w:firstLine="315" w:firstLineChars="150"/>
        <w:rPr>
          <w:szCs w:val="21"/>
        </w:rPr>
      </w:pPr>
      <w:r>
        <w:rPr>
          <w:szCs w:val="21"/>
        </w:rPr>
        <w:t>5、国家法律、法规所规定由乙方承担的其它责任。</w:t>
      </w:r>
    </w:p>
    <w:p>
      <w:pPr>
        <w:numPr>
          <w:ilvl w:val="0"/>
          <w:numId w:val="1"/>
        </w:numPr>
        <w:spacing w:before="120" w:beforeLines="50" w:after="120" w:afterLines="50" w:line="360" w:lineRule="auto"/>
        <w:ind w:left="1519" w:hanging="1094"/>
        <w:rPr>
          <w:b/>
          <w:szCs w:val="21"/>
        </w:rPr>
      </w:pPr>
      <w:r>
        <w:rPr>
          <w:b/>
          <w:szCs w:val="21"/>
        </w:rPr>
        <w:t>违约责任</w:t>
      </w:r>
    </w:p>
    <w:p>
      <w:pPr>
        <w:spacing w:line="300" w:lineRule="auto"/>
        <w:ind w:firstLine="315" w:firstLineChars="150"/>
        <w:rPr>
          <w:szCs w:val="21"/>
        </w:rPr>
      </w:pPr>
      <w:r>
        <w:rPr>
          <w:szCs w:val="21"/>
        </w:rPr>
        <w:t>1、甲乙双方必须遵守并执行合同中的各项规定，保证本合同顺利履行。</w:t>
      </w:r>
    </w:p>
    <w:p>
      <w:pPr>
        <w:spacing w:line="300" w:lineRule="auto"/>
        <w:ind w:firstLine="315" w:firstLineChars="150"/>
        <w:rPr>
          <w:szCs w:val="21"/>
        </w:rPr>
      </w:pPr>
      <w:r>
        <w:rPr>
          <w:szCs w:val="21"/>
        </w:rPr>
        <w:t>2、如因乙方工作人员在履职过程中的疏忽、失职、过错等原因给甲方造成损失或侵害，包括但不限于甲方财产损失、甲方对任何第三方的法律责任等，乙方均应承担全部赔偿责任。</w:t>
      </w:r>
    </w:p>
    <w:p>
      <w:pPr>
        <w:spacing w:line="300" w:lineRule="auto"/>
        <w:ind w:firstLine="315" w:firstLineChars="150"/>
        <w:rPr>
          <w:szCs w:val="21"/>
        </w:rPr>
      </w:pPr>
      <w:r>
        <w:rPr>
          <w:szCs w:val="21"/>
        </w:rPr>
        <w:t>3、除非本合同另有约定，乙方履行合同不符合合同约定或怠于履行合同义务，经甲方催告后拒不改正或不履行的，或者因乙方的履行导致本合同目的不能实现，甲方有权单方面解除本合同。</w:t>
      </w:r>
    </w:p>
    <w:p>
      <w:pPr>
        <w:spacing w:line="300" w:lineRule="auto"/>
        <w:ind w:firstLine="315" w:firstLineChars="150"/>
        <w:rPr>
          <w:szCs w:val="21"/>
        </w:rPr>
      </w:pPr>
      <w:r>
        <w:rPr>
          <w:szCs w:val="21"/>
        </w:rPr>
        <w:t>4、除非本合同另有约定，因乙方原因导致的合同终止或解除的，如果甲方尚未支付乙方费用的，甲方有权不再支付乙方费用，甲方如果已经支付的，乙方需退还甲方已支付的所有款项，</w:t>
      </w:r>
      <w:r>
        <w:rPr>
          <w:b/>
          <w:bCs/>
          <w:szCs w:val="21"/>
        </w:rPr>
        <w:t>同时乙方按本合同总金额费用的20%向甲方另行支付违约金</w:t>
      </w:r>
      <w:r>
        <w:rPr>
          <w:szCs w:val="21"/>
        </w:rPr>
        <w:t>。</w:t>
      </w:r>
    </w:p>
    <w:p>
      <w:pPr>
        <w:spacing w:line="300" w:lineRule="auto"/>
        <w:ind w:firstLine="315" w:firstLineChars="150"/>
        <w:rPr>
          <w:szCs w:val="21"/>
        </w:rPr>
      </w:pPr>
      <w:r>
        <w:rPr>
          <w:szCs w:val="21"/>
        </w:rPr>
        <w:t>5、乙方违约金不足以弥补损失的，就不足部分，乙方还应向甲方承担赔偿责任。</w:t>
      </w:r>
    </w:p>
    <w:p>
      <w:pPr>
        <w:spacing w:line="300" w:lineRule="auto"/>
        <w:ind w:firstLine="315" w:firstLineChars="150"/>
        <w:rPr>
          <w:szCs w:val="21"/>
        </w:rPr>
      </w:pPr>
      <w:r>
        <w:rPr>
          <w:szCs w:val="21"/>
        </w:rPr>
        <w:t>6、乙方违约，除承担上述违约责任外，乙方还应当承担甲方因主张权利产生的包括但不限于调查费、评估费、鉴定费、律师费、公证费、诉讼费、财产保全费、担保费、差旅费等合理费用。</w:t>
      </w:r>
    </w:p>
    <w:p>
      <w:pPr>
        <w:spacing w:line="300" w:lineRule="auto"/>
        <w:ind w:firstLine="315" w:firstLineChars="150"/>
        <w:rPr>
          <w:szCs w:val="21"/>
        </w:rPr>
      </w:pPr>
      <w:r>
        <w:rPr>
          <w:szCs w:val="21"/>
        </w:rPr>
        <w:t>7、甲方有权在未支付的合同价款、履约保证金中扣除乙方应支付给甲方的违约金、赔偿金及其他费用等。</w:t>
      </w:r>
    </w:p>
    <w:p>
      <w:pPr>
        <w:spacing w:line="300" w:lineRule="auto"/>
        <w:ind w:firstLine="316" w:firstLineChars="150"/>
        <w:rPr>
          <w:b/>
          <w:bCs/>
          <w:szCs w:val="21"/>
        </w:rPr>
      </w:pPr>
      <w:r>
        <w:rPr>
          <w:b/>
          <w:bCs/>
          <w:szCs w:val="21"/>
        </w:rPr>
        <w:t>8、违约金的特别约定：</w:t>
      </w:r>
    </w:p>
    <w:p>
      <w:pPr>
        <w:spacing w:line="300" w:lineRule="auto"/>
        <w:ind w:firstLine="316" w:firstLineChars="150"/>
        <w:rPr>
          <w:b/>
          <w:bCs/>
          <w:szCs w:val="21"/>
        </w:rPr>
      </w:pPr>
      <w:r>
        <w:rPr>
          <w:b/>
          <w:bCs/>
          <w:szCs w:val="21"/>
        </w:rPr>
        <w:t>本合同所约定违约金，均是考虑了商誉、社会影响、时间成本、机会成本、处理违约事件所耗费资源（人力、财力）等综合抽象要素所造成的损失的。该等损失的抽象性虽难以精确量化，但各方诚信认可其在商业交易中确实存在，为避免届时难以精确衡量，故在此事先约定以违约金方式，尽量弥补损失，同时本合同所约定的违约金具有惩罚性违约金性质。在充分理解和认可上述原则的基础上，双方在违约情况发生后，一方向违约方主张违约责任时，乙方均不再以“违约金过分高于/低于损失”等为由作为抗辩要求调低/调高违约金，甲方亦无需举证具体损失。</w:t>
      </w:r>
    </w:p>
    <w:p>
      <w:pPr>
        <w:spacing w:line="300" w:lineRule="auto"/>
        <w:ind w:firstLine="316" w:firstLineChars="150"/>
        <w:jc w:val="left"/>
        <w:rPr>
          <w:b/>
          <w:szCs w:val="21"/>
        </w:rPr>
      </w:pPr>
      <w:r>
        <w:rPr>
          <w:b/>
          <w:szCs w:val="21"/>
        </w:rPr>
        <w:t>9、在合同履行中及合同结束后，因乙方过错导致的第三方诉乙方和甲方案件或纠纷，甲方有权委托甲方员工、律师或乙方相关人员参加诉讼和各种协调工作；并有权暂不向乙方支付案件或纠纷对应的款项。在诉讼和协调过程中甲方产生的任何损失和费用，均由乙方承担，包括但不限于甲方承担的实际损失、差旅费、律师费、诉讼费、鉴定费等；并有权在履约保证金中直接扣除。</w:t>
      </w:r>
    </w:p>
    <w:p>
      <w:pPr>
        <w:numPr>
          <w:ilvl w:val="0"/>
          <w:numId w:val="1"/>
        </w:numPr>
        <w:spacing w:before="120" w:beforeLines="50" w:after="120" w:afterLines="50" w:line="360" w:lineRule="auto"/>
        <w:ind w:left="1519" w:hanging="1094"/>
        <w:rPr>
          <w:b/>
          <w:szCs w:val="21"/>
        </w:rPr>
      </w:pPr>
      <w:r>
        <w:rPr>
          <w:b/>
          <w:szCs w:val="21"/>
        </w:rPr>
        <w:t>不可抗力事件处理</w:t>
      </w:r>
    </w:p>
    <w:p>
      <w:pPr>
        <w:spacing w:line="300" w:lineRule="auto"/>
        <w:ind w:firstLine="315" w:firstLineChars="150"/>
        <w:rPr>
          <w:szCs w:val="21"/>
        </w:rPr>
      </w:pPr>
      <w:r>
        <w:rPr>
          <w:szCs w:val="21"/>
        </w:rPr>
        <w:t>1、一方由于疫情、水灾、火灾、地震、干旱、战争或协议一方无法预见、控制、避免和克服的其他事件导致不能或暂时不能全部或部分履行本协议，该方可以免责。</w:t>
      </w:r>
    </w:p>
    <w:p>
      <w:pPr>
        <w:spacing w:line="300" w:lineRule="auto"/>
        <w:ind w:firstLine="315" w:firstLineChars="150"/>
        <w:rPr>
          <w:szCs w:val="21"/>
        </w:rPr>
      </w:pPr>
      <w:r>
        <w:rPr>
          <w:szCs w:val="21"/>
        </w:rPr>
        <w:t>2、在合同有效期内，任何一方因不可抗力事件导致不能履行合同，则合同履行期可延长，其延长期与不可抗力影响期相同。</w:t>
      </w:r>
    </w:p>
    <w:p>
      <w:pPr>
        <w:spacing w:line="300" w:lineRule="auto"/>
        <w:ind w:firstLine="315" w:firstLineChars="150"/>
        <w:rPr>
          <w:szCs w:val="21"/>
        </w:rPr>
      </w:pPr>
      <w:r>
        <w:rPr>
          <w:szCs w:val="21"/>
        </w:rPr>
        <w:t>3、受不可抗力事件影响的一方须尽快将事件发生状况通知另一方，并在不可抗力事件影响消除之日起15日内将有关机构出具的不可抗力事件的证明寄交对方。未提供以上证明的，不能免除违约责任。</w:t>
      </w:r>
    </w:p>
    <w:p>
      <w:pPr>
        <w:spacing w:line="300" w:lineRule="auto"/>
        <w:ind w:firstLine="315" w:firstLineChars="150"/>
        <w:rPr>
          <w:szCs w:val="21"/>
        </w:rPr>
      </w:pPr>
      <w:r>
        <w:rPr>
          <w:szCs w:val="21"/>
        </w:rPr>
        <w:t>4、不可抗力事件延续30天以上，双方应通过友好协商，确定是否继续履行合同。</w:t>
      </w:r>
    </w:p>
    <w:p>
      <w:pPr>
        <w:spacing w:line="300" w:lineRule="auto"/>
        <w:ind w:firstLine="315" w:firstLineChars="150"/>
        <w:rPr>
          <w:szCs w:val="21"/>
        </w:rPr>
      </w:pPr>
      <w:r>
        <w:rPr>
          <w:szCs w:val="21"/>
        </w:rPr>
        <w:t>5、因一方延迟履行后发生不可抗力的，不免责。</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numPr>
          <w:ilvl w:val="0"/>
          <w:numId w:val="1"/>
        </w:numPr>
        <w:spacing w:before="120" w:beforeLines="50" w:after="120" w:afterLines="50" w:line="360" w:lineRule="auto"/>
        <w:ind w:left="1519" w:hanging="1094"/>
        <w:rPr>
          <w:b/>
          <w:szCs w:val="21"/>
        </w:rPr>
      </w:pPr>
      <w:bookmarkStart w:id="33" w:name="_Toc211854454"/>
      <w:bookmarkStart w:id="34" w:name="_Toc232492933"/>
      <w:bookmarkStart w:id="35" w:name="_Toc251768867"/>
      <w:bookmarkStart w:id="36" w:name="_Toc247334846"/>
      <w:bookmarkStart w:id="37" w:name="_Toc238984980"/>
      <w:bookmarkStart w:id="38" w:name="_Toc225244857"/>
      <w:bookmarkStart w:id="39" w:name="_Toc239233919"/>
      <w:bookmarkStart w:id="40" w:name="_Toc225670756"/>
      <w:bookmarkStart w:id="41" w:name="_Toc286993792"/>
      <w:bookmarkStart w:id="42" w:name="_Toc241833908"/>
      <w:bookmarkStart w:id="43" w:name="_Toc225654649"/>
      <w:bookmarkStart w:id="44" w:name="_Toc237145411"/>
      <w:bookmarkStart w:id="45" w:name="_Toc239568423"/>
      <w:bookmarkStart w:id="46" w:name="_Toc212019599"/>
      <w:bookmarkStart w:id="47" w:name="_Toc211911353"/>
      <w:bookmarkStart w:id="48" w:name="_Toc185395254"/>
      <w:r>
        <w:rPr>
          <w:b/>
          <w:szCs w:val="21"/>
        </w:rPr>
        <w:t>解决合同纠纷的方式</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tabs>
          <w:tab w:val="left" w:pos="0"/>
        </w:tabs>
        <w:spacing w:line="300" w:lineRule="auto"/>
        <w:ind w:firstLine="420" w:firstLineChars="200"/>
        <w:rPr>
          <w:szCs w:val="21"/>
        </w:rPr>
      </w:pPr>
      <w:r>
        <w:rPr>
          <w:szCs w:val="21"/>
        </w:rPr>
        <w:t>甲乙双方在履行本合同过程中产生争议的，应当友好协商解决，协商不成的，双方均有权向甲方所在地人民法院提起诉讼。</w:t>
      </w:r>
    </w:p>
    <w:p>
      <w:pPr>
        <w:numPr>
          <w:ilvl w:val="0"/>
          <w:numId w:val="1"/>
        </w:numPr>
        <w:spacing w:before="120" w:beforeLines="50" w:after="120" w:afterLines="50" w:line="360" w:lineRule="auto"/>
        <w:ind w:left="1519" w:hanging="1094"/>
        <w:rPr>
          <w:b/>
          <w:szCs w:val="21"/>
        </w:rPr>
      </w:pPr>
      <w:bookmarkStart w:id="49" w:name="_Toc232492934"/>
      <w:bookmarkStart w:id="50" w:name="_Toc212019600"/>
      <w:bookmarkStart w:id="51" w:name="_Toc237145412"/>
      <w:bookmarkStart w:id="52" w:name="_Toc211911354"/>
      <w:bookmarkStart w:id="53" w:name="_Toc247334847"/>
      <w:bookmarkStart w:id="54" w:name="_Toc241833909"/>
      <w:bookmarkStart w:id="55" w:name="_Toc211854455"/>
      <w:bookmarkStart w:id="56" w:name="_Toc239233920"/>
      <w:bookmarkStart w:id="57" w:name="_Toc283019219"/>
      <w:bookmarkStart w:id="58" w:name="_Toc225244858"/>
      <w:bookmarkStart w:id="59" w:name="_Toc286993793"/>
      <w:bookmarkStart w:id="60" w:name="_Toc238984981"/>
      <w:bookmarkStart w:id="61" w:name="_Toc282696231"/>
      <w:bookmarkStart w:id="62" w:name="_Toc185395255"/>
      <w:bookmarkStart w:id="63" w:name="_Toc225670757"/>
      <w:bookmarkStart w:id="64" w:name="_Toc239568424"/>
      <w:bookmarkStart w:id="65" w:name="_Toc225654650"/>
      <w:bookmarkStart w:id="66" w:name="_Toc251768868"/>
      <w:r>
        <w:rPr>
          <w:b/>
          <w:szCs w:val="21"/>
        </w:rPr>
        <w:t>合同</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b/>
          <w:szCs w:val="21"/>
        </w:rPr>
        <w:t>生效及其他</w:t>
      </w:r>
    </w:p>
    <w:p>
      <w:pPr>
        <w:spacing w:line="300" w:lineRule="auto"/>
        <w:ind w:firstLine="315" w:firstLineChars="150"/>
        <w:rPr>
          <w:szCs w:val="21"/>
        </w:rPr>
      </w:pPr>
      <w:r>
        <w:rPr>
          <w:szCs w:val="21"/>
        </w:rPr>
        <w:t>1、合同经双方法定代表人或授权委托人签字并加盖单位公章或合同章后生效。</w:t>
      </w:r>
    </w:p>
    <w:p>
      <w:pPr>
        <w:spacing w:line="300" w:lineRule="auto"/>
        <w:ind w:firstLine="315" w:firstLineChars="150"/>
        <w:rPr>
          <w:szCs w:val="21"/>
        </w:rPr>
      </w:pPr>
      <w:r>
        <w:rPr>
          <w:szCs w:val="21"/>
        </w:rPr>
        <w:t>2、本合同一式陆份，</w:t>
      </w:r>
      <w:r>
        <w:rPr>
          <w:rFonts w:hint="eastAsia"/>
        </w:rPr>
        <w:t>甲方</w:t>
      </w:r>
      <w:r>
        <w:t>肆份，乙方</w:t>
      </w:r>
      <w:r>
        <w:rPr>
          <w:rFonts w:hint="eastAsia"/>
        </w:rPr>
        <w:t>壹</w:t>
      </w:r>
      <w:r>
        <w:t>份，招标代理公司壹份</w:t>
      </w:r>
      <w:r>
        <w:rPr>
          <w:rFonts w:hint="eastAsia"/>
        </w:rPr>
        <w:t>（由</w:t>
      </w:r>
      <w:r>
        <w:t>乙方转交</w:t>
      </w:r>
      <w:r>
        <w:rPr>
          <w:rFonts w:hint="eastAsia"/>
        </w:rPr>
        <w:t>招标</w:t>
      </w:r>
      <w:r>
        <w:t>代理公司</w:t>
      </w:r>
      <w:r>
        <w:rPr>
          <w:rFonts w:hint="eastAsia"/>
        </w:rPr>
        <w:t>）</w:t>
      </w:r>
      <w:r>
        <w:rPr>
          <w:szCs w:val="21"/>
        </w:rPr>
        <w:t>，具有同等法律效力。</w:t>
      </w:r>
    </w:p>
    <w:p>
      <w:pPr>
        <w:spacing w:line="300" w:lineRule="auto"/>
        <w:ind w:firstLine="315" w:firstLineChars="150"/>
        <w:rPr>
          <w:szCs w:val="21"/>
        </w:rPr>
      </w:pPr>
      <w:r>
        <w:rPr>
          <w:szCs w:val="21"/>
        </w:rPr>
        <w:t>3、本合同内容（含附件）不涉及乙方的商业秘密，乙方同意公告此合同。</w:t>
      </w:r>
    </w:p>
    <w:p>
      <w:pPr>
        <w:spacing w:line="300" w:lineRule="auto"/>
        <w:ind w:firstLine="315" w:firstLineChars="150"/>
        <w:rPr>
          <w:szCs w:val="21"/>
        </w:rPr>
      </w:pPr>
      <w:r>
        <w:rPr>
          <w:szCs w:val="21"/>
        </w:rPr>
        <w:t>4、</w:t>
      </w:r>
      <w:r>
        <w:rPr>
          <w:b/>
          <w:bCs/>
          <w:szCs w:val="21"/>
        </w:rPr>
        <w:t>甲方已采取合理的方式提示乙方注意免除或者减轻甲方责任等与乙方有重大利害关系的条款，特别是关于违约、违约救济措施以及救济途径的条款。按照乙方的要求，甲方已就本合同全部内容向乙方进行了逐条说明与解释（尤其是黑体部分），履行了提示注意义务和充分说明义务，乙方不得主张该条款不成为本合同的内容或该条款无效，乙方对前述全部内容均已知晓并予以认可。</w:t>
      </w:r>
    </w:p>
    <w:p>
      <w:pPr>
        <w:spacing w:line="300" w:lineRule="auto"/>
        <w:rPr>
          <w:szCs w:val="21"/>
        </w:rPr>
      </w:pPr>
    </w:p>
    <w:p>
      <w:pPr>
        <w:spacing w:line="300" w:lineRule="auto"/>
        <w:rPr>
          <w:szCs w:val="21"/>
        </w:rPr>
      </w:pPr>
    </w:p>
    <w:p>
      <w:pPr>
        <w:spacing w:line="300" w:lineRule="auto"/>
        <w:ind w:firstLine="525" w:firstLineChars="250"/>
        <w:rPr>
          <w:color w:val="000000"/>
          <w:szCs w:val="21"/>
        </w:rPr>
      </w:pPr>
      <w:r>
        <w:rPr>
          <w:color w:val="000000"/>
          <w:szCs w:val="21"/>
        </w:rPr>
        <w:t xml:space="preserve">甲方单位： 成都理工大学                               乙方单位：                       </w:t>
      </w:r>
    </w:p>
    <w:p>
      <w:pPr>
        <w:spacing w:line="300" w:lineRule="auto"/>
        <w:ind w:firstLine="420" w:firstLineChars="200"/>
        <w:rPr>
          <w:color w:val="000000"/>
          <w:szCs w:val="21"/>
        </w:rPr>
      </w:pPr>
      <w:r>
        <w:rPr>
          <w:color w:val="000000"/>
          <w:szCs w:val="21"/>
        </w:rPr>
        <w:t xml:space="preserve"> </w:t>
      </w:r>
      <w:r>
        <w:rPr>
          <w:b/>
          <w:bCs/>
          <w:color w:val="000000"/>
          <w:szCs w:val="21"/>
        </w:rPr>
        <w:t xml:space="preserve">（盖章） </w:t>
      </w:r>
      <w:r>
        <w:rPr>
          <w:color w:val="000000"/>
          <w:szCs w:val="21"/>
        </w:rPr>
        <w:t xml:space="preserve">                                        　　　</w:t>
      </w:r>
      <w:r>
        <w:rPr>
          <w:b/>
          <w:bCs/>
          <w:color w:val="000000"/>
          <w:szCs w:val="21"/>
        </w:rPr>
        <w:t>（盖章）</w:t>
      </w:r>
      <w:r>
        <w:rPr>
          <w:color w:val="000000"/>
          <w:szCs w:val="21"/>
        </w:rPr>
        <w:t xml:space="preserve">                           </w:t>
      </w:r>
    </w:p>
    <w:p>
      <w:pPr>
        <w:spacing w:line="300" w:lineRule="auto"/>
        <w:rPr>
          <w:color w:val="000000"/>
          <w:szCs w:val="21"/>
        </w:rPr>
      </w:pPr>
      <w:r>
        <w:rPr>
          <w:color w:val="000000"/>
          <w:szCs w:val="21"/>
        </w:rPr>
        <w:t xml:space="preserve">                                      </w:t>
      </w:r>
    </w:p>
    <w:p>
      <w:pPr>
        <w:spacing w:line="300" w:lineRule="auto"/>
        <w:rPr>
          <w:color w:val="000000"/>
          <w:szCs w:val="21"/>
        </w:rPr>
      </w:pPr>
      <w:r>
        <w:rPr>
          <w:color w:val="000000"/>
          <w:szCs w:val="21"/>
        </w:rPr>
        <w:t xml:space="preserve">     甲方法定代表人                                        乙方法定代表人             </w:t>
      </w:r>
    </w:p>
    <w:p>
      <w:pPr>
        <w:spacing w:line="300" w:lineRule="auto"/>
        <w:ind w:firstLine="210" w:firstLineChars="100"/>
        <w:rPr>
          <w:color w:val="000000"/>
          <w:szCs w:val="21"/>
        </w:rPr>
      </w:pPr>
      <w:r>
        <w:rPr>
          <w:color w:val="000000"/>
          <w:szCs w:val="21"/>
        </w:rPr>
        <w:t xml:space="preserve">   或授权委托人（签字）：                                 或授权委托人（签字）：              </w:t>
      </w:r>
    </w:p>
    <w:p>
      <w:pPr>
        <w:spacing w:line="300" w:lineRule="auto"/>
        <w:rPr>
          <w:color w:val="000000"/>
          <w:szCs w:val="21"/>
        </w:rPr>
      </w:pPr>
      <w:r>
        <w:rPr>
          <w:color w:val="000000"/>
          <w:szCs w:val="21"/>
        </w:rPr>
        <w:t xml:space="preserve">                                        　</w:t>
      </w:r>
    </w:p>
    <w:p>
      <w:pPr>
        <w:spacing w:line="300" w:lineRule="auto"/>
        <w:outlineLvl w:val="0"/>
        <w:rPr>
          <w:szCs w:val="21"/>
        </w:rPr>
      </w:pPr>
      <w:r>
        <w:rPr>
          <w:color w:val="000000"/>
          <w:szCs w:val="21"/>
        </w:rPr>
        <w:t xml:space="preserve">          年   月   日                                             年    月   日  </w:t>
      </w:r>
    </w:p>
    <w:sectPr>
      <w:footerReference r:id="rId3" w:type="default"/>
      <w:pgSz w:w="11906" w:h="16838"/>
      <w:pgMar w:top="567" w:right="851" w:bottom="567" w:left="851" w:header="198" w:footer="198"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5763406"/>
      <w:docPartObj>
        <w:docPartGallery w:val="autotext"/>
      </w:docPartObj>
    </w:sdtPr>
    <w:sdtContent>
      <w:sdt>
        <w:sdtPr>
          <w:id w:val="1728636285"/>
          <w:docPartObj>
            <w:docPartGallery w:val="autotext"/>
          </w:docPartObj>
        </w:sdtPr>
        <w:sdtContent>
          <w:p>
            <w:pPr>
              <w:pStyle w:val="6"/>
              <w:jc w:val="center"/>
            </w:pPr>
            <w:r>
              <w:rPr>
                <w:rFonts w:ascii="Times New Roman" w:hAnsi="Times New Roman" w:cs="Times New Roman"/>
                <w:bCs/>
                <w:sz w:val="24"/>
                <w:szCs w:val="24"/>
              </w:rPr>
              <w:fldChar w:fldCharType="begin"/>
            </w:r>
            <w:r>
              <w:rPr>
                <w:rFonts w:ascii="Times New Roman" w:hAnsi="Times New Roman" w:cs="Times New Roman"/>
                <w:bCs/>
              </w:rPr>
              <w:instrText xml:space="preserve">PAGE</w:instrText>
            </w:r>
            <w:r>
              <w:rPr>
                <w:rFonts w:ascii="Times New Roman" w:hAnsi="Times New Roman" w:cs="Times New Roman"/>
                <w:bCs/>
                <w:sz w:val="24"/>
                <w:szCs w:val="24"/>
              </w:rPr>
              <w:fldChar w:fldCharType="separate"/>
            </w:r>
            <w:r>
              <w:rPr>
                <w:rFonts w:ascii="Times New Roman" w:hAnsi="Times New Roman" w:cs="Times New Roman"/>
                <w:bCs/>
              </w:rPr>
              <w:t>1</w:t>
            </w:r>
            <w:r>
              <w:rPr>
                <w:rFonts w:ascii="Times New Roman" w:hAnsi="Times New Roman" w:cs="Times New Roman"/>
                <w:bCs/>
                <w:sz w:val="24"/>
                <w:szCs w:val="24"/>
              </w:rPr>
              <w:fldChar w:fldCharType="end"/>
            </w:r>
            <w:r>
              <w:rPr>
                <w:rFonts w:ascii="Times New Roman" w:hAnsi="Times New Roman" w:cs="Times New Roman"/>
                <w:lang w:val="zh-CN"/>
              </w:rPr>
              <w:t xml:space="preserve"> / </w:t>
            </w:r>
            <w:r>
              <w:rPr>
                <w:rFonts w:ascii="Times New Roman" w:hAnsi="Times New Roman" w:cs="Times New Roman"/>
                <w:bCs/>
                <w:sz w:val="24"/>
                <w:szCs w:val="24"/>
              </w:rPr>
              <w:fldChar w:fldCharType="begin"/>
            </w:r>
            <w:r>
              <w:rPr>
                <w:rFonts w:ascii="Times New Roman" w:hAnsi="Times New Roman" w:cs="Times New Roman"/>
                <w:bCs/>
              </w:rPr>
              <w:instrText xml:space="preserve">NUMPAGES</w:instrText>
            </w:r>
            <w:r>
              <w:rPr>
                <w:rFonts w:ascii="Times New Roman" w:hAnsi="Times New Roman" w:cs="Times New Roman"/>
                <w:bCs/>
                <w:sz w:val="24"/>
                <w:szCs w:val="24"/>
              </w:rPr>
              <w:fldChar w:fldCharType="separate"/>
            </w:r>
            <w:r>
              <w:rPr>
                <w:rFonts w:ascii="Times New Roman" w:hAnsi="Times New Roman" w:cs="Times New Roman"/>
                <w:bCs/>
              </w:rPr>
              <w:t>4</w:t>
            </w:r>
            <w:r>
              <w:rPr>
                <w:rFonts w:ascii="Times New Roman" w:hAnsi="Times New Roman" w:cs="Times New Roman"/>
                <w:bCs/>
                <w:sz w:val="24"/>
                <w:szCs w:val="24"/>
              </w:rPr>
              <w:fldChar w:fldCharType="end"/>
            </w:r>
          </w:p>
        </w:sdtContent>
      </w:sdt>
    </w:sdtContent>
  </w:sdt>
  <w:p>
    <w:pPr>
      <w:pStyle w:val="6"/>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57E8E"/>
    <w:rsid w:val="000039A8"/>
    <w:rsid w:val="00016D78"/>
    <w:rsid w:val="00020C8E"/>
    <w:rsid w:val="00071136"/>
    <w:rsid w:val="000C0C96"/>
    <w:rsid w:val="000E02C1"/>
    <w:rsid w:val="00103824"/>
    <w:rsid w:val="00105E42"/>
    <w:rsid w:val="001200F0"/>
    <w:rsid w:val="001348AA"/>
    <w:rsid w:val="001726F7"/>
    <w:rsid w:val="00186A81"/>
    <w:rsid w:val="001915D3"/>
    <w:rsid w:val="001A790C"/>
    <w:rsid w:val="001C03C1"/>
    <w:rsid w:val="001F0838"/>
    <w:rsid w:val="001F7AF3"/>
    <w:rsid w:val="00225A6B"/>
    <w:rsid w:val="00230F64"/>
    <w:rsid w:val="00263005"/>
    <w:rsid w:val="00274BCF"/>
    <w:rsid w:val="00295196"/>
    <w:rsid w:val="002E1753"/>
    <w:rsid w:val="0031170F"/>
    <w:rsid w:val="0034658C"/>
    <w:rsid w:val="00357E8E"/>
    <w:rsid w:val="003719DE"/>
    <w:rsid w:val="003E15BC"/>
    <w:rsid w:val="0040239A"/>
    <w:rsid w:val="004229FA"/>
    <w:rsid w:val="00470DD0"/>
    <w:rsid w:val="004C147B"/>
    <w:rsid w:val="004E5616"/>
    <w:rsid w:val="005358B0"/>
    <w:rsid w:val="00545247"/>
    <w:rsid w:val="00561BBE"/>
    <w:rsid w:val="00580274"/>
    <w:rsid w:val="005A38F5"/>
    <w:rsid w:val="005A5CC1"/>
    <w:rsid w:val="005D07AF"/>
    <w:rsid w:val="005E2AEE"/>
    <w:rsid w:val="00617492"/>
    <w:rsid w:val="00625156"/>
    <w:rsid w:val="007203B9"/>
    <w:rsid w:val="0074142A"/>
    <w:rsid w:val="00741A3D"/>
    <w:rsid w:val="007426FC"/>
    <w:rsid w:val="00760CB6"/>
    <w:rsid w:val="0076407D"/>
    <w:rsid w:val="008407AE"/>
    <w:rsid w:val="0085744B"/>
    <w:rsid w:val="008640E3"/>
    <w:rsid w:val="00867FF2"/>
    <w:rsid w:val="00880482"/>
    <w:rsid w:val="0089433A"/>
    <w:rsid w:val="008A183F"/>
    <w:rsid w:val="008A2BF1"/>
    <w:rsid w:val="008D1409"/>
    <w:rsid w:val="00945A30"/>
    <w:rsid w:val="009C4496"/>
    <w:rsid w:val="009E70C2"/>
    <w:rsid w:val="00A13BCD"/>
    <w:rsid w:val="00A445DF"/>
    <w:rsid w:val="00A56BC3"/>
    <w:rsid w:val="00A61426"/>
    <w:rsid w:val="00A90675"/>
    <w:rsid w:val="00AE4761"/>
    <w:rsid w:val="00AF4B6F"/>
    <w:rsid w:val="00B23462"/>
    <w:rsid w:val="00B62F53"/>
    <w:rsid w:val="00BD40D1"/>
    <w:rsid w:val="00BF7CEF"/>
    <w:rsid w:val="00C469D1"/>
    <w:rsid w:val="00C57E9C"/>
    <w:rsid w:val="00C601AD"/>
    <w:rsid w:val="00C6464B"/>
    <w:rsid w:val="00CA4338"/>
    <w:rsid w:val="00CF5ADB"/>
    <w:rsid w:val="00D4198D"/>
    <w:rsid w:val="00DB5062"/>
    <w:rsid w:val="00DC540E"/>
    <w:rsid w:val="00DD51ED"/>
    <w:rsid w:val="00DE49AD"/>
    <w:rsid w:val="00E21F91"/>
    <w:rsid w:val="00E309D5"/>
    <w:rsid w:val="00E77168"/>
    <w:rsid w:val="00E835AC"/>
    <w:rsid w:val="00EB3BE5"/>
    <w:rsid w:val="00ED439D"/>
    <w:rsid w:val="00F13F5D"/>
    <w:rsid w:val="00F70CFC"/>
    <w:rsid w:val="00FA2028"/>
    <w:rsid w:val="00FA4F4B"/>
    <w:rsid w:val="00FB1A51"/>
    <w:rsid w:val="00FC4F49"/>
    <w:rsid w:val="00FC7F34"/>
    <w:rsid w:val="034F6853"/>
    <w:rsid w:val="04B40FB2"/>
    <w:rsid w:val="06187F4F"/>
    <w:rsid w:val="085032DE"/>
    <w:rsid w:val="1E6C262B"/>
    <w:rsid w:val="1F0D1FCD"/>
    <w:rsid w:val="20407429"/>
    <w:rsid w:val="235755DB"/>
    <w:rsid w:val="2628108B"/>
    <w:rsid w:val="2A37756C"/>
    <w:rsid w:val="2A7E571E"/>
    <w:rsid w:val="2C510FD4"/>
    <w:rsid w:val="2CB14337"/>
    <w:rsid w:val="2DE53B81"/>
    <w:rsid w:val="2EA8074C"/>
    <w:rsid w:val="306306C3"/>
    <w:rsid w:val="30A77846"/>
    <w:rsid w:val="316D029A"/>
    <w:rsid w:val="31A93FE3"/>
    <w:rsid w:val="342B1F7F"/>
    <w:rsid w:val="34991142"/>
    <w:rsid w:val="35843E04"/>
    <w:rsid w:val="374E46CA"/>
    <w:rsid w:val="38A60261"/>
    <w:rsid w:val="3907335C"/>
    <w:rsid w:val="393D49F6"/>
    <w:rsid w:val="39445D84"/>
    <w:rsid w:val="395B662E"/>
    <w:rsid w:val="3B98278D"/>
    <w:rsid w:val="3D755848"/>
    <w:rsid w:val="3D8C5F4C"/>
    <w:rsid w:val="3E6B790F"/>
    <w:rsid w:val="3EF20030"/>
    <w:rsid w:val="3F88629F"/>
    <w:rsid w:val="40D5315C"/>
    <w:rsid w:val="41AA7365"/>
    <w:rsid w:val="4253528A"/>
    <w:rsid w:val="431A29BA"/>
    <w:rsid w:val="44D0671E"/>
    <w:rsid w:val="45A33DBA"/>
    <w:rsid w:val="46392A64"/>
    <w:rsid w:val="46D06EA9"/>
    <w:rsid w:val="4929464F"/>
    <w:rsid w:val="4AA20B5D"/>
    <w:rsid w:val="50454464"/>
    <w:rsid w:val="510E757A"/>
    <w:rsid w:val="55B55BE8"/>
    <w:rsid w:val="56927B93"/>
    <w:rsid w:val="57240FE4"/>
    <w:rsid w:val="5F17346F"/>
    <w:rsid w:val="61F45D0A"/>
    <w:rsid w:val="62592545"/>
    <w:rsid w:val="62F9405F"/>
    <w:rsid w:val="652C1887"/>
    <w:rsid w:val="6AFC6308"/>
    <w:rsid w:val="6D9739CD"/>
    <w:rsid w:val="70624A8E"/>
    <w:rsid w:val="70B328CC"/>
    <w:rsid w:val="73F3702A"/>
    <w:rsid w:val="78D67AA0"/>
    <w:rsid w:val="79B24069"/>
    <w:rsid w:val="7C8D0ED1"/>
    <w:rsid w:val="9BD537AE"/>
    <w:rsid w:val="BFFF85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kern w:val="44"/>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link w:val="20"/>
    <w:semiHidden/>
    <w:unhideWhenUsed/>
    <w:qFormat/>
    <w:uiPriority w:val="99"/>
    <w:pPr>
      <w:jc w:val="left"/>
    </w:pPr>
  </w:style>
  <w:style w:type="paragraph" w:styleId="5">
    <w:name w:val="Balloon Text"/>
    <w:basedOn w:val="1"/>
    <w:link w:val="19"/>
    <w:semiHidden/>
    <w:unhideWhenUsed/>
    <w:qFormat/>
    <w:uiPriority w:val="99"/>
    <w:rPr>
      <w:sz w:val="18"/>
      <w:szCs w:val="18"/>
    </w:rPr>
  </w:style>
  <w:style w:type="paragraph" w:styleId="6">
    <w:name w:val="footer"/>
    <w:basedOn w:val="1"/>
    <w:link w:val="16"/>
    <w:qFormat/>
    <w:uiPriority w:val="99"/>
    <w:pPr>
      <w:tabs>
        <w:tab w:val="center" w:pos="4153"/>
        <w:tab w:val="right" w:pos="8306"/>
      </w:tabs>
      <w:snapToGrid w:val="0"/>
      <w:jc w:val="left"/>
    </w:pPr>
    <w:rPr>
      <w:rFonts w:asciiTheme="minorHAnsi" w:hAnsiTheme="minorHAnsi" w:cstheme="minorBidi"/>
      <w:sz w:val="18"/>
      <w:szCs w:val="22"/>
    </w:rPr>
  </w:style>
  <w:style w:type="paragraph" w:styleId="7">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1"/>
    <w:semiHidden/>
    <w:unhideWhenUsed/>
    <w:qFormat/>
    <w:uiPriority w:val="99"/>
    <w:rPr>
      <w:b/>
      <w:bCs/>
    </w:r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character" w:customStyle="1" w:styleId="13">
    <w:name w:val="标题 1 字符"/>
    <w:basedOn w:val="10"/>
    <w:link w:val="3"/>
    <w:qFormat/>
    <w:uiPriority w:val="0"/>
    <w:rPr>
      <w:rFonts w:ascii="Times New Roman" w:hAnsi="Times New Roman" w:eastAsia="宋体" w:cs="Times New Roman"/>
      <w:b/>
      <w:kern w:val="44"/>
      <w:sz w:val="32"/>
      <w:szCs w:val="20"/>
    </w:rPr>
  </w:style>
  <w:style w:type="character" w:customStyle="1" w:styleId="14">
    <w:name w:val="列出段落 字符"/>
    <w:link w:val="15"/>
    <w:qFormat/>
    <w:uiPriority w:val="99"/>
    <w:rPr>
      <w:rFonts w:ascii="Calibri" w:hAnsi="Calibri" w:eastAsia="宋体"/>
    </w:rPr>
  </w:style>
  <w:style w:type="paragraph" w:styleId="15">
    <w:name w:val="List Paragraph"/>
    <w:basedOn w:val="1"/>
    <w:link w:val="14"/>
    <w:qFormat/>
    <w:uiPriority w:val="99"/>
    <w:pPr>
      <w:ind w:firstLine="420" w:firstLineChars="200"/>
    </w:pPr>
    <w:rPr>
      <w:rFonts w:ascii="Calibri" w:hAnsi="Calibri" w:cstheme="minorBidi"/>
      <w:szCs w:val="22"/>
    </w:rPr>
  </w:style>
  <w:style w:type="character" w:customStyle="1" w:styleId="16">
    <w:name w:val="页脚 字符"/>
    <w:link w:val="6"/>
    <w:qFormat/>
    <w:uiPriority w:val="99"/>
    <w:rPr>
      <w:rFonts w:eastAsia="宋体"/>
      <w:sz w:val="18"/>
    </w:rPr>
  </w:style>
  <w:style w:type="character" w:customStyle="1" w:styleId="17">
    <w:name w:val="页脚 Char1"/>
    <w:basedOn w:val="10"/>
    <w:semiHidden/>
    <w:qFormat/>
    <w:uiPriority w:val="99"/>
    <w:rPr>
      <w:rFonts w:ascii="Times New Roman" w:hAnsi="Times New Roman" w:eastAsia="宋体" w:cs="Times New Roman"/>
      <w:sz w:val="18"/>
      <w:szCs w:val="18"/>
    </w:rPr>
  </w:style>
  <w:style w:type="character" w:customStyle="1" w:styleId="18">
    <w:name w:val="页眉 字符"/>
    <w:basedOn w:val="10"/>
    <w:link w:val="7"/>
    <w:qFormat/>
    <w:uiPriority w:val="0"/>
    <w:rPr>
      <w:rFonts w:ascii="Times New Roman" w:hAnsi="Times New Roman" w:eastAsia="宋体" w:cs="Times New Roman"/>
      <w:sz w:val="18"/>
      <w:szCs w:val="18"/>
    </w:rPr>
  </w:style>
  <w:style w:type="character" w:customStyle="1" w:styleId="19">
    <w:name w:val="批注框文本 字符"/>
    <w:basedOn w:val="10"/>
    <w:link w:val="5"/>
    <w:semiHidden/>
    <w:qFormat/>
    <w:uiPriority w:val="99"/>
    <w:rPr>
      <w:rFonts w:ascii="Times New Roman" w:hAnsi="Times New Roman" w:eastAsia="宋体" w:cs="Times New Roman"/>
      <w:sz w:val="18"/>
      <w:szCs w:val="18"/>
    </w:rPr>
  </w:style>
  <w:style w:type="character" w:customStyle="1" w:styleId="20">
    <w:name w:val="批注文字 字符"/>
    <w:basedOn w:val="10"/>
    <w:link w:val="4"/>
    <w:semiHidden/>
    <w:qFormat/>
    <w:uiPriority w:val="99"/>
    <w:rPr>
      <w:rFonts w:ascii="Times New Roman" w:hAnsi="Times New Roman" w:eastAsia="宋体" w:cs="Times New Roman"/>
      <w:szCs w:val="20"/>
    </w:rPr>
  </w:style>
  <w:style w:type="character" w:customStyle="1" w:styleId="21">
    <w:name w:val="批注主题 字符"/>
    <w:basedOn w:val="20"/>
    <w:link w:val="8"/>
    <w:semiHidden/>
    <w:qFormat/>
    <w:uiPriority w:val="99"/>
    <w:rPr>
      <w:rFonts w:ascii="Times New Roman" w:hAnsi="Times New Roman" w:eastAsia="宋体" w:cs="Times New Roman"/>
      <w:b/>
      <w:bCs/>
      <w:szCs w:val="20"/>
    </w:rPr>
  </w:style>
  <w:style w:type="paragraph" w:customStyle="1" w:styleId="22">
    <w:name w:val="正文文本 21"/>
    <w:basedOn w:val="1"/>
    <w:qFormat/>
    <w:uiPriority w:val="0"/>
    <w:pPr>
      <w:spacing w:line="480" w:lineRule="auto"/>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16085-92A1-443D-8BA9-2892F1583228}">
  <ds:schemaRefs/>
</ds:datastoreItem>
</file>

<file path=docProps/app.xml><?xml version="1.0" encoding="utf-8"?>
<Properties xmlns="http://schemas.openxmlformats.org/officeDocument/2006/extended-properties" xmlns:vt="http://schemas.openxmlformats.org/officeDocument/2006/docPropsVTypes">
  <Template>Normal.dotm</Template>
  <Pages>4</Pages>
  <Words>641</Words>
  <Characters>3659</Characters>
  <Lines>30</Lines>
  <Paragraphs>8</Paragraphs>
  <TotalTime>0</TotalTime>
  <ScaleCrop>false</ScaleCrop>
  <LinksUpToDate>false</LinksUpToDate>
  <CharactersWithSpaces>4292</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2016-12-06T11:24:00Z</dcterms:created>
  <dc:creator>MaQing</dc:creator>
  <cp:lastModifiedBy>Administrator</cp:lastModifiedBy>
  <dcterms:modified xsi:type="dcterms:W3CDTF">2024-12-06T07:37:36Z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FD2DBD6FA7322F9056AD4264BA5B018F</vt:lpwstr>
  </property>
  <property fmtid="{D5CDD505-2E9C-101B-9397-08002B2CF9AE}" pid="4" name="commondata">
    <vt:lpwstr>eyJoZGlkIjoiYzFhYjcwMzkwOTBiNWI1MzcwMmY5NmUzZjE2MzFkOGUifQ==</vt:lpwstr>
  </property>
</Properties>
</file>