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p>
    <w:p>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p>
    <w:p>
      <w:pPr>
        <w:spacing w:line="360" w:lineRule="auto"/>
        <w:jc w:val="center"/>
        <w:rPr>
          <w:rFonts w:ascii="宋体" w:hAnsi="宋体" w:cs="宋体"/>
          <w:b/>
          <w:color w:val="000000" w:themeColor="text1"/>
          <w:sz w:val="44"/>
          <w:szCs w:val="44"/>
          <w:highlight w:val="none"/>
          <w14:textFill>
            <w14:solidFill>
              <w14:schemeClr w14:val="tx1"/>
            </w14:solidFill>
          </w14:textFill>
        </w:rPr>
      </w:pPr>
    </w:p>
    <w:p>
      <w:pPr>
        <w:adjustRightInd/>
        <w:spacing w:line="360" w:lineRule="auto"/>
        <w:jc w:val="center"/>
        <w:rPr>
          <w:rFonts w:ascii="宋体" w:hAnsi="宋体" w:cs="宋体"/>
          <w:b/>
          <w:color w:val="000000" w:themeColor="text1"/>
          <w:sz w:val="48"/>
          <w:szCs w:val="48"/>
          <w:highlight w:val="none"/>
          <w14:textFill>
            <w14:solidFill>
              <w14:schemeClr w14:val="tx1"/>
            </w14:solidFill>
          </w14:textFill>
        </w:rPr>
      </w:pPr>
    </w:p>
    <w:p>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杭州市临平区崇信小学电脑采购项目</w:t>
      </w:r>
    </w:p>
    <w:p>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 xml:space="preserve">招标文件 </w:t>
      </w:r>
    </w:p>
    <w:p>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（电子招投标）</w:t>
      </w:r>
    </w:p>
    <w:p>
      <w:pPr>
        <w:snapToGrid w:val="0"/>
        <w:spacing w:line="360" w:lineRule="auto"/>
        <w:jc w:val="center"/>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val="en-US" w:eastAsia="zh-CN"/>
          <w14:textFill>
            <w14:solidFill>
              <w14:schemeClr w14:val="tx1"/>
            </w14:solidFill>
          </w14:textFill>
        </w:rPr>
        <w:t>HZLPZFCG-2026-047</w:t>
      </w:r>
    </w:p>
    <w:p>
      <w:pPr>
        <w:adjustRightInd/>
        <w:spacing w:line="360" w:lineRule="auto"/>
        <w:rPr>
          <w:rFonts w:ascii="宋体" w:hAnsi="宋体" w:cs="宋体"/>
          <w:color w:val="000000" w:themeColor="text1"/>
          <w:sz w:val="28"/>
          <w:szCs w:val="20"/>
          <w:highlight w:val="none"/>
          <w14:textFill>
            <w14:solidFill>
              <w14:schemeClr w14:val="tx1"/>
            </w14:solidFill>
          </w14:textFill>
        </w:rPr>
      </w:pPr>
    </w:p>
    <w:p>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pPr>
        <w:spacing w:line="360" w:lineRule="auto"/>
        <w:jc w:val="center"/>
        <w:rPr>
          <w:rFonts w:ascii="宋体" w:hAnsi="宋体" w:cs="宋体"/>
          <w:b/>
          <w:color w:val="000000" w:themeColor="text1"/>
          <w:sz w:val="44"/>
          <w:szCs w:val="44"/>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杭州市临平区崇信小学</w:t>
      </w:r>
    </w:p>
    <w:p>
      <w:pPr>
        <w:spacing w:line="360" w:lineRule="auto"/>
        <w:jc w:val="center"/>
        <w:rPr>
          <w:rFonts w:hint="eastAsia" w:ascii="宋体" w:hAnsi="宋体" w:eastAsia="宋体" w:cs="宋体"/>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杭州市公共资源交易中心</w:t>
      </w:r>
      <w:r>
        <w:rPr>
          <w:rFonts w:hint="eastAsia" w:ascii="宋体" w:hAnsi="宋体" w:cs="宋体"/>
          <w:bCs/>
          <w:color w:val="000000" w:themeColor="text1"/>
          <w:sz w:val="32"/>
          <w:szCs w:val="32"/>
          <w:highlight w:val="none"/>
          <w:lang w:eastAsia="zh-CN"/>
          <w14:textFill>
            <w14:solidFill>
              <w14:schemeClr w14:val="tx1"/>
            </w14:solidFill>
          </w14:textFill>
        </w:rPr>
        <w:t>临平分中心</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二〇二</w:t>
      </w:r>
      <w:r>
        <w:rPr>
          <w:rFonts w:hint="eastAsia" w:ascii="宋体" w:hAnsi="宋体" w:cs="宋体"/>
          <w:bCs/>
          <w:color w:val="000000" w:themeColor="text1"/>
          <w:sz w:val="32"/>
          <w:szCs w:val="32"/>
          <w:highlight w:val="none"/>
          <w:lang w:val="en-US" w:eastAsia="zh-CN"/>
          <w14:textFill>
            <w14:solidFill>
              <w14:schemeClr w14:val="tx1"/>
            </w14:solidFill>
          </w14:textFill>
        </w:rPr>
        <w:t>六</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eastAsia="zh-CN"/>
          <w14:textFill>
            <w14:solidFill>
              <w14:schemeClr w14:val="tx1"/>
            </w14:solidFill>
          </w14:textFill>
        </w:rPr>
        <w:t>六</w:t>
      </w:r>
      <w:r>
        <w:rPr>
          <w:rFonts w:hint="eastAsia" w:ascii="宋体" w:hAnsi="宋体" w:cs="宋体"/>
          <w:bCs/>
          <w:color w:val="000000" w:themeColor="text1"/>
          <w:sz w:val="32"/>
          <w:szCs w:val="32"/>
          <w:highlight w:val="none"/>
          <w14:textFill>
            <w14:solidFill>
              <w14:schemeClr w14:val="tx1"/>
            </w14:solidFill>
          </w14:textFill>
        </w:rPr>
        <w:t>月</w:t>
      </w:r>
      <w:r>
        <w:rPr>
          <w:rFonts w:hint="eastAsia" w:ascii="宋体" w:hAnsi="宋体" w:cs="宋体"/>
          <w:color w:val="000000" w:themeColor="text1"/>
          <w:sz w:val="24"/>
          <w:highlight w:val="none"/>
          <w14:textFill>
            <w14:solidFill>
              <w14:schemeClr w14:val="tx1"/>
            </w14:solidFill>
          </w14:textFill>
        </w:rPr>
        <w:br w:type="page"/>
      </w:r>
      <w:bookmarkStart w:id="0" w:name="_Hlt67893495"/>
      <w:bookmarkEnd w:id="0"/>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目  录</w:t>
      </w: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第一部分      招标公告</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第二部分      投标人须知</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第三部分      采购需求</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第四部分      评标办法</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第五部分      拟签订的合同文本</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第六部分      应提交的有关格式范例</w:t>
      </w: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bookmarkStart w:id="1" w:name="_Hlt91233176"/>
      <w:bookmarkEnd w:id="1"/>
      <w:bookmarkStart w:id="2" w:name="_Toc91899869"/>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3" w:name="第一部分"/>
      <w:r>
        <w:rPr>
          <w:rFonts w:hint="eastAsia" w:ascii="宋体" w:hAnsi="宋体" w:cs="宋体"/>
          <w:b/>
          <w:color w:val="000000" w:themeColor="text1"/>
          <w:sz w:val="36"/>
          <w:szCs w:val="36"/>
          <w:highlight w:val="none"/>
          <w14:textFill>
            <w14:solidFill>
              <w14:schemeClr w14:val="tx1"/>
            </w14:solidFill>
          </w14:textFill>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color w:val="000000" w:themeColor="text1"/>
          <w:sz w:val="36"/>
          <w:szCs w:val="20"/>
          <w:highlight w:val="none"/>
          <w14:textFill>
            <w14:solidFill>
              <w14:schemeClr w14:val="tx1"/>
            </w14:solidFill>
          </w14:textFill>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杭州市临平区崇信小学</w:t>
      </w:r>
      <w:r>
        <w:rPr>
          <w:rFonts w:hint="eastAsia" w:ascii="Times New Roman" w:hAnsi="Times New Roman"/>
          <w:color w:val="000000" w:themeColor="text1"/>
          <w:kern w:val="0"/>
          <w:sz w:val="24"/>
          <w:highlight w:val="none"/>
          <w14:textFill>
            <w14:solidFill>
              <w14:schemeClr w14:val="tx1"/>
            </w14:solidFill>
          </w14:textFill>
        </w:rPr>
        <w:t>电脑采购</w:t>
      </w:r>
      <w:r>
        <w:rPr>
          <w:rFonts w:ascii="Times New Roman" w:hAnsi="Times New Roman"/>
          <w:color w:val="000000" w:themeColor="text1"/>
          <w:kern w:val="0"/>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招标项目的潜在投标人应在政采云平台（</w:t>
      </w:r>
      <w:r>
        <w:rPr>
          <w:rFonts w:asciiTheme="minorEastAsia" w:hAnsiTheme="minorEastAsia" w:eastAsiaTheme="minorEastAsia"/>
          <w:color w:val="000000" w:themeColor="text1"/>
          <w:sz w:val="24"/>
          <w:highlight w:val="none"/>
          <w14:textFill>
            <w14:solidFill>
              <w14:schemeClr w14:val="tx1"/>
            </w14:solidFill>
          </w14:textFill>
        </w:rPr>
        <w:t>https://www.zcygov.cn/）获取（下载）招标文件，并于</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202</w:t>
      </w:r>
      <w:r>
        <w:rPr>
          <w:rFonts w:hint="eastAsia" w:cs="仿宋_GB2312" w:asciiTheme="minorEastAsia" w:hAnsiTheme="minorEastAsia" w:eastAsiaTheme="minorEastAsia"/>
          <w:color w:val="000000" w:themeColor="text1"/>
          <w:sz w:val="24"/>
          <w:highlight w:val="none"/>
          <w:u w:val="single"/>
          <w:lang w:val="en-US" w:eastAsia="zh-CN"/>
          <w14:textFill>
            <w14:solidFill>
              <w14:schemeClr w14:val="tx1"/>
            </w14:solidFill>
          </w14:textFill>
        </w:rPr>
        <w:t>6</w:t>
      </w:r>
      <w:r>
        <w:rPr>
          <w:rFonts w:cs="仿宋_GB2312" w:asciiTheme="minorEastAsia" w:hAnsiTheme="minorEastAsia" w:eastAsiaTheme="minorEastAsia"/>
          <w:color w:val="000000" w:themeColor="text1"/>
          <w:sz w:val="24"/>
          <w:highlight w:val="none"/>
          <w:u w:val="singl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single"/>
          <w:lang w:val="en-US" w:eastAsia="zh-CN"/>
          <w14:textFill>
            <w14:solidFill>
              <w14:schemeClr w14:val="tx1"/>
            </w14:solidFill>
          </w14:textFill>
        </w:rPr>
        <w:t>7</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single"/>
          <w:lang w:val="en-US" w:eastAsia="zh-CN"/>
          <w14:textFill>
            <w14:solidFill>
              <w14:schemeClr w14:val="tx1"/>
            </w14:solidFill>
          </w14:textFill>
        </w:rPr>
        <w:t>7</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日</w:t>
      </w:r>
      <w:r>
        <w:rPr>
          <w:rFonts w:hint="eastAsia" w:cs="仿宋_GB2312" w:asciiTheme="minorEastAsia" w:hAnsiTheme="minorEastAsia" w:eastAsiaTheme="minorEastAsia"/>
          <w:color w:val="000000" w:themeColor="text1"/>
          <w:sz w:val="24"/>
          <w:highlight w:val="none"/>
          <w:u w:val="single"/>
          <w:lang w:val="en-US" w:eastAsia="zh-CN"/>
          <w14:textFill>
            <w14:solidFill>
              <w14:schemeClr w14:val="tx1"/>
            </w14:solidFill>
          </w14:textFill>
        </w:rPr>
        <w:t>9</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点</w:t>
      </w:r>
      <w:r>
        <w:rPr>
          <w:rFonts w:hint="eastAsia" w:cs="仿宋_GB2312" w:asciiTheme="minorEastAsia" w:hAnsiTheme="minorEastAsia" w:eastAsiaTheme="minorEastAsia"/>
          <w:color w:val="000000" w:themeColor="text1"/>
          <w:sz w:val="24"/>
          <w:highlight w:val="none"/>
          <w:u w:val="single"/>
          <w:lang w:val="en-US" w:eastAsia="zh-CN"/>
          <w14:textFill>
            <w14:solidFill>
              <w14:schemeClr w14:val="tx1"/>
            </w14:solidFill>
          </w14:textFill>
        </w:rPr>
        <w:t>30</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w:t>
      </w:r>
      <w:r>
        <w:rPr>
          <w:rFonts w:hint="eastAsia" w:asciiTheme="minorEastAsia" w:hAnsiTheme="minorEastAsia" w:eastAsiaTheme="minorEastAsia"/>
          <w:color w:val="000000" w:themeColor="text1"/>
          <w:sz w:val="24"/>
          <w:highlight w:val="none"/>
          <w14:textFill>
            <w14:solidFill>
              <w14:schemeClr w14:val="tx1"/>
            </w14:solidFill>
          </w14:textFill>
        </w:rPr>
        <w:t>递交（上传）投标文件。</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一、项目基本情况                                            </w:t>
      </w:r>
    </w:p>
    <w:p>
      <w:pPr>
        <w:spacing w:line="360" w:lineRule="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项目编号：</w:t>
      </w:r>
      <w:r>
        <w:rPr>
          <w:rFonts w:hint="eastAsia" w:ascii="宋体" w:hAnsi="宋体" w:cs="宋体"/>
          <w:b/>
          <w:bCs w:val="0"/>
          <w:color w:val="000000" w:themeColor="text1"/>
          <w:sz w:val="24"/>
          <w:highlight w:val="none"/>
          <w14:textFill>
            <w14:solidFill>
              <w14:schemeClr w14:val="tx1"/>
            </w14:solidFill>
          </w14:textFill>
        </w:rPr>
        <w:t>HZLPZFCG-2026-047</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项目名称：</w:t>
      </w:r>
      <w:r>
        <w:rPr>
          <w:rFonts w:ascii="Times New Roman" w:hAnsi="Times New Roman"/>
          <w:color w:val="000000" w:themeColor="text1"/>
          <w:kern w:val="0"/>
          <w:sz w:val="24"/>
          <w:highlight w:val="none"/>
          <w14:textFill>
            <w14:solidFill>
              <w14:schemeClr w14:val="tx1"/>
            </w14:solidFill>
          </w14:textFill>
        </w:rPr>
        <w:t>杭州市临平区崇信小学</w:t>
      </w:r>
      <w:r>
        <w:rPr>
          <w:rFonts w:hint="eastAsia" w:ascii="Times New Roman" w:hAnsi="Times New Roman"/>
          <w:color w:val="000000" w:themeColor="text1"/>
          <w:kern w:val="0"/>
          <w:sz w:val="24"/>
          <w:highlight w:val="none"/>
          <w14:textFill>
            <w14:solidFill>
              <w14:schemeClr w14:val="tx1"/>
            </w14:solidFill>
          </w14:textFill>
        </w:rPr>
        <w:t>电脑采购</w:t>
      </w:r>
      <w:r>
        <w:rPr>
          <w:rFonts w:ascii="Times New Roman" w:hAnsi="Times New Roman"/>
          <w:color w:val="000000" w:themeColor="text1"/>
          <w:kern w:val="0"/>
          <w:sz w:val="24"/>
          <w:highlight w:val="none"/>
          <w14:textFill>
            <w14:solidFill>
              <w14:schemeClr w14:val="tx1"/>
            </w14:solidFill>
          </w14:textFill>
        </w:rPr>
        <w:t>项目</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预算金额（元）：</w:t>
      </w:r>
      <w:r>
        <w:rPr>
          <w:rFonts w:hint="eastAsia" w:ascii="宋体" w:hAnsi="宋体" w:cs="宋体"/>
          <w:b/>
          <w:color w:val="000000" w:themeColor="text1"/>
          <w:sz w:val="24"/>
          <w:highlight w:val="none"/>
          <w:lang w:val="en-US" w:eastAsia="zh-CN"/>
          <w14:textFill>
            <w14:solidFill>
              <w14:schemeClr w14:val="tx1"/>
            </w14:solidFill>
          </w14:textFill>
        </w:rPr>
        <w:t>610000</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最高限价（元）：</w:t>
      </w:r>
      <w:r>
        <w:rPr>
          <w:rFonts w:hint="eastAsia" w:ascii="宋体" w:hAnsi="宋体" w:cs="宋体"/>
          <w:b/>
          <w:color w:val="000000" w:themeColor="text1"/>
          <w:sz w:val="24"/>
          <w:highlight w:val="none"/>
          <w:lang w:val="en-US" w:eastAsia="zh-CN"/>
          <w14:textFill>
            <w14:solidFill>
              <w14:schemeClr w14:val="tx1"/>
            </w14:solidFill>
          </w14:textFill>
        </w:rPr>
        <w:t>610000</w:t>
      </w:r>
      <w:r>
        <w:rPr>
          <w:rFonts w:hint="eastAsia" w:ascii="宋体" w:hAnsi="宋体" w:cs="宋体"/>
          <w:color w:val="000000" w:themeColor="text1"/>
          <w:sz w:val="24"/>
          <w:highlight w:val="none"/>
          <w14:textFill>
            <w14:solidFill>
              <w14:schemeClr w14:val="tx1"/>
            </w14:solidFill>
          </w14:textFill>
        </w:rPr>
        <w:t xml:space="preserve"> </w:t>
      </w:r>
    </w:p>
    <w:p>
      <w:pPr>
        <w:pStyle w:val="5"/>
        <w:spacing w:line="360" w:lineRule="auto"/>
        <w:ind w:firstLine="480"/>
        <w:rPr>
          <w:rFonts w:hAnsi="宋体" w:cs="宋体"/>
          <w:bCs/>
          <w:snapToGrid/>
          <w:color w:val="000000" w:themeColor="text1"/>
          <w:kern w:val="2"/>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采购需求：杭州市临平区崇信小学电脑采购项目</w:t>
      </w:r>
      <w:r>
        <w:rPr>
          <w:rFonts w:hint="eastAsia" w:hAnsi="宋体" w:cs="宋体"/>
          <w:bCs/>
          <w:snapToGrid/>
          <w:color w:val="000000" w:themeColor="text1"/>
          <w:kern w:val="2"/>
          <w:sz w:val="24"/>
          <w:szCs w:val="24"/>
          <w:highlight w:val="none"/>
          <w14:textFill>
            <w14:solidFill>
              <w14:schemeClr w14:val="tx1"/>
            </w14:solidFill>
          </w14:textFill>
        </w:rPr>
        <w:t>主要内容：</w:t>
      </w:r>
      <w:r>
        <w:rPr>
          <w:rFonts w:hint="eastAsia" w:asciiTheme="minorEastAsia" w:hAnsiTheme="minorEastAsia" w:eastAsiaTheme="minorEastAsia"/>
          <w:snapToGrid/>
          <w:color w:val="000000" w:themeColor="text1"/>
          <w:kern w:val="2"/>
          <w:sz w:val="24"/>
          <w:szCs w:val="24"/>
          <w:highlight w:val="none"/>
          <w14:textFill>
            <w14:solidFill>
              <w14:schemeClr w14:val="tx1"/>
            </w14:solidFill>
          </w14:textFill>
        </w:rPr>
        <w:t>具体以招标文件第三部分采购需求为准。</w:t>
      </w:r>
    </w:p>
    <w:p>
      <w:pPr>
        <w:pStyle w:val="5"/>
        <w:spacing w:line="360" w:lineRule="auto"/>
        <w:ind w:firstLine="480"/>
        <w:rPr>
          <w:rFonts w:hAnsi="宋体" w:cs="宋体"/>
          <w:color w:val="000000" w:themeColor="text1"/>
          <w:kern w:val="0"/>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本项目接受联合体投标：</w:t>
      </w:r>
      <w:sdt>
        <w:sdtPr>
          <w:rPr>
            <w:rFonts w:hint="eastAsia" w:hAnsi="宋体" w:cs="宋体"/>
            <w:color w:val="000000" w:themeColor="text1"/>
            <w:kern w:val="0"/>
            <w:sz w:val="24"/>
            <w:highlight w:val="none"/>
            <w14:textFill>
              <w14:solidFill>
                <w14:schemeClr w14:val="tx1"/>
              </w14:solidFill>
            </w14:textFill>
          </w:rPr>
          <w:id w:val="2035453831"/>
          <w14:checkbox>
            <w14:checked w14:val="1"/>
            <w14:checkedState w14:val="00FE" w14:font="Wingdings"/>
            <w14:uncheckedState w14:val="2610" w14:font="MS Gothic"/>
          </w14:checkbox>
        </w:sdtPr>
        <w:sdtEndPr>
          <w:rPr>
            <w:rFonts w:hint="eastAsia" w:hAnsi="宋体" w:cs="宋体"/>
            <w:color w:val="000000" w:themeColor="text1"/>
            <w:kern w:val="0"/>
            <w:sz w:val="24"/>
            <w:highlight w:val="none"/>
            <w14:textFill>
              <w14:solidFill>
                <w14:schemeClr w14:val="tx1"/>
              </w14:solidFill>
            </w14:textFill>
          </w:rPr>
        </w:sdtEndPr>
        <w:sdtContent>
          <w:r>
            <w:rPr>
              <w:rFonts w:hint="eastAsia" w:hAnsi="宋体" w:cs="宋体"/>
              <w:color w:val="000000" w:themeColor="text1"/>
              <w:kern w:val="0"/>
              <w:sz w:val="24"/>
              <w:highlight w:val="none"/>
              <w14:textFill>
                <w14:solidFill>
                  <w14:schemeClr w14:val="tx1"/>
                </w14:solidFill>
              </w14:textFill>
            </w:rPr>
            <w:sym w:font="Wingdings" w:char="F0FE"/>
          </w:r>
        </w:sdtContent>
      </w:sdt>
      <w:r>
        <w:rPr>
          <w:rFonts w:hint="eastAsia" w:hAnsi="宋体" w:cs="宋体"/>
          <w:b/>
          <w:color w:val="000000" w:themeColor="text1"/>
          <w:sz w:val="24"/>
          <w:highlight w:val="none"/>
          <w14:textFill>
            <w14:solidFill>
              <w14:schemeClr w14:val="tx1"/>
            </w14:solidFill>
          </w14:textFill>
        </w:rPr>
        <w:t>是</w:t>
      </w:r>
      <w:r>
        <w:rPr>
          <w:rFonts w:hint="eastAsia" w:hAnsi="宋体" w:cs="宋体"/>
          <w:b/>
          <w:snapToGrid/>
          <w:color w:val="000000" w:themeColor="text1"/>
          <w:kern w:val="2"/>
          <w:sz w:val="24"/>
          <w:highlight w:val="none"/>
          <w14:textFill>
            <w14:solidFill>
              <w14:schemeClr w14:val="tx1"/>
            </w14:solidFill>
          </w14:textFill>
        </w:rPr>
        <w:t>；</w:t>
      </w:r>
      <w:sdt>
        <w:sdtPr>
          <w:rPr>
            <w:rFonts w:hint="eastAsia"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hAnsi="宋体" w:cs="宋体"/>
            <w:color w:val="000000" w:themeColor="text1"/>
            <w:kern w:val="0"/>
            <w:sz w:val="24"/>
            <w:highlight w:val="none"/>
            <w14:textFill>
              <w14:solidFill>
                <w14:schemeClr w14:val="tx1"/>
              </w14:solidFill>
            </w14:textFill>
          </w:rPr>
        </w:sdtEndPr>
        <w:sdtContent>
          <w:r>
            <w:rPr>
              <w:rFonts w:hint="eastAsia" w:hAnsi="宋体" w:cs="宋体"/>
              <w:color w:val="000000" w:themeColor="text1"/>
              <w:kern w:val="0"/>
              <w:sz w:val="24"/>
              <w:highlight w:val="none"/>
              <w14:textFill>
                <w14:solidFill>
                  <w14:schemeClr w14:val="tx1"/>
                </w14:solidFill>
              </w14:textFill>
            </w:rPr>
            <w:t>☐</w:t>
          </w:r>
        </w:sdtContent>
      </w:sdt>
      <w:r>
        <w:rPr>
          <w:rFonts w:hint="eastAsia" w:hAnsi="宋体" w:cs="宋体"/>
          <w:b/>
          <w:color w:val="000000" w:themeColor="text1"/>
          <w:sz w:val="24"/>
          <w:highlight w:val="none"/>
          <w14:textFill>
            <w14:solidFill>
              <w14:schemeClr w14:val="tx1"/>
            </w14:solidFill>
          </w14:textFill>
        </w:rPr>
        <w:t>否</w:t>
      </w:r>
      <w:r>
        <w:rPr>
          <w:rFonts w:hint="eastAsia"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w:t>
      </w:r>
      <w:bookmarkStart w:id="11" w:name="_Hlk101132948"/>
      <w:r>
        <w:rPr>
          <w:rFonts w:hint="eastAsia" w:ascii="宋体" w:hAnsi="宋体" w:cs="宋体"/>
          <w:b/>
          <w:color w:val="000000" w:themeColor="text1"/>
          <w:sz w:val="24"/>
          <w:highlight w:val="none"/>
          <w14:textFill>
            <w14:solidFill>
              <w14:schemeClr w14:val="tx1"/>
            </w14:solidFill>
          </w14:textFill>
        </w:rPr>
        <w:t>申请人的资格要求</w:t>
      </w:r>
      <w:bookmarkEnd w:id="11"/>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 xml:space="preserve">    </w:t>
      </w:r>
      <w:r>
        <w:rPr>
          <w:rFonts w:ascii="宋体" w:hAnsi="宋体" w:cs="宋体"/>
          <w:snapToGrid w:val="0"/>
          <w:color w:val="000000" w:themeColor="text1"/>
          <w:kern w:val="28"/>
          <w:sz w:val="24"/>
          <w:szCs w:val="20"/>
          <w:highlight w:val="none"/>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宋体" w:hAnsi="宋体" w:cs="宋体"/>
          <w:snapToGrid w:val="0"/>
          <w:color w:val="000000" w:themeColor="text1"/>
          <w:kern w:val="28"/>
          <w:sz w:val="24"/>
          <w:szCs w:val="20"/>
          <w:highlight w:val="none"/>
          <w14:textFill>
            <w14:solidFill>
              <w14:schemeClr w14:val="tx1"/>
            </w14:solidFill>
          </w14:textFill>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color w:val="000000" w:themeColor="text1"/>
          <w:kern w:val="28"/>
          <w:sz w:val="24"/>
          <w:szCs w:val="20"/>
          <w:highlight w:val="none"/>
          <w14:textFill>
            <w14:solidFill>
              <w14:schemeClr w14:val="tx1"/>
            </w14:solidFill>
          </w14:textFill>
        </w:rPr>
      </w:pPr>
      <w:r>
        <w:rPr>
          <w:rFonts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928616923"/>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无</w:t>
      </w:r>
      <w:r>
        <w:rPr>
          <w:rFonts w:hint="eastAsia" w:ascii="宋体" w:hAnsi="宋体" w:cs="宋体"/>
          <w:snapToGrid w:val="0"/>
          <w:color w:val="000000" w:themeColor="text1"/>
          <w:kern w:val="28"/>
          <w:sz w:val="24"/>
          <w:szCs w:val="20"/>
          <w:highlight w:val="none"/>
          <w14:textFill>
            <w14:solidFill>
              <w14:schemeClr w14:val="tx1"/>
            </w14:solidFill>
          </w14:textFill>
        </w:rPr>
        <w:t>（注：不得限制大中型企业与小微企业组成联合体参与投标）</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z w:val="24"/>
          <w:highlight w:val="none"/>
          <w14:textFill>
            <w14:solidFill>
              <w14:schemeClr w14:val="tx1"/>
            </w14:solidFill>
          </w14:textFill>
        </w:rPr>
        <w:t>门面向中小企业</w:t>
      </w:r>
    </w:p>
    <w:p>
      <w:pPr>
        <w:spacing w:line="360" w:lineRule="auto"/>
        <w:ind w:firstLine="897" w:firstLineChars="374"/>
        <w:rPr>
          <w:rFonts w:ascii="宋体" w:hAnsi="宋体" w:cs="宋体"/>
          <w:color w:val="000000" w:themeColor="text1"/>
          <w:sz w:val="24"/>
          <w:highlight w:val="none"/>
          <w:u w:val="singl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货物全部由符合政策要求的中小微企业制造，</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货物全部由符合政策要求的小微企业制造，</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bookmarkStart w:id="12" w:name="_Hlk101132524"/>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sz w:val="24"/>
          <w:highlight w:val="none"/>
          <w14:textFill>
            <w14:solidFill>
              <w14:schemeClr w14:val="tx1"/>
            </w14:solidFill>
          </w14:textFill>
        </w:rPr>
        <w:t>以联合体形式参加，并按要求提供联合协议和中小企业声明函，联合协议中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所有标的均由中小企业制造、承建或承接，并相应达到了前述比例要求，无需再与其他中小企业组成联合体参加政府采购活动，</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bookmarkEnd w:id="12"/>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kern w:val="2"/>
          <w:sz w:val="24"/>
          <w:highlight w:val="none"/>
          <w:lang w:val="en-US" w:eastAsia="zh-CN"/>
          <w14:textFill>
            <w14:solidFill>
              <w14:schemeClr w14:val="tx1"/>
            </w14:solidFill>
          </w14:textFill>
        </w:rPr>
        <w:t>以</w:t>
      </w:r>
      <w:r>
        <w:rPr>
          <w:rFonts w:hint="eastAsia" w:ascii="宋体" w:hAnsi="宋体" w:cs="宋体"/>
          <w:color w:val="000000" w:themeColor="text1"/>
          <w:sz w:val="24"/>
          <w:highlight w:val="none"/>
          <w14:textFill>
            <w14:solidFill>
              <w14:schemeClr w14:val="tx1"/>
            </w14:solidFill>
          </w14:textFill>
        </w:rPr>
        <w:t>合同分包形式参加，并按要求提供分包意向协议和中小企业声明函，分包意向协议中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所有标的均由中小企业制造、承建或承接，并相应达到了前述比例要求，无需再向中小企业分包，</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p>
    <w:p>
      <w:pPr>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无</w:t>
      </w:r>
      <w:r>
        <w:rPr>
          <w:rFonts w:hint="eastAsia" w:ascii="宋体" w:hAnsi="宋体" w:cs="宋体"/>
          <w:color w:val="000000" w:themeColor="text1"/>
          <w:sz w:val="24"/>
          <w:highlight w:val="none"/>
          <w:lang w:eastAsia="zh-CN"/>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有特定资格要求：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，该特定条件的法律法规依据：</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三、获取招标文件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7</w:t>
      </w:r>
      <w:bookmarkStart w:id="409" w:name="_GoBack"/>
      <w:bookmarkEnd w:id="409"/>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，每天上午00:00至12:00 ，下午12:00至23:59（北京时间，线上获取法定节假日均可，线下获取文件法定节假日除外）</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 xml:space="preserve">供应商登录政采云平台https://www.zcygov.cn/在线申请获取采购文件（进入“项目采购”应用，在获取采购文件菜单中选择项目，申请获取采购文件）。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售价（元）：</w:t>
      </w:r>
      <w:r>
        <w:rPr>
          <w:rFonts w:hint="eastAsia" w:ascii="宋体" w:hAnsi="宋体" w:cs="宋体"/>
          <w:color w:val="000000" w:themeColor="text1"/>
          <w:sz w:val="24"/>
          <w:highlight w:val="none"/>
          <w14:textFill>
            <w14:solidFill>
              <w14:schemeClr w14:val="tx1"/>
            </w14:solidFill>
          </w14:textFill>
        </w:rPr>
        <w:t xml:space="preserve">0 </w:t>
      </w:r>
      <w:r>
        <w:rPr>
          <w:rFonts w:hint="eastAsia" w:ascii="宋体" w:hAnsi="宋体" w:cs="宋体"/>
          <w:color w:val="000000" w:themeColor="text1"/>
          <w:sz w:val="24"/>
          <w:highlight w:val="none"/>
          <w14:textFill>
            <w14:solidFill>
              <w14:schemeClr w14:val="tx1"/>
            </w14:solidFill>
          </w14:textFill>
        </w:rPr>
        <w:tab/>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四、提交投标文件截止时间、开标时间和地点</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提交投标文件截止时间：</w:t>
      </w:r>
      <w:r>
        <w:rPr>
          <w:rFonts w:hint="eastAsia" w:ascii="宋体" w:hAnsi="宋体" w:cs="宋体"/>
          <w:color w:val="000000" w:themeColor="text1"/>
          <w:sz w:val="24"/>
          <w:highlight w:val="none"/>
          <w:u w:val="single"/>
          <w14:textFill>
            <w14:solidFill>
              <w14:schemeClr w14:val="tx1"/>
            </w14:solidFill>
          </w14:textFill>
        </w:rPr>
        <w:t xml:space="preserve"> 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分00秒</w:t>
      </w:r>
      <w:r>
        <w:rPr>
          <w:rFonts w:hint="eastAsia" w:ascii="宋体" w:hAnsi="宋体" w:cs="宋体"/>
          <w:color w:val="000000" w:themeColor="text1"/>
          <w:sz w:val="24"/>
          <w:highlight w:val="none"/>
          <w14:textFill>
            <w14:solidFill>
              <w14:schemeClr w14:val="tx1"/>
            </w14:solidFill>
          </w14:textFill>
        </w:rPr>
        <w:t>（北京时间）</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ind w:firstLine="481"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分00秒</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开标地点（网址）：</w:t>
      </w:r>
      <w:r>
        <w:rPr>
          <w:rFonts w:hint="eastAsia" w:ascii="宋体" w:hAnsi="宋体" w:cs="宋体"/>
          <w:color w:val="000000" w:themeColor="text1"/>
          <w:sz w:val="24"/>
          <w:highlight w:val="none"/>
          <w14:textFill>
            <w14:solidFill>
              <w14:schemeClr w14:val="tx1"/>
            </w14:solidFill>
          </w14:textFill>
        </w:rPr>
        <w:t>政采云平台（https://www.zcygov.cn/）</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五、公告期限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六、其他补充事宜</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 </w:t>
      </w:r>
      <w:r>
        <w:rPr>
          <w:rFonts w:ascii="宋体" w:hAnsi="宋体" w:cs="宋体"/>
          <w:color w:val="000000" w:themeColor="text1"/>
          <w:sz w:val="24"/>
          <w:highlight w:val="none"/>
          <w14:textFill>
            <w14:solidFill>
              <w14:schemeClr w14:val="tx1"/>
            </w14:solidFill>
          </w14:textFill>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000000" w:themeColor="text1"/>
          <w:sz w:val="24"/>
          <w:highlight w:val="none"/>
          <w:lang w:val="en-US" w:eastAsia="zh-CN"/>
          <w14:textFill>
            <w14:solidFill>
              <w14:schemeClr w14:val="tx1"/>
            </w14:solidFill>
          </w14:textFill>
        </w:rPr>
        <w:t>政务</w:t>
      </w:r>
      <w:r>
        <w:rPr>
          <w:rFonts w:hint="eastAsia" w:ascii="宋体" w:hAnsi="宋体" w:cs="宋体"/>
          <w:color w:val="000000" w:themeColor="text1"/>
          <w:sz w:val="24"/>
          <w:highlight w:val="none"/>
          <w14:textFill>
            <w14:solidFill>
              <w14:schemeClr w14:val="tx1"/>
            </w14:solidFill>
          </w14:textFill>
        </w:rPr>
        <w:t>服务网-政府采购投诉处理-在线办理。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询问及质疑答复主体详见招标文件《</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询问、</w:t>
      </w:r>
      <w:r>
        <w:rPr>
          <w:rFonts w:hint="eastAsia" w:ascii="宋体" w:hAnsi="宋体" w:eastAsia="宋体" w:cs="宋体"/>
          <w:b w:val="0"/>
          <w:color w:val="000000" w:themeColor="text1"/>
          <w:sz w:val="24"/>
          <w:szCs w:val="24"/>
          <w:highlight w:val="none"/>
          <w14:textFill>
            <w14:solidFill>
              <w14:schemeClr w14:val="tx1"/>
            </w14:solidFill>
          </w14:textFill>
        </w:rPr>
        <w:t>质疑答复责任主体一览表</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七、对本次采购提出询问、质疑、投诉，请按以下方式联系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1.采购人信息</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名    称：</w:t>
      </w:r>
      <w:r>
        <w:rPr>
          <w:rFonts w:ascii="Times New Roman" w:hAnsi="Times New Roman"/>
          <w:color w:val="000000" w:themeColor="text1"/>
          <w:kern w:val="0"/>
          <w:sz w:val="24"/>
          <w:highlight w:val="none"/>
          <w14:textFill>
            <w14:solidFill>
              <w14:schemeClr w14:val="tx1"/>
            </w14:solidFill>
          </w14:textFill>
        </w:rPr>
        <w:t>杭州市临平区崇信小学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ascii="Times New Roman" w:hAnsi="Times New Roman"/>
          <w:color w:val="000000" w:themeColor="text1"/>
          <w:kern w:val="0"/>
          <w:sz w:val="24"/>
          <w:highlight w:val="none"/>
          <w14:textFill>
            <w14:solidFill>
              <w14:schemeClr w14:val="tx1"/>
            </w14:solidFill>
          </w14:textFill>
        </w:rPr>
        <w:t>杭州市临平区崇信小学</w:t>
      </w:r>
      <w:r>
        <w:rPr>
          <w:rFonts w:hint="eastAsia"/>
          <w:color w:val="000000" w:themeColor="text1"/>
          <w:kern w:val="0"/>
          <w:sz w:val="24"/>
          <w:highlight w:val="none"/>
          <w:lang w:val="en-US" w:eastAsia="zh-CN"/>
          <w14:textFill>
            <w14:solidFill>
              <w14:schemeClr w14:val="tx1"/>
            </w14:solidFill>
          </w14:textFill>
        </w:rPr>
        <w:t>向阳校区崇贤街道龙腾街198号</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 /</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项目联系人（询问）：</w:t>
      </w:r>
      <w:r>
        <w:rPr>
          <w:rFonts w:hint="eastAsia"/>
          <w:color w:val="000000" w:themeColor="text1"/>
          <w:kern w:val="0"/>
          <w:sz w:val="24"/>
          <w:highlight w:val="none"/>
          <w:lang w:val="en-US" w:eastAsia="zh-CN"/>
          <w14:textFill>
            <w14:solidFill>
              <w14:schemeClr w14:val="tx1"/>
            </w14:solidFill>
          </w14:textFill>
        </w:rPr>
        <w:t>赵军营</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w:t>
      </w:r>
      <w:r>
        <w:rPr>
          <w:rFonts w:ascii="Times New Roman" w:hAnsi="Times New Roman"/>
          <w:color w:val="000000" w:themeColor="text1"/>
          <w:kern w:val="0"/>
          <w:sz w:val="24"/>
          <w:highlight w:val="none"/>
          <w14:textFill>
            <w14:solidFill>
              <w14:schemeClr w14:val="tx1"/>
            </w14:solidFill>
          </w14:textFill>
        </w:rPr>
        <w:t>0571-86278203</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w:t>
      </w:r>
      <w:r>
        <w:rPr>
          <w:rFonts w:hint="eastAsia"/>
          <w:color w:val="000000" w:themeColor="text1"/>
          <w:kern w:val="0"/>
          <w:sz w:val="24"/>
          <w:highlight w:val="none"/>
          <w:lang w:val="en-US" w:eastAsia="zh-CN"/>
          <w14:textFill>
            <w14:solidFill>
              <w14:schemeClr w14:val="tx1"/>
            </w14:solidFill>
          </w14:textFill>
        </w:rPr>
        <w:t>朱小凤</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质疑联系方式：</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0571-86278203</w:t>
      </w:r>
      <w:r>
        <w:rPr>
          <w:rFonts w:hint="eastAsia" w:ascii="宋体" w:hAnsi="宋体" w:cs="宋体"/>
          <w:color w:val="000000" w:themeColor="text1"/>
          <w:sz w:val="24"/>
          <w:highlight w:val="none"/>
          <w:lang w:val="en-US" w:eastAsia="zh-CN"/>
          <w14:textFill>
            <w14:solidFill>
              <w14:schemeClr w14:val="tx1"/>
            </w14:solidFill>
          </w14:textFill>
        </w:rPr>
        <w:t xml:space="preserve">   （请通过以下路径在线提起质疑：政采云-项目采购-询问质疑投诉-质疑列表）</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名    称：</w:t>
      </w:r>
      <w:r>
        <w:rPr>
          <w:rFonts w:hint="eastAsia" w:ascii="宋体" w:hAnsi="宋体" w:cs="宋体"/>
          <w:color w:val="000000" w:themeColor="text1"/>
          <w:sz w:val="24"/>
          <w:highlight w:val="none"/>
          <w:lang w:val="en-US" w:eastAsia="zh-CN"/>
          <w14:textFill>
            <w14:solidFill>
              <w14:schemeClr w14:val="tx1"/>
            </w14:solidFill>
          </w14:textFill>
        </w:rPr>
        <w:t>杭州市公共资源交易中心临平分中心</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临平区</w:t>
      </w:r>
      <w:r>
        <w:rPr>
          <w:rFonts w:hint="eastAsia" w:ascii="宋体" w:hAnsi="宋体" w:cs="宋体"/>
          <w:color w:val="000000" w:themeColor="text1"/>
          <w:sz w:val="24"/>
          <w:highlight w:val="none"/>
          <w:lang w:val="en-US" w:eastAsia="zh-CN"/>
          <w14:textFill>
            <w14:solidFill>
              <w14:schemeClr w14:val="tx1"/>
            </w14:solidFill>
          </w14:textFill>
        </w:rPr>
        <w:t>南大街265号市民之家3楼</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w:t>
      </w:r>
      <w:r>
        <w:rPr>
          <w:rFonts w:hint="eastAsia" w:ascii="宋体" w:hAnsi="宋体" w:cs="宋体"/>
          <w:color w:val="000000" w:themeColor="text1"/>
          <w:sz w:val="24"/>
          <w:highlight w:val="none"/>
          <w:lang w:eastAsia="zh-CN"/>
          <w14:textFill>
            <w14:solidFill>
              <w14:schemeClr w14:val="tx1"/>
            </w14:solidFill>
          </w14:textFill>
        </w:rPr>
        <w:t>徐工</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w:t>
      </w:r>
      <w:r>
        <w:rPr>
          <w:rFonts w:hint="eastAsia" w:ascii="宋体" w:hAnsi="宋体" w:cs="宋体"/>
          <w:color w:val="000000" w:themeColor="text1"/>
          <w:sz w:val="24"/>
          <w:highlight w:val="none"/>
          <w:lang w:val="en-US" w:eastAsia="zh-CN"/>
          <w14:textFill>
            <w14:solidFill>
              <w14:schemeClr w14:val="tx1"/>
            </w14:solidFill>
          </w14:textFill>
        </w:rPr>
        <w:t>0571-89156860</w:t>
      </w:r>
    </w:p>
    <w:p>
      <w:pPr>
        <w:spacing w:line="360" w:lineRule="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w:t>
      </w:r>
      <w:r>
        <w:rPr>
          <w:rFonts w:hint="eastAsia" w:ascii="宋体" w:hAnsi="宋体" w:cs="宋体"/>
          <w:color w:val="000000" w:themeColor="text1"/>
          <w:sz w:val="24"/>
          <w:highlight w:val="none"/>
          <w:lang w:eastAsia="zh-CN"/>
          <w14:textFill>
            <w14:solidFill>
              <w14:schemeClr w14:val="tx1"/>
            </w14:solidFill>
          </w14:textFill>
        </w:rPr>
        <w:t>向工</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质疑联系方式：</w:t>
      </w:r>
      <w:r>
        <w:rPr>
          <w:rFonts w:hint="eastAsia" w:ascii="宋体" w:hAnsi="宋体" w:cs="宋体"/>
          <w:color w:val="000000" w:themeColor="text1"/>
          <w:sz w:val="24"/>
          <w:highlight w:val="none"/>
          <w:lang w:val="en-US" w:eastAsia="zh-CN"/>
          <w14:textFill>
            <w14:solidFill>
              <w14:schemeClr w14:val="tx1"/>
            </w14:solidFill>
          </w14:textFill>
        </w:rPr>
        <w:t>0571-89156860</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同级政府采购监督管理部门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名    称：杭州市财政局政府采购监管处 /浙江省政府采购行政裁决服务中心（杭州）</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联系人 ：朱女士、王女士</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监督投诉电话：</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0571-8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政策咨询：沈先生、陈先生，0571-</w:t>
      </w:r>
      <w:r>
        <w:rPr>
          <w:rFonts w:hint="eastAsia" w:ascii="宋体" w:hAnsi="宋体" w:eastAsia="宋体" w:cs="宋体"/>
          <w:color w:val="000000" w:themeColor="text1"/>
          <w:sz w:val="24"/>
          <w:szCs w:val="24"/>
          <w:highlight w:val="none"/>
          <w:lang w:val="en-US" w:eastAsia="zh-CN"/>
          <w14:textFill>
            <w14:solidFill>
              <w14:schemeClr w14:val="tx1"/>
            </w14:solidFill>
          </w14:textFill>
        </w:rPr>
        <w:t>89580457、</w:t>
      </w:r>
      <w:r>
        <w:rPr>
          <w:rFonts w:hint="eastAsia" w:ascii="宋体" w:hAnsi="宋体" w:cs="宋体"/>
          <w:color w:val="000000" w:themeColor="text1"/>
          <w:sz w:val="24"/>
          <w:highlight w:val="none"/>
          <w:lang w:val="en-US" w:eastAsia="zh-CN"/>
          <w14:textFill>
            <w14:solidFill>
              <w14:schemeClr w14:val="tx1"/>
            </w14:solidFill>
          </w14:textFill>
        </w:rPr>
        <w:t>89580460</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000000" w:themeColor="text1"/>
          <w:szCs w:val="21"/>
          <w:highlight w:val="none"/>
          <w:shd w:val="clear" w:color="auto" w:fill="FFFFFF"/>
          <w14:textFill>
            <w14:solidFill>
              <w14:schemeClr w14:val="tx1"/>
            </w14:solidFill>
          </w14:textFill>
        </w:rPr>
        <w:t>95763</w:t>
      </w:r>
      <w:r>
        <w:rPr>
          <w:rFonts w:hint="eastAsia" w:ascii="宋体" w:hAnsi="宋体" w:cs="宋体"/>
          <w:color w:val="000000" w:themeColor="text1"/>
          <w:sz w:val="24"/>
          <w:highlight w:val="none"/>
          <w14:textFill>
            <w14:solidFill>
              <w14:schemeClr w14:val="tx1"/>
            </w14:solidFill>
          </w14:textFill>
        </w:rPr>
        <w:t>获取热线服务帮助。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CA问题联系电话（人工）：汇信CA 400-888-4636；天谷CA 400-087-8198。</w:t>
      </w:r>
    </w:p>
    <w:p>
      <w:pPr>
        <w:pStyle w:val="32"/>
        <w:spacing w:line="360" w:lineRule="auto"/>
        <w:rPr>
          <w:rFonts w:hAnsi="宋体" w:cs="宋体"/>
          <w:b/>
          <w:color w:val="000000" w:themeColor="text1"/>
          <w:sz w:val="36"/>
          <w:szCs w:val="20"/>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w:t>
      </w:r>
      <w:r>
        <w:rPr>
          <w:rFonts w:hAnsi="宋体" w:cs="宋体"/>
          <w:b/>
          <w:color w:val="000000" w:themeColor="text1"/>
          <w:sz w:val="36"/>
          <w:szCs w:val="20"/>
          <w:highlight w:val="none"/>
          <w14:textFill>
            <w14:solidFill>
              <w14:schemeClr w14:val="tx1"/>
            </w14:solidFill>
          </w14:textFill>
        </w:rPr>
        <w:t xml:space="preserve"> </w:t>
      </w:r>
    </w:p>
    <w:p>
      <w:pPr>
        <w:pStyle w:val="3"/>
        <w:rPr>
          <w:rFonts w:ascii="宋体"/>
          <w:snapToGrid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第二部分</w:t>
      </w:r>
      <w:bookmarkEnd w:id="8"/>
      <w:r>
        <w:rPr>
          <w:rFonts w:hint="eastAsia" w:ascii="宋体" w:hAnsi="宋体" w:cs="宋体"/>
          <w:b/>
          <w:color w:val="000000" w:themeColor="text1"/>
          <w:sz w:val="36"/>
          <w:szCs w:val="20"/>
          <w:highlight w:val="none"/>
          <w14:textFill>
            <w14:solidFill>
              <w14:schemeClr w14:val="tx1"/>
            </w14:solidFill>
          </w14:textFill>
        </w:rPr>
        <w:t xml:space="preserve"> 投标人须知</w:t>
      </w:r>
      <w:bookmarkEnd w:id="9"/>
    </w:p>
    <w:p>
      <w:pPr>
        <w:adjustRightInd/>
        <w:spacing w:line="360" w:lineRule="auto"/>
        <w:ind w:firstLine="3845" w:firstLineChars="1197"/>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事项</w:t>
            </w:r>
          </w:p>
        </w:tc>
        <w:tc>
          <w:tcPr>
            <w:tcW w:w="6095"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项目属性与核心产品</w:t>
            </w:r>
          </w:p>
        </w:tc>
        <w:tc>
          <w:tcPr>
            <w:tcW w:w="6095"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货物类。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单一产品或</w:t>
            </w:r>
            <w:r>
              <w:rPr>
                <w:rFonts w:hint="eastAsia" w:ascii="宋体" w:hAnsi="宋体" w:cs="宋体"/>
                <w:color w:val="000000" w:themeColor="text1"/>
                <w:kern w:val="0"/>
                <w:sz w:val="24"/>
                <w:highlight w:val="none"/>
                <w14:textFill>
                  <w14:solidFill>
                    <w14:schemeClr w14:val="tx1"/>
                  </w14:solidFill>
                </w14:textFill>
              </w:rPr>
              <w:t>核心产品为：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教师电脑、学生电脑</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采购标的及其对应的中小企业划分标准所属行业</w:t>
            </w:r>
          </w:p>
        </w:tc>
        <w:tc>
          <w:tcPr>
            <w:tcW w:w="6095" w:type="dxa"/>
            <w:vAlign w:val="center"/>
          </w:tcPr>
          <w:p>
            <w:pPr>
              <w:numPr>
                <w:ilvl w:val="0"/>
                <w:numId w:val="1"/>
              </w:num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w:t>
            </w:r>
            <w:r>
              <w:rPr>
                <w:rFonts w:hint="eastAsia" w:ascii="宋体" w:hAnsi="宋体" w:cs="宋体"/>
                <w:color w:val="000000" w:themeColor="text1"/>
                <w:sz w:val="24"/>
                <w:highlight w:val="none"/>
                <w:u w:val="single"/>
                <w14:textFill>
                  <w14:solidFill>
                    <w14:schemeClr w14:val="tx1"/>
                  </w14:solidFill>
                </w14:textFill>
              </w:rPr>
              <w:t>教师电脑</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 xml:space="preserve"> 工业</w:t>
            </w:r>
            <w:r>
              <w:rPr>
                <w:rFonts w:hint="eastAsia" w:ascii="宋体" w:hAnsi="宋体" w:cs="宋体"/>
                <w:color w:val="000000" w:themeColor="text1"/>
                <w:kern w:val="0"/>
                <w:sz w:val="24"/>
                <w:highlight w:val="none"/>
                <w14:textFill>
                  <w14:solidFill>
                    <w14:schemeClr w14:val="tx1"/>
                  </w14:solidFill>
                </w14:textFill>
              </w:rPr>
              <w:t>行业；</w:t>
            </w:r>
          </w:p>
          <w:p>
            <w:pPr>
              <w:numPr>
                <w:ilvl w:val="0"/>
                <w:numId w:val="1"/>
              </w:num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w:t>
            </w:r>
            <w:r>
              <w:rPr>
                <w:rFonts w:hint="eastAsia" w:ascii="宋体" w:hAnsi="宋体" w:cs="宋体"/>
                <w:color w:val="000000" w:themeColor="text1"/>
                <w:sz w:val="24"/>
                <w:highlight w:val="none"/>
                <w:u w:val="single"/>
                <w14:textFill>
                  <w14:solidFill>
                    <w14:schemeClr w14:val="tx1"/>
                  </w14:solidFill>
                </w14:textFill>
              </w:rPr>
              <w:t>学生电脑</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 xml:space="preserve"> 工业</w:t>
            </w:r>
            <w:r>
              <w:rPr>
                <w:rFonts w:hint="eastAsia" w:ascii="宋体" w:hAnsi="宋体" w:cs="宋体"/>
                <w:color w:val="000000" w:themeColor="text1"/>
                <w:kern w:val="0"/>
                <w:sz w:val="24"/>
                <w:highlight w:val="none"/>
                <w14:textFill>
                  <w14:solidFill>
                    <w14:schemeClr w14:val="tx1"/>
                  </w14:solidFill>
                </w14:textFill>
              </w:rPr>
              <w:t>行业；</w:t>
            </w:r>
          </w:p>
          <w:p>
            <w:pPr>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w:t>
            </w:r>
          </w:p>
          <w:p>
            <w:pPr>
              <w:rPr>
                <w:rFonts w:hint="eastAsia" w:ascii="宋体" w:hAnsi="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注：</w:t>
            </w:r>
            <w:r>
              <w:rPr>
                <w:rFonts w:hint="eastAsia" w:ascii="宋体" w:hAnsi="宋体" w:cs="宋体"/>
                <w:b w:val="0"/>
                <w:color w:val="000000" w:themeColor="text1"/>
                <w:sz w:val="24"/>
                <w:szCs w:val="24"/>
                <w:highlight w:val="none"/>
                <w14:textFill>
                  <w14:solidFill>
                    <w14:schemeClr w14:val="tx1"/>
                  </w14:solidFill>
                </w14:textFill>
              </w:rPr>
              <w:t>中小企业</w:t>
            </w:r>
            <w:r>
              <w:rPr>
                <w:rFonts w:hint="eastAsia" w:ascii="宋体" w:hAnsi="宋体" w:cs="宋体"/>
                <w:b w:val="0"/>
                <w:color w:val="000000" w:themeColor="text1"/>
                <w:sz w:val="24"/>
                <w:szCs w:val="24"/>
                <w:highlight w:val="none"/>
                <w:lang w:val="en-US" w:eastAsia="zh-CN"/>
                <w14:textFill>
                  <w14:solidFill>
                    <w14:schemeClr w14:val="tx1"/>
                  </w14:solidFill>
                </w14:textFill>
              </w:rPr>
              <w:t>划型标准详见</w:t>
            </w:r>
            <w:r>
              <w:rPr>
                <w:rFonts w:hint="eastAsia" w:ascii="宋体" w:hAnsi="宋体" w:cs="宋体"/>
                <w:b w:val="0"/>
                <w:color w:val="000000" w:themeColor="text1"/>
                <w:sz w:val="24"/>
                <w:szCs w:val="24"/>
                <w:highlight w:val="none"/>
                <w14:textFill>
                  <w14:solidFill>
                    <w14:schemeClr w14:val="tx1"/>
                  </w14:solidFill>
                </w14:textFill>
              </w:rPr>
              <w:t>附件</w:t>
            </w:r>
            <w:r>
              <w:rPr>
                <w:rFonts w:hint="eastAsia" w:ascii="宋体" w:hAnsi="宋体" w:cs="宋体"/>
                <w:b w:val="0"/>
                <w:color w:val="000000" w:themeColor="text1"/>
                <w:sz w:val="24"/>
                <w:szCs w:val="24"/>
                <w:highlight w:val="none"/>
                <w:lang w:val="en-US" w:eastAsia="zh-CN"/>
                <w14:textFill>
                  <w14:solidFill>
                    <w14:schemeClr w14:val="tx1"/>
                  </w14:solidFill>
                </w14:textFill>
              </w:rPr>
              <w:t>8。</w:t>
            </w:r>
          </w:p>
          <w:p>
            <w:pPr>
              <w:pStyle w:val="3"/>
              <w:rPr>
                <w:rFonts w:ascii="宋体" w:hAnsi="宋体" w:eastAsia="宋体" w:cs="宋体"/>
                <w:color w:val="000000" w:themeColor="text1"/>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是否允许采购进口产品</w:t>
            </w:r>
          </w:p>
        </w:tc>
        <w:tc>
          <w:tcPr>
            <w:tcW w:w="6095" w:type="dxa"/>
            <w:vAlign w:val="center"/>
          </w:tcPr>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采购进口产品。优先采购向我国企业转让技术、与我国企业签订消化吸收再创新方案的供应商的进口产品，详见</w:t>
            </w:r>
            <w:r>
              <w:rPr>
                <w:rFonts w:hint="eastAsia" w:ascii="宋体" w:hAnsi="宋体" w:cs="宋体"/>
                <w:color w:val="000000" w:themeColor="text1"/>
                <w:kern w:val="0"/>
                <w:sz w:val="24"/>
                <w:highlight w:val="none"/>
                <w:u w:val="single"/>
                <w14:textFill>
                  <w14:solidFill>
                    <w14:schemeClr w14:val="tx1"/>
                  </w14:solidFill>
                </w14:textFill>
              </w:rPr>
              <w:t>评分标准</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843" w:type="dxa"/>
            <w:vAlign w:val="center"/>
          </w:tcPr>
          <w:p>
            <w:pPr>
              <w:snapToGrid w:val="0"/>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分包</w:t>
            </w:r>
          </w:p>
        </w:tc>
        <w:tc>
          <w:tcPr>
            <w:tcW w:w="6095"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kern w:val="0"/>
                <w:sz w:val="24"/>
                <w:highlight w:val="none"/>
                <w:lang w:val="en-US" w:eastAsia="zh-CN"/>
                <w14:textFill>
                  <w14:solidFill>
                    <w14:schemeClr w14:val="tx1"/>
                  </w14:solidFill>
                </w14:textFill>
              </w:rPr>
              <w:t>采购人仅</w:t>
            </w:r>
            <w:r>
              <w:rPr>
                <w:rFonts w:hint="eastAsia" w:ascii="宋体" w:hAnsi="宋体" w:cs="宋体"/>
                <w:color w:val="000000" w:themeColor="text1"/>
                <w:sz w:val="24"/>
                <w:highlight w:val="none"/>
                <w14:textFill>
                  <w14:solidFill>
                    <w14:schemeClr w14:val="tx1"/>
                  </w14:solidFill>
                </w14:textFill>
              </w:rPr>
              <w:t>同意将非主体、非关键性的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工作分包。供应商将其他内容分包的视为“</w:t>
            </w:r>
            <w:r>
              <w:rPr>
                <w:rFonts w:hint="eastAsia" w:ascii="宋体" w:hAnsi="宋体" w:cs="宋体"/>
                <w:color w:val="000000" w:themeColor="text1"/>
                <w:kern w:val="0"/>
                <w:sz w:val="24"/>
                <w:highlight w:val="none"/>
                <w14:textFill>
                  <w14:solidFill>
                    <w14:schemeClr w14:val="tx1"/>
                  </w14:solidFill>
                </w14:textFill>
              </w:rPr>
              <w:t>投标文件含有采购人不能接受的附加条件”，投标无效。</w:t>
            </w:r>
          </w:p>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开标前答疑会或现场考察</w:t>
            </w:r>
          </w:p>
        </w:tc>
        <w:tc>
          <w:tcPr>
            <w:tcW w:w="6095" w:type="dxa"/>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pPr>
              <w:spacing w:line="360" w:lineRule="auto"/>
              <w:rPr>
                <w:rFonts w:hint="eastAsia"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p>
            <w:pPr>
              <w:spacing w:line="360" w:lineRule="auto"/>
              <w:rPr>
                <w:rFonts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049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C不统一组织，供应商在获取采购文件后，自行至项目现场考察。</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样品提供</w:t>
            </w:r>
          </w:p>
        </w:tc>
        <w:tc>
          <w:tcPr>
            <w:tcW w:w="6095" w:type="dxa"/>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不要求提供。</w:t>
            </w:r>
          </w:p>
          <w:p>
            <w:pPr>
              <w:spacing w:line="360" w:lineRule="auto"/>
              <w:rPr>
                <w:rFonts w:hint="default" w:ascii="宋体" w:hAnsi="宋体" w:eastAsia="宋体" w:cs="宋体"/>
                <w:color w:val="000000" w:themeColor="text1"/>
                <w:kern w:val="0"/>
                <w:sz w:val="24"/>
                <w:highlight w:val="none"/>
                <w:lang w:val="en-US" w:eastAsia="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要求提供（不提供样品则视其投标无效，样品提供不全、外观尺寸不符合要求、或技术参数明显不符合招标文件要求的则样品分为0分。样品不得出现能代表投标人或制造商和品牌的名称、标志、文字、图案、LOGO等所有暗示性内容，否则视为无效投标。）：</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28"/>
                <w:sz w:val="24"/>
                <w:highlight w:val="none"/>
                <w14:textFill>
                  <w14:solidFill>
                    <w14:schemeClr w14:val="tx1"/>
                  </w14:solidFill>
                </w14:textFill>
              </w:rPr>
              <w:t>样品：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shd w:val="clear" w:color="auto" w:fill="auto"/>
                <w:lang w:eastAsia="zh-CN"/>
                <w14:textFill>
                  <w14:solidFill>
                    <w14:schemeClr w14:val="tx1"/>
                  </w14:solidFill>
                </w14:textFill>
              </w:rPr>
              <w:t>（</w:t>
            </w:r>
            <w:r>
              <w:rPr>
                <w:rFonts w:hint="eastAsia" w:ascii="宋体" w:hAnsi="宋体" w:cs="宋体"/>
                <w:color w:val="000000" w:themeColor="text1"/>
                <w:kern w:val="0"/>
                <w:sz w:val="24"/>
                <w:highlight w:val="none"/>
                <w:shd w:val="clear" w:color="auto" w:fill="auto"/>
                <w:lang w:val="en-US" w:eastAsia="zh-CN"/>
                <w14:textFill>
                  <w14:solidFill>
                    <w14:schemeClr w14:val="tx1"/>
                  </w14:solidFill>
                </w14:textFill>
              </w:rPr>
              <w:t>注：非核心产品不能设置为样品</w:t>
            </w:r>
            <w:r>
              <w:rPr>
                <w:rFonts w:hint="eastAsia" w:ascii="宋体" w:hAnsi="宋体" w:cs="宋体"/>
                <w:color w:val="000000" w:themeColor="text1"/>
                <w:kern w:val="0"/>
                <w:sz w:val="24"/>
                <w:highlight w:val="none"/>
                <w:shd w:val="clear" w:color="auto" w:fill="auto"/>
                <w:lang w:eastAsia="zh-CN"/>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 xml:space="preserve"> </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28"/>
                <w:sz w:val="24"/>
                <w:highlight w:val="none"/>
                <w14:textFill>
                  <w14:solidFill>
                    <w14:schemeClr w14:val="tx1"/>
                  </w14:solidFill>
                </w14:textFill>
              </w:rPr>
              <w:t>样品制作的标准和要求：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样品分未超过价格分的50%；</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样品分超过价格分的50%，理由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详见招标文件第四部分</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 xml:space="preserve">。 </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工作时间内）</w:t>
            </w:r>
            <w:r>
              <w:rPr>
                <w:rFonts w:hint="eastAsia" w:ascii="宋体" w:hAnsi="宋体" w:cs="宋体"/>
                <w:color w:val="000000" w:themeColor="text1"/>
                <w:sz w:val="24"/>
                <w:highlight w:val="none"/>
                <w:u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843" w:type="dxa"/>
            <w:vAlign w:val="center"/>
          </w:tcPr>
          <w:p>
            <w:pPr>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方案讲解演示</w:t>
            </w:r>
          </w:p>
        </w:tc>
        <w:tc>
          <w:tcPr>
            <w:tcW w:w="6095" w:type="dxa"/>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（2）方案讲解演示可选择以下其中一种方式：</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方式二：交易中心现场讲解演示。现场讲解地点为</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843" w:type="dxa"/>
            <w:vMerge w:val="restart"/>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投标人应当提供的资格、资信</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资质等</w:t>
            </w:r>
            <w:r>
              <w:rPr>
                <w:rFonts w:hint="eastAsia" w:ascii="宋体" w:hAnsi="宋体" w:cs="宋体"/>
                <w:b/>
                <w:color w:val="000000" w:themeColor="text1"/>
                <w:sz w:val="24"/>
                <w:highlight w:val="none"/>
                <w14:textFill>
                  <w14:solidFill>
                    <w14:schemeClr w14:val="tx1"/>
                  </w14:solidFill>
                </w14:textFill>
              </w:rPr>
              <w:t>证明文件</w:t>
            </w:r>
          </w:p>
        </w:tc>
        <w:tc>
          <w:tcPr>
            <w:tcW w:w="6095"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（1）资格证明文件：见招标文件第二部分11.1。</w:t>
            </w:r>
          </w:p>
          <w:p>
            <w:pPr>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（2）资信</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资质等</w:t>
            </w:r>
            <w:r>
              <w:rPr>
                <w:rFonts w:hint="eastAsia" w:ascii="宋体" w:hAnsi="宋体" w:cs="宋体"/>
                <w:color w:val="000000" w:themeColor="text1"/>
                <w:sz w:val="24"/>
                <w:highlight w:val="none"/>
                <w14:textFill>
                  <w14:solidFill>
                    <w14:schemeClr w14:val="tx1"/>
                  </w14:solidFill>
                </w14:textFill>
              </w:rPr>
              <w:t>证明文件：根据招标文件第四部分评标标准提供</w:t>
            </w:r>
            <w:r>
              <w:rPr>
                <w:rFonts w:hint="eastAsia" w:ascii="宋体" w:hAnsi="宋体" w:cs="宋体"/>
                <w:color w:val="000000" w:themeColor="text1"/>
                <w:sz w:val="24"/>
                <w:highlight w:val="none"/>
                <w:lang w:val="en-US" w:eastAsia="zh-CN"/>
                <w14:textFill>
                  <w14:solidFill>
                    <w14:schemeClr w14:val="tx1"/>
                  </w14:solidFill>
                </w14:textFill>
              </w:rPr>
              <w:t>有效的</w:t>
            </w:r>
            <w:r>
              <w:rPr>
                <w:rFonts w:hint="eastAsia" w:ascii="宋体" w:hAnsi="宋体" w:cs="宋体"/>
                <w:color w:val="000000" w:themeColor="text1"/>
                <w:sz w:val="24"/>
                <w:highlight w:val="none"/>
                <w14:textFill>
                  <w14:solidFill>
                    <w14:schemeClr w14:val="tx1"/>
                  </w14:solidFill>
                </w14:textFill>
              </w:rPr>
              <w:t>资信</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资质等</w:t>
            </w:r>
            <w:r>
              <w:rPr>
                <w:rFonts w:hint="eastAsia" w:ascii="宋体" w:hAnsi="宋体" w:cs="宋体"/>
                <w:color w:val="000000" w:themeColor="text1"/>
                <w:sz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3"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节能产品、环境标志产品政府优先采购或强制采购</w:t>
            </w:r>
          </w:p>
        </w:tc>
        <w:tc>
          <w:tcPr>
            <w:tcW w:w="6095" w:type="dxa"/>
            <w:vAlign w:val="center"/>
          </w:tcPr>
          <w:p>
            <w:pPr>
              <w:snapToGrid/>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采购人拟采购的产品属于品目清单范围的，采购人将依据国家确定的认证机构出具的、处于有效期之内的节能产品、环境标志产品认证证书，对获得证书的产品实施政府优先采购或强制采购。</w:t>
            </w:r>
          </w:p>
          <w:p>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sdt>
              <w:sdt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d w:val="147474872"/>
                <w14:checkbox>
                  <w14:checked w14:val="1"/>
                  <w14:checkedState w14:val="00FE" w14:font="Wingdings"/>
                  <w14:uncheckedState w14:val="2610" w14:font="MS Gothic"/>
                </w14:checkbox>
              </w:sdtPr>
              <w:sdtEnd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dtEndPr>
              <w:sdtContent>
                <w:r>
                  <w:rPr>
                    <w:rFonts w:hint="eastAsia" w:ascii="Wingdings" w:hAnsi="Wingdings" w:eastAsia="宋体" w:cs="宋体"/>
                    <w:color w:val="000000" w:themeColor="text1"/>
                    <w:kern w:val="2"/>
                    <w:sz w:val="24"/>
                    <w:szCs w:val="24"/>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强制采购。产品：</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教师电脑、学生电脑</w:t>
            </w:r>
            <w:r>
              <w:rPr>
                <w:rFonts w:hint="eastAsia" w:ascii="宋体" w:hAnsi="宋体" w:eastAsia="宋体" w:cs="宋体"/>
                <w:color w:val="000000" w:themeColor="text1"/>
                <w:kern w:val="2"/>
                <w:sz w:val="24"/>
                <w:szCs w:val="24"/>
                <w:highlight w:val="none"/>
                <w:u w:val="single"/>
                <w:shd w:val="clear" w:color="auto" w:fill="auto"/>
                <w:lang w:val="en-US" w:eastAsia="zh-CN" w:bidi="ar-SA"/>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实施政府强制采购，</w:t>
            </w:r>
            <w:r>
              <w:rPr>
                <w:rFonts w:hint="eastAsia" w:ascii="宋体" w:hAnsi="宋体" w:eastAsia="宋体" w:cs="宋体"/>
                <w:b/>
                <w:bCs/>
                <w:color w:val="000000" w:themeColor="text1"/>
                <w:kern w:val="0"/>
                <w:sz w:val="24"/>
                <w:highlight w:val="none"/>
                <w:lang w:val="zh-CN"/>
                <w14:textFill>
                  <w14:solidFill>
                    <w14:schemeClr w14:val="tx1"/>
                  </w14:solidFill>
                </w14:textFill>
              </w:rPr>
              <w:t>投标人</w:t>
            </w:r>
            <w:r>
              <w:rPr>
                <w:rFonts w:hint="eastAsia" w:ascii="宋体" w:hAnsi="宋体" w:eastAsia="宋体" w:cs="宋体"/>
                <w:b/>
                <w:bCs/>
                <w:color w:val="000000" w:themeColor="text1"/>
                <w:kern w:val="0"/>
                <w:sz w:val="24"/>
                <w:highlight w:val="none"/>
                <w14:textFill>
                  <w14:solidFill>
                    <w14:schemeClr w14:val="tx1"/>
                  </w14:solidFill>
                </w14:textFill>
              </w:rPr>
              <w:t>就</w:t>
            </w:r>
            <w:r>
              <w:rPr>
                <w:rFonts w:hint="eastAsia" w:ascii="宋体" w:hAnsi="宋体" w:eastAsia="宋体" w:cs="宋体"/>
                <w:b/>
                <w:bCs/>
                <w:color w:val="000000" w:themeColor="text1"/>
                <w:kern w:val="0"/>
                <w:sz w:val="24"/>
                <w:highlight w:val="none"/>
                <w:lang w:val="zh-CN"/>
                <w14:textFill>
                  <w14:solidFill>
                    <w14:schemeClr w14:val="tx1"/>
                  </w14:solidFill>
                </w14:textFill>
              </w:rPr>
              <w:t>相应的投标产品未</w:t>
            </w:r>
            <w:r>
              <w:rPr>
                <w:rFonts w:hint="eastAsia" w:ascii="宋体" w:hAnsi="宋体" w:eastAsia="宋体" w:cs="宋体"/>
                <w:b/>
                <w:bCs/>
                <w:color w:val="000000" w:themeColor="text1"/>
                <w:kern w:val="0"/>
                <w:sz w:val="24"/>
                <w:highlight w:val="none"/>
                <w14:textFill>
                  <w14:solidFill>
                    <w14:schemeClr w14:val="tx1"/>
                  </w14:solidFill>
                </w14:textFill>
              </w:rPr>
              <w:t>提供</w:t>
            </w:r>
            <w:r>
              <w:rPr>
                <w:rFonts w:hint="eastAsia" w:ascii="宋体" w:hAnsi="宋体" w:eastAsia="宋体" w:cs="宋体"/>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宋体" w:hAnsi="宋体" w:eastAsia="宋体" w:cs="宋体"/>
                <w:color w:val="000000" w:themeColor="text1"/>
                <w:kern w:val="0"/>
                <w:sz w:val="24"/>
                <w:highlight w:val="none"/>
                <w:lang w:val="zh-CN"/>
                <w14:textFill>
                  <w14:solidFill>
                    <w14:schemeClr w14:val="tx1"/>
                  </w14:solidFill>
                </w14:textFill>
              </w:rPr>
              <w:t>。</w:t>
            </w:r>
          </w:p>
          <w:p>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□优先采购节能产品。产品：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p>
          <w:p>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□优先采购环保产品。产品：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p>
          <w:p>
            <w:pPr>
              <w:pStyle w:val="3"/>
              <w:pageBreakBefore w:val="0"/>
              <w:kinsoku/>
              <w:wordWrap/>
              <w:overflowPunct/>
              <w:topLinePunct w:val="0"/>
              <w:bidi w:val="0"/>
              <w:snapToGrid/>
              <w:spacing w:line="360" w:lineRule="auto"/>
              <w:ind w:left="0" w:leftChars="0" w:firstLine="481" w:firstLineChars="200"/>
              <w:textAlignment w:val="auto"/>
              <w:rPr>
                <w:color w:val="000000" w:themeColor="text1"/>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sym w:font="Wingdings 2" w:char="00A3"/>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报价要求</w:t>
            </w:r>
          </w:p>
        </w:tc>
        <w:tc>
          <w:tcPr>
            <w:tcW w:w="6095" w:type="dxa"/>
            <w:vAlign w:val="center"/>
          </w:tcPr>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宋体" w:hAnsi="宋体" w:cs="宋体"/>
                <w:b/>
                <w:bCs/>
                <w:color w:val="000000" w:themeColor="text1"/>
                <w:kern w:val="0"/>
                <w:sz w:val="24"/>
                <w:highlight w:val="none"/>
                <w:lang w:val="zh-CN"/>
                <w14:textFill>
                  <w14:solidFill>
                    <w14:schemeClr w14:val="tx1"/>
                  </w14:solidFill>
                </w14:textFill>
              </w:rPr>
              <w:t>投标文件</w:t>
            </w:r>
            <w:r>
              <w:rPr>
                <w:rFonts w:hint="eastAsia" w:ascii="宋体" w:hAnsi="宋体" w:cs="宋体"/>
                <w:b/>
                <w:bCs/>
                <w:color w:val="000000" w:themeColor="text1"/>
                <w:sz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highlight w:val="none"/>
                <w:lang w:val="zh-CN"/>
                <w14:textFill>
                  <w14:solidFill>
                    <w14:schemeClr w14:val="tx1"/>
                  </w14:solidFill>
                </w14:textFill>
              </w:rPr>
              <w:t>投标文件中价格全部采用人民币报价。招标文件未列明，而投标人认为必需的费用也需列入报价。</w:t>
            </w:r>
            <w:r>
              <w:rPr>
                <w:rFonts w:hint="eastAsia" w:ascii="宋体" w:hAnsi="宋体" w:cs="宋体"/>
                <w:b/>
                <w:color w:val="000000" w:themeColor="text1"/>
                <w:kern w:val="0"/>
                <w:sz w:val="24"/>
                <w:highlight w:val="none"/>
                <w:lang w:val="zh-CN"/>
                <w14:textFill>
                  <w14:solidFill>
                    <w14:schemeClr w14:val="tx1"/>
                  </w14:solidFill>
                </w14:textFill>
              </w:rPr>
              <w:t>提醒：验收时检测费用由采购人承担，不包含在投标总价中。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政府采购评审中出现下列情形之一的，评审委员会应当启动异常低价投标（响应）审查程序：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1.投标（响应）报价低于全部通过符合性审查供应商投标（响应）报价平均值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2.投标（响应）报价低于通过符合性审查的次低报价供应商投标（响应）报价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3.投标（响应）报价低于采购项目最高限价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45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45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4.评审委员会基于专业判断，认为供应商报价过低，有可能影响产品质量或者不能诚信履约的其他情形。</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000000" w:themeColor="text1"/>
                <w:highlight w:val="none"/>
                <w14:textFill>
                  <w14:solidFill>
                    <w14:schemeClr w14:val="tx1"/>
                  </w14:solidFill>
                </w14:textFill>
              </w:rPr>
            </w:pPr>
            <w:r>
              <w:rPr>
                <w:rFonts w:hint="eastAsia" w:ascii="宋体" w:hAnsi="宋体" w:cs="宋体"/>
                <w:b/>
                <w:bCs/>
                <w:i w:val="0"/>
                <w:iCs w:val="0"/>
                <w:caps w:val="0"/>
                <w:color w:val="000000" w:themeColor="text1"/>
                <w:spacing w:val="0"/>
                <w:w w:val="100"/>
                <w:kern w:val="0"/>
                <w:sz w:val="24"/>
                <w:szCs w:val="24"/>
                <w:highlight w:val="none"/>
                <w:shd w:val="clear" w:color="auto" w:fill="auto"/>
                <w:vertAlign w:val="baseline"/>
                <w:lang w:val="en-US" w:eastAsia="zh-CN" w:bidi="ar"/>
                <w14:textFill>
                  <w14:solidFill>
                    <w14:schemeClr w14:val="tx1"/>
                  </w14:solidFill>
                </w14:textFill>
              </w:rPr>
              <w:t>注：</w:t>
            </w:r>
            <w:r>
              <w:rPr>
                <w:rFonts w:hint="eastAsia" w:ascii="宋体" w:hAnsi="宋体" w:eastAsia="宋体" w:cs="宋体"/>
                <w:b/>
                <w:bCs/>
                <w:i w:val="0"/>
                <w:iCs w:val="0"/>
                <w:caps w:val="0"/>
                <w:color w:val="000000" w:themeColor="text1"/>
                <w:spacing w:val="0"/>
                <w:w w:val="100"/>
                <w:kern w:val="0"/>
                <w:sz w:val="24"/>
                <w:szCs w:val="24"/>
                <w:highlight w:val="none"/>
                <w:shd w:val="clear" w:color="auto" w:fill="auto"/>
                <w:vertAlign w:val="baseline"/>
                <w:lang w:val="en-US" w:eastAsia="zh-CN" w:bidi="ar"/>
                <w14:textFill>
                  <w14:solidFill>
                    <w14:schemeClr w14:val="tx1"/>
                  </w14:solidFill>
                </w14:textFill>
              </w:rPr>
              <w:t>采购人可以结合具体项目实际情况，提高</w:t>
            </w:r>
            <w:r>
              <w:rPr>
                <w:rFonts w:hint="eastAsia" w:ascii="宋体" w:hAnsi="宋体" w:cs="宋体"/>
                <w:b/>
                <w:bCs/>
                <w:i w:val="0"/>
                <w:iCs w:val="0"/>
                <w:caps w:val="0"/>
                <w:color w:val="000000" w:themeColor="text1"/>
                <w:spacing w:val="0"/>
                <w:w w:val="100"/>
                <w:kern w:val="0"/>
                <w:sz w:val="24"/>
                <w:szCs w:val="24"/>
                <w:highlight w:val="none"/>
                <w:shd w:val="clear" w:color="auto" w:fill="auto"/>
                <w:vertAlign w:val="baseline"/>
                <w:lang w:val="en-US" w:eastAsia="zh-CN" w:bidi="ar"/>
                <w14:textFill>
                  <w14:solidFill>
                    <w14:schemeClr w14:val="tx1"/>
                  </w14:solidFill>
                </w14:textFill>
              </w:rPr>
              <w:t>上</w:t>
            </w:r>
            <w:r>
              <w:rPr>
                <w:rFonts w:hint="eastAsia" w:ascii="宋体" w:hAnsi="宋体" w:eastAsia="宋体" w:cs="宋体"/>
                <w:b/>
                <w:bCs/>
                <w:i w:val="0"/>
                <w:iCs w:val="0"/>
                <w:caps w:val="0"/>
                <w:color w:val="000000" w:themeColor="text1"/>
                <w:spacing w:val="0"/>
                <w:w w:val="100"/>
                <w:kern w:val="0"/>
                <w:sz w:val="24"/>
                <w:szCs w:val="24"/>
                <w:highlight w:val="none"/>
                <w:shd w:val="clear" w:color="auto" w:fill="auto"/>
                <w:vertAlign w:val="baseline"/>
                <w:lang w:val="en-US" w:eastAsia="zh-CN" w:bidi="ar"/>
                <w14:textFill>
                  <w14:solidFill>
                    <w14:schemeClr w14:val="tx1"/>
                  </w14:solidFill>
                </w14:textFill>
              </w:rPr>
              <w:t>述第1项至第3项中启动异常低价投标（响应）审查的数值标准，并在招标文件中予以明确，但是最高不得超过65%。</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相关法律法规对供应商报价有规定的，从其规定。</w:t>
            </w:r>
          </w:p>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en-US" w:eastAsia="zh-CN"/>
                <w14:textFill>
                  <w14:solidFill>
                    <w14:schemeClr w14:val="tx1"/>
                  </w14:solidFill>
                </w14:textFill>
              </w:rPr>
              <w:t>3</w:t>
            </w:r>
            <w:r>
              <w:rPr>
                <w:rFonts w:hint="eastAsia" w:ascii="宋体" w:hAnsi="宋体" w:cs="宋体"/>
                <w:b/>
                <w:color w:val="000000" w:themeColor="text1"/>
                <w:kern w:val="0"/>
                <w:sz w:val="24"/>
                <w:highlight w:val="none"/>
                <w:lang w:val="zh-CN"/>
                <w14:textFill>
                  <w14:solidFill>
                    <w14:schemeClr w14:val="tx1"/>
                  </w14:solidFill>
                </w14:textFill>
              </w:rPr>
              <w:t>）投标报价出现下列情形的，投标无效：</w:t>
            </w:r>
          </w:p>
          <w:p>
            <w:pPr>
              <w:snapToGrid w:val="0"/>
              <w:spacing w:line="360" w:lineRule="auto"/>
              <w:ind w:firstLine="240" w:firstLineChars="1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投标文件出现不是唯一的、有选择性投标报价的；</w:t>
            </w:r>
          </w:p>
          <w:p>
            <w:pPr>
              <w:snapToGrid w:val="0"/>
              <w:spacing w:line="360" w:lineRule="auto"/>
              <w:ind w:firstLine="240" w:firstLineChars="1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投标报价超过招标文件中规定的预算金额或者最高限价的;</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b/>
                <w:color w:val="000000" w:themeColor="text1"/>
                <w:sz w:val="24"/>
                <w:szCs w:val="21"/>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投标人对根据修正原则修正后的报价不确认的</w:t>
            </w:r>
            <w:r>
              <w:rPr>
                <w:rFonts w:hint="eastAsia" w:ascii="宋体" w:hAnsi="宋体" w:cs="宋体"/>
                <w:b/>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中小企业信用融资</w:t>
            </w:r>
          </w:p>
        </w:tc>
        <w:tc>
          <w:tcPr>
            <w:tcW w:w="6095" w:type="dxa"/>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备份投标文件送达地点和签收人员 </w:t>
            </w:r>
          </w:p>
        </w:tc>
        <w:tc>
          <w:tcPr>
            <w:tcW w:w="6095" w:type="dxa"/>
            <w:vAlign w:val="center"/>
          </w:tcPr>
          <w:p>
            <w:pPr>
              <w:pStyle w:val="32"/>
              <w:spacing w:line="360" w:lineRule="auto"/>
              <w:rPr>
                <w:rFonts w:hAnsi="宋体" w:cs="宋体"/>
                <w:color w:val="000000" w:themeColor="text1"/>
                <w:kern w:val="28"/>
                <w:sz w:val="24"/>
                <w:highlight w:val="none"/>
                <w14:textFill>
                  <w14:solidFill>
                    <w14:schemeClr w14:val="tx1"/>
                  </w14:solidFill>
                </w14:textFill>
              </w:rPr>
            </w:pPr>
            <w:r>
              <w:rPr>
                <w:rFonts w:hint="eastAsia" w:hAnsi="宋体" w:cs="宋体"/>
                <w:color w:val="000000" w:themeColor="text1"/>
                <w:kern w:val="28"/>
                <w:sz w:val="24"/>
                <w:szCs w:val="24"/>
                <w:highlight w:val="none"/>
                <w14:textFill>
                  <w14:solidFill>
                    <w14:schemeClr w14:val="tx1"/>
                  </w14:solidFill>
                </w14:textFill>
              </w:rPr>
              <w:t>备份投标文件送达地点：</w:t>
            </w:r>
            <w:r>
              <w:rPr>
                <w:rFonts w:hint="eastAsia" w:hAnsi="宋体" w:cs="宋体"/>
                <w:color w:val="000000" w:themeColor="text1"/>
                <w:sz w:val="24"/>
                <w:highlight w:val="none"/>
                <w:u w:val="single"/>
                <w:lang w:val="en-US" w:eastAsia="zh-CN"/>
                <w14:textFill>
                  <w14:solidFill>
                    <w14:schemeClr w14:val="tx1"/>
                  </w14:solidFill>
                </w14:textFill>
              </w:rPr>
              <w:t xml:space="preserve">  杭州市公共资源交易中心临平分中心1号开标室              </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kern w:val="28"/>
                <w:sz w:val="24"/>
                <w:szCs w:val="24"/>
                <w:highlight w:val="none"/>
                <w14:textFill>
                  <w14:solidFill>
                    <w14:schemeClr w14:val="tx1"/>
                  </w14:solidFill>
                </w14:textFill>
              </w:rPr>
              <w:t>；备份投标文件签收人员联系电话：</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u w:val="single"/>
                <w:lang w:val="en-US" w:eastAsia="zh-CN"/>
                <w14:textFill>
                  <w14:solidFill>
                    <w14:schemeClr w14:val="tx1"/>
                  </w14:solidFill>
                </w14:textFill>
              </w:rPr>
              <w:t xml:space="preserve">0571-89156860        </w:t>
            </w:r>
            <w:r>
              <w:rPr>
                <w:rFonts w:hint="eastAsia" w:hAnsi="宋体" w:cs="宋体"/>
                <w:color w:val="000000" w:themeColor="text1"/>
                <w:sz w:val="24"/>
                <w:szCs w:val="24"/>
                <w:highlight w:val="none"/>
                <w14:textFill>
                  <w14:solidFill>
                    <w14:schemeClr w14:val="tx1"/>
                  </w14:solidFill>
                </w14:textFill>
              </w:rPr>
              <w:t>。</w:t>
            </w:r>
            <w:r>
              <w:rPr>
                <w:rFonts w:hint="eastAsia" w:hAnsi="宋体" w:cs="宋体"/>
                <w:b/>
                <w:color w:val="000000" w:themeColor="text1"/>
                <w:sz w:val="24"/>
                <w:szCs w:val="24"/>
                <w:highlight w:val="none"/>
                <w14:textFill>
                  <w14:solidFill>
                    <w14:schemeClr w14:val="tx1"/>
                  </w14:solidFill>
                </w14:textFill>
              </w:rPr>
              <w:t>采购人、采购机构不强制或变相强制投标人提交备份投标文件。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1843" w:type="dxa"/>
            <w:vMerge w:val="restart"/>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特别说明</w:t>
            </w:r>
          </w:p>
        </w:tc>
        <w:tc>
          <w:tcPr>
            <w:tcW w:w="6095" w:type="dxa"/>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cs="Arial" w:asciiTheme="minorEastAsia" w:hAnsiTheme="minorEastAsia" w:eastAsiaTheme="minorEastAsia"/>
                    <w:color w:val="000000" w:themeColor="text1"/>
                    <w:kern w:val="0"/>
                    <w:sz w:val="24"/>
                    <w:highlight w:val="none"/>
                    <w14:textFill>
                      <w14:solidFill>
                        <w14:schemeClr w14:val="tx1"/>
                      </w14:solidFill>
                    </w14:textFill>
                  </w:rPr>
                  <w:sym w:font="Wingdings" w:char="F0FE"/>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vAlign w:val="center"/>
          </w:tcPr>
          <w:p>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招标文件第四部分</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评审因素对应的要求</w:t>
            </w:r>
            <w:r>
              <w:rPr>
                <w:rFonts w:hint="eastAsia" w:ascii="宋体" w:hAnsi="宋体" w:cs="Arial"/>
                <w:color w:val="000000" w:themeColor="text1"/>
                <w:kern w:val="0"/>
                <w:sz w:val="24"/>
                <w:highlight w:val="none"/>
                <w14:textFill>
                  <w14:solidFill>
                    <w14:schemeClr w14:val="tx1"/>
                  </w14:solidFill>
                </w14:textFill>
              </w:rPr>
              <w:t>及第五部分采购合同的内容</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视为采购需求的一部分。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中标候选人数量</w:t>
            </w:r>
          </w:p>
        </w:tc>
        <w:tc>
          <w:tcPr>
            <w:tcW w:w="6095" w:type="dxa"/>
            <w:vAlign w:val="center"/>
          </w:tcPr>
          <w:p>
            <w:pPr>
              <w:spacing w:line="360" w:lineRule="auto"/>
              <w:jc w:val="left"/>
              <w:rPr>
                <w:rFonts w:hint="eastAsia" w:ascii="宋体" w:hAnsi="宋体" w:cs="宋体"/>
                <w:color w:val="000000" w:themeColor="text1"/>
                <w:kern w:val="0"/>
                <w:sz w:val="24"/>
                <w:highlight w:val="none"/>
                <w:lang w:val="en" w:eastAsia="zh-CN"/>
                <w14:textFill>
                  <w14:solidFill>
                    <w14:schemeClr w14:val="tx1"/>
                  </w14:solidFill>
                </w14:textFill>
              </w:rPr>
            </w:pPr>
            <w:r>
              <w:rPr>
                <w:rFonts w:hint="eastAsia" w:ascii="宋体" w:hAnsi="宋体" w:cs="Arial"/>
                <w:color w:val="000000" w:themeColor="text1"/>
                <w:kern w:val="0"/>
                <w:sz w:val="24"/>
                <w:highlight w:val="none"/>
                <w:lang w:val="en" w:eastAsia="zh-CN"/>
                <w14:textFill>
                  <w14:solidFill>
                    <w14:schemeClr w14:val="tx1"/>
                  </w14:solidFill>
                </w14:textFill>
              </w:rPr>
              <w:t>本项目推荐的中标候选人数：</w:t>
            </w:r>
            <w:r>
              <w:rPr>
                <w:rFonts w:hint="eastAsia" w:ascii="宋体" w:hAnsi="宋体" w:cs="Arial"/>
                <w:color w:val="000000" w:themeColor="text1"/>
                <w:kern w:val="0"/>
                <w:sz w:val="24"/>
                <w:highlight w:val="none"/>
                <w:u w:val="single"/>
                <w:lang w:val="en-US" w:eastAsia="zh-CN"/>
                <w14:textFill>
                  <w14:solidFill>
                    <w14:schemeClr w14:val="tx1"/>
                  </w14:solidFill>
                </w14:textFill>
              </w:rPr>
              <w:t xml:space="preserve"> 1      </w:t>
            </w:r>
            <w:r>
              <w:rPr>
                <w:rFonts w:hint="eastAsia" w:ascii="宋体" w:hAnsi="宋体" w:cs="Arial"/>
                <w:color w:val="000000" w:themeColor="text1"/>
                <w:kern w:val="0"/>
                <w:sz w:val="24"/>
                <w:highlight w:val="none"/>
                <w:lang w:val="en"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184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代理费用收取方式及标准</w:t>
            </w:r>
          </w:p>
        </w:tc>
        <w:tc>
          <w:tcPr>
            <w:tcW w:w="6095" w:type="dxa"/>
            <w:vAlign w:val="center"/>
          </w:tcPr>
          <w:p>
            <w:pPr>
              <w:spacing w:line="360" w:lineRule="auto"/>
              <w:jc w:val="left"/>
              <w:rPr>
                <w:rFonts w:hint="eastAsia" w:ascii="宋体" w:hAnsi="宋体" w:cs="宋体"/>
                <w:color w:val="000000" w:themeColor="text1"/>
                <w:kern w:val="0"/>
                <w:sz w:val="24"/>
                <w:highlight w:val="none"/>
                <w:lang w:val="en"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本项目不收取代理费。</w:t>
            </w:r>
          </w:p>
        </w:tc>
      </w:tr>
    </w:tbl>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bookmarkEnd w:id="10"/>
    <w:p>
      <w:pPr>
        <w:adjustRightInd/>
        <w:spacing w:line="360" w:lineRule="auto"/>
        <w:ind w:firstLine="3845" w:firstLineChars="1197"/>
        <w:outlineLvl w:val="0"/>
        <w:rPr>
          <w:rFonts w:ascii="宋体" w:hAnsi="宋体" w:cs="宋体"/>
          <w:b/>
          <w:color w:val="000000" w:themeColor="text1"/>
          <w:sz w:val="32"/>
          <w:szCs w:val="20"/>
          <w:highlight w:val="none"/>
          <w14:textFill>
            <w14:solidFill>
              <w14:schemeClr w14:val="tx1"/>
            </w14:solidFill>
          </w14:textFill>
        </w:rPr>
      </w:pPr>
      <w:bookmarkStart w:id="13" w:name="_Toc164416483"/>
      <w:bookmarkStart w:id="14" w:name="第三部分"/>
      <w:r>
        <w:rPr>
          <w:rFonts w:hint="eastAsia" w:ascii="宋体" w:hAnsi="宋体" w:cs="宋体"/>
          <w:b/>
          <w:color w:val="000000" w:themeColor="text1"/>
          <w:sz w:val="32"/>
          <w:szCs w:val="20"/>
          <w:highlight w:val="none"/>
          <w14:textFill>
            <w14:solidFill>
              <w14:schemeClr w14:val="tx1"/>
            </w14:solidFill>
          </w14:textFill>
        </w:rPr>
        <w:t>一、总则</w:t>
      </w:r>
    </w:p>
    <w:p>
      <w:pPr>
        <w:snapToGrid w:val="0"/>
        <w:spacing w:line="360" w:lineRule="auto"/>
        <w:ind w:firstLine="361" w:firstLineChars="150"/>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 适用范围</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2.定义</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“采购人”系指招标公告中载明的本项目的采购人。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“采购机构”系指招标公告中载明的本项目的采购机构。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“投标人”系指是指响应招标、参加投标竞争的法人、其他组织或者自然人。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2.6“电子交易平台”是指本项目政府采购活动所依托的政府采购云平台（https://www.zcygov.cn/）。</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 “▲” 系指实质性要求条款，“</w:t>
      </w:r>
      <w:sdt>
        <w:sdtPr>
          <w:rPr>
            <w:rFonts w:hint="eastAsia" w:ascii="宋体" w:hAnsi="宋体" w:cs="宋体"/>
            <w:color w:val="000000" w:themeColor="text1"/>
            <w:kern w:val="0"/>
            <w:sz w:val="24"/>
            <w:highlight w:val="none"/>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系指适用本项目的要求，“</w:t>
      </w:r>
      <w:sdt>
        <w:sdtPr>
          <w:rPr>
            <w:rFonts w:hint="eastAsia" w:ascii="宋体" w:hAnsi="宋体" w:cs="宋体"/>
            <w:color w:val="000000" w:themeColor="text1"/>
            <w:kern w:val="0"/>
            <w:sz w:val="24"/>
            <w:highlight w:val="none"/>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系指不适用本项目的要求。</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2.8本招标文件</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所称的“以上”、“以下”、“以内”、“届满”</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含</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及</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若无特别说明，则</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包括本数</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如：45周岁以下，指不满46周岁生日当天，即</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45周岁生日当天至46周岁生日</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前一天”</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均属于45周岁以下的范围</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；所称的“不满”、“超过”、“以外”，</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若无特别说明，</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则</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不包括本数。</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支持绿色发展</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按要求</w:t>
      </w:r>
      <w:r>
        <w:rPr>
          <w:rFonts w:hint="eastAsia" w:ascii="宋体" w:hAnsi="宋体" w:eastAsia="宋体" w:cs="宋体"/>
          <w:b/>
          <w:bCs/>
          <w:color w:val="000000" w:themeColor="text1"/>
          <w:kern w:val="0"/>
          <w:sz w:val="24"/>
          <w:highlight w:val="none"/>
          <w:lang w:val="zh-CN"/>
          <w14:textFill>
            <w14:solidFill>
              <w14:schemeClr w14:val="tx1"/>
            </w14:solidFill>
          </w14:textFill>
        </w:rPr>
        <w:t>实施政府强制采购</w:t>
      </w:r>
      <w:r>
        <w:rPr>
          <w:rFonts w:hint="eastAsia" w:ascii="宋体" w:hAnsi="宋体" w:cs="宋体"/>
          <w:b/>
          <w:bCs/>
          <w:color w:val="000000" w:themeColor="text1"/>
          <w:kern w:val="0"/>
          <w:sz w:val="24"/>
          <w:highlight w:val="none"/>
          <w:lang w:val="zh-CN"/>
          <w14:textFill>
            <w14:solidFill>
              <w14:schemeClr w14:val="tx1"/>
            </w14:solidFill>
          </w14:textFill>
        </w:rPr>
        <w:t>的</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kern w:val="0"/>
          <w:sz w:val="24"/>
          <w:highlight w:val="none"/>
          <w:lang w:val="zh-CN"/>
          <w14:textFill>
            <w14:solidFill>
              <w14:schemeClr w14:val="tx1"/>
            </w14:solidFill>
          </w14:textFill>
        </w:rPr>
        <w:t>投标人</w:t>
      </w:r>
      <w:r>
        <w:rPr>
          <w:rFonts w:hint="eastAsia" w:ascii="宋体" w:hAnsi="宋体" w:eastAsia="宋体" w:cs="宋体"/>
          <w:b/>
          <w:bCs/>
          <w:color w:val="000000" w:themeColor="text1"/>
          <w:kern w:val="0"/>
          <w:sz w:val="24"/>
          <w:highlight w:val="none"/>
          <w14:textFill>
            <w14:solidFill>
              <w14:schemeClr w14:val="tx1"/>
            </w14:solidFill>
          </w14:textFill>
        </w:rPr>
        <w:t>就</w:t>
      </w:r>
      <w:r>
        <w:rPr>
          <w:rFonts w:hint="eastAsia" w:ascii="宋体" w:hAnsi="宋体" w:eastAsia="宋体" w:cs="宋体"/>
          <w:b/>
          <w:bCs/>
          <w:color w:val="000000" w:themeColor="text1"/>
          <w:kern w:val="0"/>
          <w:sz w:val="24"/>
          <w:highlight w:val="none"/>
          <w:lang w:val="zh-CN"/>
          <w14:textFill>
            <w14:solidFill>
              <w14:schemeClr w14:val="tx1"/>
            </w14:solidFill>
          </w14:textFill>
        </w:rPr>
        <w:t>相应的投标产品未</w:t>
      </w:r>
      <w:r>
        <w:rPr>
          <w:rFonts w:hint="eastAsia" w:ascii="宋体" w:hAnsi="宋体" w:eastAsia="宋体" w:cs="宋体"/>
          <w:b/>
          <w:bCs/>
          <w:color w:val="000000" w:themeColor="text1"/>
          <w:kern w:val="0"/>
          <w:sz w:val="24"/>
          <w:highlight w:val="none"/>
          <w14:textFill>
            <w14:solidFill>
              <w14:schemeClr w14:val="tx1"/>
            </w14:solidFill>
          </w14:textFill>
        </w:rPr>
        <w:t>提供</w:t>
      </w:r>
      <w:r>
        <w:rPr>
          <w:rFonts w:hint="eastAsia" w:ascii="宋体" w:hAnsi="宋体" w:eastAsia="宋体" w:cs="宋体"/>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3.3支持中小企业发展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3.3.2</w:t>
      </w:r>
      <w:r>
        <w:rPr>
          <w:rFonts w:hint="eastAsia" w:ascii="宋体" w:hAnsi="宋体" w:cs="宋体"/>
          <w:color w:val="000000" w:themeColor="text1"/>
          <w:kern w:val="0"/>
          <w:sz w:val="24"/>
          <w:highlight w:val="none"/>
          <w14:textFill>
            <w14:solidFill>
              <w14:schemeClr w14:val="tx1"/>
            </w14:solidFill>
          </w14:textFill>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3.3.3对于未预留份额专门面向中小企业的政府采购货物项目，以及预留份额政府采购货物项目中的非预留部分标项，对小型和微型企业的投标报价给予10%-</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招标文件第四部分</w:t>
      </w:r>
      <w:r>
        <w:rPr>
          <w:rFonts w:hint="eastAsia" w:ascii="宋体" w:hAnsi="宋体" w:cs="宋体"/>
          <w:color w:val="000000" w:themeColor="text1"/>
          <w:sz w:val="24"/>
          <w:highlight w:val="none"/>
          <w14:textFill>
            <w14:solidFill>
              <w14:schemeClr w14:val="tx1"/>
            </w14:solidFill>
          </w14:textFill>
        </w:rPr>
        <w:t>评标办法明确具体的扣除比例，未明确的，给予</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%的扣除）的扣除，用扣除后的价格参与评审。接受大中型企业与小微企业组成联合体或者允许大中型企业向一家或者多家小微企业分包的政府采购货物项目，对于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000000" w:themeColor="text1"/>
          <w:sz w:val="24"/>
          <w:highlight w:val="none"/>
          <w14:textFill>
            <w14:solidFill>
              <w14:schemeClr w14:val="tx1"/>
            </w14:solidFill>
          </w14:textFill>
        </w:rPr>
        <w:t>联合协议或者分包意向协议约定小微企业的合同份额占到合同总金额30%以上的</w:t>
      </w:r>
      <w:bookmarkEnd w:id="15"/>
      <w:r>
        <w:rPr>
          <w:rFonts w:hint="eastAsia" w:ascii="宋体" w:hAnsi="宋体" w:cs="宋体"/>
          <w:color w:val="000000" w:themeColor="text1"/>
          <w:sz w:val="24"/>
          <w:highlight w:val="none"/>
          <w14:textFill>
            <w14:solidFill>
              <w14:schemeClr w14:val="tx1"/>
            </w14:solidFill>
          </w14:textFill>
        </w:rPr>
        <w:t>，对联合体或者大中型企业的报价给予4%-</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招标文件第四部分</w:t>
      </w:r>
      <w:r>
        <w:rPr>
          <w:rFonts w:hint="eastAsia" w:ascii="宋体" w:hAnsi="宋体" w:cs="宋体"/>
          <w:color w:val="000000" w:themeColor="text1"/>
          <w:sz w:val="24"/>
          <w:highlight w:val="none"/>
          <w14:textFill>
            <w14:solidFill>
              <w14:schemeClr w14:val="tx1"/>
            </w14:solidFill>
          </w14:textFill>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3.3.6</w:t>
      </w:r>
      <w:r>
        <w:rPr>
          <w:rFonts w:hint="eastAsia" w:ascii="宋体" w:hAnsi="宋体" w:cs="宋体"/>
          <w:color w:val="000000" w:themeColor="text1"/>
          <w:sz w:val="24"/>
          <w:highlight w:val="none"/>
          <w:lang w:val="en" w:eastAsia="zh-C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w:t>
      </w:r>
      <w:r>
        <w:rPr>
          <w:rFonts w:hint="eastAsia" w:ascii="宋体" w:hAnsi="宋体" w:cs="宋体"/>
          <w:bCs/>
          <w:color w:val="000000" w:themeColor="text1"/>
          <w:sz w:val="24"/>
          <w:highlight w:val="none"/>
          <w14:textFill>
            <w14:solidFill>
              <w14:schemeClr w14:val="tx1"/>
            </w14:solidFill>
          </w14:textFill>
        </w:rPr>
        <w:t>支持创新发展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3.4.1 </w:t>
      </w:r>
      <w:r>
        <w:rPr>
          <w:rFonts w:hint="eastAsia" w:ascii="宋体" w:hAnsi="宋体" w:cs="宋体"/>
          <w:color w:val="000000" w:themeColor="text1"/>
          <w:sz w:val="24"/>
          <w:highlight w:val="none"/>
          <w:lang w:eastAsia="zh-CN"/>
          <w14:textFill>
            <w14:solidFill>
              <w14:schemeClr w14:val="tx1"/>
            </w14:solidFill>
          </w14:textFill>
        </w:rPr>
        <w:t>首台套、“制造精品”、“专精特新”等创新产品按规定享受政府采购支持政策</w:t>
      </w:r>
      <w:r>
        <w:rPr>
          <w:rFonts w:hint="eastAsia" w:ascii="宋体" w:hAnsi="宋体" w:cs="宋体"/>
          <w:color w:val="000000" w:themeColor="text1"/>
          <w:sz w:val="24"/>
          <w:highlight w:val="none"/>
          <w14:textFill>
            <w14:solidFill>
              <w14:schemeClr w14:val="tx1"/>
            </w14:solidFill>
          </w14:textFill>
        </w:rPr>
        <w:t>。</w:t>
      </w:r>
    </w:p>
    <w:p>
      <w:pPr>
        <w:pStyle w:val="3"/>
        <w:adjustRightInd w:val="0"/>
        <w:ind w:left="0" w:firstLine="480" w:firstLineChars="200"/>
        <w:rPr>
          <w:color w:val="000000" w:themeColor="text1"/>
          <w:highlight w:val="none"/>
          <w14:textFill>
            <w14:solidFill>
              <w14:schemeClr w14:val="tx1"/>
            </w14:solidFill>
          </w14:textFill>
        </w:rPr>
      </w:pPr>
      <w:r>
        <w:rPr>
          <w:rFonts w:hint="eastAsia" w:ascii="宋体" w:hAnsi="宋体" w:eastAsia="宋体" w:cs="仿宋"/>
          <w:b w:val="0"/>
          <w:bCs w:val="0"/>
          <w:color w:val="000000" w:themeColor="text1"/>
          <w:sz w:val="24"/>
          <w:szCs w:val="24"/>
          <w:highlight w:val="none"/>
          <w:lang w:val="en-US"/>
          <w14:textFill>
            <w14:solidFill>
              <w14:schemeClr w14:val="tx1"/>
            </w14:solidFill>
          </w14:textFill>
        </w:rPr>
        <w:t>3.4.</w:t>
      </w:r>
      <w:r>
        <w:rPr>
          <w:rFonts w:hint="eastAsia" w:ascii="宋体" w:hAnsi="宋体" w:cs="仿宋"/>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 xml:space="preserve"> </w:t>
      </w:r>
      <w:r>
        <w:rPr>
          <w:rFonts w:hint="eastAsia" w:ascii="宋体" w:hAnsi="宋体" w:eastAsia="宋体" w:cs="仿宋"/>
          <w:b w:val="0"/>
          <w:bCs w:val="0"/>
          <w:color w:val="000000" w:themeColor="text1"/>
          <w:sz w:val="24"/>
          <w:szCs w:val="24"/>
          <w:highlight w:val="none"/>
          <w:lang w:val="en-US" w:eastAsia="zh-CN"/>
          <w14:textFill>
            <w14:solidFill>
              <w14:schemeClr w14:val="tx1"/>
            </w14:solidFill>
          </w14:textFill>
        </w:rPr>
        <w:t>采购人应当贯彻落实知识产权保护相关法律法规，</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应当采购使用正版软件。</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3.5平等对待内外资企业和符合条件的破产重整企业</w:t>
      </w:r>
    </w:p>
    <w:p>
      <w:pPr>
        <w:spacing w:line="360" w:lineRule="auto"/>
        <w:ind w:firstLine="240" w:firstLineChars="1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highlight w:val="none"/>
          <w14:textFill>
            <w14:solidFill>
              <w14:schemeClr w14:val="tx1"/>
            </w14:solidFill>
          </w14:textFill>
        </w:rPr>
        <w:cr/>
      </w:r>
      <w:r>
        <w:rPr>
          <w:rFonts w:hint="eastAsia" w:ascii="宋体" w:hAnsi="宋体" w:cs="宋体"/>
          <w:color w:val="000000" w:themeColor="text1"/>
          <w:sz w:val="24"/>
          <w:highlight w:val="none"/>
          <w:lang w:val="en-US" w:eastAsia="zh-CN"/>
          <w14:textFill>
            <w14:solidFill>
              <w14:schemeClr w14:val="tx1"/>
            </w14:solidFill>
          </w14:textFill>
        </w:rPr>
        <w:t xml:space="preserve">  3.6 支持本国产品</w:t>
      </w:r>
    </w:p>
    <w:p>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3.6.1 </w:t>
      </w:r>
      <w:r>
        <w:rPr>
          <w:rFonts w:hint="eastAsia" w:ascii="宋体" w:hAnsi="宋体" w:eastAsia="宋体" w:cs="宋体"/>
          <w:color w:val="000000" w:themeColor="text1"/>
          <w:spacing w:val="0"/>
          <w:sz w:val="24"/>
          <w:szCs w:val="24"/>
          <w:highlight w:val="none"/>
          <w14:textFill>
            <w14:solidFill>
              <w14:schemeClr w14:val="tx1"/>
            </w14:solidFill>
          </w14:textFill>
        </w:rPr>
        <w:t>本国产品标准适用于货物，包括政府采购货物项目和服务项目中涉及的货物。</w:t>
      </w:r>
    </w:p>
    <w:p>
      <w:pPr>
        <w:spacing w:before="0" w:line="360" w:lineRule="auto"/>
        <w:ind w:left="0" w:righ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3.6.2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3.6.</w:t>
      </w: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p>
      <w:pPr>
        <w:spacing w:before="0" w:line="360" w:lineRule="auto"/>
        <w:ind w:left="0" w:righ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3.6.</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 xml:space="preserve"> 评审委员会</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000000" w:themeColor="text1"/>
          <w:spacing w:val="0"/>
          <w:sz w:val="24"/>
          <w:szCs w:val="24"/>
          <w:highlight w:val="none"/>
          <w:shd w:val="clear" w:fill="FFFFFF"/>
          <w14:textFill>
            <w14:solidFill>
              <w14:schemeClr w14:val="tx1"/>
            </w14:solidFill>
          </w14:textFill>
        </w:rPr>
        <w:t>国务院办公厅关于在政府采购中实施本国产品标准及相关政策的通知</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》规定要求的，供应商提供的相关产品视为不符合本国产品标准</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w:t>
      </w:r>
    </w:p>
    <w:p>
      <w:pPr>
        <w:spacing w:line="360" w:lineRule="auto"/>
        <w:ind w:firstLine="481"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 询问、质疑、投诉</w:t>
      </w:r>
      <w:r>
        <w:rPr>
          <w:rFonts w:hint="eastAsia" w:ascii="Times New Roman" w:hAnsi="Times New Roman" w:cs="Times New Roman"/>
          <w:b/>
          <w:color w:val="000000" w:themeColor="text1"/>
          <w:sz w:val="24"/>
          <w:highlight w:val="none"/>
          <w14:textFill>
            <w14:solidFill>
              <w14:schemeClr w14:val="tx1"/>
            </w14:solidFill>
          </w14:textFill>
        </w:rPr>
        <w:t>、补偿救济</w:t>
      </w:r>
    </w:p>
    <w:p>
      <w:pPr>
        <w:pStyle w:val="888"/>
        <w:shd w:val="clear" w:color="auto" w:fill="FFFFFF"/>
        <w:snapToGrid w:val="0"/>
        <w:spacing w:after="240" w:afterAutospacing="0" w:line="360" w:lineRule="auto"/>
        <w:ind w:firstLine="4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4.1在线询问、质疑、投诉</w:t>
      </w:r>
    </w:p>
    <w:p>
      <w:pPr>
        <w:pStyle w:val="888"/>
        <w:shd w:val="clear" w:color="auto" w:fill="FFFFFF"/>
        <w:snapToGrid w:val="0"/>
        <w:spacing w:after="240" w:afterAutospacing="0" w:line="360" w:lineRule="auto"/>
        <w:ind w:firstLine="4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autoSpaceDE w:val="0"/>
        <w:autoSpaceDN w:val="0"/>
        <w:spacing w:line="360" w:lineRule="auto"/>
        <w:ind w:firstLine="240" w:firstLineChars="1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4.2供应商询问</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4.3供应商质疑</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5"/>
        <w:spacing w:line="360" w:lineRule="auto"/>
        <w:ind w:firstLine="480" w:firstLineChars="200"/>
        <w:rPr>
          <w:rFonts w:hAnsi="宋体" w:cs="宋体"/>
          <w:snapToGrid/>
          <w:color w:val="000000" w:themeColor="text1"/>
          <w:kern w:val="2"/>
          <w:sz w:val="24"/>
          <w:highlight w:val="none"/>
          <w14:textFill>
            <w14:solidFill>
              <w14:schemeClr w14:val="tx1"/>
            </w14:solidFill>
          </w14:textFill>
        </w:rPr>
      </w:pPr>
      <w:r>
        <w:rPr>
          <w:rFonts w:hint="eastAsia" w:hAnsi="宋体" w:cs="宋体"/>
          <w:snapToGrid/>
          <w:color w:val="000000" w:themeColor="text1"/>
          <w:kern w:val="2"/>
          <w:sz w:val="24"/>
          <w:highlight w:val="none"/>
          <w14:textFill>
            <w14:solidFill>
              <w14:schemeClr w14:val="tx1"/>
            </w14:solidFill>
          </w14:textFill>
        </w:rPr>
        <w:t>4.3.2.1对招标文件提出质疑的，质疑期限为供应商获得招标文件之日或者招标文件公告期限届满之日起计算。</w:t>
      </w:r>
    </w:p>
    <w:p>
      <w:pPr>
        <w:pStyle w:val="32"/>
        <w:spacing w:line="360" w:lineRule="auto"/>
        <w:ind w:left="479" w:leftChars="228"/>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w:t>
      </w:r>
      <w:r>
        <w:rPr>
          <w:rFonts w:hint="eastAsia"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4.3.3.1供应商的姓名或者名称、地址、邮编、联系人及联系电话；</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4.3.3.2质疑项目的名称、编号；</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4.3.3.3具体、明确的质疑事项和与质疑事项相关的请求；</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4.3.3.4事实依据；</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4.3.3.5必要的法律依据；</w:t>
      </w:r>
    </w:p>
    <w:p>
      <w:pPr>
        <w:pStyle w:val="32"/>
        <w:spacing w:line="360" w:lineRule="auto"/>
        <w:ind w:firstLine="960" w:firstLineChars="4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4.3.3.6提出质疑的日期。</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质疑函范本及制作说明详见附件2。</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4.3.4对同一采购程序环节的质疑，供应商须在法定质疑期内一次性提出。</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.5采购人或者采购机构应当在</w:t>
      </w:r>
      <w:r>
        <w:rPr>
          <w:rFonts w:hint="eastAsia"/>
          <w:color w:val="000000" w:themeColor="text1"/>
          <w:highlight w:val="none"/>
          <w:lang w:val="en-US" w:eastAsia="zh-CN"/>
          <w14:textFill>
            <w14:solidFill>
              <w14:schemeClr w14:val="tx1"/>
            </w14:solidFill>
          </w14:textFill>
        </w:rPr>
        <w:t>根据</w:t>
      </w:r>
      <w:r>
        <w:rPr>
          <w:rFonts w:hint="eastAsia" w:asciiTheme="minorEastAsia" w:hAnsiTheme="minorEastAsia" w:eastAsiaTheme="minorEastAsia"/>
          <w:color w:val="000000" w:themeColor="text1"/>
          <w:sz w:val="24"/>
          <w:highlight w:val="none"/>
          <w14:textFill>
            <w14:solidFill>
              <w14:schemeClr w14:val="tx1"/>
            </w14:solidFill>
          </w14:textFill>
        </w:rPr>
        <w:t>《杭州市集中采购委托协议》的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约定，</w:t>
      </w:r>
      <w:r>
        <w:rPr>
          <w:rFonts w:hint="eastAsia"/>
          <w:color w:val="000000" w:themeColor="text1"/>
          <w:highlight w:val="none"/>
          <w14:textFill>
            <w14:solidFill>
              <w14:schemeClr w14:val="tx1"/>
            </w14:solidFill>
          </w14:textFill>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pPr>
        <w:pStyle w:val="888"/>
        <w:shd w:val="clear" w:color="auto" w:fill="FFFFFF"/>
        <w:snapToGrid w:val="0"/>
        <w:spacing w:after="240" w:line="360" w:lineRule="auto"/>
        <w:ind w:firstLine="400"/>
        <w:contextualSpacing/>
        <w:rPr>
          <w:rFonts w:hint="eastAsia"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询问、</w:t>
      </w:r>
      <w:r>
        <w:rPr>
          <w:rFonts w:hint="eastAsia" w:ascii="宋体" w:hAnsi="宋体" w:eastAsia="宋体"/>
          <w:color w:val="000000" w:themeColor="text1"/>
          <w:sz w:val="24"/>
          <w:highlight w:val="none"/>
          <w14:textFill>
            <w14:solidFill>
              <w14:schemeClr w14:val="tx1"/>
            </w14:solidFill>
          </w14:textFill>
        </w:rPr>
        <w:t>质疑答复责任主体如下：</w:t>
      </w:r>
    </w:p>
    <w:p>
      <w:pPr>
        <w:widowControl/>
        <w:adjustRightInd/>
        <w:jc w:val="cente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询问、</w:t>
      </w: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2"/>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b/>
                <w:bCs/>
                <w:color w:val="000000" w:themeColor="text1"/>
                <w:sz w:val="24"/>
                <w:highlight w:val="none"/>
                <w14:textFill>
                  <w14:solidFill>
                    <w14:schemeClr w14:val="tx1"/>
                  </w14:solidFill>
                </w14:textFill>
              </w:rPr>
              <w:t>质疑内容</w:t>
            </w:r>
          </w:p>
        </w:tc>
        <w:tc>
          <w:tcPr>
            <w:tcW w:w="2232" w:type="dxa"/>
            <w:vAlign w:val="center"/>
          </w:tcPr>
          <w:p>
            <w:pPr>
              <w:pStyle w:val="32"/>
              <w:spacing w:line="360" w:lineRule="auto"/>
              <w:jc w:val="center"/>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b/>
                <w:bCs/>
                <w:color w:val="000000" w:themeColor="text1"/>
                <w:sz w:val="24"/>
                <w:highlight w:val="none"/>
                <w14:textFill>
                  <w14:solidFill>
                    <w14:schemeClr w14:val="tx1"/>
                  </w14:solidFill>
                </w14:textFill>
              </w:rPr>
              <w:t>质疑答复</w:t>
            </w:r>
          </w:p>
          <w:p>
            <w:pPr>
              <w:pStyle w:val="32"/>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w:t>
            </w:r>
            <w:r>
              <w:rPr>
                <w:rFonts w:hint="eastAsia" w:asciiTheme="minorEastAsia" w:hAnsiTheme="minorEastAsia" w:eastAsiaTheme="minorEastAsia"/>
                <w:color w:val="000000" w:themeColor="text1"/>
                <w:sz w:val="24"/>
                <w:szCs w:val="21"/>
                <w:highlight w:val="none"/>
                <w14:textFill>
                  <w14:solidFill>
                    <w14:schemeClr w14:val="tx1"/>
                  </w14:solidFill>
                </w14:textFill>
              </w:rPr>
              <w:t>“申请人的资格要求”、“采购需求”、“评审办法”、“采购合同的主要条款”、“采购文件前附表内容”、“报价内容”</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采购结果</w:t>
            </w:r>
            <w:r>
              <w:rPr>
                <w:rFonts w:hint="eastAsia"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对“现场考察、答疑会”、 “甲方负责接收和保存的样品” 、“资格审查”</w:t>
            </w:r>
            <w:r>
              <w:rPr>
                <w:rFonts w:hint="eastAsia" w:asciiTheme="minorEastAsia" w:hAnsiTheme="minorEastAsia" w:eastAsiaTheme="minorEastAsia"/>
                <w:color w:val="000000" w:themeColor="text1"/>
                <w:sz w:val="24"/>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评审”</w:t>
            </w:r>
            <w:r>
              <w:rPr>
                <w:rFonts w:hint="eastAsia" w:asciiTheme="minorEastAsia" w:hAnsiTheme="minorEastAsia" w:eastAsiaTheme="minorEastAsia"/>
                <w:color w:val="000000" w:themeColor="text1"/>
                <w:sz w:val="24"/>
                <w:szCs w:val="21"/>
                <w:highlight w:val="none"/>
                <w14:textFill>
                  <w14:solidFill>
                    <w14:schemeClr w14:val="tx1"/>
                  </w14:solidFill>
                </w14:textFill>
              </w:rPr>
              <w:t>等环节的</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szCs w:val="21"/>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采购结果其他</w:t>
            </w:r>
            <w:r>
              <w:rPr>
                <w:rFonts w:hint="eastAsia" w:asciiTheme="minorEastAsia" w:hAnsiTheme="minorEastAsia" w:eastAsiaTheme="minorEastAsia"/>
                <w:color w:val="000000" w:themeColor="text1"/>
                <w:sz w:val="24"/>
                <w:szCs w:val="21"/>
                <w:highlight w:val="none"/>
                <w14:textFill>
                  <w14:solidFill>
                    <w14:schemeClr w14:val="tx1"/>
                  </w14:solidFill>
                </w14:textFill>
              </w:rPr>
              <w:t>环节的</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szCs w:val="21"/>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采购机构</w:t>
            </w:r>
          </w:p>
        </w:tc>
      </w:tr>
    </w:tbl>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.6询问或者质疑事项可能影响采购结果的，采购人应当暂停签订合同，已经签订合同的，应当中止履行合同。</w:t>
      </w:r>
    </w:p>
    <w:p>
      <w:pPr>
        <w:pStyle w:val="888"/>
        <w:shd w:val="clear" w:color="auto" w:fill="FFFFFF"/>
        <w:snapToGrid w:val="0"/>
        <w:spacing w:after="24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4.4供应商投诉</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4.4.1质疑供应商对采购人、采购机构的答复不满意或者采购人、采购机构未在规定的时间内作出答复的，可以在答复期满后十五个工作日内向同级政府采购监督管理部门提出投诉。</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r>
        <w:rPr>
          <w:rFonts w:hint="eastAsia"/>
          <w:color w:val="000000" w:themeColor="text1"/>
          <w:highlight w:val="none"/>
          <w:lang w:val="zh-CN"/>
          <w14:textFill>
            <w14:solidFill>
              <w14:schemeClr w14:val="tx1"/>
            </w14:solidFill>
          </w14:textFill>
        </w:rPr>
        <w:t>2</w:t>
      </w:r>
      <w:r>
        <w:rPr>
          <w:rFonts w:hint="eastAsia"/>
          <w:color w:val="000000" w:themeColor="text1"/>
          <w:highlight w:val="none"/>
          <w14:textFill>
            <w14:solidFill>
              <w14:schemeClr w14:val="tx1"/>
            </w14:solidFill>
          </w14:textFill>
        </w:rPr>
        <w:t>供应商投诉的事项不得超出已质疑事项的范围，基于质疑答复内容提出的投诉事项除外。</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4.4.3供应商投诉应当有明确的请求和必要的证明材料。</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 以联合体形式参加政府采购活动的，其投诉应当由组成联合体的所有供应商共同提出。</w:t>
      </w:r>
    </w:p>
    <w:p>
      <w:pPr>
        <w:pStyle w:val="888"/>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4.4.5根据政府采购行政裁决省市区三级联动试点工作安排，杭州市本级</w:t>
      </w:r>
      <w:r>
        <w:rPr>
          <w:rFonts w:hint="eastAsia"/>
          <w:color w:val="000000" w:themeColor="text1"/>
          <w:highlight w:val="none"/>
          <w:lang w:eastAsia="zh-CN"/>
          <w14:textFill>
            <w14:solidFill>
              <w14:schemeClr w14:val="tx1"/>
            </w14:solidFill>
          </w14:textFill>
        </w:rPr>
        <w:t>及各区、县（市）</w:t>
      </w:r>
      <w:r>
        <w:rPr>
          <w:rFonts w:hint="eastAsia"/>
          <w:color w:val="000000" w:themeColor="text1"/>
          <w:highlight w:val="none"/>
          <w14:textFill>
            <w14:solidFill>
              <w14:schemeClr w14:val="tx1"/>
            </w14:solidFill>
          </w14:textFill>
        </w:rPr>
        <w:t>政府采购项目投诉材料可寄送浙江省政府采购行政裁决服务中心（杭州），地址：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i w:val="0"/>
          <w:caps w:val="0"/>
          <w:color w:val="000000" w:themeColor="text1"/>
          <w:spacing w:val="0"/>
          <w:sz w:val="24"/>
          <w:szCs w:val="24"/>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收件人：朱女士</w:t>
      </w:r>
      <w:r>
        <w:rPr>
          <w:rFonts w:hint="eastAsia" w:ascii="宋体" w:hAnsi="宋体" w:cs="宋体"/>
          <w:color w:val="000000" w:themeColor="text1"/>
          <w:sz w:val="24"/>
          <w:highlight w:val="none"/>
          <w14:textFill>
            <w14:solidFill>
              <w14:schemeClr w14:val="tx1"/>
            </w14:solidFill>
          </w14:textFill>
        </w:rPr>
        <w:t>、王女士</w:t>
      </w:r>
      <w:r>
        <w:rPr>
          <w:rFonts w:hint="eastAsia"/>
          <w:color w:val="000000" w:themeColor="text1"/>
          <w:highlight w:val="none"/>
          <w14:textFill>
            <w14:solidFill>
              <w14:schemeClr w14:val="tx1"/>
            </w14:solidFill>
          </w14:textFill>
        </w:rPr>
        <w:t>，电话：0571-</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r>
        <w:rPr>
          <w:rFonts w:hint="eastAsia"/>
          <w:color w:val="000000" w:themeColor="text1"/>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4.5 补偿救济</w:t>
      </w:r>
    </w:p>
    <w:p>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采购人因政策变化、规划调整而不履行政府采购合同的，供应商可依据《杭州市涉企补偿救济实施办法（试行）》向采购人提起补偿申请。</w:t>
      </w:r>
    </w:p>
    <w:p>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投诉书范本及制作说明详见附件3。</w:t>
      </w:r>
    </w:p>
    <w:p>
      <w:pPr>
        <w:pStyle w:val="130"/>
        <w:snapToGrid w:val="0"/>
        <w:spacing w:before="0"/>
        <w:ind w:firstLine="360"/>
        <w:rPr>
          <w:rFonts w:ascii="宋体" w:hAnsi="宋体" w:cs="宋体"/>
          <w:color w:val="000000" w:themeColor="text1"/>
          <w:sz w:val="18"/>
          <w:szCs w:val="18"/>
          <w:highlight w:val="none"/>
          <w14:textFill>
            <w14:solidFill>
              <w14:schemeClr w14:val="tx1"/>
            </w14:solidFill>
          </w14:textFill>
        </w:rPr>
      </w:pPr>
    </w:p>
    <w:p>
      <w:pPr>
        <w:adjustRightInd/>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 xml:space="preserve">      二、招标文件的构成、澄清、修改</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5．招标文件的构成</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招标文件包括下列文件及附件：</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5.1.1招标公告；</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5.1.2投标人须知；</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5.1.3采购需求；</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5.1.4评标办法；</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5.1.5拟签订的合同文本；</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5.1.6</w:t>
      </w:r>
      <w:r>
        <w:rPr>
          <w:rFonts w:hint="eastAsia" w:hAnsi="宋体" w:cs="宋体"/>
          <w:color w:val="000000" w:themeColor="text1"/>
          <w:sz w:val="24"/>
          <w:szCs w:val="24"/>
          <w:highlight w:val="none"/>
          <w14:textFill>
            <w14:solidFill>
              <w14:schemeClr w14:val="tx1"/>
            </w14:solidFill>
          </w14:textFill>
        </w:rPr>
        <w:t>应提交的有关格式范例。</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5.2与本项目有关的</w:t>
      </w:r>
      <w:r>
        <w:rPr>
          <w:rFonts w:hint="eastAsia" w:ascii="宋体" w:hAnsi="宋体" w:cs="宋体"/>
          <w:bCs/>
          <w:color w:val="000000" w:themeColor="text1"/>
          <w:sz w:val="24"/>
          <w:highlight w:val="none"/>
          <w14:textFill>
            <w14:solidFill>
              <w14:schemeClr w14:val="tx1"/>
            </w14:solidFill>
          </w14:textFill>
        </w:rPr>
        <w:t>澄清或者修改的内容为招标文件的组成部分</w:t>
      </w:r>
      <w:r>
        <w:rPr>
          <w:rFonts w:hint="eastAsia" w:ascii="宋体" w:hAnsi="宋体" w:cs="宋体"/>
          <w:color w:val="000000" w:themeColor="text1"/>
          <w:sz w:val="24"/>
          <w:highlight w:val="none"/>
          <w14:textFill>
            <w14:solidFill>
              <w14:schemeClr w14:val="tx1"/>
            </w14:solidFill>
          </w14:textFill>
        </w:rPr>
        <w:t>。</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 招标文件的澄清、修改</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6.1已获取招标文件的潜在投标人，若有问题需要澄清，应于投标截止时间前，以书面形式向采购机构提出。</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color w:val="000000" w:themeColor="text1"/>
          <w:sz w:val="18"/>
          <w:szCs w:val="18"/>
          <w:highlight w:val="none"/>
          <w:lang w:val="en-US"/>
          <w14:textFill>
            <w14:solidFill>
              <w14:schemeClr w14:val="tx1"/>
            </w14:solidFill>
          </w14:textFill>
        </w:rPr>
      </w:pPr>
      <w:r>
        <w:rPr>
          <w:rFonts w:hint="eastAsia" w:hAnsi="宋体" w:cs="宋体"/>
          <w:color w:val="000000" w:themeColor="text1"/>
          <w:szCs w:val="24"/>
          <w:highlight w:val="none"/>
          <w:lang w:val="en-US"/>
          <w14:textFill>
            <w14:solidFill>
              <w14:schemeClr w14:val="tx1"/>
            </w14:solidFill>
          </w14:textFill>
        </w:rPr>
        <w:t xml:space="preserve">    </w:t>
      </w:r>
    </w:p>
    <w:p>
      <w:pPr>
        <w:adjustRightInd/>
        <w:spacing w:line="360" w:lineRule="auto"/>
        <w:jc w:val="center"/>
        <w:outlineLvl w:val="0"/>
        <w:rPr>
          <w:rFonts w:ascii="宋体" w:hAnsi="宋体" w:cs="宋体"/>
          <w:b/>
          <w:color w:val="000000" w:themeColor="text1"/>
          <w:sz w:val="30"/>
          <w:szCs w:val="20"/>
          <w:highlight w:val="none"/>
          <w14:textFill>
            <w14:solidFill>
              <w14:schemeClr w14:val="tx1"/>
            </w14:solidFill>
          </w14:textFill>
        </w:rPr>
      </w:pPr>
      <w:r>
        <w:rPr>
          <w:rFonts w:hint="eastAsia" w:ascii="宋体" w:hAnsi="宋体" w:cs="宋体"/>
          <w:b/>
          <w:color w:val="000000" w:themeColor="text1"/>
          <w:sz w:val="30"/>
          <w:szCs w:val="20"/>
          <w:highlight w:val="none"/>
          <w14:textFill>
            <w14:solidFill>
              <w14:schemeClr w14:val="tx1"/>
            </w14:solidFill>
          </w14:textFill>
        </w:rPr>
        <w:t>三、投标</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 招标文件的获取</w:t>
      </w:r>
    </w:p>
    <w:p>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详见招标公告中获取招标文件的时间期限、地点、方式及招标文件售价。</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8.开标前答疑会或现场考察</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kern w:val="28"/>
          <w:sz w:val="24"/>
          <w:szCs w:val="24"/>
          <w:highlight w:val="none"/>
          <w14:textFill>
            <w14:solidFill>
              <w14:schemeClr w14:val="tx1"/>
            </w14:solidFill>
          </w14:textFill>
        </w:rPr>
        <w:t>9.投标保证金</w:t>
      </w:r>
    </w:p>
    <w:p>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本项目不需缴纳投标保证金。</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 投标文件的语言</w:t>
      </w:r>
    </w:p>
    <w:p>
      <w:pPr>
        <w:autoSpaceDE w:val="0"/>
        <w:autoSpaceDN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投标文件及投标人与采购有关的来往通知、函件和文件均应使用中文。</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 投标文件的组成</w:t>
      </w:r>
    </w:p>
    <w:p>
      <w:pPr>
        <w:snapToGrid w:val="0"/>
        <w:spacing w:line="360" w:lineRule="auto"/>
        <w:ind w:firstLine="481" w:firstLineChars="200"/>
        <w:rPr>
          <w:rFonts w:hint="eastAsia" w:ascii="宋体" w:hAnsi="宋体" w:cs="宋体"/>
          <w:b/>
          <w:snapToGrid w:val="0"/>
          <w:color w:val="000000" w:themeColor="text1"/>
          <w:sz w:val="24"/>
          <w:highlight w:val="none"/>
          <w14:textFill>
            <w14:solidFill>
              <w14:schemeClr w14:val="tx1"/>
            </w14:solidFill>
          </w14:textFill>
        </w:rPr>
      </w:pPr>
      <w:r>
        <w:rPr>
          <w:rFonts w:hint="eastAsia" w:ascii="宋体" w:hAnsi="宋体" w:cs="宋体"/>
          <w:b/>
          <w:snapToGrid w:val="0"/>
          <w:color w:val="000000" w:themeColor="text1"/>
          <w:sz w:val="24"/>
          <w:highlight w:val="none"/>
          <w14:textFill>
            <w14:solidFill>
              <w14:schemeClr w14:val="tx1"/>
            </w14:solidFill>
          </w14:textFill>
        </w:rPr>
        <w:t>▲投标文件至少应包括以下文件。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hint="eastAsia" w:ascii="宋体" w:hAnsi="宋体" w:cs="宋体"/>
          <w:b/>
          <w:color w:val="000000" w:themeColor="text1"/>
          <w:sz w:val="24"/>
          <w:highlight w:val="none"/>
          <w14:textFill>
            <w14:solidFill>
              <w14:schemeClr w14:val="tx1"/>
            </w14:solidFill>
          </w14:textFill>
        </w:rPr>
        <w:t>资格文件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11.1.1符合参加政府采购活动应当具备的一般条件的承诺函；</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1.1.2</w:t>
      </w:r>
      <w:bookmarkStart w:id="16" w:name="_Hlk101259339"/>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End w:id="16"/>
      <w:r>
        <w:rPr>
          <w:rFonts w:hint="eastAsia" w:ascii="宋体" w:hAnsi="宋体" w:cs="宋体"/>
          <w:snapToGrid w:val="0"/>
          <w:color w:val="000000" w:themeColor="text1"/>
          <w:kern w:val="28"/>
          <w:sz w:val="24"/>
          <w:szCs w:val="20"/>
          <w:highlight w:val="none"/>
          <w14:textFill>
            <w14:solidFill>
              <w14:schemeClr w14:val="tx1"/>
            </w14:solidFill>
          </w14:textFill>
        </w:rPr>
        <w:t>（如果有)；</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11.2.1投标函；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11.2.2授权委托书或法定代表人（单位负责人、自然人本人）身份证明；</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商务技术偏离表；</w:t>
      </w:r>
    </w:p>
    <w:p>
      <w:pPr>
        <w:snapToGrid w:val="0"/>
        <w:spacing w:line="360" w:lineRule="auto"/>
        <w:ind w:firstLine="960" w:firstLineChars="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firstLine="480" w:firstLineChars="200"/>
        <w:rPr>
          <w:rFonts w:ascii="宋体" w:hAnsi="宋体" w:cs="宋体"/>
          <w:color w:val="000000" w:themeColor="text1"/>
          <w:sz w:val="24"/>
          <w:highlight w:val="none"/>
          <w:u w:val="singl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报价文件：</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11.3.2关于符合本国产品标准的</w:t>
      </w:r>
      <w:r>
        <w:rPr>
          <w:rFonts w:hint="eastAsia" w:ascii="宋体" w:hAnsi="宋体" w:cs="宋体"/>
          <w:color w:val="000000" w:themeColor="text1"/>
          <w:sz w:val="24"/>
          <w:highlight w:val="none"/>
          <w14:textFill>
            <w14:solidFill>
              <w14:schemeClr w14:val="tx1"/>
            </w14:solidFill>
          </w14:textFill>
        </w:rPr>
        <w:t>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lang w:val="en-US" w:eastAsia="zh-CN"/>
          <w14:textFill>
            <w14:solidFill>
              <w14:schemeClr w14:val="tx1"/>
            </w14:solidFill>
          </w14:textFill>
        </w:rPr>
        <w:t>（如果有）；</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722"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pPr>
        <w:spacing w:line="360" w:lineRule="auto"/>
        <w:ind w:firstLine="722"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pPr>
        <w:spacing w:line="360" w:lineRule="auto"/>
        <w:ind w:firstLine="720" w:firstLineChars="300"/>
        <w:rPr>
          <w:rFonts w:hint="eastAsia"/>
          <w:color w:val="000000" w:themeColor="text1"/>
          <w:sz w:val="24"/>
          <w:szCs w:val="24"/>
          <w:highlight w:val="none"/>
          <w:shd w:val="clear" w:color="auto" w:fill="FFFFFF"/>
          <w:lang w:val="en-US" w:eastAsia="zh-CN"/>
          <w14:textFill>
            <w14:solidFill>
              <w14:schemeClr w14:val="tx1"/>
            </w14:solidFill>
          </w14:textFill>
        </w:rPr>
      </w:pPr>
      <w:r>
        <w:rPr>
          <w:rFonts w:hint="eastAsia"/>
          <w:color w:val="000000" w:themeColor="text1"/>
          <w:sz w:val="24"/>
          <w:szCs w:val="24"/>
          <w:highlight w:val="none"/>
          <w:shd w:val="clear" w:color="auto" w:fill="FFFFFF"/>
          <w:lang w:val="en-US" w:eastAsia="zh-CN"/>
          <w14:textFill>
            <w14:solidFill>
              <w14:schemeClr w14:val="tx1"/>
            </w14:solidFill>
          </w14:textFill>
        </w:rPr>
        <w:t>投标人应对投标文件中材料的真实性、合法性负责。投标人可事先在公开官网查询、核对相关证书和报告内容，确保投标文件资料准确无误。</w:t>
      </w:r>
    </w:p>
    <w:p>
      <w:pPr>
        <w:pStyle w:val="130"/>
        <w:snapToGrid w:val="0"/>
        <w:spacing w:before="0"/>
        <w:ind w:firstLine="0" w:firstLineChars="0"/>
        <w:outlineLvl w:val="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12</w:t>
      </w:r>
      <w:r>
        <w:rPr>
          <w:rFonts w:hint="eastAsia" w:ascii="宋体" w:hAnsi="宋体" w:cs="宋体"/>
          <w:b/>
          <w:color w:val="000000" w:themeColor="text1"/>
          <w:kern w:val="0"/>
          <w:szCs w:val="24"/>
          <w:highlight w:val="none"/>
          <w:lang w:val="zh-CN"/>
          <w14:textFill>
            <w14:solidFill>
              <w14:schemeClr w14:val="tx1"/>
            </w14:solidFill>
          </w14:textFill>
        </w:rPr>
        <w:t xml:space="preserve">. </w:t>
      </w:r>
      <w:r>
        <w:rPr>
          <w:rFonts w:hint="eastAsia" w:ascii="宋体" w:hAnsi="宋体" w:cs="宋体"/>
          <w:b/>
          <w:color w:val="000000" w:themeColor="text1"/>
          <w:szCs w:val="24"/>
          <w:highlight w:val="none"/>
          <w14:textFill>
            <w14:solidFill>
              <w14:schemeClr w14:val="tx1"/>
            </w14:solidFill>
          </w14:textFill>
        </w:rPr>
        <w:t>投标文件的编制</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13.投标文件的签署、盖章</w:t>
      </w:r>
    </w:p>
    <w:p>
      <w:pPr>
        <w:pStyle w:val="130"/>
        <w:snapToGrid w:val="0"/>
        <w:spacing w:before="0"/>
        <w:ind w:firstLine="480"/>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13.1投标文件按照招标文件第六部分格式要</w:t>
      </w:r>
      <w:r>
        <w:rPr>
          <w:rFonts w:hint="eastAsia" w:ascii="宋体" w:hAnsi="宋体" w:cs="宋体"/>
          <w:color w:val="000000" w:themeColor="text1"/>
          <w:highlight w:val="none"/>
          <w14:textFill>
            <w14:solidFill>
              <w14:schemeClr w14:val="tx1"/>
            </w14:solidFill>
          </w14:textFill>
        </w:rPr>
        <w:t>求进行签署、盖章。</w:t>
      </w:r>
      <w:r>
        <w:rPr>
          <w:rFonts w:hint="eastAsia" w:ascii="宋体" w:hAnsi="宋体" w:cs="宋体"/>
          <w:b/>
          <w:color w:val="000000" w:themeColor="text1"/>
          <w:highlight w:val="none"/>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highlight w:val="none"/>
          <w14:textFill>
            <w14:solidFill>
              <w14:schemeClr w14:val="tx1"/>
            </w14:solidFill>
          </w14:textFill>
        </w:rPr>
        <w:t>。</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pPr>
        <w:pStyle w:val="130"/>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13.3招标文件对投标文件签署、盖章的要求适用于电子签名。</w:t>
      </w:r>
    </w:p>
    <w:p>
      <w:pPr>
        <w:pStyle w:val="13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14. 投标文件的提交、补充、修改、撤回</w:t>
      </w:r>
    </w:p>
    <w:p>
      <w:pPr>
        <w:pStyle w:val="13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color w:val="000000" w:themeColor="text1"/>
          <w:szCs w:val="24"/>
          <w:highlight w:val="none"/>
          <w14:textFill>
            <w14:solidFill>
              <w14:schemeClr w14:val="tx1"/>
            </w14:solidFill>
          </w14:textFill>
        </w:rPr>
        <w:tab/>
      </w:r>
    </w:p>
    <w:p>
      <w:pPr>
        <w:pStyle w:val="13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14.3采购人、采购机构可以视情况延长投标文件提交的截止时间。在上述情况下，采购机构与投标人以前在投标截止期方面的全部权利、责任和义务，将适用于延长至新的投标截止期。</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15.备份投标文件</w:t>
      </w:r>
    </w:p>
    <w:p>
      <w:pPr>
        <w:pStyle w:val="32"/>
        <w:spacing w:line="360" w:lineRule="auto"/>
        <w:ind w:firstLine="360" w:firstLineChars="15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hAnsi="宋体" w:cs="宋体"/>
          <w:b/>
          <w:color w:val="000000" w:themeColor="text1"/>
          <w:sz w:val="24"/>
          <w:szCs w:val="24"/>
          <w:highlight w:val="none"/>
          <w14:textFill>
            <w14:solidFill>
              <w14:schemeClr w14:val="tx1"/>
            </w14:solidFill>
          </w14:textFill>
        </w:rPr>
        <w:t>但采购人、采购机构不强制或变相强制投标人提交备份投标文件。</w:t>
      </w:r>
    </w:p>
    <w:p>
      <w:pPr>
        <w:pStyle w:val="32"/>
        <w:spacing w:line="360" w:lineRule="auto"/>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15.2备份投标文件须在“政采云投标客户端”制作生成，并储存在</w:t>
      </w:r>
      <w:r>
        <w:rPr>
          <w:rFonts w:hint="eastAsia" w:hAnsi="宋体" w:cs="宋体"/>
          <w:color w:val="000000" w:themeColor="text1"/>
          <w:sz w:val="24"/>
          <w:highlight w:val="none"/>
          <w14:textFill>
            <w14:solidFill>
              <w14:schemeClr w14:val="tx1"/>
            </w14:solidFill>
          </w14:textFill>
        </w:rPr>
        <w:t>DVD光盘</w:t>
      </w:r>
      <w:r>
        <w:rPr>
          <w:rFonts w:hint="eastAsia" w:hAnsi="宋体" w:cs="宋体"/>
          <w:color w:val="000000" w:themeColor="text1"/>
          <w:sz w:val="24"/>
          <w:szCs w:val="24"/>
          <w:highlight w:val="none"/>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highlight w:val="none"/>
          <w14:textFill>
            <w14:solidFill>
              <w14:schemeClr w14:val="tx1"/>
            </w14:solidFill>
          </w14:textFill>
        </w:rPr>
        <w:t>不符合上述制作、</w:t>
      </w:r>
      <w:r>
        <w:rPr>
          <w:rFonts w:hint="eastAsia" w:hAnsi="宋体" w:cs="宋体"/>
          <w:b/>
          <w:color w:val="000000" w:themeColor="text1"/>
          <w:sz w:val="24"/>
          <w:szCs w:val="24"/>
          <w:highlight w:val="none"/>
          <w14:textFill>
            <w14:solidFill>
              <w14:schemeClr w14:val="tx1"/>
            </w14:solidFill>
          </w14:textFill>
        </w:rPr>
        <w:t>存储、密封规定的备份投标文件将被视为无效或者被拒绝接收。</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15.3直接提交备份投标文件的，投标人应于投标截止时间前在招标公告中载明的开标地点将备份投标文件提交给采购机构，采购机构将拒绝接受逾期送达的备份投标文件。</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00000" w:themeColor="text1"/>
          <w:sz w:val="24"/>
          <w:szCs w:val="24"/>
          <w:highlight w:val="none"/>
          <w14:textFill>
            <w14:solidFill>
              <w14:schemeClr w14:val="tx1"/>
            </w14:solidFill>
          </w14:textFill>
        </w:rPr>
        <w:t>招标文件第二部分投标人须知前附表规定的备份投标文件送达地点；</w:t>
      </w:r>
      <w:r>
        <w:rPr>
          <w:rFonts w:hint="eastAsia" w:hAnsi="宋体" w:cs="宋体"/>
          <w:color w:val="000000" w:themeColor="text1"/>
          <w:sz w:val="24"/>
          <w:szCs w:val="24"/>
          <w:highlight w:val="none"/>
          <w14:textFill>
            <w14:solidFill>
              <w14:schemeClr w14:val="tx1"/>
            </w14:solidFill>
          </w14:textFill>
        </w:rPr>
        <w:t>送达时间以签收人签收时间为准。采购机构将拒绝接受逾期送达的备份投标文件。邮寄过程中，电子备份投标文件发生泄露、遗失、损坏或延期送达等情况的，由投标人自行负责。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15.5投标人仅提交备份投标文件，未在电子交易平台传输递交投标文件的，投标无效。</w:t>
      </w:r>
    </w:p>
    <w:p>
      <w:pPr>
        <w:pStyle w:val="13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16.投标文件的无效处理</w:t>
      </w:r>
    </w:p>
    <w:p>
      <w:pPr>
        <w:pStyle w:val="24"/>
        <w:spacing w:line="360" w:lineRule="auto"/>
        <w:ind w:firstLine="360" w:firstLineChars="15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有招标文件第四部分</w:t>
      </w:r>
      <w:r>
        <w:rPr>
          <w:rFonts w:cs="宋体"/>
          <w:color w:val="000000" w:themeColor="text1"/>
          <w:highlight w:val="none"/>
          <w14:textFill>
            <w14:solidFill>
              <w14:schemeClr w14:val="tx1"/>
            </w14:solidFill>
          </w14:textFill>
        </w:rPr>
        <w:t>4.2规定</w:t>
      </w:r>
      <w:r>
        <w:rPr>
          <w:rFonts w:hint="eastAsia" w:cs="宋体"/>
          <w:color w:val="000000" w:themeColor="text1"/>
          <w:szCs w:val="21"/>
          <w:highlight w:val="none"/>
          <w14:textFill>
            <w14:solidFill>
              <w14:schemeClr w14:val="tx1"/>
            </w14:solidFill>
          </w14:textFill>
        </w:rPr>
        <w:t>的情形之一的，投标无效：</w:t>
      </w:r>
    </w:p>
    <w:p>
      <w:pPr>
        <w:pStyle w:val="13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17.投标有效期</w:t>
      </w:r>
    </w:p>
    <w:p>
      <w:pPr>
        <w:spacing w:line="360" w:lineRule="auto"/>
        <w:ind w:firstLine="480"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17.1投标有效期为从提交投标文件的截止之日起90天。▲</w:t>
      </w:r>
      <w:r>
        <w:rPr>
          <w:rFonts w:hint="eastAsia" w:ascii="宋体" w:hAnsi="宋体" w:cs="宋体"/>
          <w:b/>
          <w:color w:val="000000" w:themeColor="text1"/>
          <w:sz w:val="24"/>
          <w:szCs w:val="20"/>
          <w:highlight w:val="none"/>
          <w14:textFill>
            <w14:solidFill>
              <w14:schemeClr w14:val="tx1"/>
            </w14:solidFill>
          </w14:textFill>
        </w:rPr>
        <w:t>投标人的投标文件中承</w:t>
      </w:r>
      <w:r>
        <w:rPr>
          <w:rFonts w:hint="eastAsia" w:ascii="宋体" w:hAnsi="宋体" w:cs="宋体"/>
          <w:b/>
          <w:color w:val="000000" w:themeColor="text1"/>
          <w:sz w:val="24"/>
          <w:szCs w:val="21"/>
          <w:highlight w:val="none"/>
          <w14:textFill>
            <w14:solidFill>
              <w14:schemeClr w14:val="tx1"/>
            </w14:solidFill>
          </w14:textFill>
        </w:rPr>
        <w:t>诺的投标有效期少于招标文件中载明的投标有效期的，投标无效。</w:t>
      </w:r>
    </w:p>
    <w:p>
      <w:pPr>
        <w:pStyle w:val="13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17.2投标文件合格投递后，自投标截止日期起，在投标有效期内有效。</w:t>
      </w:r>
    </w:p>
    <w:p>
      <w:pPr>
        <w:pStyle w:val="13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17.3在原定投标有效期满之前，如果出现特殊情况，采购机构可以以书面形式通知投标人延长投标有效期。投标人同意延长的，不得要求或被允许修改其投标文件，投标人拒绝延长的，其投标无效。</w:t>
      </w:r>
    </w:p>
    <w:p>
      <w:pPr>
        <w:pStyle w:val="13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17.4在投标截止时间起至投标有效期届满，供应商投标文件不可撤销。</w:t>
      </w:r>
    </w:p>
    <w:p>
      <w:pPr>
        <w:pStyle w:val="130"/>
        <w:spacing w:before="0"/>
        <w:ind w:firstLine="643"/>
        <w:rPr>
          <w:rFonts w:ascii="宋体" w:hAnsi="宋体" w:cs="宋体"/>
          <w:b/>
          <w:color w:val="000000" w:themeColor="text1"/>
          <w:sz w:val="32"/>
          <w:highlight w:val="none"/>
          <w14:textFill>
            <w14:solidFill>
              <w14:schemeClr w14:val="tx1"/>
            </w14:solidFill>
          </w14:textFill>
        </w:rPr>
      </w:pPr>
    </w:p>
    <w:p>
      <w:pPr>
        <w:pStyle w:val="130"/>
        <w:spacing w:before="0"/>
        <w:ind w:firstLine="3533" w:firstLineChars="1100"/>
        <w:jc w:val="both"/>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四、开标</w:t>
      </w:r>
    </w:p>
    <w:p>
      <w:pPr>
        <w:pStyle w:val="556"/>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18.开标</w:t>
      </w:r>
      <w:r>
        <w:rPr>
          <w:rFonts w:hint="eastAsia" w:ascii="宋体" w:hAnsi="宋体" w:cs="宋体"/>
          <w:color w:val="000000" w:themeColor="text1"/>
          <w:sz w:val="24"/>
          <w:highlight w:val="none"/>
          <w14:textFill>
            <w14:solidFill>
              <w14:schemeClr w14:val="tx1"/>
            </w14:solidFill>
          </w14:textFill>
        </w:rPr>
        <w:t xml:space="preserve"> </w:t>
      </w:r>
    </w:p>
    <w:p>
      <w:pPr>
        <w:pStyle w:val="556"/>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18.1采购机构按照招标文件规定的时间通过电子交易平台组织开标，所有投标人均应当准时在线参加。投标人不足3家的，不得开标。</w:t>
      </w:r>
    </w:p>
    <w:p>
      <w:pPr>
        <w:pStyle w:val="556"/>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18.2开标时，电子交易平台按开标时间自动提取所有投标文件。采购机构依托电子交易平台发起开始解密指令，投标人按照平台提示和招标文件的规定在半小时内完成在线解密。</w:t>
      </w:r>
    </w:p>
    <w:p>
      <w:pPr>
        <w:pStyle w:val="556"/>
        <w:spacing w:before="0" w:line="360" w:lineRule="auto"/>
        <w:ind w:left="0" w:firstLine="240" w:firstLineChars="100"/>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18.3</w:t>
      </w:r>
      <w:r>
        <w:rPr>
          <w:rFonts w:hint="eastAsia" w:ascii="宋体" w:hAnsi="宋体" w:cs="宋体"/>
          <w:b/>
          <w:color w:val="000000" w:themeColor="text1"/>
          <w:sz w:val="24"/>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　</w:t>
      </w:r>
      <w:r>
        <w:rPr>
          <w:rFonts w:hint="eastAsia" w:ascii="宋体" w:hAnsi="宋体" w:cs="宋体"/>
          <w:b/>
          <w:color w:val="000000" w:themeColor="text1"/>
          <w:sz w:val="36"/>
          <w:szCs w:val="36"/>
          <w:highlight w:val="none"/>
          <w:lang w:val="en-US" w:eastAsia="zh-CN"/>
          <w14:textFill>
            <w14:solidFill>
              <w14:schemeClr w14:val="tx1"/>
            </w14:solidFill>
          </w14:textFill>
        </w:rPr>
        <w:t>五、</w:t>
      </w:r>
      <w:r>
        <w:rPr>
          <w:rFonts w:hint="eastAsia" w:ascii="宋体" w:hAnsi="宋体" w:cs="宋体"/>
          <w:b/>
          <w:color w:val="000000" w:themeColor="text1"/>
          <w:sz w:val="36"/>
          <w:szCs w:val="36"/>
          <w:highlight w:val="none"/>
          <w14:textFill>
            <w14:solidFill>
              <w14:schemeClr w14:val="tx1"/>
            </w14:solidFill>
          </w14:textFill>
        </w:rPr>
        <w:t>资格审查</w:t>
      </w:r>
    </w:p>
    <w:p>
      <w:pPr>
        <w:widowControl/>
        <w:spacing w:before="100" w:beforeAutospacing="1" w:after="240" w:line="360" w:lineRule="auto"/>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19、资格审查</w:t>
      </w:r>
    </w:p>
    <w:p>
      <w:pPr>
        <w:pStyle w:val="130"/>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19.1开标后，采购人将依据法律法规和招标文件的规定，对投标人的资格进行审查。</w:t>
      </w:r>
    </w:p>
    <w:p>
      <w:pPr>
        <w:pStyle w:val="13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19.2投标人未按照招标文件要求提供与</w:t>
      </w:r>
      <w:r>
        <w:rPr>
          <w:rFonts w:hint="eastAsia" w:ascii="宋体" w:hAnsi="宋体" w:cs="宋体"/>
          <w:color w:val="000000" w:themeColor="text1"/>
          <w:highlight w:val="none"/>
          <w14:textFill>
            <w14:solidFill>
              <w14:schemeClr w14:val="tx1"/>
            </w14:solidFill>
          </w14:textFill>
        </w:rPr>
        <w:t>资格条件相应的</w:t>
      </w:r>
      <w:r>
        <w:rPr>
          <w:rFonts w:hint="eastAsia" w:ascii="宋体" w:hAnsi="宋体" w:cs="宋体"/>
          <w:color w:val="000000" w:themeColor="text1"/>
          <w:kern w:val="0"/>
          <w:szCs w:val="24"/>
          <w:highlight w:val="none"/>
          <w14:textFill>
            <w14:solidFill>
              <w14:schemeClr w14:val="tx1"/>
            </w14:solidFill>
          </w14:textFill>
        </w:rPr>
        <w:t>有效资格证明材料的，视为</w:t>
      </w:r>
      <w:r>
        <w:rPr>
          <w:rFonts w:hint="eastAsia" w:ascii="宋体" w:hAnsi="宋体" w:cs="宋体"/>
          <w:color w:val="000000" w:themeColor="text1"/>
          <w:highlight w:val="none"/>
          <w14:textFill>
            <w14:solidFill>
              <w14:schemeClr w14:val="tx1"/>
            </w14:solidFill>
          </w14:textFill>
        </w:rPr>
        <w:t>投标人不具备招标文件中规定的资格要求，其投标无效。</w:t>
      </w:r>
    </w:p>
    <w:p>
      <w:pPr>
        <w:pStyle w:val="13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3对未通过资格审查的投标人，告知其未通过的原因。</w:t>
      </w:r>
    </w:p>
    <w:p>
      <w:pPr>
        <w:pStyle w:val="13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4合格投标人不足3家的，不再评标。</w:t>
      </w:r>
    </w:p>
    <w:p>
      <w:pPr>
        <w:pStyle w:val="130"/>
        <w:spacing w:before="0"/>
        <w:ind w:firstLine="240" w:firstLineChars="10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20、信用信息查询</w:t>
      </w:r>
    </w:p>
    <w:p>
      <w:pPr>
        <w:pStyle w:val="130"/>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20.1信用信息查询渠道及截止时间：</w:t>
      </w:r>
      <w:r>
        <w:rPr>
          <w:rFonts w:hint="eastAsia" w:ascii="宋体" w:hAnsi="宋体" w:cs="宋体"/>
          <w:color w:val="000000" w:themeColor="text1"/>
          <w:kern w:val="0"/>
          <w:szCs w:val="24"/>
          <w:highlight w:val="none"/>
          <w:lang w:val="en-US" w:eastAsia="zh-CN"/>
          <w14:textFill>
            <w14:solidFill>
              <w14:schemeClr w14:val="tx1"/>
            </w14:solidFill>
          </w14:textFill>
        </w:rPr>
        <w:t>采购人</w:t>
      </w:r>
      <w:r>
        <w:rPr>
          <w:rFonts w:hint="eastAsia" w:ascii="宋体" w:hAnsi="宋体" w:cs="宋体"/>
          <w:color w:val="000000" w:themeColor="text1"/>
          <w:kern w:val="0"/>
          <w:szCs w:val="24"/>
          <w:highlight w:val="none"/>
          <w14:textFill>
            <w14:solidFill>
              <w14:schemeClr w14:val="tx1"/>
            </w14:solidFill>
          </w14:textFill>
        </w:rPr>
        <w:t>将在资格审查时通过“信用中国”网站(www.creditchina.gov.cn)、中国政府采购网(www.ccgp.gov.cn)渠道查询投标人接受资格审查时的信用记录。</w:t>
      </w:r>
    </w:p>
    <w:p>
      <w:pPr>
        <w:pStyle w:val="130"/>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pPr>
        <w:pStyle w:val="130"/>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pPr>
        <w:pStyle w:val="13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highlight w:val="none"/>
          <w14:textFill>
            <w14:solidFill>
              <w14:schemeClr w14:val="tx1"/>
            </w14:solidFill>
          </w14:textFill>
        </w:rPr>
        <w:t>。</w:t>
      </w:r>
    </w:p>
    <w:p>
      <w:pPr>
        <w:pStyle w:val="130"/>
        <w:spacing w:before="0"/>
        <w:ind w:firstLine="0" w:firstLineChars="0"/>
        <w:rPr>
          <w:rFonts w:ascii="宋体" w:hAnsi="宋体" w:cs="宋体"/>
          <w:color w:val="000000" w:themeColor="text1"/>
          <w:kern w:val="0"/>
          <w:szCs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六</w:t>
      </w:r>
      <w:r>
        <w:rPr>
          <w:rFonts w:hint="eastAsia" w:ascii="宋体" w:hAnsi="宋体" w:cs="宋体"/>
          <w:b/>
          <w:color w:val="000000" w:themeColor="text1"/>
          <w:sz w:val="36"/>
          <w:szCs w:val="36"/>
          <w:highlight w:val="none"/>
          <w14:textFill>
            <w14:solidFill>
              <w14:schemeClr w14:val="tx1"/>
            </w14:solidFill>
          </w14:textFill>
        </w:rPr>
        <w:t>、评标</w:t>
      </w:r>
    </w:p>
    <w:p>
      <w:pPr>
        <w:spacing w:line="360" w:lineRule="auto"/>
        <w:rPr>
          <w:rFonts w:ascii="宋体" w:hAnsi="宋体" w:cs="宋体"/>
          <w:b/>
          <w:color w:val="000000" w:themeColor="text1"/>
          <w:sz w:val="24"/>
          <w:highlight w:val="none"/>
          <w14:textFill>
            <w14:solidFill>
              <w14:schemeClr w14:val="tx1"/>
            </w14:solidFill>
          </w14:textFill>
        </w:rPr>
      </w:pPr>
      <w:bookmarkStart w:id="17" w:name="_Toc91899903"/>
      <w:r>
        <w:rPr>
          <w:rFonts w:hint="eastAsia" w:ascii="宋体" w:hAnsi="宋体" w:cs="宋体"/>
          <w:b/>
          <w:color w:val="000000" w:themeColor="text1"/>
          <w:sz w:val="24"/>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themeColor="text1"/>
          <w:sz w:val="24"/>
          <w:highlight w:val="none"/>
          <w14:textFill>
            <w14:solidFill>
              <w14:schemeClr w14:val="tx1"/>
            </w14:solidFill>
          </w14:textFill>
        </w:rPr>
        <w:t>详见招标文件第四部分评标办法。</w:t>
      </w:r>
    </w:p>
    <w:p>
      <w:pPr>
        <w:spacing w:line="360" w:lineRule="auto"/>
        <w:rPr>
          <w:rFonts w:ascii="宋体" w:hAnsi="宋体" w:cs="宋体"/>
          <w:b/>
          <w:color w:val="000000" w:themeColor="text1"/>
          <w:sz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七</w:t>
      </w:r>
      <w:r>
        <w:rPr>
          <w:rFonts w:hint="eastAsia" w:ascii="宋体" w:hAnsi="宋体" w:cs="宋体"/>
          <w:b/>
          <w:color w:val="000000" w:themeColor="text1"/>
          <w:sz w:val="36"/>
          <w:szCs w:val="36"/>
          <w:highlight w:val="none"/>
          <w14:textFill>
            <w14:solidFill>
              <w14:schemeClr w14:val="tx1"/>
            </w14:solidFill>
          </w14:textFill>
        </w:rPr>
        <w:t>、定 标</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22. 确定中标供应商</w:t>
      </w:r>
    </w:p>
    <w:p>
      <w:pPr>
        <w:pStyle w:val="130"/>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为提高政府采购效率，</w:t>
      </w:r>
      <w:r>
        <w:rPr>
          <w:rFonts w:hint="eastAsia" w:ascii="宋体" w:hAnsi="宋体" w:cs="宋体"/>
          <w:color w:val="000000" w:themeColor="text1"/>
          <w:szCs w:val="24"/>
          <w:highlight w:val="none"/>
          <w:lang w:val="en-US" w:eastAsia="zh-CN"/>
          <w14:textFill>
            <w14:solidFill>
              <w14:schemeClr w14:val="tx1"/>
            </w14:solidFill>
          </w14:textFill>
        </w:rPr>
        <w:t>鼓励</w:t>
      </w:r>
      <w:r>
        <w:rPr>
          <w:rFonts w:hint="eastAsia" w:ascii="宋体" w:hAnsi="宋体" w:cs="宋体"/>
          <w:color w:val="000000" w:themeColor="text1"/>
          <w:szCs w:val="24"/>
          <w:highlight w:val="none"/>
          <w14:textFill>
            <w14:solidFill>
              <w14:schemeClr w14:val="tx1"/>
            </w14:solidFill>
          </w14:textFill>
        </w:rPr>
        <w:t>在收到评审报告当天</w:t>
      </w:r>
      <w:r>
        <w:rPr>
          <w:rFonts w:hint="eastAsia" w:ascii="宋体" w:hAnsi="宋体" w:cs="宋体"/>
          <w:color w:val="000000" w:themeColor="text1"/>
          <w:szCs w:val="24"/>
          <w:highlight w:val="none"/>
          <w:lang w:val="en-US" w:eastAsia="zh-CN"/>
          <w14:textFill>
            <w14:solidFill>
              <w14:schemeClr w14:val="tx1"/>
            </w14:solidFill>
          </w14:textFill>
        </w:rPr>
        <w:t>在线</w:t>
      </w:r>
      <w:r>
        <w:rPr>
          <w:rFonts w:hint="eastAsia" w:ascii="宋体" w:hAnsi="宋体" w:cs="宋体"/>
          <w:color w:val="000000" w:themeColor="text1"/>
          <w:szCs w:val="24"/>
          <w:highlight w:val="none"/>
          <w14:textFill>
            <w14:solidFill>
              <w14:schemeClr w14:val="tx1"/>
            </w14:solidFill>
          </w14:textFill>
        </w:rPr>
        <w:t>确定中标或者成交供应商。中标通知书和中标结果公告应当在规定时间内同时发出。</w:t>
      </w:r>
    </w:p>
    <w:p>
      <w:pPr>
        <w:pStyle w:val="130"/>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23. 中标通知与中标结果公告</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中标结果公告内容包括采购人及其委托的采购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widowControl/>
        <w:shd w:val="clear" w:color="auto" w:fill="FFFFFF"/>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23.3公告期限为1个工作日。</w:t>
      </w:r>
    </w:p>
    <w:p>
      <w:pPr>
        <w:pStyle w:val="3"/>
        <w:tabs>
          <w:tab w:val="clear" w:pos="432"/>
        </w:tabs>
        <w:ind w:left="12" w:hanging="12"/>
        <w:rPr>
          <w:rFonts w:hint="default" w:cs="仿宋_GB2312" w:asciiTheme="minorEastAsia" w:hAnsiTheme="minorEastAsia" w:eastAsiaTheme="minorEastAsia"/>
          <w:b w:val="0"/>
          <w:bCs w:val="0"/>
          <w:i w:val="0"/>
          <w:iCs w:val="0"/>
          <w:caps w:val="0"/>
          <w:color w:val="000000" w:themeColor="text1"/>
          <w:spacing w:val="0"/>
          <w:kern w:val="2"/>
          <w:sz w:val="24"/>
          <w:szCs w:val="24"/>
          <w:highlight w:val="none"/>
          <w:shd w:val="clear"/>
          <w14:textFill>
            <w14:solidFill>
              <w14:schemeClr w14:val="tx1"/>
            </w14:solidFill>
          </w14:textFill>
        </w:rPr>
      </w:pPr>
      <w:r>
        <w:rPr>
          <w:rFonts w:hint="default" w:cs="仿宋_GB2312" w:asciiTheme="minorEastAsia" w:hAnsiTheme="minorEastAsia" w:eastAsiaTheme="minorEastAsia"/>
          <w:b/>
          <w:bCs/>
          <w:color w:val="000000" w:themeColor="text1"/>
          <w:kern w:val="2"/>
          <w:sz w:val="24"/>
          <w:szCs w:val="24"/>
          <w:highlight w:val="none"/>
          <w:lang w:val="zh-CN" w:eastAsia="zh-CN" w:bidi="ar-SA"/>
          <w14:textFill>
            <w14:solidFill>
              <w14:schemeClr w14:val="tx1"/>
            </w14:solidFill>
          </w14:textFill>
        </w:rPr>
        <w:t>24.</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投标</w:t>
      </w:r>
      <w:r>
        <w:rPr>
          <w:rFonts w:hint="eastAsia" w:ascii="宋体" w:hAnsi="宋体" w:eastAsia="宋体" w:cs="宋体"/>
          <w:b/>
          <w:bCs/>
          <w:color w:val="000000" w:themeColor="text1"/>
          <w:kern w:val="2"/>
          <w:sz w:val="24"/>
          <w:szCs w:val="24"/>
          <w:highlight w:val="none"/>
          <w:lang w:val="zh-CN" w:eastAsia="zh-CN"/>
          <w14:textFill>
            <w14:solidFill>
              <w14:schemeClr w14:val="tx1"/>
            </w14:solidFill>
          </w14:textFill>
        </w:rPr>
        <w:t>材料</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复核</w:t>
      </w:r>
      <w:r>
        <w:rPr>
          <w:rFonts w:hint="eastAsia" w:ascii="宋体" w:hAnsi="宋体" w:eastAsia="宋体" w:cs="宋体"/>
          <w:b/>
          <w:bCs/>
          <w:color w:val="000000" w:themeColor="text1"/>
          <w:kern w:val="2"/>
          <w:sz w:val="24"/>
          <w:szCs w:val="24"/>
          <w:highlight w:val="none"/>
          <w:lang w:val="zh-CN"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在评审结束后、</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确认采购结果</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前，采购人</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将</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。中标供应商须</w:t>
      </w:r>
      <w:r>
        <w:rPr>
          <w:rFonts w:hint="eastAsia" w:ascii="宋体" w:hAnsi="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积极</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000000" w:themeColor="text1"/>
          <w:spacing w:val="0"/>
          <w:kern w:val="2"/>
          <w:sz w:val="24"/>
          <w:szCs w:val="24"/>
          <w:highlight w:val="none"/>
          <w:shd w:val="clear"/>
          <w14:textFill>
            <w14:solidFill>
              <w14:schemeClr w14:val="tx1"/>
            </w14:solidFill>
          </w14:textFill>
        </w:rPr>
        <w:t>。</w:t>
      </w:r>
    </w:p>
    <w:p>
      <w:pPr>
        <w:rPr>
          <w:rFonts w:hint="default"/>
          <w:color w:val="000000" w:themeColor="text1"/>
          <w:highlight w:val="none"/>
          <w14:textFill>
            <w14:solidFill>
              <w14:schemeClr w14:val="tx1"/>
            </w14:solidFill>
          </w14:textFill>
        </w:rPr>
      </w:pPr>
    </w:p>
    <w:p>
      <w:pPr>
        <w:snapToGrid w:val="0"/>
        <w:spacing w:line="360" w:lineRule="auto"/>
        <w:ind w:left="120" w:leftChars="57" w:firstLine="481" w:firstLineChars="150"/>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lang w:eastAsia="zh-CN"/>
          <w14:textFill>
            <w14:solidFill>
              <w14:schemeClr w14:val="tx1"/>
            </w14:solidFill>
          </w14:textFill>
        </w:rPr>
        <w:t>八</w:t>
      </w:r>
      <w:r>
        <w:rPr>
          <w:rFonts w:hint="eastAsia" w:ascii="宋体" w:hAnsi="宋体" w:cs="宋体"/>
          <w:b/>
          <w:color w:val="000000" w:themeColor="text1"/>
          <w:sz w:val="32"/>
          <w:highlight w:val="none"/>
          <w14:textFill>
            <w14:solidFill>
              <w14:schemeClr w14:val="tx1"/>
            </w14:solidFill>
          </w14:textFill>
        </w:rPr>
        <w:t>、合同授予</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5</w:t>
      </w:r>
      <w:r>
        <w:rPr>
          <w:rFonts w:hint="eastAsia" w:cs="宋体"/>
          <w:b/>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合同主要条款详见第五部分拟签订的合同文本。</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6</w:t>
      </w:r>
      <w:r>
        <w:rPr>
          <w:rFonts w:hint="eastAsia" w:cs="宋体"/>
          <w:b/>
          <w:color w:val="000000" w:themeColor="text1"/>
          <w:highlight w:val="none"/>
          <w14:textFill>
            <w14:solidFill>
              <w14:schemeClr w14:val="tx1"/>
            </w14:solidFill>
          </w14:textFill>
        </w:rPr>
        <w:t>. 合同的签订</w:t>
      </w:r>
    </w:p>
    <w:p>
      <w:pPr>
        <w:widowControl/>
        <w:shd w:val="clear" w:color="auto" w:fill="FFFFFF"/>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0"/>
        <w:snapToGrid w:val="0"/>
        <w:spacing w:before="0"/>
        <w:ind w:firstLine="48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t>2</w:t>
      </w: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cs="宋体"/>
          <w:color w:val="000000" w:themeColor="text1"/>
          <w:kern w:val="0"/>
          <w:highlight w:val="none"/>
          <w:lang w:val="zh-CN"/>
          <w14:textFill>
            <w14:solidFill>
              <w14:schemeClr w14:val="tx1"/>
            </w14:solidFill>
          </w14:textFill>
        </w:rPr>
        <w:t>.2中标人按规定的日期、时间、地点，由法定代表人或其授权代表与采购人代表签订合同。如中标人为联合体的，由联合体成员各方法定代表人或其授权代表与采购人代表签订合同。</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.3如签订合同并生效后，供应商无故拒绝或延期，除按照合同条款处理外，列入不良行为记录一次，并给予通报。</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.4中标供应商拒绝与采购人签订合同的，采购人可以按照评审报告推荐的中标或者成交候选人名单排序，确定下一候选人为中标供应商，也可以重新开展政府采购活动。</w:t>
      </w:r>
    </w:p>
    <w:p>
      <w:pPr>
        <w:pStyle w:val="130"/>
        <w:snapToGrid w:val="0"/>
        <w:spacing w:before="0" w:after="12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.5采购合同由采购人与中标供应商根据招标文件、投标文件等内容通过政府采购电子交易平台在线签订，自动备案。</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7</w:t>
      </w:r>
      <w:r>
        <w:rPr>
          <w:rFonts w:hint="eastAsia" w:cs="宋体"/>
          <w:b/>
          <w:color w:val="000000" w:themeColor="text1"/>
          <w:highlight w:val="none"/>
          <w14:textFill>
            <w14:solidFill>
              <w14:schemeClr w14:val="tx1"/>
            </w14:solidFill>
          </w14:textFill>
        </w:rPr>
        <w:t>. 履约保证金</w:t>
      </w:r>
    </w:p>
    <w:p>
      <w:pPr>
        <w:tabs>
          <w:tab w:val="left" w:pos="0"/>
        </w:tabs>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拟签订的合同文本要求中标供应商提交履约保证金的，供应商应当以支票、汇票、本票或者金融机构、担保机构出具的保函等非现金形式提交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。履约保证金的数额不得超过政府采购合同金额的</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pPr>
        <w:pStyle w:val="3"/>
        <w:ind w:left="0" w:firstLine="480" w:firstLineChars="200"/>
        <w:rPr>
          <w:rFonts w:hint="eastAsia" w:ascii="宋体" w:hAnsi="宋体" w:eastAsia="宋体" w:cs="宋体"/>
          <w:b w:val="0"/>
          <w:bCs w:val="0"/>
          <w:snapToGrid w:val="0"/>
          <w:color w:val="000000" w:themeColor="text1"/>
          <w:kern w:val="28"/>
          <w:sz w:val="24"/>
          <w:highlight w:val="none"/>
          <w14:textFill>
            <w14:solidFill>
              <w14:schemeClr w14:val="tx1"/>
            </w14:solidFill>
          </w14:textFill>
        </w:rPr>
      </w:pP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供应商</w:t>
      </w:r>
      <w:r>
        <w:rPr>
          <w:rFonts w:hint="eastAsia" w:ascii="宋体" w:hAnsi="宋体" w:eastAsia="宋体" w:cs="宋体"/>
          <w:b w:val="0"/>
          <w:bCs w:val="0"/>
          <w:snapToGrid w:val="0"/>
          <w:color w:val="000000" w:themeColor="text1"/>
          <w:kern w:val="28"/>
          <w:sz w:val="24"/>
          <w:highlight w:val="none"/>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w:t>
      </w:r>
    </w:p>
    <w:p>
      <w:pPr>
        <w:pStyle w:val="3"/>
        <w:rPr>
          <w:color w:val="000000" w:themeColor="text1"/>
          <w:highlight w:val="none"/>
          <w14:textFill>
            <w14:solidFill>
              <w14:schemeClr w14:val="tx1"/>
            </w14:solidFill>
          </w14:textFill>
        </w:rPr>
      </w:pPr>
      <w:r>
        <w:rPr>
          <w:rFonts w:ascii="宋体" w:hAnsi="宋体" w:eastAsia="宋体"/>
          <w:b/>
          <w:bCs/>
          <w:color w:val="000000" w:themeColor="text1"/>
          <w:sz w:val="24"/>
          <w:szCs w:val="32"/>
          <w:highlight w:val="none"/>
          <w:lang w:val="en-US"/>
          <w14:textFill>
            <w14:solidFill>
              <w14:schemeClr w14:val="tx1"/>
            </w14:solidFill>
          </w14:textFill>
        </w:rPr>
        <w:t>2</w:t>
      </w:r>
      <w:r>
        <w:rPr>
          <w:rFonts w:hint="eastAsia" w:ascii="宋体" w:hAnsi="宋体" w:eastAsia="宋体"/>
          <w:b/>
          <w:bCs/>
          <w:color w:val="000000" w:themeColor="text1"/>
          <w:sz w:val="24"/>
          <w:szCs w:val="32"/>
          <w:highlight w:val="none"/>
          <w:lang w:val="en-US" w:eastAsia="zh-CN"/>
          <w14:textFill>
            <w14:solidFill>
              <w14:schemeClr w14:val="tx1"/>
            </w14:solidFill>
          </w14:textFill>
        </w:rPr>
        <w:t>8</w:t>
      </w:r>
      <w:r>
        <w:rPr>
          <w:rFonts w:ascii="宋体" w:hAnsi="宋体" w:eastAsia="宋体"/>
          <w:b/>
          <w:bCs/>
          <w:color w:val="000000" w:themeColor="text1"/>
          <w:sz w:val="24"/>
          <w:szCs w:val="32"/>
          <w:highlight w:val="none"/>
          <w:lang w:val="en-US"/>
          <w14:textFill>
            <w14:solidFill>
              <w14:schemeClr w14:val="tx1"/>
            </w14:solidFill>
          </w14:textFill>
        </w:rPr>
        <w:t>.预付款</w:t>
      </w:r>
    </w:p>
    <w:p>
      <w:pPr>
        <w:tabs>
          <w:tab w:val="left" w:pos="0"/>
        </w:tabs>
        <w:spacing w:line="360" w:lineRule="auto"/>
        <w:ind w:firstLine="482"/>
        <w:rPr>
          <w:rFonts w:hint="eastAsia" w:ascii="宋体" w:hAnsi="宋体" w:cs="宋体"/>
          <w:color w:val="000000" w:themeColor="text1"/>
          <w:kern w:val="0"/>
          <w:sz w:val="24"/>
          <w:highlight w:val="none"/>
          <w:lang w:val="en-US"/>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宋体" w:hAnsi="宋体" w:cs="宋体"/>
          <w:color w:val="000000" w:themeColor="text1"/>
          <w:kern w:val="0"/>
          <w:sz w:val="24"/>
          <w:highlight w:val="none"/>
          <w14:textFill>
            <w14:solidFill>
              <w14:schemeClr w14:val="tx1"/>
            </w14:solidFill>
          </w14:textFill>
        </w:rPr>
        <w:t>。</w:t>
      </w:r>
    </w:p>
    <w:p>
      <w:pPr>
        <w:snapToGrid w:val="0"/>
        <w:spacing w:line="360" w:lineRule="auto"/>
        <w:ind w:firstLine="3357" w:firstLineChars="1045"/>
        <w:rPr>
          <w:rFonts w:ascii="宋体" w:hAnsi="宋体" w:cs="宋体"/>
          <w:b/>
          <w:color w:val="000000" w:themeColor="text1"/>
          <w:sz w:val="32"/>
          <w:highlight w:val="none"/>
          <w14:textFill>
            <w14:solidFill>
              <w14:schemeClr w14:val="tx1"/>
            </w14:solidFill>
          </w14:textFill>
        </w:rPr>
      </w:pPr>
    </w:p>
    <w:p>
      <w:pPr>
        <w:snapToGrid w:val="0"/>
        <w:spacing w:line="360" w:lineRule="auto"/>
        <w:ind w:firstLine="3357" w:firstLineChars="104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highlight w:val="none"/>
          <w:lang w:eastAsia="zh-CN"/>
          <w14:textFill>
            <w14:solidFill>
              <w14:schemeClr w14:val="tx1"/>
            </w14:solidFill>
          </w14:textFill>
        </w:rPr>
        <w:t>九</w:t>
      </w:r>
      <w:r>
        <w:rPr>
          <w:rFonts w:hint="eastAsia" w:ascii="宋体" w:hAnsi="宋体" w:cs="宋体"/>
          <w:b/>
          <w:color w:val="000000" w:themeColor="text1"/>
          <w:sz w:val="32"/>
          <w:highlight w:val="none"/>
          <w14:textFill>
            <w14:solidFill>
              <w14:schemeClr w14:val="tx1"/>
            </w14:solidFill>
          </w14:textFill>
        </w:rPr>
        <w:t>、电子交易活动的中止</w:t>
      </w:r>
    </w:p>
    <w:p>
      <w:pPr>
        <w:pStyle w:val="130"/>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b/>
          <w:color w:val="000000" w:themeColor="text1"/>
          <w:szCs w:val="24"/>
          <w:highlight w:val="none"/>
          <w:lang w:val="en-US" w:eastAsia="zh-CN"/>
          <w14:textFill>
            <w14:solidFill>
              <w14:schemeClr w14:val="tx1"/>
            </w14:solidFill>
          </w14:textFill>
        </w:rPr>
        <w:t>9</w:t>
      </w:r>
      <w:r>
        <w:rPr>
          <w:rFonts w:hint="eastAsia" w:ascii="宋体" w:hAnsi="宋体" w:cs="宋体"/>
          <w:b/>
          <w:color w:val="000000" w:themeColor="text1"/>
          <w:szCs w:val="24"/>
          <w:highlight w:val="none"/>
          <w14:textFill>
            <w14:solidFill>
              <w14:schemeClr w14:val="tx1"/>
            </w14:solidFill>
          </w14:textFill>
        </w:rPr>
        <w:t>. 电子交易活动的中止。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采购过程中出现以下情形，导致电子交易平台无法正常运行，或者无法保证电子交易的公平、公正和安全时，采购机构可中止电子交易活动：</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pPr>
        <w:pStyle w:val="130"/>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pPr>
        <w:pStyle w:val="130"/>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pPr>
        <w:snapToGrid w:val="0"/>
        <w:spacing w:line="360" w:lineRule="auto"/>
        <w:ind w:left="120" w:leftChars="57" w:firstLine="481" w:firstLineChars="150"/>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lang w:eastAsia="zh-CN"/>
          <w14:textFill>
            <w14:solidFill>
              <w14:schemeClr w14:val="tx1"/>
            </w14:solidFill>
          </w14:textFill>
        </w:rPr>
        <w:t>十</w:t>
      </w:r>
      <w:r>
        <w:rPr>
          <w:rFonts w:hint="eastAsia" w:ascii="宋体" w:hAnsi="宋体" w:cs="宋体"/>
          <w:b/>
          <w:color w:val="000000" w:themeColor="text1"/>
          <w:sz w:val="32"/>
          <w:highlight w:val="none"/>
          <w14:textFill>
            <w14:solidFill>
              <w14:schemeClr w14:val="tx1"/>
            </w14:solidFill>
          </w14:textFill>
        </w:rPr>
        <w:t>、验收</w:t>
      </w:r>
    </w:p>
    <w:p>
      <w:pPr>
        <w:pStyle w:val="24"/>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31</w:t>
      </w:r>
      <w:r>
        <w:rPr>
          <w:rFonts w:hint="eastAsia" w:cs="宋体"/>
          <w:b/>
          <w:color w:val="000000" w:themeColor="text1"/>
          <w:highlight w:val="none"/>
          <w14:textFill>
            <w14:solidFill>
              <w14:schemeClr w14:val="tx1"/>
            </w14:solidFill>
          </w14:textFill>
        </w:rPr>
        <w:t>.验收</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79"/>
        <w:keepNext w:val="0"/>
        <w:keepLines w:val="0"/>
        <w:pageBreakBefore w:val="0"/>
        <w:widowControl w:val="0"/>
        <w:kinsoku/>
        <w:wordWrap/>
        <w:overflowPunct/>
        <w:topLinePunct w:val="0"/>
        <w:autoSpaceDE/>
        <w:autoSpaceDN/>
        <w:bidi w:val="0"/>
        <w:spacing w:line="360" w:lineRule="auto"/>
        <w:textAlignment w:val="auto"/>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合同管理</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-支付管理。对于供应商提起在线支付申请的，采购</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应当</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按规定</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做好审核并完成支付。</w:t>
      </w:r>
    </w:p>
    <w:bookmarkEnd w:id="17"/>
    <w:p>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ascii="宋体" w:hAnsi="宋体" w:cs="宋体"/>
          <w:color w:val="000000" w:themeColor="text1"/>
          <w:kern w:val="0"/>
          <w:sz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cols w:space="720" w:num="1"/>
          <w:titlePg/>
          <w:docGrid w:linePitch="312" w:charSpace="0"/>
        </w:sectPr>
      </w:pPr>
      <w:bookmarkStart w:id="18" w:name="_Hlt68057669"/>
      <w:bookmarkEnd w:id="18"/>
      <w:bookmarkStart w:id="19" w:name="_Hlt75236290"/>
      <w:bookmarkEnd w:id="19"/>
      <w:bookmarkStart w:id="20" w:name="_Hlt74707468"/>
      <w:bookmarkEnd w:id="20"/>
      <w:bookmarkStart w:id="21" w:name="_Hlt74730295"/>
      <w:bookmarkEnd w:id="21"/>
      <w:bookmarkStart w:id="22" w:name="_Hlt68072990"/>
      <w:bookmarkEnd w:id="22"/>
      <w:bookmarkStart w:id="23" w:name="_Hlt74729768"/>
      <w:bookmarkEnd w:id="23"/>
      <w:bookmarkStart w:id="24" w:name="_Hlt75236101"/>
      <w:bookmarkEnd w:id="24"/>
      <w:bookmarkStart w:id="25" w:name="_Hlt74714665"/>
      <w:bookmarkEnd w:id="25"/>
      <w:bookmarkStart w:id="26" w:name="_Hlt68073093"/>
      <w:bookmarkEnd w:id="26"/>
      <w:bookmarkStart w:id="27" w:name="_Hlt75236011"/>
      <w:bookmarkEnd w:id="27"/>
      <w:bookmarkStart w:id="28" w:name="_Hlt68403820"/>
      <w:bookmarkEnd w:id="28"/>
      <w:bookmarkStart w:id="29" w:name="_Hlt68072998"/>
      <w:bookmarkEnd w:id="29"/>
    </w:p>
    <w:bookmarkEnd w:id="13"/>
    <w:bookmarkEnd w:id="14"/>
    <w:p>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30" w:name="第四部分"/>
      <w:r>
        <w:rPr>
          <w:rFonts w:hint="eastAsia" w:ascii="宋体" w:hAnsi="宋体" w:cs="宋体"/>
          <w:b/>
          <w:color w:val="000000" w:themeColor="text1"/>
          <w:sz w:val="36"/>
          <w:szCs w:val="36"/>
          <w:highlight w:val="none"/>
          <w14:textFill>
            <w14:solidFill>
              <w14:schemeClr w14:val="tx1"/>
            </w14:solidFill>
          </w14:textFill>
        </w:rPr>
        <w:t>第三部分   采购需求</w:t>
      </w:r>
    </w:p>
    <w:p>
      <w:pPr>
        <w:rPr>
          <w:color w:val="000000" w:themeColor="text1"/>
          <w:highlight w:val="none"/>
          <w14:textFill>
            <w14:solidFill>
              <w14:schemeClr w14:val="tx1"/>
            </w14:solidFill>
          </w14:textFill>
        </w:rPr>
      </w:pPr>
    </w:p>
    <w:p>
      <w:p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一、项目概述：</w:t>
      </w:r>
    </w:p>
    <w:p>
      <w:pPr>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本项目为“交钥匙”项目，采购内容为计算机</w:t>
      </w:r>
      <w:r>
        <w:rPr>
          <w:rFonts w:hint="eastAsia"/>
          <w:b/>
          <w:bCs/>
          <w:color w:val="000000" w:themeColor="text1"/>
          <w:sz w:val="24"/>
          <w:highlight w:val="none"/>
          <w14:textFill>
            <w14:solidFill>
              <w14:schemeClr w14:val="tx1"/>
            </w14:solidFill>
          </w14:textFill>
        </w:rPr>
        <w:t>设备</w:t>
      </w:r>
      <w:r>
        <w:rPr>
          <w:rFonts w:hint="eastAsia"/>
          <w:color w:val="000000" w:themeColor="text1"/>
          <w:sz w:val="24"/>
          <w:highlight w:val="none"/>
          <w14:textFill>
            <w14:solidFill>
              <w14:schemeClr w14:val="tx1"/>
            </w14:solidFill>
          </w14:textFill>
        </w:rPr>
        <w:t>采购。采购清单中货物供货、安装调试、培训、质保期内的售后服务等。投标报价包括货物、包装运输、搬运、安装、调试、售后服务费、培训费、政策性文件规定及合同包含的所有风险、责任等各项全部费用，采购需求清单中未提到，但在实际项目实施过程中需要配置的配件等各种费用，均计入投标报价中，不得额外收费。</w:t>
      </w:r>
    </w:p>
    <w:p>
      <w:pPr>
        <w:adjustRightInd w:val="0"/>
        <w:snapToGrid w:val="0"/>
        <w:spacing w:line="400" w:lineRule="atLeast"/>
        <w:ind w:firstLine="352" w:firstLineChars="147"/>
        <w:rPr>
          <w:rFonts w:ascii="Times New Roman" w:hAnsi="Times New Roman"/>
          <w:bCs/>
          <w:color w:val="000000" w:themeColor="text1"/>
          <w:sz w:val="24"/>
          <w:szCs w:val="24"/>
          <w:highlight w:val="none"/>
          <w14:textFill>
            <w14:solidFill>
              <w14:schemeClr w14:val="tx1"/>
            </w14:solidFill>
          </w14:textFill>
        </w:rPr>
      </w:pPr>
    </w:p>
    <w:p>
      <w:pPr>
        <w:numPr>
          <w:ilvl w:val="0"/>
          <w:numId w:val="2"/>
        </w:num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具体服务内容、要求等：</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采购标的清单</w:t>
      </w:r>
      <w:r>
        <w:rPr>
          <w:color w:val="000000" w:themeColor="text1"/>
          <w:highlight w:val="none"/>
          <w14:textFill>
            <w14:solidFill>
              <w14:schemeClr w14:val="tx1"/>
            </w14:solidFill>
          </w14:textFill>
        </w:rPr>
        <w:t>：</w:t>
      </w:r>
    </w:p>
    <w:tbl>
      <w:tblPr>
        <w:tblStyle w:val="62"/>
        <w:tblW w:w="9177"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29"/>
        <w:gridCol w:w="3842"/>
        <w:gridCol w:w="128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22"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162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标的名称</w:t>
            </w:r>
          </w:p>
        </w:tc>
        <w:tc>
          <w:tcPr>
            <w:tcW w:w="3842"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指标要求</w:t>
            </w:r>
          </w:p>
        </w:tc>
        <w:tc>
          <w:tcPr>
            <w:tcW w:w="1281"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w:t>
            </w:r>
          </w:p>
        </w:tc>
        <w:tc>
          <w:tcPr>
            <w:tcW w:w="1403"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22"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162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教师电脑</w:t>
            </w:r>
          </w:p>
        </w:tc>
        <w:tc>
          <w:tcPr>
            <w:tcW w:w="3842"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具体配置见详细指标要求</w:t>
            </w:r>
          </w:p>
        </w:tc>
        <w:tc>
          <w:tcPr>
            <w:tcW w:w="1281" w:type="dxa"/>
            <w:vAlign w:val="center"/>
          </w:tcPr>
          <w:p>
            <w:pPr>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32</w:t>
            </w:r>
          </w:p>
        </w:tc>
        <w:tc>
          <w:tcPr>
            <w:tcW w:w="1403"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22"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62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学生电脑</w:t>
            </w:r>
          </w:p>
        </w:tc>
        <w:tc>
          <w:tcPr>
            <w:tcW w:w="3842"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具体配置见详细指标要求</w:t>
            </w:r>
          </w:p>
        </w:tc>
        <w:tc>
          <w:tcPr>
            <w:tcW w:w="1281" w:type="dxa"/>
            <w:vAlign w:val="center"/>
          </w:tcPr>
          <w:p>
            <w:pPr>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100</w:t>
            </w:r>
          </w:p>
        </w:tc>
        <w:tc>
          <w:tcPr>
            <w:tcW w:w="1403"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套</w:t>
            </w:r>
          </w:p>
        </w:tc>
      </w:tr>
    </w:tbl>
    <w:p>
      <w:pPr>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jc w:val="left"/>
        <w:rPr>
          <w:rFonts w:hint="eastAsia" w:ascii="宋体" w:hAnsi="宋体" w:cs="宋体"/>
          <w:b/>
          <w:color w:val="000000" w:themeColor="text1"/>
          <w:sz w:val="36"/>
          <w:szCs w:val="36"/>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教师电脑详细指标要求：</w:t>
      </w:r>
    </w:p>
    <w:tbl>
      <w:tblPr>
        <w:tblStyle w:val="62"/>
        <w:tblpPr w:leftFromText="180" w:rightFromText="180" w:vertAnchor="text" w:horzAnchor="page" w:tblpX="1371" w:tblpY="457"/>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8"/>
        <w:gridCol w:w="1994"/>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6"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1178" w:type="dxa"/>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一级指标</w:t>
            </w: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二级</w:t>
            </w:r>
            <w:r>
              <w:rPr>
                <w:color w:val="000000" w:themeColor="text1"/>
                <w:sz w:val="24"/>
                <w:highlight w:val="none"/>
                <w14:textFill>
                  <w14:solidFill>
                    <w14:schemeClr w14:val="tx1"/>
                  </w14:solidFill>
                </w14:textFill>
              </w:rPr>
              <w:t>指标</w:t>
            </w:r>
          </w:p>
        </w:tc>
        <w:tc>
          <w:tcPr>
            <w:tcW w:w="5509" w:type="dxa"/>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78" w:type="dxa"/>
            <w:vMerge w:val="restart"/>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CPU规格</w:t>
            </w: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CPU信息</w:t>
            </w:r>
          </w:p>
        </w:tc>
        <w:tc>
          <w:tcPr>
            <w:tcW w:w="5509" w:type="dxa"/>
            <w:vAlign w:val="center"/>
          </w:tcPr>
          <w:p>
            <w:pPr>
              <w:rPr>
                <w:rFonts w:hint="eastAsia" w:eastAsia="宋体"/>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ARM架构处理器，投标时须注明具体型号，符合安全可靠测评II级，提供截图或其他证明材料。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CPU物理核数</w:t>
            </w:r>
          </w:p>
        </w:tc>
        <w:tc>
          <w:tcPr>
            <w:tcW w:w="5509" w:type="dxa"/>
            <w:vAlign w:val="center"/>
          </w:tcPr>
          <w:p>
            <w:pP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CPU主频</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CPU末级缓存容量</w:t>
            </w:r>
          </w:p>
        </w:tc>
        <w:tc>
          <w:tcPr>
            <w:tcW w:w="5509"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CPU支持的内存最高速率</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6400</w:t>
            </w:r>
            <w:r>
              <w:rPr>
                <w:rFonts w:hint="eastAsia"/>
                <w:color w:val="000000" w:themeColor="text1"/>
                <w:highlight w:val="none"/>
                <w14:textFill>
                  <w14:solidFill>
                    <w14:schemeClr w14:val="tx1"/>
                  </w14:solidFill>
                </w14:textFill>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CPU通道数</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CPU热功耗</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热设计功耗≤2</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W</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提供证明材料</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内存规格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w:t>
            </w:r>
            <w:r>
              <w:rPr>
                <w:color w:val="000000" w:themeColor="text1"/>
                <w:highlight w:val="none"/>
                <w14:textFill>
                  <w14:solidFill>
                    <w14:schemeClr w14:val="tx1"/>
                  </w14:solidFill>
                </w14:textFill>
              </w:rPr>
              <w:t>内存配置容量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内存类型</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支持DDR5/LPDDR5/LPDDR</w:t>
            </w:r>
            <w:r>
              <w:rPr>
                <w:color w:val="000000" w:themeColor="text1"/>
                <w:spacing w:val="-2"/>
                <w:highlight w:val="none"/>
                <w14:textFill>
                  <w14:solidFill>
                    <w14:schemeClr w14:val="tx1"/>
                  </w14:solidFill>
                </w14:textFill>
              </w:rPr>
              <w:t>5X及以上内</w:t>
            </w:r>
            <w:r>
              <w:rPr>
                <w:color w:val="000000" w:themeColor="text1"/>
                <w:spacing w:val="-3"/>
                <w:highlight w:val="none"/>
                <w14:textFill>
                  <w14:solidFill>
                    <w14:schemeClr w14:val="tx1"/>
                  </w14:solidFill>
                </w14:textFill>
              </w:rPr>
              <w:t>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内存读写速率</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6400</w:t>
            </w:r>
            <w:r>
              <w:rPr>
                <w:color w:val="000000" w:themeColor="text1"/>
                <w:highlight w:val="none"/>
                <w14:textFill>
                  <w14:solidFill>
                    <w14:schemeClr w14:val="tx1"/>
                  </w14:solidFill>
                </w14:textFill>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主板支持的CPU和内存情况</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主板支持</w:t>
            </w:r>
            <w:r>
              <w:rPr>
                <w:rFonts w:hint="eastAsia"/>
                <w:color w:val="000000" w:themeColor="text1"/>
                <w:highlight w:val="none"/>
                <w14:textFill>
                  <w14:solidFill>
                    <w14:schemeClr w14:val="tx1"/>
                  </w14:solidFill>
                </w14:textFill>
              </w:rPr>
              <w:t>一颗国产ARM架构处理器和</w:t>
            </w:r>
            <w:r>
              <w:rPr>
                <w:color w:val="000000" w:themeColor="text1"/>
                <w:highlight w:val="none"/>
                <w14:textFill>
                  <w14:solidFill>
                    <w14:schemeClr w14:val="tx1"/>
                  </w14:solidFill>
                </w14:textFill>
              </w:rPr>
              <w:t>DDR5/LPDDR5/LPDDR</w:t>
            </w:r>
            <w:r>
              <w:rPr>
                <w:color w:val="000000" w:themeColor="text1"/>
                <w:spacing w:val="-2"/>
                <w:highlight w:val="none"/>
                <w14:textFill>
                  <w14:solidFill>
                    <w14:schemeClr w14:val="tx1"/>
                  </w14:solidFill>
                </w14:textFill>
              </w:rPr>
              <w:t>5X及以上内</w:t>
            </w:r>
            <w:r>
              <w:rPr>
                <w:color w:val="000000" w:themeColor="text1"/>
                <w:spacing w:val="-3"/>
                <w:highlight w:val="none"/>
                <w14:textFill>
                  <w14:solidFill>
                    <w14:schemeClr w14:val="tx1"/>
                  </w14:solidFill>
                </w14:textFill>
              </w:rPr>
              <w:t>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主板其他内置接口</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个</w:t>
            </w:r>
            <w:r>
              <w:rPr>
                <w:color w:val="000000" w:themeColor="text1"/>
                <w:highlight w:val="none"/>
                <w14:textFill>
                  <w14:solidFill>
                    <w14:schemeClr w14:val="tx1"/>
                  </w14:solidFill>
                </w14:textFill>
              </w:rPr>
              <w:t>SATA</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并</w:t>
            </w:r>
            <w:r>
              <w:rPr>
                <w:rFonts w:hint="eastAsia"/>
                <w:color w:val="000000" w:themeColor="text1"/>
                <w:highlight w:val="none"/>
                <w14:textFill>
                  <w14:solidFill>
                    <w14:schemeClr w14:val="tx1"/>
                  </w14:solidFill>
                </w14:textFill>
              </w:rPr>
              <w:t>≥2个M.2 接口；并≥1个PCIe3.0扩展槽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内存插槽满配时提供的最高内存总容量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存储</w:t>
            </w:r>
            <w:r>
              <w:rPr>
                <w:color w:val="000000" w:themeColor="text1"/>
                <w:sz w:val="24"/>
                <w:highlight w:val="none"/>
                <w14:textFill>
                  <w14:solidFill>
                    <w14:schemeClr w14:val="tx1"/>
                  </w14:solidFill>
                </w14:textFill>
              </w:rPr>
              <w:t>设备规格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本次配</w:t>
            </w:r>
            <w:r>
              <w:rPr>
                <w:color w:val="000000" w:themeColor="text1"/>
                <w:highlight w:val="none"/>
                <w14:textFill>
                  <w14:solidFill>
                    <w14:schemeClr w14:val="tx1"/>
                  </w14:solidFill>
                </w14:textFill>
              </w:rPr>
              <w:t>固态存储容量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256</w:t>
            </w:r>
            <w:r>
              <w:rPr>
                <w:color w:val="000000" w:themeColor="text1"/>
                <w:highlight w:val="none"/>
                <w14:textFill>
                  <w14:solidFill>
                    <w14:schemeClr w14:val="tx1"/>
                  </w14:solidFill>
                </w14:textFill>
              </w:rPr>
              <w:t>GB 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pacing w:val="-2"/>
                <w:sz w:val="24"/>
                <w:highlight w:val="none"/>
                <w14:textFill>
                  <w14:solidFill>
                    <w14:schemeClr w14:val="tx1"/>
                  </w14:solidFill>
                </w14:textFill>
              </w:rPr>
            </w:pPr>
          </w:p>
        </w:tc>
        <w:tc>
          <w:tcPr>
            <w:tcW w:w="1994" w:type="dxa"/>
            <w:vAlign w:val="center"/>
          </w:tcPr>
          <w:p>
            <w:pPr>
              <w:pStyle w:val="339"/>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本次配</w:t>
            </w:r>
            <w:r>
              <w:rPr>
                <w:color w:val="000000" w:themeColor="text1"/>
                <w:highlight w:val="none"/>
                <w14:textFill>
                  <w14:solidFill>
                    <w14:schemeClr w14:val="tx1"/>
                  </w14:solidFill>
                </w14:textFill>
              </w:rPr>
              <w:t>机械存储容量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≥1TB 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显卡</w:t>
            </w:r>
            <w:r>
              <w:rPr>
                <w:color w:val="000000" w:themeColor="text1"/>
                <w:spacing w:val="-3"/>
                <w:sz w:val="24"/>
                <w:highlight w:val="none"/>
                <w14:textFill>
                  <w14:solidFill>
                    <w14:schemeClr w14:val="tx1"/>
                  </w14:solidFill>
                </w14:textFill>
              </w:rPr>
              <w:t>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显卡类型</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显示分辨率</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显卡显示芯片核心频率</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显存等效频率</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78" w:type="dxa"/>
            <w:vMerge w:val="restart"/>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显示设备规格</w:t>
            </w: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显示屏屏占比</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显示屏分辨率</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显示屏尺寸</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显示屏屏幕比例</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显示屏防蓝光</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支持防蓝光模式，蓝光加权辐射亮度比应≤0.0012W/(·cd·sr)（瓦每坎特拉每球面度）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显示屏低频闪</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显示屏应支持低频闪≤-35dB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显示屏刷新率</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显示屏色域</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≥99%sRGB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显示屏色准</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△E≤</w:t>
            </w:r>
            <w:r>
              <w:rPr>
                <w:rFonts w:hint="eastAsia"/>
                <w:color w:val="000000" w:themeColor="text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显示屏亮度</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≥250尼特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显示屏对比度</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显示屏</w:t>
            </w:r>
            <w:r>
              <w:rPr>
                <w:color w:val="000000" w:themeColor="text1"/>
                <w:spacing w:val="-3"/>
                <w:highlight w:val="none"/>
                <w14:textFill>
                  <w14:solidFill>
                    <w14:schemeClr w14:val="tx1"/>
                  </w14:solidFill>
                </w14:textFill>
              </w:rPr>
              <w:t>其他参数</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其它参数应符合SJ/T11292的相关规定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显示屏</w:t>
            </w:r>
            <w:r>
              <w:rPr>
                <w:color w:val="000000" w:themeColor="text1"/>
                <w:spacing w:val="-2"/>
                <w:highlight w:val="none"/>
                <w14:textFill>
                  <w14:solidFill>
                    <w14:schemeClr w14:val="tx1"/>
                  </w14:solidFill>
                </w14:textFill>
              </w:rPr>
              <w:t>屏幕失效</w:t>
            </w:r>
            <w:r>
              <w:rPr>
                <w:color w:val="000000" w:themeColor="text1"/>
                <w:highlight w:val="none"/>
                <w14:textFill>
                  <w14:solidFill>
                    <w14:schemeClr w14:val="tx1"/>
                  </w14:solidFill>
                </w14:textFill>
              </w:rPr>
              <w:t>点</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符合GB/T9813.2的要求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178" w:type="dxa"/>
            <w:vMerge w:val="restart"/>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外设</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鼠标数量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品牌鼠标≥1个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键盘数量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品牌</w:t>
            </w:r>
            <w:r>
              <w:rPr>
                <w:rFonts w:hint="eastAsia"/>
                <w:color w:val="000000" w:themeColor="text1"/>
                <w:highlight w:val="none"/>
                <w14:textFill>
                  <w14:solidFill>
                    <w14:schemeClr w14:val="tx1"/>
                  </w14:solidFill>
                </w14:textFill>
              </w:rPr>
              <w:t>键盘</w:t>
            </w:r>
            <w:r>
              <w:rPr>
                <w:color w:val="000000" w:themeColor="text1"/>
                <w:highlight w:val="none"/>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178" w:type="dxa"/>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网络</w:t>
            </w:r>
            <w:r>
              <w:rPr>
                <w:color w:val="000000" w:themeColor="text1"/>
                <w:spacing w:val="-3"/>
                <w:sz w:val="24"/>
                <w:highlight w:val="none"/>
                <w14:textFill>
                  <w14:solidFill>
                    <w14:schemeClr w14:val="tx1"/>
                  </w14:solidFill>
                </w14:textFill>
              </w:rPr>
              <w:t>设备</w:t>
            </w:r>
            <w:r>
              <w:rPr>
                <w:color w:val="000000" w:themeColor="text1"/>
                <w:sz w:val="24"/>
                <w:highlight w:val="none"/>
                <w14:textFill>
                  <w14:solidFill>
                    <w14:schemeClr w14:val="tx1"/>
                  </w14:solidFill>
                </w14:textFill>
              </w:rPr>
              <w:t>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有线网</w:t>
            </w:r>
            <w:r>
              <w:rPr>
                <w:color w:val="000000" w:themeColor="text1"/>
                <w:spacing w:val="-3"/>
                <w:highlight w:val="none"/>
                <w14:textFill>
                  <w14:solidFill>
                    <w14:schemeClr w14:val="tx1"/>
                  </w14:solidFill>
                </w14:textFill>
              </w:rPr>
              <w:t>卡</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spacing w:val="-13"/>
                <w:highlight w:val="none"/>
                <w14:textFill>
                  <w14:solidFill>
                    <w14:schemeClr w14:val="tx1"/>
                  </w14:solidFill>
                </w14:textFill>
              </w:rPr>
              <w:t>支持</w:t>
            </w:r>
            <w:r>
              <w:rPr>
                <w:color w:val="000000" w:themeColor="text1"/>
                <w:spacing w:val="-13"/>
                <w:highlight w:val="none"/>
                <w14:textFill>
                  <w14:solidFill>
                    <w14:schemeClr w14:val="tx1"/>
                  </w14:solidFill>
                </w14:textFill>
              </w:rPr>
              <w:t>有线网卡，</w:t>
            </w:r>
            <w:r>
              <w:rPr>
                <w:color w:val="000000" w:themeColor="text1"/>
                <w:spacing w:val="-2"/>
                <w:highlight w:val="none"/>
                <w14:textFill>
                  <w14:solidFill>
                    <w14:schemeClr w14:val="tx1"/>
                  </w14:solidFill>
                </w14:textFill>
              </w:rPr>
              <w:t>最高速率应不低于1000Mbps，应支持</w:t>
            </w:r>
            <w:r>
              <w:rPr>
                <w:color w:val="000000" w:themeColor="text1"/>
                <w:highlight w:val="none"/>
                <w14:textFill>
                  <w14:solidFill>
                    <w14:schemeClr w14:val="tx1"/>
                  </w14:solidFill>
                </w14:textFill>
              </w:rPr>
              <w:t>10Mbps、100Mbps、1000Mbps速率自适应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外部</w:t>
            </w:r>
            <w:r>
              <w:rPr>
                <w:color w:val="000000" w:themeColor="text1"/>
                <w:sz w:val="24"/>
                <w:highlight w:val="none"/>
                <w14:textFill>
                  <w14:solidFill>
                    <w14:schemeClr w14:val="tx1"/>
                  </w14:solidFill>
                </w14:textFill>
              </w:rPr>
              <w:t>接口规格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USB接口</w:t>
            </w:r>
            <w:r>
              <w:rPr>
                <w:color w:val="000000" w:themeColor="text1"/>
                <w:spacing w:val="-4"/>
                <w:highlight w:val="none"/>
                <w14:textFill>
                  <w14:solidFill>
                    <w14:schemeClr w14:val="tx1"/>
                  </w14:solidFill>
                </w14:textFill>
              </w:rPr>
              <w:t>数量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USB接口≥8个，其中USB3.0接口≥4个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视频接</w:t>
            </w:r>
            <w:r>
              <w:rPr>
                <w:color w:val="000000" w:themeColor="text1"/>
                <w:spacing w:val="-10"/>
                <w:highlight w:val="none"/>
                <w14:textFill>
                  <w14:solidFill>
                    <w14:schemeClr w14:val="tx1"/>
                  </w14:solidFill>
                </w14:textFill>
              </w:rPr>
              <w:t>口数量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音频接</w:t>
            </w:r>
            <w:r>
              <w:rPr>
                <w:color w:val="000000" w:themeColor="text1"/>
                <w:spacing w:val="-10"/>
                <w:highlight w:val="none"/>
                <w14:textFill>
                  <w14:solidFill>
                    <w14:schemeClr w14:val="tx1"/>
                  </w14:solidFill>
                </w14:textFill>
              </w:rPr>
              <w:t>口数量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音频接</w:t>
            </w:r>
            <w:r>
              <w:rPr>
                <w:color w:val="000000" w:themeColor="text1"/>
                <w:spacing w:val="-10"/>
                <w:highlight w:val="none"/>
                <w14:textFill>
                  <w14:solidFill>
                    <w14:schemeClr w14:val="tx1"/>
                  </w14:solidFill>
                </w14:textFill>
              </w:rPr>
              <w:t>口类型</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HDMI</w:t>
            </w:r>
            <w:r>
              <w:rPr>
                <w:color w:val="000000" w:themeColor="text1"/>
                <w:spacing w:val="-3"/>
                <w:highlight w:val="none"/>
                <w14:textFill>
                  <w14:solidFill>
                    <w14:schemeClr w14:val="tx1"/>
                  </w14:solidFill>
                </w14:textFill>
              </w:rPr>
              <w:t>显示接口要</w:t>
            </w:r>
            <w:r>
              <w:rPr>
                <w:color w:val="000000" w:themeColor="text1"/>
                <w:highlight w:val="none"/>
                <w14:textFill>
                  <w14:solidFill>
                    <w14:schemeClr w14:val="tx1"/>
                  </w14:solidFill>
                </w14:textFill>
              </w:rPr>
              <w:t>求</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提供HDMI作为显示</w:t>
            </w:r>
            <w:r>
              <w:rPr>
                <w:color w:val="000000" w:themeColor="text1"/>
                <w:highlight w:val="none"/>
                <w14:textFill>
                  <w14:solidFill>
                    <w14:schemeClr w14:val="tx1"/>
                  </w14:solidFill>
                </w14:textFill>
              </w:rPr>
              <w:t>接口，应支持音频和视频同步输出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整机</w:t>
            </w:r>
            <w:r>
              <w:rPr>
                <w:color w:val="000000" w:themeColor="text1"/>
                <w:sz w:val="24"/>
                <w:highlight w:val="none"/>
                <w14:textFill>
                  <w14:solidFill>
                    <w14:schemeClr w14:val="tx1"/>
                  </w14:solidFill>
                </w14:textFill>
              </w:rPr>
              <w:t>基础规格</w:t>
            </w: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整机噪音</w:t>
            </w:r>
          </w:p>
        </w:tc>
        <w:tc>
          <w:tcPr>
            <w:tcW w:w="5509" w:type="dxa"/>
            <w:vAlign w:val="center"/>
          </w:tcPr>
          <w:p>
            <w:pPr>
              <w:pStyle w:val="339"/>
              <w:rPr>
                <w:color w:val="000000" w:themeColor="text1"/>
                <w:spacing w:val="-1"/>
                <w:highlight w:val="none"/>
                <w14:textFill>
                  <w14:solidFill>
                    <w14:schemeClr w14:val="tx1"/>
                  </w14:solidFill>
                </w14:textFill>
              </w:rPr>
            </w:pPr>
            <w:r>
              <w:rPr>
                <w:rFonts w:hint="eastAsia"/>
                <w:color w:val="000000" w:themeColor="text1"/>
                <w:highlight w:val="none"/>
                <w14:textFill>
                  <w14:solidFill>
                    <w14:schemeClr w14:val="tx1"/>
                  </w14:solidFill>
                </w14:textFill>
              </w:rPr>
              <w:t>空闲状态下声压级≤2</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整机能</w:t>
            </w:r>
            <w:r>
              <w:rPr>
                <w:color w:val="000000" w:themeColor="text1"/>
                <w:spacing w:val="-2"/>
                <w:highlight w:val="none"/>
                <w14:textFill>
                  <w14:solidFill>
                    <w14:schemeClr w14:val="tx1"/>
                  </w14:solidFill>
                </w14:textFill>
              </w:rPr>
              <w:t>效限定值</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产品能效限定值应达到GB28380-20</w:t>
            </w:r>
            <w:r>
              <w:rPr>
                <w:rFonts w:hint="eastAsia"/>
                <w:color w:val="000000" w:themeColor="text1"/>
                <w:highlight w:val="none"/>
                <w:lang w:val="en-US" w:eastAsia="zh-CN"/>
                <w14:textFill>
                  <w14:solidFill>
                    <w14:schemeClr w14:val="tx1"/>
                  </w14:solidFill>
                </w14:textFill>
              </w:rPr>
              <w:t>25</w:t>
            </w:r>
            <w:r>
              <w:rPr>
                <w:color w:val="000000" w:themeColor="text1"/>
                <w:spacing w:val="-2"/>
                <w:highlight w:val="none"/>
                <w14:textFill>
                  <w14:solidFill>
                    <w14:schemeClr w14:val="tx1"/>
                  </w14:solidFill>
                </w14:textFill>
              </w:rPr>
              <w:t>标准中能效等级2级及以上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机箱尺</w:t>
            </w:r>
            <w:r>
              <w:rPr>
                <w:color w:val="000000" w:themeColor="text1"/>
                <w:spacing w:val="-5"/>
                <w:highlight w:val="none"/>
                <w14:textFill>
                  <w14:solidFill>
                    <w14:schemeClr w14:val="tx1"/>
                  </w14:solidFill>
                </w14:textFill>
              </w:rPr>
              <w:t>寸容量</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机箱体积应不大于</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MTBF测试</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MTBF(m1)≥3万小时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操作系统</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及软件功</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能</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中文信</w:t>
            </w:r>
            <w:r>
              <w:rPr>
                <w:color w:val="000000" w:themeColor="text1"/>
                <w:spacing w:val="-3"/>
                <w:highlight w:val="none"/>
                <w14:textFill>
                  <w14:solidFill>
                    <w14:schemeClr w14:val="tx1"/>
                  </w14:solidFill>
                </w14:textFill>
              </w:rPr>
              <w:t>息处理要</w:t>
            </w:r>
            <w:r>
              <w:rPr>
                <w:color w:val="000000" w:themeColor="text1"/>
                <w:highlight w:val="none"/>
                <w14:textFill>
                  <w14:solidFill>
                    <w14:schemeClr w14:val="tx1"/>
                  </w14:solidFill>
                </w14:textFill>
              </w:rPr>
              <w:t>求</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符合GB18030的相关规定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w:t>
            </w:r>
            <w:r>
              <w:rPr>
                <w:color w:val="000000" w:themeColor="text1"/>
                <w:spacing w:val="-1"/>
                <w:highlight w:val="none"/>
                <w14:textFill>
                  <w14:solidFill>
                    <w14:schemeClr w14:val="tx1"/>
                  </w14:solidFill>
                </w14:textFill>
              </w:rPr>
              <w:t>操作系</w:t>
            </w:r>
            <w:r>
              <w:rPr>
                <w:color w:val="000000" w:themeColor="text1"/>
                <w:highlight w:val="none"/>
                <w14:textFill>
                  <w14:solidFill>
                    <w14:schemeClr w14:val="tx1"/>
                  </w14:solidFill>
                </w14:textFill>
              </w:rPr>
              <w:t>统备份及还原功能</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BIOS支</w:t>
            </w:r>
            <w:r>
              <w:rPr>
                <w:color w:val="000000" w:themeColor="text1"/>
                <w:spacing w:val="-2"/>
                <w:highlight w:val="none"/>
                <w14:textFill>
                  <w14:solidFill>
                    <w14:schemeClr w14:val="tx1"/>
                  </w14:solidFill>
                </w14:textFill>
              </w:rPr>
              <w:t>持关闭通</w:t>
            </w:r>
            <w:r>
              <w:rPr>
                <w:color w:val="000000" w:themeColor="text1"/>
                <w:spacing w:val="-3"/>
                <w:highlight w:val="none"/>
                <w14:textFill>
                  <w14:solidFill>
                    <w14:schemeClr w14:val="tx1"/>
                  </w14:solidFill>
                </w14:textFill>
              </w:rPr>
              <w:t>讯接口</w:t>
            </w:r>
          </w:p>
        </w:tc>
        <w:tc>
          <w:tcPr>
            <w:tcW w:w="5509"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支持BIOS关闭以太网及USB接口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预装操作系统</w:t>
            </w:r>
          </w:p>
        </w:tc>
        <w:tc>
          <w:tcPr>
            <w:tcW w:w="5509" w:type="dxa"/>
            <w:vAlign w:val="center"/>
          </w:tcPr>
          <w:p>
            <w:pPr>
              <w:pStyle w:val="33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安装统信或者麒麟操作系统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合格证书要求</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验收时</w:t>
            </w:r>
            <w:r>
              <w:rPr>
                <w:color w:val="000000" w:themeColor="text1"/>
                <w:highlight w:val="none"/>
                <w14:textFill>
                  <w14:solidFill>
                    <w14:schemeClr w14:val="tx1"/>
                  </w14:solidFill>
                </w14:textFill>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日常办公软件</w:t>
            </w:r>
          </w:p>
        </w:tc>
        <w:tc>
          <w:tcPr>
            <w:tcW w:w="5509"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含WPS 365教育版3年</w:t>
            </w:r>
          </w:p>
        </w:tc>
      </w:tr>
    </w:tbl>
    <w:p>
      <w:pPr>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spacing w:line="360" w:lineRule="auto"/>
        <w:jc w:val="both"/>
        <w:outlineLvl w:val="0"/>
        <w:rPr>
          <w:rFonts w:hint="eastAsia" w:ascii="宋体" w:hAnsi="宋体" w:eastAsia="宋体" w:cs="宋体"/>
          <w:b/>
          <w:color w:val="000000" w:themeColor="text1"/>
          <w:sz w:val="36"/>
          <w:szCs w:val="36"/>
          <w:highlight w:val="none"/>
          <w:lang w:val="en-US" w:eastAsia="zh-CN"/>
          <w14:textFill>
            <w14:solidFill>
              <w14:schemeClr w14:val="tx1"/>
            </w14:solidFill>
          </w14:textFill>
        </w:rPr>
      </w:pPr>
    </w:p>
    <w:p>
      <w:pPr>
        <w:jc w:val="left"/>
        <w:rPr>
          <w:rFonts w:hint="eastAsia" w:ascii="宋体" w:hAnsi="宋体" w:cs="宋体"/>
          <w:b/>
          <w:color w:val="000000" w:themeColor="text1"/>
          <w:sz w:val="36"/>
          <w:szCs w:val="36"/>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学生电脑详细指标要求：</w:t>
      </w:r>
    </w:p>
    <w:p>
      <w:pPr>
        <w:spacing w:line="360" w:lineRule="auto"/>
        <w:jc w:val="both"/>
        <w:outlineLvl w:val="0"/>
        <w:rPr>
          <w:rFonts w:hint="eastAsia" w:ascii="宋体" w:hAnsi="宋体" w:eastAsia="宋体" w:cs="宋体"/>
          <w:b/>
          <w:color w:val="000000" w:themeColor="text1"/>
          <w:sz w:val="36"/>
          <w:szCs w:val="36"/>
          <w:highlight w:val="none"/>
          <w:lang w:val="en-US" w:eastAsia="zh-CN"/>
          <w14:textFill>
            <w14:solidFill>
              <w14:schemeClr w14:val="tx1"/>
            </w14:solidFill>
          </w14:textFill>
        </w:rPr>
      </w:pPr>
    </w:p>
    <w:tbl>
      <w:tblPr>
        <w:tblStyle w:val="62"/>
        <w:tblpPr w:leftFromText="180" w:rightFromText="180" w:vertAnchor="text" w:horzAnchor="page" w:tblpX="1371" w:tblpY="457"/>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8"/>
        <w:gridCol w:w="1994"/>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6"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1178" w:type="dxa"/>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一级指标</w:t>
            </w: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二级</w:t>
            </w:r>
            <w:r>
              <w:rPr>
                <w:color w:val="000000" w:themeColor="text1"/>
                <w:sz w:val="24"/>
                <w:highlight w:val="none"/>
                <w14:textFill>
                  <w14:solidFill>
                    <w14:schemeClr w14:val="tx1"/>
                  </w14:solidFill>
                </w14:textFill>
              </w:rPr>
              <w:t>指标</w:t>
            </w:r>
          </w:p>
        </w:tc>
        <w:tc>
          <w:tcPr>
            <w:tcW w:w="5509" w:type="dxa"/>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78" w:type="dxa"/>
            <w:vMerge w:val="restart"/>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CPU规格</w:t>
            </w: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CPU信息</w:t>
            </w:r>
          </w:p>
        </w:tc>
        <w:tc>
          <w:tcPr>
            <w:tcW w:w="5509" w:type="dxa"/>
            <w:vAlign w:val="center"/>
          </w:tcPr>
          <w:p>
            <w:pP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ARM架构处理器，投标时须注明具体型号。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CPU物理核数</w:t>
            </w:r>
          </w:p>
        </w:tc>
        <w:tc>
          <w:tcPr>
            <w:tcW w:w="5509" w:type="dxa"/>
            <w:vAlign w:val="center"/>
          </w:tcPr>
          <w:p>
            <w:pP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CPU主频</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w:t>
            </w:r>
            <w:r>
              <w:rPr>
                <w:rFonts w:hint="eastAsia" w:cs="Times New Roman"/>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CPU末级缓存容量</w:t>
            </w:r>
          </w:p>
        </w:tc>
        <w:tc>
          <w:tcPr>
            <w:tcW w:w="5509" w:type="dxa"/>
            <w:vAlign w:val="center"/>
          </w:tcPr>
          <w:p>
            <w:pP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CPU支持的内存最高速率</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r>
              <w:rPr>
                <w:rFonts w:hint="eastAsia" w:cs="Times New Roman"/>
                <w:color w:val="000000" w:themeColor="text1"/>
                <w:kern w:val="0"/>
                <w:sz w:val="24"/>
                <w:szCs w:val="24"/>
                <w:highlight w:val="none"/>
                <w:lang w:val="en-US" w:eastAsia="zh-CN" w:bidi="ar-SA"/>
                <w14:textFill>
                  <w14:solidFill>
                    <w14:schemeClr w14:val="tx1"/>
                  </w14:solidFill>
                </w14:textFill>
              </w:rPr>
              <w:t>6400</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CPU通道数</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pStyle w:val="339"/>
              <w:rPr>
                <w:color w:val="000000" w:themeColor="text1"/>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CPU热功耗</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热设计功耗≤70W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内存规格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w:t>
            </w:r>
            <w:r>
              <w:rPr>
                <w:color w:val="000000" w:themeColor="text1"/>
                <w:highlight w:val="none"/>
                <w14:textFill>
                  <w14:solidFill>
                    <w14:schemeClr w14:val="tx1"/>
                  </w14:solidFill>
                </w14:textFill>
              </w:rPr>
              <w:t>内存配置容量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内存类型</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t>支持DDR5或LPDDR5或LPDDR5X内存类型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内存读写速率</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r>
              <w:rPr>
                <w:rFonts w:hint="eastAsia" w:cs="Times New Roman"/>
                <w:color w:val="000000" w:themeColor="text1"/>
                <w:kern w:val="0"/>
                <w:sz w:val="24"/>
                <w:szCs w:val="24"/>
                <w:highlight w:val="none"/>
                <w:lang w:val="en-US" w:eastAsia="zh-CN" w:bidi="ar-SA"/>
                <w14:textFill>
                  <w14:solidFill>
                    <w14:schemeClr w14:val="tx1"/>
                  </w14:solidFill>
                </w14:textFill>
              </w:rPr>
              <w:t>6400</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主板支持的CPU和内存情况</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主板支持一颗国产ARM架构处理器和DDR4/LPDDR4/LPDDR4X及以上内存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主板其他内置接口</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≥2个SATA；并≥2个M.2 接口；并≥1个PCIe3.0扩展槽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内存插槽满配时提供的最高内存总容量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178" w:type="dxa"/>
            <w:vAlign w:val="center"/>
          </w:tcPr>
          <w:p>
            <w:pPr>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存储</w:t>
            </w:r>
            <w:r>
              <w:rPr>
                <w:color w:val="000000" w:themeColor="text1"/>
                <w:sz w:val="24"/>
                <w:highlight w:val="none"/>
                <w14:textFill>
                  <w14:solidFill>
                    <w14:schemeClr w14:val="tx1"/>
                  </w14:solidFill>
                </w14:textFill>
              </w:rPr>
              <w:t>设备规格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本次配</w:t>
            </w:r>
            <w:r>
              <w:rPr>
                <w:color w:val="000000" w:themeColor="text1"/>
                <w:highlight w:val="none"/>
                <w14:textFill>
                  <w14:solidFill>
                    <w14:schemeClr w14:val="tx1"/>
                  </w14:solidFill>
                </w14:textFill>
              </w:rPr>
              <w:t>固态存储容量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≥256GB 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显卡</w:t>
            </w:r>
            <w:r>
              <w:rPr>
                <w:color w:val="000000" w:themeColor="text1"/>
                <w:spacing w:val="-3"/>
                <w:sz w:val="24"/>
                <w:highlight w:val="none"/>
                <w14:textFill>
                  <w14:solidFill>
                    <w14:schemeClr w14:val="tx1"/>
                  </w14:solidFill>
                </w14:textFill>
              </w:rPr>
              <w:t>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显卡类型</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显示分辨率</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显卡显示芯片核心频率</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显存等效频率</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78" w:type="dxa"/>
            <w:vMerge w:val="restart"/>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显示设备规格</w:t>
            </w: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显示屏屏占比</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显示屏分辨率</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显示屏尺寸</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≥23英寸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显示屏屏幕比例</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显示屏防蓝光</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支持防蓝光模式，蓝光加权辐射亮度比应≤0.0012W/(·cd·sr)（瓦每坎特拉每球面度）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显示屏低频闪</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显示屏应支持低频闪≤-35dB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显示屏刷新率</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显示屏色域</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≥99%sRGB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显示屏色准</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显示屏亮度</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≥250尼特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显示屏对比度</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显示屏</w:t>
            </w:r>
            <w:r>
              <w:rPr>
                <w:color w:val="000000" w:themeColor="text1"/>
                <w:spacing w:val="-3"/>
                <w:highlight w:val="none"/>
                <w14:textFill>
                  <w14:solidFill>
                    <w14:schemeClr w14:val="tx1"/>
                  </w14:solidFill>
                </w14:textFill>
              </w:rPr>
              <w:t>其他参数</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其它参数应符合SJ/T11292的相关规定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显示屏</w:t>
            </w:r>
            <w:r>
              <w:rPr>
                <w:color w:val="000000" w:themeColor="text1"/>
                <w:spacing w:val="-2"/>
                <w:highlight w:val="none"/>
                <w14:textFill>
                  <w14:solidFill>
                    <w14:schemeClr w14:val="tx1"/>
                  </w14:solidFill>
                </w14:textFill>
              </w:rPr>
              <w:t>屏幕失效</w:t>
            </w:r>
            <w:r>
              <w:rPr>
                <w:color w:val="000000" w:themeColor="text1"/>
                <w:highlight w:val="none"/>
                <w14:textFill>
                  <w14:solidFill>
                    <w14:schemeClr w14:val="tx1"/>
                  </w14:solidFill>
                </w14:textFill>
              </w:rPr>
              <w:t>点</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符合GB/T9813.2的要求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178" w:type="dxa"/>
            <w:vMerge w:val="restart"/>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外设</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鼠标数量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品牌鼠标≥1个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键盘数量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品牌键盘≥1个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178" w:type="dxa"/>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网络</w:t>
            </w:r>
            <w:r>
              <w:rPr>
                <w:color w:val="000000" w:themeColor="text1"/>
                <w:spacing w:val="-3"/>
                <w:sz w:val="24"/>
                <w:highlight w:val="none"/>
                <w14:textFill>
                  <w14:solidFill>
                    <w14:schemeClr w14:val="tx1"/>
                  </w14:solidFill>
                </w14:textFill>
              </w:rPr>
              <w:t>设备</w:t>
            </w:r>
            <w:r>
              <w:rPr>
                <w:color w:val="000000" w:themeColor="text1"/>
                <w:sz w:val="24"/>
                <w:highlight w:val="none"/>
                <w14:textFill>
                  <w14:solidFill>
                    <w14:schemeClr w14:val="tx1"/>
                  </w14:solidFill>
                </w14:textFill>
              </w:rPr>
              <w:t>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有线网</w:t>
            </w:r>
            <w:r>
              <w:rPr>
                <w:color w:val="000000" w:themeColor="text1"/>
                <w:spacing w:val="-3"/>
                <w:highlight w:val="none"/>
                <w14:textFill>
                  <w14:solidFill>
                    <w14:schemeClr w14:val="tx1"/>
                  </w14:solidFill>
                </w14:textFill>
              </w:rPr>
              <w:t>卡</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支持有线网卡，最高速率应不低于1000Mbps，应支持10Mbps、100Mbps、1000Mbps速率自适应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外部</w:t>
            </w:r>
            <w:r>
              <w:rPr>
                <w:color w:val="000000" w:themeColor="text1"/>
                <w:sz w:val="24"/>
                <w:highlight w:val="none"/>
                <w14:textFill>
                  <w14:solidFill>
                    <w14:schemeClr w14:val="tx1"/>
                  </w14:solidFill>
                </w14:textFill>
              </w:rPr>
              <w:t>接口规格</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USB接口</w:t>
            </w:r>
            <w:r>
              <w:rPr>
                <w:color w:val="000000" w:themeColor="text1"/>
                <w:spacing w:val="-4"/>
                <w:highlight w:val="none"/>
                <w14:textFill>
                  <w14:solidFill>
                    <w14:schemeClr w14:val="tx1"/>
                  </w14:solidFill>
                </w14:textFill>
              </w:rPr>
              <w:t>数量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USB接口≥8个，其中USB3.0接口≥4个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视频接</w:t>
            </w:r>
            <w:r>
              <w:rPr>
                <w:color w:val="000000" w:themeColor="text1"/>
                <w:spacing w:val="-10"/>
                <w:highlight w:val="none"/>
                <w14:textFill>
                  <w14:solidFill>
                    <w14:schemeClr w14:val="tx1"/>
                  </w14:solidFill>
                </w14:textFill>
              </w:rPr>
              <w:t>口数量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音频接</w:t>
            </w:r>
            <w:r>
              <w:rPr>
                <w:color w:val="000000" w:themeColor="text1"/>
                <w:spacing w:val="-10"/>
                <w:highlight w:val="none"/>
                <w14:textFill>
                  <w14:solidFill>
                    <w14:schemeClr w14:val="tx1"/>
                  </w14:solidFill>
                </w14:textFill>
              </w:rPr>
              <w:t>口数量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音频接</w:t>
            </w:r>
            <w:r>
              <w:rPr>
                <w:color w:val="000000" w:themeColor="text1"/>
                <w:spacing w:val="-10"/>
                <w:highlight w:val="none"/>
                <w14:textFill>
                  <w14:solidFill>
                    <w14:schemeClr w14:val="tx1"/>
                  </w14:solidFill>
                </w14:textFill>
              </w:rPr>
              <w:t>口类型</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HDMI</w:t>
            </w:r>
            <w:r>
              <w:rPr>
                <w:color w:val="000000" w:themeColor="text1"/>
                <w:spacing w:val="-3"/>
                <w:highlight w:val="none"/>
                <w14:textFill>
                  <w14:solidFill>
                    <w14:schemeClr w14:val="tx1"/>
                  </w14:solidFill>
                </w14:textFill>
              </w:rPr>
              <w:t>显示接口要</w:t>
            </w:r>
            <w:r>
              <w:rPr>
                <w:color w:val="000000" w:themeColor="text1"/>
                <w:highlight w:val="none"/>
                <w14:textFill>
                  <w14:solidFill>
                    <w14:schemeClr w14:val="tx1"/>
                  </w14:solidFill>
                </w14:textFill>
              </w:rPr>
              <w:t>求</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提供HDMI作为显示接口，应支持音频和视频同步输出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整机</w:t>
            </w:r>
            <w:r>
              <w:rPr>
                <w:color w:val="000000" w:themeColor="text1"/>
                <w:sz w:val="24"/>
                <w:highlight w:val="none"/>
                <w14:textFill>
                  <w14:solidFill>
                    <w14:schemeClr w14:val="tx1"/>
                  </w14:solidFill>
                </w14:textFill>
              </w:rPr>
              <w:t>基础规格</w:t>
            </w:r>
          </w:p>
        </w:tc>
        <w:tc>
          <w:tcPr>
            <w:tcW w:w="1994" w:type="dxa"/>
            <w:vAlign w:val="center"/>
          </w:tcPr>
          <w:p>
            <w:pPr>
              <w:pStyle w:val="3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整机噪音</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产品工作在空闲状态下，产品的声功率级应不超过4.5Bel。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整机能</w:t>
            </w:r>
            <w:r>
              <w:rPr>
                <w:color w:val="000000" w:themeColor="text1"/>
                <w:spacing w:val="-2"/>
                <w:highlight w:val="none"/>
                <w14:textFill>
                  <w14:solidFill>
                    <w14:schemeClr w14:val="tx1"/>
                  </w14:solidFill>
                </w14:textFill>
              </w:rPr>
              <w:t>效限定值</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产品能效限定值应达到GB28380-2025标准中能效等级2级及以上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机箱尺</w:t>
            </w:r>
            <w:r>
              <w:rPr>
                <w:color w:val="000000" w:themeColor="text1"/>
                <w:spacing w:val="-5"/>
                <w:highlight w:val="none"/>
                <w14:textFill>
                  <w14:solidFill>
                    <w14:schemeClr w14:val="tx1"/>
                  </w14:solidFill>
                </w14:textFill>
              </w:rPr>
              <w:t>寸容量</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机机箱体积应不大于30L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MTBF测试</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MTBF(m1)≥3万小时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1178" w:type="dxa"/>
            <w:vMerge w:val="restart"/>
            <w:vAlign w:val="center"/>
          </w:tcPr>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操作系统</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及软件功</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能</w:t>
            </w: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中文信</w:t>
            </w:r>
            <w:r>
              <w:rPr>
                <w:color w:val="000000" w:themeColor="text1"/>
                <w:spacing w:val="-3"/>
                <w:highlight w:val="none"/>
                <w14:textFill>
                  <w14:solidFill>
                    <w14:schemeClr w14:val="tx1"/>
                  </w14:solidFill>
                </w14:textFill>
              </w:rPr>
              <w:t>息处理要</w:t>
            </w:r>
            <w:r>
              <w:rPr>
                <w:color w:val="000000" w:themeColor="text1"/>
                <w:highlight w:val="none"/>
                <w14:textFill>
                  <w14:solidFill>
                    <w14:schemeClr w14:val="tx1"/>
                  </w14:solidFill>
                </w14:textFill>
              </w:rPr>
              <w:t>求</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符合GB18030的相关规定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w:t>
            </w:r>
            <w:r>
              <w:rPr>
                <w:color w:val="000000" w:themeColor="text1"/>
                <w:spacing w:val="-1"/>
                <w:highlight w:val="none"/>
                <w14:textFill>
                  <w14:solidFill>
                    <w14:schemeClr w14:val="tx1"/>
                  </w14:solidFill>
                </w14:textFill>
              </w:rPr>
              <w:t>操作系</w:t>
            </w:r>
            <w:r>
              <w:rPr>
                <w:color w:val="000000" w:themeColor="text1"/>
                <w:highlight w:val="none"/>
                <w14:textFill>
                  <w14:solidFill>
                    <w14:schemeClr w14:val="tx1"/>
                  </w14:solidFill>
                </w14:textFill>
              </w:rPr>
              <w:t>统备份及还原功能</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BIOS支</w:t>
            </w:r>
            <w:r>
              <w:rPr>
                <w:color w:val="000000" w:themeColor="text1"/>
                <w:spacing w:val="-2"/>
                <w:highlight w:val="none"/>
                <w14:textFill>
                  <w14:solidFill>
                    <w14:schemeClr w14:val="tx1"/>
                  </w14:solidFill>
                </w14:textFill>
              </w:rPr>
              <w:t>持关闭通</w:t>
            </w:r>
            <w:r>
              <w:rPr>
                <w:color w:val="000000" w:themeColor="text1"/>
                <w:spacing w:val="-3"/>
                <w:highlight w:val="none"/>
                <w14:textFill>
                  <w14:solidFill>
                    <w14:schemeClr w14:val="tx1"/>
                  </w14:solidFill>
                </w14:textFill>
              </w:rPr>
              <w:t>讯接口</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支持BIOS关闭以太网及USB接口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预装操作系统</w:t>
            </w:r>
          </w:p>
        </w:tc>
        <w:tc>
          <w:tcPr>
            <w:tcW w:w="5509" w:type="dxa"/>
            <w:vAlign w:val="center"/>
          </w:tcPr>
          <w:p>
            <w:pPr>
              <w:pStyle w:val="339"/>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安装统信或者麒麟操作系统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合格证书要求</w:t>
            </w:r>
          </w:p>
        </w:tc>
        <w:tc>
          <w:tcPr>
            <w:tcW w:w="5509" w:type="dxa"/>
            <w:vAlign w:val="center"/>
          </w:tcPr>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验收时供应商提供产品合格证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000000" w:themeColor="text1"/>
                <w:highlight w:val="none"/>
                <w14:textFill>
                  <w14:solidFill>
                    <w14:schemeClr w14:val="tx1"/>
                  </w14:solidFill>
                </w14:textFill>
              </w:rPr>
            </w:pPr>
          </w:p>
        </w:tc>
        <w:tc>
          <w:tcPr>
            <w:tcW w:w="1178" w:type="dxa"/>
            <w:vMerge w:val="continue"/>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日常办公软件</w:t>
            </w:r>
          </w:p>
        </w:tc>
        <w:tc>
          <w:tcPr>
            <w:tcW w:w="5509" w:type="dxa"/>
            <w:vAlign w:val="center"/>
          </w:tcPr>
          <w:p>
            <w:pPr>
              <w:pStyle w:val="339"/>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含WPS 365教育版3年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000000" w:themeColor="text1"/>
                <w:highlight w:val="none"/>
                <w14:textFill>
                  <w14:solidFill>
                    <w14:schemeClr w14:val="tx1"/>
                  </w14:solidFill>
                </w14:textFill>
              </w:rPr>
            </w:pPr>
          </w:p>
        </w:tc>
        <w:tc>
          <w:tcPr>
            <w:tcW w:w="1178" w:type="dxa"/>
            <w:vAlign w:val="center"/>
          </w:tcPr>
          <w:p>
            <w:pPr>
              <w:rPr>
                <w:color w:val="000000" w:themeColor="text1"/>
                <w:sz w:val="24"/>
                <w:highlight w:val="none"/>
                <w14:textFill>
                  <w14:solidFill>
                    <w14:schemeClr w14:val="tx1"/>
                  </w14:solidFill>
                </w14:textFill>
              </w:rPr>
            </w:pPr>
          </w:p>
        </w:tc>
        <w:tc>
          <w:tcPr>
            <w:tcW w:w="1994" w:type="dxa"/>
            <w:vAlign w:val="center"/>
          </w:tcPr>
          <w:p>
            <w:pPr>
              <w:pStyle w:val="339"/>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同传还原软件</w:t>
            </w:r>
          </w:p>
        </w:tc>
        <w:tc>
          <w:tcPr>
            <w:tcW w:w="5509"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为实现异构平台混合管理，要求云桌面管理平台支持在</w:t>
            </w:r>
            <w:r>
              <w:rPr>
                <w:rFonts w:hint="eastAsia"/>
                <w:color w:val="000000" w:themeColor="text1"/>
                <w:highlight w:val="none"/>
                <w:lang w:val="en-US" w:eastAsia="zh-CN"/>
                <w14:textFill>
                  <w14:solidFill>
                    <w14:schemeClr w14:val="tx1"/>
                  </w14:solidFill>
                </w14:textFill>
              </w:rPr>
              <w:t>统信</w:t>
            </w:r>
            <w:r>
              <w:rPr>
                <w:rFonts w:hint="eastAsia"/>
                <w:color w:val="000000" w:themeColor="text1"/>
                <w:highlight w:val="none"/>
                <w14:textFill>
                  <w14:solidFill>
                    <w14:schemeClr w14:val="tx1"/>
                  </w14:solidFill>
                </w14:textFill>
              </w:rPr>
              <w:t>或麒麟等国产系统搭建，支持对终端的操作系统镜像生成与统一分发管理。（提供此功能界面截图证明）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为满足学校能够充分将新、旧电脑进行统一纳管，降低建设成本的需要，云桌面支持Legacy与UEFI两种方式启动系统，支持管理多硬盘。（提供此功能界面截图证明）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为满足学校对多教学场景的切换，支持三种模式对某一系统盘和数据盘的管理，即还原模式、读写模式、 学习模式。</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为了提升机房的统一部署与更新时间，减少老师的操作步骤与等待时间，支持镜像下发时的策略设置，更新镜像时锁定终端屏幕和更新时隐藏下载窗口；支持系统镜像下发后自动执行关机、重启等操作。（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为方便学校进行硬件资产统计，支持平台收集所有终端硬件配置信息，包含但不限于终端名称、主板型号、CPU型号、内存容量、最近运行时间、合计运行时间、硬件变更和记录信息等。（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为方便学校掌握终端硬件运行情况，支持平台收集所有终端的运行状态信息，包含但不限于终端名称、CPU温度、开机时间、硬盘信息等。（提供此功能界面截图证明）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为方便学校对教学软件运行情况的统计，支持平台收集所有终端的软件信息，包含但不限于程序名称、运行次数、运行时长、版本、程序大小等。（提供此功能界面截图证明）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支持大数据展示：可展示包括但不限于安全运行天数、运行安全等级、组织信息、资产信息、设备详情、桌面模板使用情况等信息。（提供此功能界面截图证明）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可提供网盘功能：支持用户在终端登录网盘，实现数据漫游与数据共享；支持用户将网盘中的文件分享给其他用户，其他用户可通过链接和提取码查看文件。（提供此功能界面截图证明）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网盘回收站功能：为防止误删重要文件，删除的文件会先保留在回收站，可根据实际情况按需取回。（提供此功能界面截图证明）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支持管理平台对单个或批量设备进行远程软件分发与安装操作，用户可根据实际需求选择手动安装模式或静默安装模式，从而实现高效、灵活的设备管理。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支持管理平台对单个或批量设备的文件下发功能，涵盖多种文件类型，包括图片、音频、视频、文档以及压缩文件。其中，图片、音频和视频类文件支持在下发至设备后自动播放，为用户提供高效、便捷的操作体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为满足客户单位形象与风格的统一要求，支持系统名称、LOGO、登录背景图等可按需修改成客户单位名称。（提供此功能界面截图证明）</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r>
              <w:rPr>
                <w:rFonts w:hint="eastAsia"/>
                <w:color w:val="000000" w:themeColor="text1"/>
                <w:highlight w:val="none"/>
                <w14:textFill>
                  <w14:solidFill>
                    <w14:schemeClr w14:val="tx1"/>
                  </w14:solidFill>
                </w14:textFill>
              </w:rPr>
              <w:t>为简化管理，云桌面管理平台支持创建组织、用户、角色，支持管理员对不同用户和角色进行分级分权管理。（提供此功能界面截图证明）</w:t>
            </w:r>
          </w:p>
          <w:p>
            <w:pPr>
              <w:pStyle w:val="339"/>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投标时须注明具体型号</w:t>
            </w:r>
            <w:r>
              <w:rPr>
                <w:rFonts w:hint="eastAsia" w:cs="Times New Roman"/>
                <w:color w:val="000000" w:themeColor="text1"/>
                <w:kern w:val="0"/>
                <w:sz w:val="24"/>
                <w:szCs w:val="24"/>
                <w:highlight w:val="none"/>
                <w:lang w:val="en-US" w:eastAsia="zh-CN" w:bidi="ar-SA"/>
                <w14:textFill>
                  <w14:solidFill>
                    <w14:schemeClr w14:val="tx1"/>
                  </w14:solidFill>
                </w14:textFill>
              </w:rPr>
              <w:t>。</w:t>
            </w:r>
          </w:p>
        </w:tc>
      </w:tr>
    </w:tbl>
    <w:p>
      <w:pPr>
        <w:spacing w:line="360" w:lineRule="auto"/>
        <w:jc w:val="both"/>
        <w:outlineLvl w:val="0"/>
        <w:rPr>
          <w:rFonts w:hint="eastAsia" w:ascii="宋体" w:hAnsi="宋体" w:eastAsia="宋体" w:cs="宋体"/>
          <w:b/>
          <w:color w:val="000000" w:themeColor="text1"/>
          <w:sz w:val="36"/>
          <w:szCs w:val="36"/>
          <w:highlight w:val="none"/>
          <w:lang w:val="en-US" w:eastAsia="zh-CN"/>
          <w14:textFill>
            <w14:solidFill>
              <w14:schemeClr w14:val="tx1"/>
            </w14:solidFill>
          </w14:textFill>
        </w:rPr>
        <w:sectPr>
          <w:pgSz w:w="11906" w:h="16838"/>
          <w:pgMar w:top="1474" w:right="1814" w:bottom="1474" w:left="1814" w:header="851" w:footer="850" w:gutter="0"/>
          <w:cols w:space="720" w:num="1"/>
          <w:rtlGutter w:val="0"/>
          <w:docGrid w:linePitch="1" w:charSpace="0"/>
        </w:sectPr>
      </w:pPr>
    </w:p>
    <w:p>
      <w:p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三、售后服务要求：</w:t>
      </w:r>
    </w:p>
    <w:p>
      <w:pPr>
        <w:numPr>
          <w:ilvl w:val="0"/>
          <w:numId w:val="0"/>
        </w:numPr>
        <w:autoSpaceDE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1、质保期要求（或服务期限）</w:t>
      </w:r>
      <w:r>
        <w:rPr>
          <w:rFonts w:hint="eastAsia"/>
          <w:bCs/>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从验收合格之日起，本项目整体质保期为</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年。</w:t>
      </w:r>
    </w:p>
    <w:p>
      <w:pPr>
        <w:snapToGrid w:val="0"/>
        <w:spacing w:line="360" w:lineRule="auto"/>
        <w:ind w:firstLine="240" w:firstLineChars="100"/>
        <w:rPr>
          <w:bCs/>
          <w:color w:val="000000" w:themeColor="text1"/>
          <w:sz w:val="24"/>
          <w:highlight w:val="none"/>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2、</w:t>
      </w:r>
      <w:r>
        <w:rPr>
          <w:bCs/>
          <w:color w:val="000000" w:themeColor="text1"/>
          <w:sz w:val="24"/>
          <w:highlight w:val="none"/>
          <w14:textFill>
            <w14:solidFill>
              <w14:schemeClr w14:val="tx1"/>
            </w14:solidFill>
          </w14:textFill>
        </w:rPr>
        <w:t>技术支持要求：</w:t>
      </w:r>
      <w:r>
        <w:rPr>
          <w:rFonts w:hint="eastAsia"/>
          <w:bCs/>
          <w:color w:val="000000" w:themeColor="text1"/>
          <w:sz w:val="24"/>
          <w:highlight w:val="none"/>
          <w14:textFill>
            <w14:solidFill>
              <w14:schemeClr w14:val="tx1"/>
            </w14:solidFill>
          </w14:textFill>
        </w:rPr>
        <w:t>质保期内的维修费用（包括材料）全部由中标单位负责</w:t>
      </w:r>
      <w:r>
        <w:rPr>
          <w:rFonts w:hint="eastAsia"/>
          <w:bCs/>
          <w:color w:val="000000" w:themeColor="text1"/>
          <w:sz w:val="24"/>
          <w:highlight w:val="none"/>
          <w:lang w:eastAsia="zh-CN"/>
          <w14:textFill>
            <w14:solidFill>
              <w14:schemeClr w14:val="tx1"/>
            </w14:solidFill>
          </w14:textFill>
        </w:rPr>
        <w:t>，超过质保期的，维修时只收取部件成本费</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提供免费上门维护、升级服务，并提供不少于3年7×24小时的电话技术支持和5×12小时的免费上门现场技术服务，在接到电话后1小时内响应，2小时以内到现场处理，3小时内解决问题</w:t>
      </w:r>
      <w:r>
        <w:rPr>
          <w:bCs/>
          <w:color w:val="000000" w:themeColor="text1"/>
          <w:sz w:val="24"/>
          <w:highlight w:val="none"/>
          <w14:textFill>
            <w14:solidFill>
              <w14:schemeClr w14:val="tx1"/>
            </w14:solidFill>
          </w14:textFill>
        </w:rPr>
        <w:t>。</w:t>
      </w:r>
    </w:p>
    <w:p>
      <w:pPr>
        <w:adjustRightInd w:val="0"/>
        <w:snapToGrid w:val="0"/>
        <w:spacing w:line="400" w:lineRule="atLeast"/>
        <w:ind w:firstLine="352" w:firstLineChars="147"/>
        <w:rPr>
          <w:rFonts w:hint="eastAsia" w:ascii="Times New Roman" w:hAnsi="Times New Roman" w:eastAsia="宋体"/>
          <w:bCs/>
          <w:color w:val="000000" w:themeColor="text1"/>
          <w:sz w:val="24"/>
          <w:szCs w:val="24"/>
          <w:highlight w:val="none"/>
          <w:lang w:eastAsia="zh-CN"/>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3、其他：</w:t>
      </w:r>
      <w:r>
        <w:rPr>
          <w:rFonts w:hint="eastAsia" w:ascii="宋体" w:hAnsi="宋体" w:cs="宋体"/>
          <w:color w:val="000000" w:themeColor="text1"/>
          <w:sz w:val="24"/>
          <w:highlight w:val="none"/>
          <w14:textFill>
            <w14:solidFill>
              <w14:schemeClr w14:val="tx1"/>
            </w14:solidFill>
          </w14:textFill>
        </w:rPr>
        <w:t>质保期内由于产品本身问题的现场不能修复的，必须采取无偿提供备品、备件或备机等补救措施，以保证使用方的正常工作，中标单位有其他服务承诺的，一并履行</w:t>
      </w:r>
      <w:r>
        <w:rPr>
          <w:rFonts w:hint="eastAsia" w:ascii="宋体" w:hAnsi="宋体" w:cs="宋体"/>
          <w:color w:val="000000" w:themeColor="text1"/>
          <w:sz w:val="24"/>
          <w:highlight w:val="none"/>
          <w:lang w:eastAsia="zh-CN"/>
          <w14:textFill>
            <w14:solidFill>
              <w14:schemeClr w14:val="tx1"/>
            </w14:solidFill>
          </w14:textFill>
        </w:rPr>
        <w:t>。</w:t>
      </w:r>
    </w:p>
    <w:p>
      <w:p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四、培训要求：</w:t>
      </w:r>
    </w:p>
    <w:p>
      <w:pPr>
        <w:adjustRightInd w:val="0"/>
        <w:snapToGrid w:val="0"/>
        <w:spacing w:line="400" w:lineRule="atLeast"/>
        <w:ind w:firstLine="480" w:firstLineChars="200"/>
        <w:rPr>
          <w:rFonts w:hint="eastAsia" w:ascii="Times New Roman" w:hAnsi="Times New Roman" w:eastAsia="宋体"/>
          <w:b/>
          <w:bCs/>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安装调试后，对设备使用人员进行现场实地培训，直至会熟练使用</w:t>
      </w:r>
      <w:r>
        <w:rPr>
          <w:rFonts w:hint="eastAsia" w:ascii="宋体" w:hAnsi="宋体" w:cs="宋体"/>
          <w:color w:val="000000" w:themeColor="text1"/>
          <w:sz w:val="24"/>
          <w:highlight w:val="none"/>
          <w:lang w:eastAsia="zh-CN"/>
          <w14:textFill>
            <w14:solidFill>
              <w14:schemeClr w14:val="tx1"/>
            </w14:solidFill>
          </w14:textFill>
        </w:rPr>
        <w:t>。</w:t>
      </w:r>
    </w:p>
    <w:p>
      <w:pPr>
        <w:numPr>
          <w:ilvl w:val="0"/>
          <w:numId w:val="3"/>
        </w:num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工期要求：</w:t>
      </w:r>
    </w:p>
    <w:p>
      <w:pPr>
        <w:numPr>
          <w:ilvl w:val="0"/>
          <w:numId w:val="0"/>
        </w:num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Cs/>
          <w:color w:val="000000" w:themeColor="text1"/>
          <w:sz w:val="24"/>
          <w:szCs w:val="24"/>
          <w:highlight w:val="none"/>
          <w14:textFill>
            <w14:solidFill>
              <w14:schemeClr w14:val="tx1"/>
            </w14:solidFill>
          </w14:textFill>
        </w:rPr>
        <w:t>合同签订后</w:t>
      </w:r>
      <w:r>
        <w:rPr>
          <w:rFonts w:hint="eastAsia"/>
          <w:b/>
          <w:bCs/>
          <w:color w:val="000000" w:themeColor="text1"/>
          <w:sz w:val="24"/>
          <w:szCs w:val="24"/>
          <w:highlight w:val="none"/>
          <w:lang w:val="en-US" w:eastAsia="zh-CN"/>
          <w14:textFill>
            <w14:solidFill>
              <w14:schemeClr w14:val="tx1"/>
            </w14:solidFill>
          </w14:textFill>
        </w:rPr>
        <w:t>30</w:t>
      </w:r>
      <w:r>
        <w:rPr>
          <w:rFonts w:ascii="Times New Roman" w:hAnsi="Times New Roman"/>
          <w:bCs/>
          <w:color w:val="000000" w:themeColor="text1"/>
          <w:sz w:val="24"/>
          <w:szCs w:val="24"/>
          <w:highlight w:val="none"/>
          <w14:textFill>
            <w14:solidFill>
              <w14:schemeClr w14:val="tx1"/>
            </w14:solidFill>
          </w14:textFill>
        </w:rPr>
        <w:t>个工作日</w:t>
      </w:r>
      <w:r>
        <w:rPr>
          <w:rFonts w:hint="eastAsia"/>
          <w:bCs/>
          <w:color w:val="000000" w:themeColor="text1"/>
          <w:sz w:val="24"/>
          <w:szCs w:val="24"/>
          <w:highlight w:val="none"/>
          <w:lang w:val="en-US" w:eastAsia="zh-CN"/>
          <w14:textFill>
            <w14:solidFill>
              <w14:schemeClr w14:val="tx1"/>
            </w14:solidFill>
          </w14:textFill>
        </w:rPr>
        <w:t>内完成</w:t>
      </w:r>
      <w:r>
        <w:rPr>
          <w:rFonts w:ascii="Times New Roman" w:hAnsi="Times New Roman"/>
          <w:bCs/>
          <w:color w:val="000000" w:themeColor="text1"/>
          <w:sz w:val="24"/>
          <w:szCs w:val="24"/>
          <w:highlight w:val="none"/>
          <w14:textFill>
            <w14:solidFill>
              <w14:schemeClr w14:val="tx1"/>
            </w14:solidFill>
          </w14:textFill>
        </w:rPr>
        <w:t>。</w:t>
      </w:r>
    </w:p>
    <w:p>
      <w:p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六、验收要求(考核办法)：</w:t>
      </w:r>
    </w:p>
    <w:p>
      <w:p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根据《杭州市政府采购履约验收暂行办法》精神，组织验收。采购人是履约验收工作的责任主体，应当切实做好履约验收工作。采购人应当根据采购项目的具体情况，自行组织项目验收。</w:t>
      </w:r>
      <w:r>
        <w:rPr>
          <w:rFonts w:hint="eastAsia" w:ascii="Times New Roman" w:hAnsi="Times New Roman"/>
          <w:b/>
          <w:bCs/>
          <w:color w:val="000000" w:themeColor="text1"/>
          <w:sz w:val="24"/>
          <w:szCs w:val="24"/>
          <w:highlight w:val="none"/>
          <w14:textFill>
            <w14:solidFill>
              <w14:schemeClr w14:val="tx1"/>
            </w14:solidFill>
          </w14:textFill>
        </w:rPr>
        <w:t xml:space="preserve"> </w:t>
      </w:r>
    </w:p>
    <w:p>
      <w:pPr>
        <w:numPr>
          <w:ilvl w:val="0"/>
          <w:numId w:val="0"/>
        </w:num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hint="eastAsia" w:cs="Times New Roman"/>
          <w:b/>
          <w:bCs/>
          <w:color w:val="000000" w:themeColor="text1"/>
          <w:kern w:val="2"/>
          <w:sz w:val="24"/>
          <w:szCs w:val="24"/>
          <w:highlight w:val="none"/>
          <w:lang w:val="en-US" w:eastAsia="zh-CN" w:bidi="ar-SA"/>
          <w14:textFill>
            <w14:solidFill>
              <w14:schemeClr w14:val="tx1"/>
            </w14:solidFill>
          </w14:textFill>
        </w:rPr>
        <w:t>七</w:t>
      </w:r>
      <w:r>
        <w:rPr>
          <w:rFonts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w:t>
      </w:r>
      <w:r>
        <w:rPr>
          <w:rFonts w:ascii="Times New Roman" w:hAnsi="Times New Roman"/>
          <w:b/>
          <w:bCs/>
          <w:color w:val="000000" w:themeColor="text1"/>
          <w:sz w:val="24"/>
          <w:szCs w:val="24"/>
          <w:highlight w:val="none"/>
          <w14:textFill>
            <w14:solidFill>
              <w14:schemeClr w14:val="tx1"/>
            </w14:solidFill>
          </w14:textFill>
        </w:rPr>
        <w:t>费用支付：</w:t>
      </w:r>
    </w:p>
    <w:p>
      <w:pPr>
        <w:numPr>
          <w:ilvl w:val="0"/>
          <w:numId w:val="4"/>
        </w:numPr>
        <w:tabs>
          <w:tab w:val="left" w:pos="3780"/>
        </w:tabs>
        <w:spacing w:line="400" w:lineRule="atLeas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预付款</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项目合同签订后</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合同生效以及具备实施条件后5个工作日内预付合同金额</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的50%；</w:t>
      </w:r>
    </w:p>
    <w:p>
      <w:pPr>
        <w:pStyle w:val="1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2、</w:t>
      </w:r>
      <w:r>
        <w:rPr>
          <w:rFonts w:hint="eastAsia" w:ascii="宋体" w:hAnsi="宋体" w:eastAsia="宋体" w:cs="宋体"/>
          <w:bCs/>
          <w:color w:val="000000" w:themeColor="text1"/>
          <w:sz w:val="24"/>
          <w:szCs w:val="24"/>
          <w:highlight w:val="none"/>
          <w:lang w:eastAsia="zh-CN"/>
          <w14:textFill>
            <w14:solidFill>
              <w14:schemeClr w14:val="tx1"/>
            </w14:solidFill>
          </w14:textFill>
        </w:rPr>
        <w:t>中标单位</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根据合同规定将货物交付、安装调试完毕，并经最终验收合格后，采购人凭发票、确认单以及合同，5个工作日内支付合同金额的50%；</w:t>
      </w:r>
    </w:p>
    <w:p>
      <w:pPr>
        <w:adjustRightInd w:val="0"/>
        <w:snapToGrid w:val="0"/>
        <w:spacing w:line="360" w:lineRule="auto"/>
        <w:ind w:firstLine="352" w:firstLineChars="147"/>
        <w:rPr>
          <w:rFonts w:hint="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采购人</w:t>
      </w:r>
      <w:r>
        <w:rPr>
          <w:rFonts w:hint="eastAsia"/>
          <w:color w:val="000000" w:themeColor="text1"/>
          <w:sz w:val="24"/>
          <w:highlight w:val="none"/>
          <w14:textFill>
            <w14:solidFill>
              <w14:schemeClr w14:val="tx1"/>
            </w14:solidFill>
          </w14:textFill>
        </w:rPr>
        <w:t>付款前，</w:t>
      </w:r>
      <w:r>
        <w:rPr>
          <w:rFonts w:hint="eastAsia"/>
          <w:color w:val="000000" w:themeColor="text1"/>
          <w:sz w:val="24"/>
          <w:highlight w:val="none"/>
          <w:lang w:eastAsia="zh-CN"/>
          <w14:textFill>
            <w14:solidFill>
              <w14:schemeClr w14:val="tx1"/>
            </w14:solidFill>
          </w14:textFill>
        </w:rPr>
        <w:t>中标单位</w:t>
      </w:r>
      <w:r>
        <w:rPr>
          <w:rFonts w:hint="eastAsia"/>
          <w:color w:val="000000" w:themeColor="text1"/>
          <w:sz w:val="24"/>
          <w:highlight w:val="none"/>
          <w14:textFill>
            <w14:solidFill>
              <w14:schemeClr w14:val="tx1"/>
            </w14:solidFill>
          </w14:textFill>
        </w:rPr>
        <w:t>必须提交符合要求的发票。</w:t>
      </w:r>
    </w:p>
    <w:p>
      <w:pPr>
        <w:adjustRightInd w:val="0"/>
        <w:snapToGrid w:val="0"/>
        <w:spacing w:line="400" w:lineRule="atLeast"/>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cs="Times New Roman"/>
          <w:b/>
          <w:bCs/>
          <w:color w:val="000000" w:themeColor="text1"/>
          <w:kern w:val="2"/>
          <w:sz w:val="24"/>
          <w:szCs w:val="24"/>
          <w:highlight w:val="none"/>
          <w:lang w:val="en-US" w:eastAsia="zh-CN" w:bidi="ar-SA"/>
          <w14:textFill>
            <w14:solidFill>
              <w14:schemeClr w14:val="tx1"/>
            </w14:solidFill>
          </w14:textFill>
        </w:rPr>
        <w:t>八</w:t>
      </w:r>
      <w:r>
        <w:rPr>
          <w:rFonts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采购人认为必须说明的其他内容：</w:t>
      </w:r>
    </w:p>
    <w:p>
      <w:pPr>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带“</w:t>
      </w:r>
      <w:r>
        <w:rPr>
          <w:rFonts w:ascii="仿宋_GB2312" w:hAnsi="仿宋" w:eastAsia="仿宋_GB2312" w:cs="仿宋_GB2312"/>
          <w:color w:val="000000" w:themeColor="text1"/>
          <w:sz w:val="24"/>
          <w:szCs w:val="20"/>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”条款为实质性条款，投标人须</w:t>
      </w:r>
      <w:r>
        <w:rPr>
          <w:rFonts w:hint="eastAsia" w:cs="宋体"/>
          <w:b/>
          <w:bCs/>
          <w:color w:val="000000" w:themeColor="text1"/>
          <w:sz w:val="24"/>
          <w:szCs w:val="24"/>
          <w:highlight w:val="none"/>
          <w:lang w:val="en-US" w:eastAsia="zh-CN"/>
          <w14:textFill>
            <w14:solidFill>
              <w14:schemeClr w14:val="tx1"/>
            </w14:solidFill>
          </w14:textFill>
        </w:rPr>
        <w:t>将相应内容填写至</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符合性审查资料</w:t>
      </w:r>
      <w:r>
        <w:rPr>
          <w:rFonts w:hint="eastAsia" w:ascii="宋体" w:hAnsi="宋体" w:eastAsia="宋体" w:cs="宋体"/>
          <w:b/>
          <w:bCs/>
          <w:color w:val="000000" w:themeColor="text1"/>
          <w:sz w:val="24"/>
          <w:szCs w:val="24"/>
          <w:highlight w:val="none"/>
          <w14:textFill>
            <w14:solidFill>
              <w14:schemeClr w14:val="tx1"/>
            </w14:solidFill>
          </w14:textFill>
        </w:rPr>
        <w:t>》，如有任意一条未响应或不满足，将被视为</w:t>
      </w:r>
      <w:r>
        <w:rPr>
          <w:rFonts w:hint="eastAsia" w:eastAsia="宋体" w:cs="宋体"/>
          <w:b/>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bCs/>
          <w:color w:val="000000" w:themeColor="text1"/>
          <w:sz w:val="24"/>
          <w:szCs w:val="24"/>
          <w:highlight w:val="none"/>
          <w14:textFill>
            <w14:solidFill>
              <w14:schemeClr w14:val="tx1"/>
            </w14:solidFill>
          </w14:textFill>
        </w:rPr>
        <w:t>无效</w:t>
      </w:r>
      <w:r>
        <w:rPr>
          <w:rFonts w:hint="eastAsia" w:eastAsia="宋体" w:cs="宋体"/>
          <w:b/>
          <w:bCs/>
          <w:color w:val="000000" w:themeColor="text1"/>
          <w:sz w:val="24"/>
          <w:szCs w:val="24"/>
          <w:highlight w:val="none"/>
          <w:lang w:eastAsia="zh-CN"/>
          <w14:textFill>
            <w14:solidFill>
              <w14:schemeClr w14:val="tx1"/>
            </w14:solidFill>
          </w14:textFill>
        </w:rPr>
        <w:t>。</w:t>
      </w:r>
      <w:r>
        <w:rPr>
          <w:rFonts w:hint="eastAsia" w:cs="宋体"/>
          <w:b/>
          <w:bCs/>
          <w:color w:val="000000" w:themeColor="text1"/>
          <w:szCs w:val="24"/>
          <w:highlight w:val="none"/>
          <w:lang w:eastAsia="zh-CN"/>
          <w14:textFill>
            <w14:solidFill>
              <w14:schemeClr w14:val="tx1"/>
            </w14:solidFill>
          </w14:textFill>
        </w:rPr>
        <w:t>其中</w:t>
      </w:r>
      <w:r>
        <w:rPr>
          <w:rFonts w:hint="eastAsia" w:cs="宋体"/>
          <w:b/>
          <w:bCs/>
          <w:color w:val="000000" w:themeColor="text1"/>
          <w:szCs w:val="24"/>
          <w:highlight w:val="none"/>
          <w:lang w:val="en-US" w:eastAsia="zh-CN"/>
          <w14:textFill>
            <w14:solidFill>
              <w14:schemeClr w14:val="tx1"/>
            </w14:solidFill>
          </w14:textFill>
        </w:rPr>
        <w:t>教师电脑</w:t>
      </w:r>
      <w:r>
        <w:rPr>
          <w:rFonts w:hint="eastAsia"/>
          <w:color w:val="000000" w:themeColor="text1"/>
          <w:sz w:val="24"/>
          <w:highlight w:val="none"/>
          <w14:textFill>
            <w14:solidFill>
              <w14:schemeClr w14:val="tx1"/>
            </w14:solidFill>
          </w14:textFill>
        </w:rPr>
        <w:t>CPU信息</w:t>
      </w:r>
      <w:r>
        <w:rPr>
          <w:rFonts w:hint="eastAsia"/>
          <w:color w:val="000000" w:themeColor="text1"/>
          <w:sz w:val="24"/>
          <w:highlight w:val="none"/>
          <w:lang w:eastAsia="zh-CN"/>
          <w14:textFill>
            <w14:solidFill>
              <w14:schemeClr w14:val="tx1"/>
            </w14:solidFill>
          </w14:textFill>
        </w:rPr>
        <w:t>及</w:t>
      </w:r>
      <w:r>
        <w:rPr>
          <w:rFonts w:hint="eastAsia"/>
          <w:color w:val="000000" w:themeColor="text1"/>
          <w:kern w:val="0"/>
          <w:sz w:val="24"/>
          <w:highlight w:val="none"/>
          <w14:textFill>
            <w14:solidFill>
              <w14:schemeClr w14:val="tx1"/>
            </w14:solidFill>
          </w14:textFill>
        </w:rPr>
        <w:t>CPU热功耗</w:t>
      </w:r>
      <w:r>
        <w:rPr>
          <w:rFonts w:hint="eastAsia"/>
          <w:color w:val="000000" w:themeColor="text1"/>
          <w:kern w:val="0"/>
          <w:sz w:val="24"/>
          <w:highlight w:val="none"/>
          <w:lang w:eastAsia="zh-CN"/>
          <w14:textFill>
            <w14:solidFill>
              <w14:schemeClr w14:val="tx1"/>
            </w14:solidFill>
          </w14:textFill>
        </w:rPr>
        <w:t>需提供证明材料，否则视为负偏离。</w:t>
      </w:r>
    </w:p>
    <w:p>
      <w:pP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br w:type="page"/>
      </w:r>
    </w:p>
    <w:p>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 xml:space="preserve">第四部分   </w:t>
      </w:r>
      <w:bookmarkStart w:id="31" w:name="_Toc184313301"/>
      <w:bookmarkEnd w:id="31"/>
      <w:bookmarkStart w:id="32" w:name="_Toc184313305"/>
      <w:bookmarkEnd w:id="32"/>
      <w:bookmarkStart w:id="33" w:name="_Toc184308075"/>
      <w:bookmarkEnd w:id="33"/>
      <w:bookmarkStart w:id="34" w:name="_Toc184312121"/>
      <w:bookmarkEnd w:id="34"/>
      <w:bookmarkStart w:id="35" w:name="_Toc184310278"/>
      <w:bookmarkEnd w:id="35"/>
      <w:bookmarkStart w:id="36" w:name="_Toc184310279"/>
      <w:bookmarkEnd w:id="36"/>
      <w:bookmarkStart w:id="37" w:name="_Toc184308068"/>
      <w:bookmarkEnd w:id="37"/>
      <w:bookmarkStart w:id="38" w:name="_Toc184313295"/>
      <w:bookmarkEnd w:id="38"/>
      <w:bookmarkStart w:id="39" w:name="_Toc184308097"/>
      <w:bookmarkEnd w:id="39"/>
      <w:bookmarkStart w:id="40" w:name="_Toc184310307"/>
      <w:bookmarkEnd w:id="40"/>
      <w:bookmarkStart w:id="41" w:name="_Toc184308090"/>
      <w:bookmarkEnd w:id="41"/>
      <w:bookmarkStart w:id="42" w:name="_Toc184313283"/>
      <w:bookmarkEnd w:id="42"/>
      <w:bookmarkStart w:id="43" w:name="_Toc184308062"/>
      <w:bookmarkEnd w:id="43"/>
      <w:bookmarkStart w:id="44" w:name="_Toc184313254"/>
      <w:bookmarkEnd w:id="44"/>
      <w:bookmarkStart w:id="45" w:name="_Toc184314469"/>
      <w:bookmarkEnd w:id="45"/>
      <w:bookmarkStart w:id="46" w:name="_Toc184310308"/>
      <w:bookmarkEnd w:id="46"/>
      <w:bookmarkStart w:id="47" w:name="_Toc184314451"/>
      <w:bookmarkEnd w:id="47"/>
      <w:bookmarkStart w:id="48" w:name="_Toc184314439"/>
      <w:bookmarkEnd w:id="48"/>
      <w:bookmarkStart w:id="49" w:name="_Toc184310320"/>
      <w:bookmarkEnd w:id="49"/>
      <w:bookmarkStart w:id="50" w:name="_Toc184310275"/>
      <w:bookmarkEnd w:id="50"/>
      <w:bookmarkStart w:id="51" w:name="_Toc184310330"/>
      <w:bookmarkEnd w:id="51"/>
      <w:bookmarkStart w:id="52" w:name="_Toc184313260"/>
      <w:bookmarkEnd w:id="52"/>
      <w:bookmarkStart w:id="53" w:name="_Toc184312107"/>
      <w:bookmarkEnd w:id="53"/>
      <w:bookmarkStart w:id="54" w:name="_Toc184312079"/>
      <w:bookmarkEnd w:id="54"/>
      <w:bookmarkStart w:id="55" w:name="_Toc184312101"/>
      <w:bookmarkEnd w:id="55"/>
      <w:bookmarkStart w:id="56" w:name="_Toc184313242"/>
      <w:bookmarkEnd w:id="56"/>
      <w:bookmarkStart w:id="57" w:name="_Toc184314426"/>
      <w:bookmarkEnd w:id="57"/>
      <w:bookmarkStart w:id="58" w:name="_Toc184310304"/>
      <w:bookmarkEnd w:id="58"/>
      <w:bookmarkStart w:id="59" w:name="_Toc184308057"/>
      <w:bookmarkEnd w:id="59"/>
      <w:bookmarkStart w:id="60" w:name="_Toc184313291"/>
      <w:bookmarkEnd w:id="60"/>
      <w:bookmarkStart w:id="61" w:name="_Toc184308056"/>
      <w:bookmarkEnd w:id="61"/>
      <w:bookmarkStart w:id="62" w:name="_Toc184313310"/>
      <w:bookmarkEnd w:id="62"/>
      <w:bookmarkStart w:id="63" w:name="_Toc184313240"/>
      <w:bookmarkEnd w:id="63"/>
      <w:bookmarkStart w:id="64" w:name="_Toc184313275"/>
      <w:bookmarkEnd w:id="64"/>
      <w:bookmarkStart w:id="65" w:name="_Toc184308049"/>
      <w:bookmarkEnd w:id="65"/>
      <w:bookmarkStart w:id="66" w:name="_Toc184310336"/>
      <w:bookmarkEnd w:id="66"/>
      <w:bookmarkStart w:id="67" w:name="_Toc184308069"/>
      <w:bookmarkEnd w:id="67"/>
      <w:bookmarkStart w:id="68" w:name="_Toc184312078"/>
      <w:bookmarkEnd w:id="68"/>
      <w:bookmarkStart w:id="69" w:name="_Toc184313238"/>
      <w:bookmarkEnd w:id="69"/>
      <w:bookmarkStart w:id="70" w:name="_Toc184313251"/>
      <w:bookmarkEnd w:id="70"/>
      <w:bookmarkStart w:id="71" w:name="_Toc184312134"/>
      <w:bookmarkEnd w:id="71"/>
      <w:bookmarkStart w:id="72" w:name="_Toc184310337"/>
      <w:bookmarkEnd w:id="72"/>
      <w:bookmarkStart w:id="73" w:name="_Toc184313273"/>
      <w:bookmarkEnd w:id="73"/>
      <w:bookmarkStart w:id="74" w:name="_Toc184310300"/>
      <w:bookmarkEnd w:id="74"/>
      <w:bookmarkStart w:id="75" w:name="_Toc184310316"/>
      <w:bookmarkEnd w:id="75"/>
      <w:bookmarkStart w:id="76" w:name="_Toc184314444"/>
      <w:bookmarkEnd w:id="76"/>
      <w:bookmarkStart w:id="77" w:name="_Toc184313274"/>
      <w:bookmarkEnd w:id="77"/>
      <w:bookmarkStart w:id="78" w:name="_Toc184308044"/>
      <w:bookmarkEnd w:id="78"/>
      <w:bookmarkStart w:id="79" w:name="_Toc184313277"/>
      <w:bookmarkEnd w:id="79"/>
      <w:bookmarkStart w:id="80" w:name="_Toc184313278"/>
      <w:bookmarkEnd w:id="80"/>
      <w:bookmarkStart w:id="81" w:name="_Toc184313253"/>
      <w:bookmarkEnd w:id="81"/>
      <w:bookmarkStart w:id="82" w:name="_Toc184308063"/>
      <w:bookmarkEnd w:id="82"/>
      <w:bookmarkStart w:id="83" w:name="_Toc184314445"/>
      <w:bookmarkEnd w:id="83"/>
      <w:bookmarkStart w:id="84" w:name="_Toc184312109"/>
      <w:bookmarkEnd w:id="84"/>
      <w:bookmarkStart w:id="85" w:name="_Toc184312076"/>
      <w:bookmarkEnd w:id="85"/>
      <w:bookmarkStart w:id="86" w:name="_Toc184310276"/>
      <w:bookmarkEnd w:id="86"/>
      <w:bookmarkStart w:id="87" w:name="_Toc184308039"/>
      <w:bookmarkEnd w:id="87"/>
      <w:bookmarkStart w:id="88" w:name="_Toc184314460"/>
      <w:bookmarkEnd w:id="88"/>
      <w:bookmarkStart w:id="89" w:name="_Toc184314467"/>
      <w:bookmarkEnd w:id="89"/>
      <w:bookmarkStart w:id="90" w:name="_Toc184308084"/>
      <w:bookmarkEnd w:id="90"/>
      <w:bookmarkStart w:id="91" w:name="_Toc184308047"/>
      <w:bookmarkEnd w:id="91"/>
      <w:bookmarkStart w:id="92" w:name="_Toc184314453"/>
      <w:bookmarkEnd w:id="92"/>
      <w:bookmarkStart w:id="93" w:name="_Toc184314472"/>
      <w:bookmarkEnd w:id="93"/>
      <w:bookmarkStart w:id="94" w:name="_Toc184308080"/>
      <w:bookmarkEnd w:id="94"/>
      <w:bookmarkStart w:id="95" w:name="_Toc184308082"/>
      <w:bookmarkEnd w:id="95"/>
      <w:bookmarkStart w:id="96" w:name="_Toc184308105"/>
      <w:bookmarkEnd w:id="96"/>
      <w:bookmarkStart w:id="97" w:name="_Toc184314477"/>
      <w:bookmarkEnd w:id="97"/>
      <w:bookmarkStart w:id="98" w:name="_Toc184314432"/>
      <w:bookmarkEnd w:id="98"/>
      <w:bookmarkStart w:id="99" w:name="_Toc184314431"/>
      <w:bookmarkEnd w:id="99"/>
      <w:bookmarkStart w:id="100" w:name="_Toc184308051"/>
      <w:bookmarkEnd w:id="100"/>
      <w:bookmarkStart w:id="101" w:name="_Toc184314446"/>
      <w:bookmarkEnd w:id="101"/>
      <w:bookmarkStart w:id="102" w:name="_Toc184314462"/>
      <w:bookmarkEnd w:id="102"/>
      <w:bookmarkStart w:id="103" w:name="_Toc184310343"/>
      <w:bookmarkEnd w:id="103"/>
      <w:bookmarkStart w:id="104" w:name="_Toc184312084"/>
      <w:bookmarkEnd w:id="104"/>
      <w:bookmarkStart w:id="105" w:name="_Toc184310296"/>
      <w:bookmarkEnd w:id="105"/>
      <w:bookmarkStart w:id="106" w:name="_Toc184310319"/>
      <w:bookmarkEnd w:id="106"/>
      <w:bookmarkStart w:id="107" w:name="_Toc184308095"/>
      <w:bookmarkEnd w:id="107"/>
      <w:bookmarkStart w:id="108" w:name="_Toc184312100"/>
      <w:bookmarkEnd w:id="108"/>
      <w:bookmarkStart w:id="109" w:name="_Toc184310309"/>
      <w:bookmarkEnd w:id="109"/>
      <w:bookmarkStart w:id="110" w:name="_Toc184310292"/>
      <w:bookmarkEnd w:id="110"/>
      <w:bookmarkStart w:id="111" w:name="_Toc184313264"/>
      <w:bookmarkEnd w:id="111"/>
      <w:bookmarkStart w:id="112" w:name="_Toc184310318"/>
      <w:bookmarkEnd w:id="112"/>
      <w:bookmarkStart w:id="113" w:name="_Toc184313300"/>
      <w:bookmarkEnd w:id="113"/>
      <w:bookmarkStart w:id="114" w:name="_Toc184313293"/>
      <w:bookmarkEnd w:id="114"/>
      <w:bookmarkStart w:id="115" w:name="_Toc184308070"/>
      <w:bookmarkEnd w:id="115"/>
      <w:bookmarkStart w:id="116" w:name="_Toc184313299"/>
      <w:bookmarkEnd w:id="116"/>
      <w:bookmarkStart w:id="117" w:name="_Toc184308053"/>
      <w:bookmarkEnd w:id="117"/>
      <w:bookmarkStart w:id="118" w:name="_Toc184312093"/>
      <w:bookmarkEnd w:id="118"/>
      <w:bookmarkStart w:id="119" w:name="_Toc184312067"/>
      <w:bookmarkEnd w:id="119"/>
      <w:bookmarkStart w:id="120" w:name="_Toc184308036"/>
      <w:bookmarkEnd w:id="120"/>
      <w:bookmarkStart w:id="121" w:name="_Toc184313255"/>
      <w:bookmarkEnd w:id="121"/>
      <w:bookmarkStart w:id="122" w:name="_Toc184308102"/>
      <w:bookmarkEnd w:id="122"/>
      <w:bookmarkStart w:id="123" w:name="_Toc184308083"/>
      <w:bookmarkEnd w:id="123"/>
      <w:bookmarkStart w:id="124" w:name="_Toc184312069"/>
      <w:bookmarkEnd w:id="124"/>
      <w:bookmarkStart w:id="125" w:name="_Toc184312077"/>
      <w:bookmarkEnd w:id="125"/>
      <w:bookmarkStart w:id="126" w:name="_Toc184308081"/>
      <w:bookmarkEnd w:id="126"/>
      <w:bookmarkStart w:id="127" w:name="_Toc184312072"/>
      <w:bookmarkEnd w:id="127"/>
      <w:bookmarkStart w:id="128" w:name="_Toc184313241"/>
      <w:bookmarkEnd w:id="128"/>
      <w:bookmarkStart w:id="129" w:name="_Toc184314410"/>
      <w:bookmarkEnd w:id="129"/>
      <w:bookmarkStart w:id="130" w:name="_Toc184314448"/>
      <w:bookmarkEnd w:id="130"/>
      <w:bookmarkStart w:id="131" w:name="_Toc184310321"/>
      <w:bookmarkEnd w:id="131"/>
      <w:bookmarkStart w:id="132" w:name="_Toc184312071"/>
      <w:bookmarkEnd w:id="132"/>
      <w:bookmarkStart w:id="133" w:name="_Toc184312123"/>
      <w:bookmarkEnd w:id="133"/>
      <w:bookmarkStart w:id="134" w:name="_Toc184312090"/>
      <w:bookmarkEnd w:id="134"/>
      <w:bookmarkStart w:id="135" w:name="_Toc184312106"/>
      <w:bookmarkEnd w:id="135"/>
      <w:bookmarkStart w:id="136" w:name="_Toc184312083"/>
      <w:bookmarkEnd w:id="136"/>
      <w:bookmarkStart w:id="137" w:name="_Toc184314417"/>
      <w:bookmarkEnd w:id="137"/>
      <w:bookmarkStart w:id="138" w:name="_Toc184313280"/>
      <w:bookmarkEnd w:id="138"/>
      <w:bookmarkStart w:id="139" w:name="_Toc184313267"/>
      <w:bookmarkEnd w:id="139"/>
      <w:bookmarkStart w:id="140" w:name="_Toc184314456"/>
      <w:bookmarkEnd w:id="140"/>
      <w:bookmarkStart w:id="141" w:name="_Toc184313308"/>
      <w:bookmarkEnd w:id="141"/>
      <w:bookmarkStart w:id="142" w:name="_Toc184308107"/>
      <w:bookmarkEnd w:id="142"/>
      <w:bookmarkStart w:id="143" w:name="_Toc184313279"/>
      <w:bookmarkEnd w:id="143"/>
      <w:bookmarkStart w:id="144" w:name="_Toc184310286"/>
      <w:bookmarkEnd w:id="144"/>
      <w:bookmarkStart w:id="145" w:name="_Toc184312114"/>
      <w:bookmarkEnd w:id="145"/>
      <w:bookmarkStart w:id="146" w:name="_Toc184313303"/>
      <w:bookmarkEnd w:id="146"/>
      <w:bookmarkStart w:id="147" w:name="_Toc184314476"/>
      <w:bookmarkEnd w:id="147"/>
      <w:bookmarkStart w:id="148" w:name="_Toc184314452"/>
      <w:bookmarkEnd w:id="148"/>
      <w:bookmarkStart w:id="149" w:name="_Toc184308103"/>
      <w:bookmarkEnd w:id="149"/>
      <w:bookmarkStart w:id="150" w:name="_Toc184312136"/>
      <w:bookmarkEnd w:id="150"/>
      <w:bookmarkStart w:id="151" w:name="_Toc184313271"/>
      <w:bookmarkEnd w:id="151"/>
      <w:bookmarkStart w:id="152" w:name="_Toc184312131"/>
      <w:bookmarkEnd w:id="152"/>
      <w:bookmarkStart w:id="153" w:name="_Toc184314421"/>
      <w:bookmarkEnd w:id="153"/>
      <w:bookmarkStart w:id="154" w:name="_Toc184310342"/>
      <w:bookmarkEnd w:id="154"/>
      <w:bookmarkStart w:id="155" w:name="_Toc184310272"/>
      <w:bookmarkEnd w:id="155"/>
      <w:bookmarkStart w:id="156" w:name="_Toc184312118"/>
      <w:bookmarkEnd w:id="156"/>
      <w:bookmarkStart w:id="157" w:name="_Toc184308076"/>
      <w:bookmarkEnd w:id="157"/>
      <w:bookmarkStart w:id="158" w:name="_Toc184313249"/>
      <w:bookmarkEnd w:id="158"/>
      <w:bookmarkStart w:id="159" w:name="_Toc184308079"/>
      <w:bookmarkEnd w:id="159"/>
      <w:bookmarkStart w:id="160" w:name="_Toc184313272"/>
      <w:bookmarkEnd w:id="160"/>
      <w:bookmarkStart w:id="161" w:name="_Toc184312132"/>
      <w:bookmarkEnd w:id="161"/>
      <w:bookmarkStart w:id="162" w:name="_Toc184313262"/>
      <w:bookmarkEnd w:id="162"/>
      <w:bookmarkStart w:id="163" w:name="_Toc184310301"/>
      <w:bookmarkEnd w:id="163"/>
      <w:bookmarkStart w:id="164" w:name="_Toc184314465"/>
      <w:bookmarkEnd w:id="164"/>
      <w:bookmarkStart w:id="165" w:name="_Toc184310329"/>
      <w:bookmarkEnd w:id="165"/>
      <w:bookmarkStart w:id="166" w:name="_Toc184313287"/>
      <w:bookmarkEnd w:id="166"/>
      <w:bookmarkStart w:id="167" w:name="_Toc184313298"/>
      <w:bookmarkEnd w:id="167"/>
      <w:bookmarkStart w:id="168" w:name="_Toc184312095"/>
      <w:bookmarkEnd w:id="168"/>
      <w:bookmarkStart w:id="169" w:name="_Toc184314418"/>
      <w:bookmarkEnd w:id="169"/>
      <w:bookmarkStart w:id="170" w:name="_Toc184310288"/>
      <w:bookmarkEnd w:id="170"/>
      <w:bookmarkStart w:id="171" w:name="_Toc184314454"/>
      <w:bookmarkEnd w:id="171"/>
      <w:bookmarkStart w:id="172" w:name="_Toc184312135"/>
      <w:bookmarkEnd w:id="172"/>
      <w:bookmarkStart w:id="173" w:name="_Toc184314458"/>
      <w:bookmarkEnd w:id="173"/>
      <w:bookmarkStart w:id="174" w:name="_Toc184310332"/>
      <w:bookmarkEnd w:id="174"/>
      <w:bookmarkStart w:id="175" w:name="_Toc184308050"/>
      <w:bookmarkEnd w:id="175"/>
      <w:bookmarkStart w:id="176" w:name="_Toc184314450"/>
      <w:bookmarkEnd w:id="176"/>
      <w:bookmarkStart w:id="177" w:name="_Toc184314470"/>
      <w:bookmarkEnd w:id="177"/>
      <w:bookmarkStart w:id="178" w:name="_Toc184312133"/>
      <w:bookmarkEnd w:id="178"/>
      <w:bookmarkStart w:id="179" w:name="_Toc184312139"/>
      <w:bookmarkEnd w:id="179"/>
      <w:bookmarkStart w:id="180" w:name="_Toc184308096"/>
      <w:bookmarkEnd w:id="180"/>
      <w:bookmarkStart w:id="181" w:name="_Toc184308067"/>
      <w:bookmarkEnd w:id="181"/>
      <w:bookmarkStart w:id="182" w:name="_Toc184310338"/>
      <w:bookmarkEnd w:id="182"/>
      <w:bookmarkStart w:id="183" w:name="_Toc184310331"/>
      <w:bookmarkEnd w:id="183"/>
      <w:bookmarkStart w:id="184" w:name="_Toc184312088"/>
      <w:bookmarkEnd w:id="184"/>
      <w:bookmarkStart w:id="185" w:name="_Toc184313257"/>
      <w:bookmarkEnd w:id="185"/>
      <w:bookmarkStart w:id="186" w:name="_Toc184308071"/>
      <w:bookmarkEnd w:id="186"/>
      <w:bookmarkStart w:id="187" w:name="_Toc184314423"/>
      <w:bookmarkEnd w:id="187"/>
      <w:bookmarkStart w:id="188" w:name="_Toc184310311"/>
      <w:bookmarkEnd w:id="188"/>
      <w:bookmarkStart w:id="189" w:name="_Toc184308042"/>
      <w:bookmarkEnd w:id="189"/>
      <w:bookmarkStart w:id="190" w:name="_Toc184308094"/>
      <w:bookmarkEnd w:id="190"/>
      <w:bookmarkStart w:id="191" w:name="_Toc184308099"/>
      <w:bookmarkEnd w:id="191"/>
      <w:bookmarkStart w:id="192" w:name="_Toc184313265"/>
      <w:bookmarkEnd w:id="192"/>
      <w:bookmarkStart w:id="193" w:name="_Toc184312104"/>
      <w:bookmarkEnd w:id="193"/>
      <w:bookmarkStart w:id="194" w:name="_Toc184313246"/>
      <w:bookmarkEnd w:id="194"/>
      <w:bookmarkStart w:id="195" w:name="_Toc184308088"/>
      <w:bookmarkEnd w:id="195"/>
      <w:bookmarkStart w:id="196" w:name="_Toc184314457"/>
      <w:bookmarkEnd w:id="196"/>
      <w:bookmarkStart w:id="197" w:name="_Toc184313285"/>
      <w:bookmarkEnd w:id="197"/>
      <w:bookmarkStart w:id="198" w:name="_Toc184314480"/>
      <w:bookmarkEnd w:id="198"/>
      <w:bookmarkStart w:id="199" w:name="_Toc184313288"/>
      <w:bookmarkEnd w:id="199"/>
      <w:bookmarkStart w:id="200" w:name="_Toc184310317"/>
      <w:bookmarkEnd w:id="200"/>
      <w:bookmarkStart w:id="201" w:name="_Toc184308058"/>
      <w:bookmarkEnd w:id="201"/>
      <w:bookmarkStart w:id="202" w:name="_Toc184314474"/>
      <w:bookmarkEnd w:id="202"/>
      <w:bookmarkStart w:id="203" w:name="_Toc184312128"/>
      <w:bookmarkEnd w:id="203"/>
      <w:bookmarkStart w:id="204" w:name="_Toc184314459"/>
      <w:bookmarkEnd w:id="204"/>
      <w:bookmarkStart w:id="205" w:name="_Toc184314438"/>
      <w:bookmarkEnd w:id="205"/>
      <w:bookmarkStart w:id="206" w:name="_Toc184312073"/>
      <w:bookmarkEnd w:id="206"/>
      <w:bookmarkStart w:id="207" w:name="_Toc184314479"/>
      <w:bookmarkEnd w:id="207"/>
      <w:bookmarkStart w:id="208" w:name="_Toc184310335"/>
      <w:bookmarkEnd w:id="208"/>
      <w:bookmarkStart w:id="209" w:name="_Toc184312080"/>
      <w:bookmarkEnd w:id="209"/>
      <w:bookmarkStart w:id="210" w:name="_Toc184314436"/>
      <w:bookmarkEnd w:id="210"/>
      <w:bookmarkStart w:id="211" w:name="_Toc184312120"/>
      <w:bookmarkEnd w:id="211"/>
      <w:bookmarkStart w:id="212" w:name="_Toc184310295"/>
      <w:bookmarkEnd w:id="212"/>
      <w:bookmarkStart w:id="213" w:name="_Toc184310305"/>
      <w:bookmarkEnd w:id="213"/>
      <w:bookmarkStart w:id="214" w:name="_Toc184313302"/>
      <w:bookmarkEnd w:id="214"/>
      <w:bookmarkStart w:id="215" w:name="_Toc184314455"/>
      <w:bookmarkEnd w:id="215"/>
      <w:bookmarkStart w:id="216" w:name="_Toc184312129"/>
      <w:bookmarkEnd w:id="216"/>
      <w:bookmarkStart w:id="217" w:name="_Toc184308101"/>
      <w:bookmarkEnd w:id="217"/>
      <w:bookmarkStart w:id="218" w:name="_Toc184314482"/>
      <w:bookmarkEnd w:id="218"/>
      <w:bookmarkStart w:id="219" w:name="_Toc184313286"/>
      <w:bookmarkEnd w:id="219"/>
      <w:bookmarkStart w:id="220" w:name="_Toc184314466"/>
      <w:bookmarkEnd w:id="220"/>
      <w:bookmarkStart w:id="221" w:name="_Toc184312130"/>
      <w:bookmarkEnd w:id="221"/>
      <w:bookmarkStart w:id="222" w:name="_Toc184313256"/>
      <w:bookmarkEnd w:id="222"/>
      <w:bookmarkStart w:id="223" w:name="_Toc184313281"/>
      <w:bookmarkEnd w:id="223"/>
      <w:bookmarkStart w:id="224" w:name="_Toc184310299"/>
      <w:bookmarkEnd w:id="224"/>
      <w:bookmarkStart w:id="225" w:name="_Toc184310339"/>
      <w:bookmarkEnd w:id="225"/>
      <w:bookmarkStart w:id="226" w:name="_Toc184310344"/>
      <w:bookmarkEnd w:id="226"/>
      <w:bookmarkStart w:id="227" w:name="_Toc184308077"/>
      <w:bookmarkEnd w:id="227"/>
      <w:bookmarkStart w:id="228" w:name="_Toc184308061"/>
      <w:bookmarkEnd w:id="228"/>
      <w:bookmarkStart w:id="229" w:name="_Toc184312085"/>
      <w:bookmarkEnd w:id="229"/>
      <w:bookmarkStart w:id="230" w:name="_Toc184313252"/>
      <w:bookmarkEnd w:id="230"/>
      <w:bookmarkStart w:id="231" w:name="_Toc184310287"/>
      <w:bookmarkEnd w:id="231"/>
      <w:bookmarkStart w:id="232" w:name="_Toc184308040"/>
      <w:bookmarkEnd w:id="232"/>
      <w:bookmarkStart w:id="233" w:name="_Toc184310310"/>
      <w:bookmarkEnd w:id="233"/>
      <w:bookmarkStart w:id="234" w:name="_Toc184313290"/>
      <w:bookmarkEnd w:id="234"/>
      <w:bookmarkStart w:id="235" w:name="_Toc184308066"/>
      <w:bookmarkEnd w:id="235"/>
      <w:bookmarkStart w:id="236" w:name="_Toc184313304"/>
      <w:bookmarkEnd w:id="236"/>
      <w:bookmarkStart w:id="237" w:name="_Toc184313270"/>
      <w:bookmarkEnd w:id="237"/>
      <w:bookmarkStart w:id="238" w:name="_Toc184312094"/>
      <w:bookmarkEnd w:id="238"/>
      <w:bookmarkStart w:id="239" w:name="_Toc184310315"/>
      <w:bookmarkEnd w:id="239"/>
      <w:bookmarkStart w:id="240" w:name="_Toc184314437"/>
      <w:bookmarkEnd w:id="240"/>
      <w:bookmarkStart w:id="241" w:name="_Toc184310326"/>
      <w:bookmarkEnd w:id="241"/>
      <w:bookmarkStart w:id="242" w:name="_Toc184313258"/>
      <w:bookmarkEnd w:id="242"/>
      <w:bookmarkStart w:id="243" w:name="_Toc184310280"/>
      <w:bookmarkEnd w:id="243"/>
      <w:bookmarkStart w:id="244" w:name="_Toc184314473"/>
      <w:bookmarkEnd w:id="244"/>
      <w:bookmarkStart w:id="245" w:name="_Toc184312068"/>
      <w:bookmarkEnd w:id="245"/>
      <w:bookmarkStart w:id="246" w:name="_Toc184310285"/>
      <w:bookmarkEnd w:id="246"/>
      <w:bookmarkStart w:id="247" w:name="_Toc184310324"/>
      <w:bookmarkEnd w:id="247"/>
      <w:bookmarkStart w:id="248" w:name="_Toc184312138"/>
      <w:bookmarkEnd w:id="248"/>
      <w:bookmarkStart w:id="249" w:name="_Toc184314475"/>
      <w:bookmarkEnd w:id="249"/>
      <w:bookmarkStart w:id="250" w:name="_Toc184314427"/>
      <w:bookmarkEnd w:id="250"/>
      <w:bookmarkStart w:id="251" w:name="_Toc184313297"/>
      <w:bookmarkEnd w:id="251"/>
      <w:bookmarkStart w:id="252" w:name="_Toc184313284"/>
      <w:bookmarkEnd w:id="252"/>
      <w:bookmarkStart w:id="253" w:name="_Toc184308093"/>
      <w:bookmarkEnd w:id="253"/>
      <w:bookmarkStart w:id="254" w:name="_Toc184310327"/>
      <w:bookmarkEnd w:id="254"/>
      <w:bookmarkStart w:id="255" w:name="_Toc184310282"/>
      <w:bookmarkEnd w:id="255"/>
      <w:bookmarkStart w:id="256" w:name="_Toc184312137"/>
      <w:bookmarkEnd w:id="256"/>
      <w:bookmarkStart w:id="257" w:name="_Toc184314434"/>
      <w:bookmarkEnd w:id="257"/>
      <w:bookmarkStart w:id="258" w:name="_Toc184312105"/>
      <w:bookmarkEnd w:id="258"/>
      <w:bookmarkStart w:id="259" w:name="_Toc184310277"/>
      <w:bookmarkEnd w:id="259"/>
      <w:bookmarkStart w:id="260" w:name="_Toc184314422"/>
      <w:bookmarkEnd w:id="260"/>
      <w:bookmarkStart w:id="261" w:name="_Toc184310283"/>
      <w:bookmarkEnd w:id="261"/>
      <w:bookmarkStart w:id="262" w:name="_Toc184310334"/>
      <w:bookmarkEnd w:id="262"/>
      <w:bookmarkStart w:id="263" w:name="_Toc184308104"/>
      <w:bookmarkEnd w:id="263"/>
      <w:bookmarkStart w:id="264" w:name="_Toc184310323"/>
      <w:bookmarkEnd w:id="264"/>
      <w:bookmarkStart w:id="265" w:name="_Toc184312119"/>
      <w:bookmarkEnd w:id="265"/>
      <w:bookmarkStart w:id="266" w:name="_Toc184314478"/>
      <w:bookmarkEnd w:id="266"/>
      <w:bookmarkStart w:id="267" w:name="_Toc184312097"/>
      <w:bookmarkEnd w:id="267"/>
      <w:bookmarkStart w:id="268" w:name="_Toc184314416"/>
      <w:bookmarkEnd w:id="268"/>
      <w:bookmarkStart w:id="269" w:name="_Toc184313243"/>
      <w:bookmarkEnd w:id="269"/>
      <w:bookmarkStart w:id="270" w:name="_Toc184314412"/>
      <w:bookmarkEnd w:id="270"/>
      <w:bookmarkStart w:id="271" w:name="_Toc184313307"/>
      <w:bookmarkEnd w:id="271"/>
      <w:bookmarkStart w:id="272" w:name="_Toc184312070"/>
      <w:bookmarkEnd w:id="272"/>
      <w:bookmarkStart w:id="273" w:name="_Toc184312099"/>
      <w:bookmarkEnd w:id="273"/>
      <w:bookmarkStart w:id="274" w:name="_Toc184308065"/>
      <w:bookmarkEnd w:id="274"/>
      <w:bookmarkStart w:id="275" w:name="_Toc184312103"/>
      <w:bookmarkEnd w:id="275"/>
      <w:bookmarkStart w:id="276" w:name="_Toc184312102"/>
      <w:bookmarkEnd w:id="276"/>
      <w:bookmarkStart w:id="277" w:name="_Toc184310274"/>
      <w:bookmarkEnd w:id="277"/>
      <w:bookmarkStart w:id="278" w:name="_Toc184310313"/>
      <w:bookmarkEnd w:id="278"/>
      <w:bookmarkStart w:id="279" w:name="_Toc184313245"/>
      <w:bookmarkEnd w:id="279"/>
      <w:bookmarkStart w:id="280" w:name="_Toc184313306"/>
      <w:bookmarkEnd w:id="280"/>
      <w:bookmarkStart w:id="281" w:name="_Toc184308073"/>
      <w:bookmarkEnd w:id="281"/>
      <w:bookmarkStart w:id="282" w:name="_Toc184308060"/>
      <w:bookmarkEnd w:id="282"/>
      <w:bookmarkStart w:id="283" w:name="_Toc184312108"/>
      <w:bookmarkEnd w:id="283"/>
      <w:bookmarkStart w:id="284" w:name="_Toc184313263"/>
      <w:bookmarkEnd w:id="284"/>
      <w:bookmarkStart w:id="285" w:name="_Toc184313259"/>
      <w:bookmarkEnd w:id="285"/>
      <w:bookmarkStart w:id="286" w:name="_Toc184312096"/>
      <w:bookmarkEnd w:id="286"/>
      <w:bookmarkStart w:id="287" w:name="_Toc184308059"/>
      <w:bookmarkEnd w:id="287"/>
      <w:bookmarkStart w:id="288" w:name="_Toc184314464"/>
      <w:bookmarkEnd w:id="288"/>
      <w:bookmarkStart w:id="289" w:name="_Toc184314433"/>
      <w:bookmarkEnd w:id="289"/>
      <w:bookmarkStart w:id="290" w:name="_Toc184314468"/>
      <w:bookmarkEnd w:id="290"/>
      <w:bookmarkStart w:id="291" w:name="_Toc184310302"/>
      <w:bookmarkEnd w:id="291"/>
      <w:bookmarkStart w:id="292" w:name="_Toc184314441"/>
      <w:bookmarkEnd w:id="292"/>
      <w:bookmarkStart w:id="293" w:name="_Toc184314429"/>
      <w:bookmarkEnd w:id="293"/>
      <w:bookmarkStart w:id="294" w:name="_Toc184308072"/>
      <w:bookmarkEnd w:id="294"/>
      <w:bookmarkStart w:id="295" w:name="_Toc184313266"/>
      <w:bookmarkEnd w:id="295"/>
      <w:bookmarkStart w:id="296" w:name="_Toc184314419"/>
      <w:bookmarkEnd w:id="296"/>
      <w:bookmarkStart w:id="297" w:name="_Toc184308052"/>
      <w:bookmarkEnd w:id="297"/>
      <w:bookmarkStart w:id="298" w:name="_Toc184314463"/>
      <w:bookmarkEnd w:id="298"/>
      <w:bookmarkStart w:id="299" w:name="_Toc184314447"/>
      <w:bookmarkEnd w:id="299"/>
      <w:bookmarkStart w:id="300" w:name="_Toc184308038"/>
      <w:bookmarkEnd w:id="300"/>
      <w:bookmarkStart w:id="301" w:name="_Toc184312125"/>
      <w:bookmarkEnd w:id="301"/>
      <w:bookmarkStart w:id="302" w:name="_Toc184313269"/>
      <w:bookmarkEnd w:id="302"/>
      <w:bookmarkStart w:id="303" w:name="_Toc184308064"/>
      <w:bookmarkEnd w:id="303"/>
      <w:bookmarkStart w:id="304" w:name="_Toc184313309"/>
      <w:bookmarkEnd w:id="304"/>
      <w:bookmarkStart w:id="305" w:name="_Toc184313294"/>
      <w:bookmarkEnd w:id="305"/>
      <w:bookmarkStart w:id="306" w:name="_Toc184314435"/>
      <w:bookmarkEnd w:id="306"/>
      <w:bookmarkStart w:id="307" w:name="_Toc184312111"/>
      <w:bookmarkEnd w:id="307"/>
      <w:bookmarkStart w:id="308" w:name="_Toc184314471"/>
      <w:bookmarkEnd w:id="308"/>
      <w:bookmarkStart w:id="309" w:name="_Toc184312112"/>
      <w:bookmarkEnd w:id="309"/>
      <w:bookmarkStart w:id="310" w:name="_Toc184314461"/>
      <w:bookmarkEnd w:id="310"/>
      <w:bookmarkStart w:id="311" w:name="_Toc184312081"/>
      <w:bookmarkEnd w:id="311"/>
      <w:bookmarkStart w:id="312" w:name="_Toc184312087"/>
      <w:bookmarkEnd w:id="312"/>
      <w:bookmarkStart w:id="313" w:name="_Toc184314443"/>
      <w:bookmarkEnd w:id="313"/>
      <w:bookmarkStart w:id="314" w:name="_Toc184308087"/>
      <w:bookmarkEnd w:id="314"/>
      <w:bookmarkStart w:id="315" w:name="_Toc184310325"/>
      <w:bookmarkEnd w:id="315"/>
      <w:bookmarkStart w:id="316" w:name="_Toc184310312"/>
      <w:bookmarkEnd w:id="316"/>
      <w:bookmarkStart w:id="317" w:name="_Toc184313292"/>
      <w:bookmarkEnd w:id="317"/>
      <w:bookmarkStart w:id="318" w:name="_Toc184313247"/>
      <w:bookmarkEnd w:id="318"/>
      <w:bookmarkStart w:id="319" w:name="_Toc184310314"/>
      <w:bookmarkEnd w:id="319"/>
      <w:bookmarkStart w:id="320" w:name="_Toc184312092"/>
      <w:bookmarkEnd w:id="320"/>
      <w:bookmarkStart w:id="321" w:name="_Toc184314424"/>
      <w:bookmarkEnd w:id="321"/>
      <w:bookmarkStart w:id="322" w:name="_Toc184310289"/>
      <w:bookmarkEnd w:id="322"/>
      <w:bookmarkStart w:id="323" w:name="_Toc184312086"/>
      <w:bookmarkEnd w:id="323"/>
      <w:bookmarkStart w:id="324" w:name="_Toc184308091"/>
      <w:bookmarkEnd w:id="324"/>
      <w:bookmarkStart w:id="325" w:name="_Toc184308048"/>
      <w:bookmarkEnd w:id="325"/>
      <w:bookmarkStart w:id="326" w:name="_Toc184308074"/>
      <w:bookmarkEnd w:id="326"/>
      <w:bookmarkStart w:id="327" w:name="_Toc184312122"/>
      <w:bookmarkEnd w:id="327"/>
      <w:bookmarkStart w:id="328" w:name="_Toc184312074"/>
      <w:bookmarkEnd w:id="328"/>
      <w:bookmarkStart w:id="329" w:name="_Toc184310294"/>
      <w:bookmarkEnd w:id="329"/>
      <w:bookmarkStart w:id="330" w:name="_Toc184310293"/>
      <w:bookmarkEnd w:id="330"/>
      <w:bookmarkStart w:id="331" w:name="_Toc184313250"/>
      <w:bookmarkEnd w:id="331"/>
      <w:bookmarkStart w:id="332" w:name="_Toc184310273"/>
      <w:bookmarkEnd w:id="332"/>
      <w:bookmarkStart w:id="333" w:name="_Toc184314440"/>
      <w:bookmarkEnd w:id="333"/>
      <w:bookmarkStart w:id="334" w:name="_Toc184312124"/>
      <w:bookmarkEnd w:id="334"/>
      <w:bookmarkStart w:id="335" w:name="_Toc184310333"/>
      <w:bookmarkEnd w:id="335"/>
      <w:bookmarkStart w:id="336" w:name="_Toc184312098"/>
      <w:bookmarkEnd w:id="336"/>
      <w:bookmarkStart w:id="337" w:name="_Toc184310328"/>
      <w:bookmarkEnd w:id="337"/>
      <w:bookmarkStart w:id="338" w:name="_Toc184310298"/>
      <w:bookmarkEnd w:id="338"/>
      <w:bookmarkStart w:id="339" w:name="_Toc184310291"/>
      <w:bookmarkEnd w:id="339"/>
      <w:bookmarkStart w:id="340" w:name="_Toc184312091"/>
      <w:bookmarkEnd w:id="340"/>
      <w:bookmarkStart w:id="341" w:name="_Toc184310303"/>
      <w:bookmarkEnd w:id="341"/>
      <w:bookmarkStart w:id="342" w:name="_Toc184312127"/>
      <w:bookmarkEnd w:id="342"/>
      <w:bookmarkStart w:id="343" w:name="_Toc184314413"/>
      <w:bookmarkEnd w:id="343"/>
      <w:bookmarkStart w:id="344" w:name="_Toc184312126"/>
      <w:bookmarkEnd w:id="344"/>
      <w:bookmarkStart w:id="345" w:name="_Toc184314415"/>
      <w:bookmarkEnd w:id="345"/>
      <w:bookmarkStart w:id="346" w:name="_Toc184313276"/>
      <w:bookmarkEnd w:id="346"/>
      <w:bookmarkStart w:id="347" w:name="_Toc184312115"/>
      <w:bookmarkEnd w:id="347"/>
      <w:bookmarkStart w:id="348" w:name="_Toc184314442"/>
      <w:bookmarkEnd w:id="348"/>
      <w:bookmarkStart w:id="349" w:name="_Toc184308046"/>
      <w:bookmarkEnd w:id="349"/>
      <w:bookmarkStart w:id="350" w:name="_Toc184312113"/>
      <w:bookmarkEnd w:id="350"/>
      <w:bookmarkStart w:id="351" w:name="_Toc184308054"/>
      <w:bookmarkEnd w:id="351"/>
      <w:bookmarkStart w:id="352" w:name="_Toc184310306"/>
      <w:bookmarkEnd w:id="352"/>
      <w:bookmarkStart w:id="353" w:name="_Toc184314425"/>
      <w:bookmarkEnd w:id="353"/>
      <w:bookmarkStart w:id="354" w:name="_Toc184314414"/>
      <w:bookmarkEnd w:id="354"/>
      <w:bookmarkStart w:id="355" w:name="_Toc184314430"/>
      <w:bookmarkEnd w:id="355"/>
      <w:bookmarkStart w:id="356" w:name="_Toc184314420"/>
      <w:bookmarkEnd w:id="356"/>
      <w:bookmarkStart w:id="357" w:name="_Toc184308086"/>
      <w:bookmarkEnd w:id="357"/>
      <w:bookmarkStart w:id="358" w:name="_Toc184312075"/>
      <w:bookmarkEnd w:id="358"/>
      <w:bookmarkStart w:id="359" w:name="_Toc184314449"/>
      <w:bookmarkEnd w:id="359"/>
      <w:bookmarkStart w:id="360" w:name="_Toc184310297"/>
      <w:bookmarkEnd w:id="360"/>
      <w:bookmarkStart w:id="361" w:name="_Toc184308055"/>
      <w:bookmarkEnd w:id="361"/>
      <w:bookmarkStart w:id="362" w:name="_Toc184312116"/>
      <w:bookmarkEnd w:id="362"/>
      <w:bookmarkStart w:id="363" w:name="_Toc184308092"/>
      <w:bookmarkEnd w:id="363"/>
      <w:bookmarkStart w:id="364" w:name="_Toc184308078"/>
      <w:bookmarkEnd w:id="364"/>
      <w:bookmarkStart w:id="365" w:name="_Toc184308100"/>
      <w:bookmarkEnd w:id="365"/>
      <w:bookmarkStart w:id="366" w:name="_Toc184308108"/>
      <w:bookmarkEnd w:id="366"/>
      <w:bookmarkStart w:id="367" w:name="_Toc184313296"/>
      <w:bookmarkEnd w:id="367"/>
      <w:bookmarkStart w:id="368" w:name="_Toc184314481"/>
      <w:bookmarkEnd w:id="368"/>
      <w:bookmarkStart w:id="369" w:name="_Toc184314411"/>
      <w:bookmarkEnd w:id="369"/>
      <w:bookmarkStart w:id="370" w:name="_Toc184313244"/>
      <w:bookmarkEnd w:id="370"/>
      <w:bookmarkStart w:id="371" w:name="_Toc184310322"/>
      <w:bookmarkEnd w:id="371"/>
      <w:bookmarkStart w:id="372" w:name="_Toc184310281"/>
      <w:bookmarkEnd w:id="372"/>
      <w:bookmarkStart w:id="373" w:name="_Toc184313268"/>
      <w:bookmarkEnd w:id="373"/>
      <w:bookmarkStart w:id="374" w:name="_Toc184310290"/>
      <w:bookmarkEnd w:id="374"/>
      <w:bookmarkStart w:id="375" w:name="_Toc184313261"/>
      <w:bookmarkEnd w:id="375"/>
      <w:bookmarkStart w:id="376" w:name="_Toc184313248"/>
      <w:bookmarkEnd w:id="376"/>
      <w:bookmarkStart w:id="377" w:name="_Toc184310341"/>
      <w:bookmarkEnd w:id="377"/>
      <w:bookmarkStart w:id="378" w:name="_Toc184313239"/>
      <w:bookmarkEnd w:id="378"/>
      <w:bookmarkStart w:id="379" w:name="_Toc184308045"/>
      <w:bookmarkEnd w:id="379"/>
      <w:bookmarkStart w:id="380" w:name="_Toc184308043"/>
      <w:bookmarkEnd w:id="380"/>
      <w:bookmarkStart w:id="381" w:name="_Toc184312110"/>
      <w:bookmarkEnd w:id="381"/>
      <w:bookmarkStart w:id="382" w:name="_Toc184308098"/>
      <w:bookmarkEnd w:id="382"/>
      <w:bookmarkStart w:id="383" w:name="_Toc184312082"/>
      <w:bookmarkEnd w:id="383"/>
      <w:bookmarkStart w:id="384" w:name="_Toc184308089"/>
      <w:bookmarkEnd w:id="384"/>
      <w:bookmarkStart w:id="385" w:name="_Toc184313289"/>
      <w:bookmarkEnd w:id="385"/>
      <w:bookmarkStart w:id="386" w:name="_Toc184312089"/>
      <w:bookmarkEnd w:id="386"/>
      <w:bookmarkStart w:id="387" w:name="_Toc184314428"/>
      <w:bookmarkEnd w:id="387"/>
      <w:bookmarkStart w:id="388" w:name="_Toc184308106"/>
      <w:bookmarkEnd w:id="388"/>
      <w:bookmarkStart w:id="389" w:name="_Toc184308085"/>
      <w:bookmarkEnd w:id="389"/>
      <w:bookmarkStart w:id="390" w:name="_Toc184310284"/>
      <w:bookmarkEnd w:id="390"/>
      <w:bookmarkStart w:id="391" w:name="_Toc184308041"/>
      <w:bookmarkEnd w:id="391"/>
      <w:bookmarkStart w:id="392" w:name="_Toc184308037"/>
      <w:bookmarkEnd w:id="392"/>
      <w:bookmarkStart w:id="393" w:name="_Toc184313282"/>
      <w:bookmarkEnd w:id="393"/>
      <w:bookmarkStart w:id="394" w:name="_Toc184312117"/>
      <w:bookmarkEnd w:id="394"/>
      <w:bookmarkStart w:id="395" w:name="_Toc184310340"/>
      <w:bookmarkEnd w:id="395"/>
      <w:r>
        <w:rPr>
          <w:rFonts w:hint="eastAsia" w:ascii="宋体" w:hAnsi="宋体" w:cs="宋体"/>
          <w:b/>
          <w:color w:val="000000" w:themeColor="text1"/>
          <w:sz w:val="36"/>
          <w:szCs w:val="36"/>
          <w:highlight w:val="none"/>
          <w14:textFill>
            <w14:solidFill>
              <w14:schemeClr w14:val="tx1"/>
            </w14:solidFill>
          </w14:textFill>
        </w:rPr>
        <w:t>评标办法</w:t>
      </w:r>
    </w:p>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208"/>
        <w:gridCol w:w="758"/>
        <w:gridCol w:w="1142"/>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序号</w:t>
            </w:r>
          </w:p>
        </w:tc>
        <w:tc>
          <w:tcPr>
            <w:tcW w:w="4208"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评标标准</w:t>
            </w:r>
          </w:p>
        </w:tc>
        <w:tc>
          <w:tcPr>
            <w:tcW w:w="758"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最高分值</w:t>
            </w:r>
          </w:p>
        </w:tc>
        <w:tc>
          <w:tcPr>
            <w:tcW w:w="1142" w:type="dxa"/>
            <w:vAlign w:val="center"/>
          </w:tcPr>
          <w:p>
            <w:pPr>
              <w:snapToGrid w:val="0"/>
              <w:spacing w:line="360" w:lineRule="auto"/>
              <w:jc w:val="center"/>
              <w:rPr>
                <w:rFonts w:ascii="宋体" w:hAnsi="宋体" w:eastAsia="宋体" w:cs="仿宋_GB2312"/>
                <w:bCs/>
                <w:color w:val="000000" w:themeColor="text1"/>
                <w:sz w:val="24"/>
                <w:highlight w:val="none"/>
                <w14:textFill>
                  <w14:solidFill>
                    <w14:schemeClr w14:val="tx1"/>
                  </w14:solidFill>
                </w14:textFill>
              </w:rPr>
            </w:pPr>
            <w:r>
              <w:rPr>
                <w:rFonts w:hint="eastAsia" w:ascii="宋体" w:hAnsi="宋体" w:eastAsia="宋体" w:cs="仿宋_GB2312"/>
                <w:bCs/>
                <w:color w:val="000000" w:themeColor="text1"/>
                <w:sz w:val="24"/>
                <w:highlight w:val="none"/>
                <w14:textFill>
                  <w14:solidFill>
                    <w14:schemeClr w14:val="tx1"/>
                  </w14:solidFill>
                </w14:textFill>
              </w:rPr>
              <w:t>主观分/客观分属性</w:t>
            </w:r>
          </w:p>
        </w:tc>
        <w:tc>
          <w:tcPr>
            <w:tcW w:w="1685"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bCs/>
                <w:color w:val="000000" w:themeColor="text1"/>
                <w:sz w:val="24"/>
                <w:highlight w:val="none"/>
                <w14:textFill>
                  <w14:solidFill>
                    <w14:schemeClr w14:val="tx1"/>
                  </w14:solidFill>
                </w14:textFill>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1</w:t>
            </w:r>
          </w:p>
        </w:tc>
        <w:tc>
          <w:tcPr>
            <w:tcW w:w="4208" w:type="dxa"/>
            <w:shd w:val="clear" w:color="auto" w:fill="auto"/>
            <w:vAlign w:val="center"/>
          </w:tcPr>
          <w:p>
            <w:pPr>
              <w:snapToGrid w:val="0"/>
              <w:spacing w:line="360" w:lineRule="auto"/>
              <w:ind w:right="29" w:rightChars="14"/>
              <w:jc w:val="left"/>
              <w:rPr>
                <w:rFonts w:hint="eastAsia" w:ascii="宋体" w:hAnsi="宋体" w:eastAsia="宋体" w:cs="仿宋_GB2312"/>
                <w:color w:val="000000" w:themeColor="text1"/>
                <w:sz w:val="24"/>
                <w:highlight w:val="none"/>
                <w:shd w:val="clear" w:color="auto" w:fill="auto"/>
                <w14:textFill>
                  <w14:solidFill>
                    <w14:schemeClr w14:val="tx1"/>
                  </w14:solidFill>
                </w14:textFill>
              </w:rPr>
            </w:pPr>
            <w:r>
              <w:rPr>
                <w:rFonts w:hint="eastAsia" w:ascii="宋体" w:hAnsi="宋体" w:eastAsia="宋体" w:cs="仿宋_GB2312"/>
                <w:color w:val="000000" w:themeColor="text1"/>
                <w:sz w:val="24"/>
                <w:highlight w:val="none"/>
                <w:shd w:val="clear" w:color="auto" w:fill="auto"/>
                <w14:textFill>
                  <w14:solidFill>
                    <w14:schemeClr w14:val="tx1"/>
                  </w14:solidFill>
                </w14:textFill>
              </w:rPr>
              <w:t>所投产品具体配置表、技术参数及偏离情况：产品参数配置等所有指标均满足的得基本分</w:t>
            </w:r>
            <w:r>
              <w:rPr>
                <w:rFonts w:hint="eastAsia" w:ascii="宋体" w:hAnsi="宋体" w:cs="仿宋_GB2312"/>
                <w:color w:val="000000" w:themeColor="text1"/>
                <w:sz w:val="24"/>
                <w:highlight w:val="none"/>
                <w:shd w:val="clear" w:color="auto" w:fill="auto"/>
                <w:lang w:val="en-US" w:eastAsia="zh-CN"/>
                <w14:textFill>
                  <w14:solidFill>
                    <w14:schemeClr w14:val="tx1"/>
                  </w14:solidFill>
                </w14:textFill>
              </w:rPr>
              <w:t>35</w:t>
            </w:r>
            <w:r>
              <w:rPr>
                <w:rFonts w:hint="eastAsia" w:ascii="宋体" w:hAnsi="宋体" w:eastAsia="宋体" w:cs="仿宋_GB2312"/>
                <w:color w:val="000000" w:themeColor="text1"/>
                <w:sz w:val="24"/>
                <w:highlight w:val="none"/>
                <w:shd w:val="clear" w:color="auto" w:fill="auto"/>
                <w14:textFill>
                  <w14:solidFill>
                    <w14:schemeClr w14:val="tx1"/>
                  </w14:solidFill>
                </w14:textFill>
              </w:rPr>
              <w:t>分；用◆标出的技术指标低于招标需求（负偏离）的每项扣</w:t>
            </w:r>
            <w:r>
              <w:rPr>
                <w:rFonts w:hint="eastAsia" w:ascii="宋体" w:hAnsi="宋体" w:cs="仿宋_GB2312"/>
                <w:color w:val="000000" w:themeColor="text1"/>
                <w:sz w:val="24"/>
                <w:highlight w:val="none"/>
                <w:shd w:val="clear" w:color="auto" w:fill="auto"/>
                <w:lang w:val="en-US" w:eastAsia="zh-CN"/>
                <w14:textFill>
                  <w14:solidFill>
                    <w14:schemeClr w14:val="tx1"/>
                  </w14:solidFill>
                </w14:textFill>
              </w:rPr>
              <w:t>3</w:t>
            </w:r>
            <w:r>
              <w:rPr>
                <w:rFonts w:hint="eastAsia" w:ascii="宋体" w:hAnsi="宋体" w:eastAsia="宋体" w:cs="仿宋_GB2312"/>
                <w:color w:val="000000" w:themeColor="text1"/>
                <w:sz w:val="24"/>
                <w:highlight w:val="none"/>
                <w:shd w:val="clear" w:color="auto" w:fill="auto"/>
                <w14:textFill>
                  <w14:solidFill>
                    <w14:schemeClr w14:val="tx1"/>
                  </w14:solidFill>
                </w14:textFill>
              </w:rPr>
              <w:t>分，未加◆的技术指标低于招标需求（负偏离）的每项扣</w:t>
            </w:r>
            <w:r>
              <w:rPr>
                <w:rFonts w:hint="eastAsia" w:ascii="宋体" w:hAnsi="宋体" w:cs="仿宋_GB2312"/>
                <w:color w:val="000000" w:themeColor="text1"/>
                <w:sz w:val="24"/>
                <w:highlight w:val="none"/>
                <w:shd w:val="clear" w:color="auto" w:fill="auto"/>
                <w:lang w:val="en-US" w:eastAsia="zh-CN"/>
                <w14:textFill>
                  <w14:solidFill>
                    <w14:schemeClr w14:val="tx1"/>
                  </w14:solidFill>
                </w14:textFill>
              </w:rPr>
              <w:t>2</w:t>
            </w:r>
            <w:r>
              <w:rPr>
                <w:rFonts w:hint="eastAsia" w:ascii="宋体" w:hAnsi="宋体" w:eastAsia="宋体" w:cs="仿宋_GB2312"/>
                <w:color w:val="000000" w:themeColor="text1"/>
                <w:sz w:val="24"/>
                <w:highlight w:val="none"/>
                <w:shd w:val="clear" w:color="auto" w:fill="auto"/>
                <w14:textFill>
                  <w14:solidFill>
                    <w14:schemeClr w14:val="tx1"/>
                  </w14:solidFill>
                </w14:textFill>
              </w:rPr>
              <w:t>分，扣完为止。</w:t>
            </w:r>
          </w:p>
          <w:p>
            <w:pPr>
              <w:snapToGrid w:val="0"/>
              <w:spacing w:line="360" w:lineRule="auto"/>
              <w:ind w:right="29" w:rightChars="14"/>
              <w:jc w:val="left"/>
              <w:rPr>
                <w:rFonts w:ascii="宋体" w:hAnsi="宋体" w:eastAsia="宋体" w:cs="仿宋_GB2312"/>
                <w:color w:val="000000" w:themeColor="text1"/>
                <w:sz w:val="24"/>
                <w:highlight w:val="none"/>
                <w:shd w:val="clear" w:color="auto" w:fill="auto"/>
                <w14:textFill>
                  <w14:solidFill>
                    <w14:schemeClr w14:val="tx1"/>
                  </w14:solidFill>
                </w14:textFill>
              </w:rPr>
            </w:pPr>
            <w:r>
              <w:rPr>
                <w:rFonts w:hint="eastAsia" w:ascii="宋体" w:hAnsi="宋体" w:eastAsia="宋体" w:cs="仿宋_GB2312"/>
                <w:color w:val="000000" w:themeColor="text1"/>
                <w:sz w:val="24"/>
                <w:highlight w:val="none"/>
                <w:shd w:val="clear" w:color="auto" w:fill="auto"/>
                <w14:textFill>
                  <w14:solidFill>
                    <w14:schemeClr w14:val="tx1"/>
                  </w14:solidFill>
                </w14:textFill>
              </w:rPr>
              <w:t>采购需求中要求提供的检测报告、功能截图或证书的，必须提供，否则该项不得分。</w:t>
            </w:r>
          </w:p>
        </w:tc>
        <w:tc>
          <w:tcPr>
            <w:tcW w:w="758" w:type="dxa"/>
            <w:shd w:val="clear" w:color="auto" w:fill="auto"/>
            <w:vAlign w:val="center"/>
          </w:tcPr>
          <w:p>
            <w:pPr>
              <w:snapToGrid w:val="0"/>
              <w:spacing w:line="360" w:lineRule="auto"/>
              <w:ind w:right="29" w:rightChars="14"/>
              <w:jc w:val="center"/>
              <w:rPr>
                <w:rFonts w:hint="default" w:ascii="宋体" w:hAnsi="宋体" w:eastAsia="宋体" w:cs="仿宋_GB2312"/>
                <w:color w:val="000000" w:themeColor="text1"/>
                <w:sz w:val="24"/>
                <w:highlight w:val="none"/>
                <w:shd w:val="clear" w:color="auto" w:fill="auto"/>
                <w:lang w:val="en-US"/>
                <w14:textFill>
                  <w14:solidFill>
                    <w14:schemeClr w14:val="tx1"/>
                  </w14:solidFill>
                </w14:textFill>
              </w:rPr>
            </w:pPr>
            <w:r>
              <w:rPr>
                <w:rFonts w:hint="eastAsia" w:ascii="宋体" w:hAnsi="宋体" w:cs="仿宋"/>
                <w:color w:val="000000" w:themeColor="text1"/>
                <w:sz w:val="24"/>
                <w:highlight w:val="none"/>
                <w:shd w:val="clear" w:color="auto" w:fill="auto"/>
                <w:lang w:val="en-US" w:eastAsia="zh-CN"/>
                <w14:textFill>
                  <w14:solidFill>
                    <w14:schemeClr w14:val="tx1"/>
                  </w14:solidFill>
                </w14:textFill>
              </w:rPr>
              <w:t>35</w:t>
            </w:r>
          </w:p>
        </w:tc>
        <w:tc>
          <w:tcPr>
            <w:tcW w:w="1142" w:type="dxa"/>
            <w:shd w:val="clear" w:color="auto" w:fill="auto"/>
            <w:vAlign w:val="center"/>
          </w:tcPr>
          <w:p>
            <w:pPr>
              <w:snapToGrid w:val="0"/>
              <w:spacing w:line="360" w:lineRule="auto"/>
              <w:ind w:right="29" w:rightChars="14"/>
              <w:jc w:val="center"/>
              <w:rPr>
                <w:rFonts w:ascii="宋体" w:hAnsi="宋体" w:eastAsia="宋体" w:cs="仿宋_GB2312"/>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客观分</w:t>
            </w:r>
          </w:p>
        </w:tc>
        <w:tc>
          <w:tcPr>
            <w:tcW w:w="1685" w:type="dxa"/>
            <w:shd w:val="clear" w:color="auto" w:fill="auto"/>
            <w:vAlign w:val="center"/>
          </w:tcPr>
          <w:p>
            <w:pPr>
              <w:snapToGrid w:val="0"/>
              <w:spacing w:line="360" w:lineRule="auto"/>
              <w:ind w:right="29" w:rightChars="14"/>
              <w:jc w:val="center"/>
              <w:rPr>
                <w:rFonts w:hint="eastAsia" w:ascii="宋体" w:hAnsi="宋体" w:eastAsia="宋体" w:cs="仿宋"/>
                <w:color w:val="000000" w:themeColor="text1"/>
                <w:kern w:val="0"/>
                <w:sz w:val="24"/>
                <w:highlight w:val="none"/>
                <w:shd w:val="clear" w:color="auto" w:fill="auto"/>
                <w:lang w:val="en-US" w:eastAsia="zh-CN"/>
                <w14:textFill>
                  <w14:solidFill>
                    <w14:schemeClr w14:val="tx1"/>
                  </w14:solidFill>
                </w14:textFill>
              </w:rPr>
            </w:pPr>
            <w:r>
              <w:rPr>
                <w:rFonts w:hint="eastAsia" w:ascii="宋体" w:hAnsi="宋体" w:eastAsia="宋体" w:cs="仿宋"/>
                <w:color w:val="000000" w:themeColor="text1"/>
                <w:kern w:val="0"/>
                <w:sz w:val="24"/>
                <w:highlight w:val="none"/>
                <w:shd w:val="clear" w:color="auto" w:fill="auto"/>
                <w:lang w:val="en-US" w:eastAsia="zh-CN"/>
                <w14:textFill>
                  <w14:solidFill>
                    <w14:schemeClr w14:val="tx1"/>
                  </w14:solidFill>
                </w14:textFill>
              </w:rPr>
              <w:t>所投产品具体配置表、技术参数及偏离情况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p>
        </w:tc>
        <w:tc>
          <w:tcPr>
            <w:tcW w:w="4208" w:type="dxa"/>
            <w:vAlign w:val="center"/>
          </w:tcPr>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包括但不限于项目组人员组织结构(0-</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)、实施进度计划(0-</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)、项目质量保障体系及措施(0-</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)、设备安装调试(0-</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)、培训方案(0-</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)等，以上项目根据方案的合理性、完整性、可行性进行打分。每提供一条符合要求的方案，得</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分，部分符合得</w:t>
            </w:r>
            <w:r>
              <w:rPr>
                <w:rFonts w:hint="eastAsia"/>
                <w:color w:val="000000" w:themeColor="text1"/>
                <w:kern w:val="0"/>
                <w:sz w:val="24"/>
                <w:highlight w:val="none"/>
                <w:lang w:val="en-US" w:eastAsia="zh-CN"/>
                <w14:textFill>
                  <w14:solidFill>
                    <w14:schemeClr w14:val="tx1"/>
                  </w14:solidFill>
                </w14:textFill>
              </w:rPr>
              <w:t>1</w:t>
            </w:r>
            <w:r>
              <w:rPr>
                <w:rFonts w:hint="eastAsia"/>
                <w:color w:val="000000" w:themeColor="text1"/>
                <w:kern w:val="0"/>
                <w:sz w:val="24"/>
                <w:highlight w:val="none"/>
                <w:lang w:val="zh-CN"/>
                <w14:textFill>
                  <w14:solidFill>
                    <w14:schemeClr w14:val="tx1"/>
                  </w14:solidFill>
                </w14:textFill>
              </w:rPr>
              <w:t>分，不符合不得分。内容完整合理、有针对性视为符合要求。</w:t>
            </w:r>
          </w:p>
        </w:tc>
        <w:tc>
          <w:tcPr>
            <w:tcW w:w="758" w:type="dxa"/>
            <w:vAlign w:val="center"/>
          </w:tcPr>
          <w:p>
            <w:pPr>
              <w:snapToGrid w:val="0"/>
              <w:spacing w:line="360" w:lineRule="auto"/>
              <w:jc w:val="both"/>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10</w:t>
            </w:r>
          </w:p>
        </w:tc>
        <w:tc>
          <w:tcPr>
            <w:tcW w:w="1142"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主观分</w:t>
            </w:r>
          </w:p>
        </w:tc>
        <w:tc>
          <w:tcPr>
            <w:tcW w:w="1685" w:type="dxa"/>
            <w:vAlign w:val="center"/>
          </w:tcPr>
          <w:p>
            <w:pPr>
              <w:snapToGrid w:val="0"/>
              <w:spacing w:line="360" w:lineRule="auto"/>
              <w:ind w:right="29" w:rightChars="14"/>
              <w:jc w:val="center"/>
              <w:rPr>
                <w:rFonts w:hint="eastAsia" w:ascii="宋体" w:hAnsi="宋体" w:eastAsia="宋体" w:cs="仿宋"/>
                <w:color w:val="000000" w:themeColor="text1"/>
                <w:kern w:val="0"/>
                <w:sz w:val="24"/>
                <w:highlight w:val="none"/>
                <w:lang w:val="en-US" w:eastAsia="zh-CN"/>
                <w14:textFill>
                  <w14:solidFill>
                    <w14:schemeClr w14:val="tx1"/>
                  </w14:solidFill>
                </w14:textFill>
              </w:rPr>
            </w:pPr>
            <w:r>
              <w:rPr>
                <w:rFonts w:hint="eastAsia" w:ascii="宋体" w:hAnsi="宋体" w:eastAsia="宋体" w:cs="仿宋"/>
                <w:color w:val="000000" w:themeColor="text1"/>
                <w:kern w:val="0"/>
                <w:sz w:val="24"/>
                <w:highlight w:val="none"/>
                <w:lang w:val="zh-CN" w:eastAsia="zh-CN"/>
                <w14:textFill>
                  <w14:solidFill>
                    <w14:schemeClr w14:val="tx1"/>
                  </w14:solidFill>
                </w14:textFill>
              </w:rPr>
              <w:t>投标人项目实施方案情况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w:t>
            </w:r>
          </w:p>
        </w:tc>
        <w:tc>
          <w:tcPr>
            <w:tcW w:w="4208" w:type="dxa"/>
            <w:vAlign w:val="center"/>
          </w:tcPr>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1.所投</w:t>
            </w:r>
            <w:r>
              <w:rPr>
                <w:rFonts w:hint="eastAsia"/>
                <w:color w:val="000000" w:themeColor="text1"/>
                <w:kern w:val="0"/>
                <w:sz w:val="24"/>
                <w:highlight w:val="none"/>
                <w:lang w:val="en-US" w:eastAsia="zh-CN"/>
                <w14:textFill>
                  <w14:solidFill>
                    <w14:schemeClr w14:val="tx1"/>
                  </w14:solidFill>
                </w14:textFill>
              </w:rPr>
              <w:t>教师</w:t>
            </w:r>
            <w:r>
              <w:rPr>
                <w:rFonts w:hint="eastAsia"/>
                <w:color w:val="000000" w:themeColor="text1"/>
                <w:kern w:val="0"/>
                <w:sz w:val="24"/>
                <w:highlight w:val="none"/>
                <w:lang w:val="zh-CN"/>
                <w14:textFill>
                  <w14:solidFill>
                    <w14:schemeClr w14:val="tx1"/>
                  </w14:solidFill>
                </w14:textFill>
              </w:rPr>
              <w:t>电脑产品整机产品元器件国产化率≥90%得1分，元器件国产化率≥95%得</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分，元器件国产化率≥99%得3分（需提供证明文件，否则不得分）；</w:t>
            </w:r>
          </w:p>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2.所投</w:t>
            </w:r>
            <w:r>
              <w:rPr>
                <w:rFonts w:hint="eastAsia"/>
                <w:color w:val="000000" w:themeColor="text1"/>
                <w:kern w:val="0"/>
                <w:sz w:val="24"/>
                <w:highlight w:val="none"/>
                <w:lang w:val="en-US" w:eastAsia="zh-CN"/>
                <w14:textFill>
                  <w14:solidFill>
                    <w14:schemeClr w14:val="tx1"/>
                  </w14:solidFill>
                </w14:textFill>
              </w:rPr>
              <w:t>教师</w:t>
            </w:r>
            <w:r>
              <w:rPr>
                <w:rFonts w:hint="eastAsia"/>
                <w:color w:val="000000" w:themeColor="text1"/>
                <w:kern w:val="0"/>
                <w:sz w:val="24"/>
                <w:highlight w:val="none"/>
                <w:lang w:val="zh-CN"/>
                <w14:textFill>
                  <w14:solidFill>
                    <w14:schemeClr w14:val="tx1"/>
                  </w14:solidFill>
                </w14:textFill>
              </w:rPr>
              <w:t>电脑产品中内存读写速率≥7000MT/s得2分；内存读写速率≥6400MT/s，且＜7000MT/s得1分；其余不得分; （需提供检测报告/证明文件，否则不得分）。</w:t>
            </w:r>
          </w:p>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3</w:t>
            </w:r>
            <w:r>
              <w:rPr>
                <w:rFonts w:hint="eastAsia"/>
                <w:color w:val="000000" w:themeColor="text1"/>
                <w:kern w:val="0"/>
                <w:sz w:val="24"/>
                <w:highlight w:val="none"/>
                <w:lang w:val="zh-CN"/>
                <w14:textFill>
                  <w14:solidFill>
                    <w14:schemeClr w14:val="tx1"/>
                  </w14:solidFill>
                </w14:textFill>
              </w:rPr>
              <w:t>.所投</w:t>
            </w:r>
            <w:r>
              <w:rPr>
                <w:rFonts w:hint="eastAsia"/>
                <w:color w:val="000000" w:themeColor="text1"/>
                <w:kern w:val="0"/>
                <w:sz w:val="24"/>
                <w:highlight w:val="none"/>
                <w:lang w:val="en-US" w:eastAsia="zh-CN"/>
                <w14:textFill>
                  <w14:solidFill>
                    <w14:schemeClr w14:val="tx1"/>
                  </w14:solidFill>
                </w14:textFill>
              </w:rPr>
              <w:t>教师</w:t>
            </w:r>
            <w:r>
              <w:rPr>
                <w:rFonts w:hint="eastAsia"/>
                <w:color w:val="000000" w:themeColor="text1"/>
                <w:kern w:val="0"/>
                <w:sz w:val="24"/>
                <w:highlight w:val="none"/>
                <w:lang w:val="zh-CN"/>
                <w14:textFill>
                  <w14:solidFill>
                    <w14:schemeClr w14:val="tx1"/>
                  </w14:solidFill>
                </w14:textFill>
              </w:rPr>
              <w:t>电脑产品中的CPU末级缓存容量≥10MB得2分，≥8MB且＜10M</w:t>
            </w:r>
            <w:r>
              <w:rPr>
                <w:rFonts w:hint="eastAsia"/>
                <w:color w:val="000000" w:themeColor="text1"/>
                <w:kern w:val="0"/>
                <w:sz w:val="24"/>
                <w:highlight w:val="none"/>
                <w:lang w:val="en-US" w:eastAsia="zh-CN"/>
                <w14:textFill>
                  <w14:solidFill>
                    <w14:schemeClr w14:val="tx1"/>
                  </w14:solidFill>
                </w14:textFill>
              </w:rPr>
              <w:t>B得</w:t>
            </w:r>
            <w:r>
              <w:rPr>
                <w:rFonts w:hint="eastAsia"/>
                <w:color w:val="000000" w:themeColor="text1"/>
                <w:kern w:val="0"/>
                <w:sz w:val="24"/>
                <w:highlight w:val="none"/>
                <w:lang w:val="zh-CN"/>
                <w14:textFill>
                  <w14:solidFill>
                    <w14:schemeClr w14:val="tx1"/>
                  </w14:solidFill>
                </w14:textFill>
              </w:rPr>
              <w:t>1分。（需提供证明文件，否则不得分）</w:t>
            </w:r>
          </w:p>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4</w:t>
            </w:r>
            <w:r>
              <w:rPr>
                <w:rFonts w:hint="eastAsia"/>
                <w:color w:val="000000" w:themeColor="text1"/>
                <w:kern w:val="0"/>
                <w:sz w:val="24"/>
                <w:highlight w:val="none"/>
                <w:lang w:val="zh-CN"/>
                <w14:textFill>
                  <w14:solidFill>
                    <w14:schemeClr w14:val="tx1"/>
                  </w14:solidFill>
                </w14:textFill>
              </w:rPr>
              <w:t>.所投</w:t>
            </w:r>
            <w:r>
              <w:rPr>
                <w:rFonts w:hint="eastAsia"/>
                <w:color w:val="000000" w:themeColor="text1"/>
                <w:kern w:val="0"/>
                <w:sz w:val="24"/>
                <w:highlight w:val="none"/>
                <w:lang w:val="en-US" w:eastAsia="zh-CN"/>
                <w14:textFill>
                  <w14:solidFill>
                    <w14:schemeClr w14:val="tx1"/>
                  </w14:solidFill>
                </w14:textFill>
              </w:rPr>
              <w:t>教师</w:t>
            </w:r>
            <w:r>
              <w:rPr>
                <w:rFonts w:hint="eastAsia"/>
                <w:color w:val="000000" w:themeColor="text1"/>
                <w:kern w:val="0"/>
                <w:sz w:val="24"/>
                <w:highlight w:val="none"/>
                <w:lang w:val="zh-CN"/>
                <w14:textFill>
                  <w14:solidFill>
                    <w14:schemeClr w14:val="tx1"/>
                  </w14:solidFill>
                </w14:textFill>
              </w:rPr>
              <w:t>电脑CPU热设计功耗＜</w:t>
            </w:r>
            <w:r>
              <w:rPr>
                <w:rFonts w:hint="eastAsia"/>
                <w:color w:val="000000" w:themeColor="text1"/>
                <w:kern w:val="0"/>
                <w:sz w:val="24"/>
                <w:highlight w:val="none"/>
                <w:lang w:val="en-US" w:eastAsia="zh-CN"/>
                <w14:textFill>
                  <w14:solidFill>
                    <w14:schemeClr w14:val="tx1"/>
                  </w14:solidFill>
                </w14:textFill>
              </w:rPr>
              <w:t>15</w:t>
            </w:r>
            <w:r>
              <w:rPr>
                <w:rFonts w:hint="eastAsia"/>
                <w:color w:val="000000" w:themeColor="text1"/>
                <w:kern w:val="0"/>
                <w:sz w:val="24"/>
                <w:highlight w:val="none"/>
                <w:lang w:val="zh-CN"/>
                <w14:textFill>
                  <w14:solidFill>
                    <w14:schemeClr w14:val="tx1"/>
                  </w14:solidFill>
                </w14:textFill>
              </w:rPr>
              <w:t>w得</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分，≥</w:t>
            </w:r>
            <w:r>
              <w:rPr>
                <w:rFonts w:hint="eastAsia"/>
                <w:color w:val="000000" w:themeColor="text1"/>
                <w:kern w:val="0"/>
                <w:sz w:val="24"/>
                <w:highlight w:val="none"/>
                <w:lang w:val="en-US" w:eastAsia="zh-CN"/>
                <w14:textFill>
                  <w14:solidFill>
                    <w14:schemeClr w14:val="tx1"/>
                  </w14:solidFill>
                </w14:textFill>
              </w:rPr>
              <w:t>15</w:t>
            </w:r>
            <w:r>
              <w:rPr>
                <w:rFonts w:hint="eastAsia"/>
                <w:color w:val="000000" w:themeColor="text1"/>
                <w:kern w:val="0"/>
                <w:sz w:val="24"/>
                <w:highlight w:val="none"/>
                <w:lang w:val="zh-CN"/>
                <w14:textFill>
                  <w14:solidFill>
                    <w14:schemeClr w14:val="tx1"/>
                  </w14:solidFill>
                </w14:textFill>
              </w:rPr>
              <w:t>w</w:t>
            </w:r>
            <w:r>
              <w:rPr>
                <w:rFonts w:hint="eastAsia"/>
                <w:color w:val="000000" w:themeColor="text1"/>
                <w:kern w:val="0"/>
                <w:sz w:val="24"/>
                <w:highlight w:val="none"/>
                <w:lang w:val="en-US" w:eastAsia="zh-CN"/>
                <w14:textFill>
                  <w14:solidFill>
                    <w14:schemeClr w14:val="tx1"/>
                  </w14:solidFill>
                </w14:textFill>
              </w:rPr>
              <w:t>且</w:t>
            </w:r>
            <w:r>
              <w:rPr>
                <w:rFonts w:hint="eastAsia"/>
                <w:color w:val="000000" w:themeColor="text1"/>
                <w:kern w:val="0"/>
                <w:sz w:val="24"/>
                <w:highlight w:val="none"/>
                <w:lang w:val="zh-CN"/>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20w得1分</w:t>
            </w:r>
            <w:r>
              <w:rPr>
                <w:rFonts w:hint="eastAsia"/>
                <w:color w:val="000000" w:themeColor="text1"/>
                <w:kern w:val="0"/>
                <w:sz w:val="24"/>
                <w:highlight w:val="none"/>
                <w:lang w:val="zh-CN"/>
                <w14:textFill>
                  <w14:solidFill>
                    <w14:schemeClr w14:val="tx1"/>
                  </w14:solidFill>
                </w14:textFill>
              </w:rPr>
              <w:t>（需提供检测报告，否则不得分）。</w:t>
            </w:r>
          </w:p>
        </w:tc>
        <w:tc>
          <w:tcPr>
            <w:tcW w:w="758" w:type="dxa"/>
            <w:shd w:val="clear" w:color="auto" w:fill="FEFEFE"/>
            <w:vAlign w:val="center"/>
          </w:tcPr>
          <w:p>
            <w:pPr>
              <w:snapToGrid w:val="0"/>
              <w:spacing w:line="360" w:lineRule="auto"/>
              <w:ind w:right="29" w:rightChars="14"/>
              <w:jc w:val="center"/>
              <w:rPr>
                <w:rFonts w:ascii="宋体" w:hAnsi="宋体"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9</w:t>
            </w:r>
          </w:p>
        </w:tc>
        <w:tc>
          <w:tcPr>
            <w:tcW w:w="1142"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客观分</w:t>
            </w:r>
          </w:p>
        </w:tc>
        <w:tc>
          <w:tcPr>
            <w:tcW w:w="1685"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所投产品性能</w:t>
            </w:r>
            <w:r>
              <w:rPr>
                <w:rFonts w:hint="eastAsia"/>
                <w:color w:val="000000" w:themeColor="text1"/>
                <w:kern w:val="0"/>
                <w:sz w:val="24"/>
                <w:highlight w:val="none"/>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ind w:firstLine="241" w:firstLineChars="0"/>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208" w:type="dxa"/>
            <w:vAlign w:val="center"/>
          </w:tcPr>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eastAsia="zh-CN"/>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1</w:t>
            </w:r>
            <w:r>
              <w:rPr>
                <w:rFonts w:hint="eastAsia"/>
                <w:color w:val="000000" w:themeColor="text1"/>
                <w:kern w:val="0"/>
                <w:sz w:val="24"/>
                <w:highlight w:val="none"/>
                <w:lang w:val="zh-CN" w:eastAsia="zh-CN"/>
                <w14:textFill>
                  <w14:solidFill>
                    <w14:schemeClr w14:val="tx1"/>
                  </w14:solidFill>
                </w14:textFill>
              </w:rPr>
              <w:t>）</w:t>
            </w:r>
            <w:r>
              <w:rPr>
                <w:rFonts w:hint="eastAsia"/>
                <w:color w:val="000000" w:themeColor="text1"/>
                <w:kern w:val="0"/>
                <w:sz w:val="24"/>
                <w:highlight w:val="none"/>
                <w:lang w:val="zh-CN"/>
                <w14:textFill>
                  <w14:solidFill>
                    <w14:schemeClr w14:val="tx1"/>
                  </w14:solidFill>
                </w14:textFill>
              </w:rPr>
              <w:t>所投单位承诺质保期内的维修费用（包括材料）全部由中标单位负责，超过质保期的，维修时只收取部件成本费；满足要求得</w:t>
            </w:r>
            <w:r>
              <w:rPr>
                <w:rFonts w:hint="eastAsia"/>
                <w:color w:val="000000" w:themeColor="text1"/>
                <w:kern w:val="0"/>
                <w:sz w:val="24"/>
                <w:highlight w:val="none"/>
                <w:lang w:val="zh-CN"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分，不满足得0分；</w:t>
            </w:r>
          </w:p>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eastAsia="zh-CN"/>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2</w:t>
            </w:r>
            <w:r>
              <w:rPr>
                <w:rFonts w:hint="eastAsia"/>
                <w:color w:val="000000" w:themeColor="text1"/>
                <w:kern w:val="0"/>
                <w:sz w:val="24"/>
                <w:highlight w:val="none"/>
                <w:lang w:val="zh-CN" w:eastAsia="zh-CN"/>
                <w14:textFill>
                  <w14:solidFill>
                    <w14:schemeClr w14:val="tx1"/>
                  </w14:solidFill>
                </w14:textFill>
              </w:rPr>
              <w:t>）</w:t>
            </w:r>
            <w:r>
              <w:rPr>
                <w:rFonts w:hint="eastAsia"/>
                <w:color w:val="000000" w:themeColor="text1"/>
                <w:kern w:val="0"/>
                <w:sz w:val="24"/>
                <w:highlight w:val="none"/>
                <w:lang w:val="zh-CN"/>
                <w14:textFill>
                  <w14:solidFill>
                    <w14:schemeClr w14:val="tx1"/>
                  </w14:solidFill>
                </w14:textFill>
              </w:rPr>
              <w:t>所投单位承诺提供免费上门维护、升级服务，并提供不少于3年7×24小时的电话技术支持和5×12小时的免费上门现场技术服务，在接到电话后1小时内响应，2小时以内到现场处理，3小时内解决问题。满足要求得</w:t>
            </w:r>
            <w:r>
              <w:rPr>
                <w:rFonts w:hint="eastAsia"/>
                <w:color w:val="000000" w:themeColor="text1"/>
                <w:kern w:val="0"/>
                <w:sz w:val="24"/>
                <w:highlight w:val="none"/>
                <w:lang w:val="zh-CN" w:eastAsia="zh-CN"/>
                <w14:textFill>
                  <w14:solidFill>
                    <w14:schemeClr w14:val="tx1"/>
                  </w14:solidFill>
                </w14:textFill>
              </w:rPr>
              <w:t>2</w:t>
            </w:r>
            <w:r>
              <w:rPr>
                <w:rFonts w:hint="eastAsia"/>
                <w:color w:val="000000" w:themeColor="text1"/>
                <w:kern w:val="0"/>
                <w:sz w:val="24"/>
                <w:highlight w:val="none"/>
                <w:lang w:val="zh-CN"/>
                <w14:textFill>
                  <w14:solidFill>
                    <w14:schemeClr w14:val="tx1"/>
                  </w14:solidFill>
                </w14:textFill>
              </w:rPr>
              <w:t>分，不满足得0分；</w:t>
            </w:r>
          </w:p>
        </w:tc>
        <w:tc>
          <w:tcPr>
            <w:tcW w:w="758" w:type="dxa"/>
            <w:vAlign w:val="center"/>
          </w:tcPr>
          <w:p>
            <w:pPr>
              <w:ind w:firstLine="241" w:firstLineChars="0"/>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1142" w:type="dxa"/>
            <w:vAlign w:val="center"/>
          </w:tcPr>
          <w:p>
            <w:pP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客观分</w:t>
            </w:r>
          </w:p>
        </w:tc>
        <w:tc>
          <w:tcPr>
            <w:tcW w:w="1685" w:type="dxa"/>
            <w:vAlign w:val="center"/>
          </w:tcPr>
          <w:p>
            <w:pPr>
              <w:rPr>
                <w:rFonts w:hint="default" w:ascii="宋体" w:hAnsi="宋体" w:eastAsia="宋体" w:cs="仿宋_GB2312"/>
                <w:color w:val="000000" w:themeColor="text1"/>
                <w:sz w:val="24"/>
                <w:highlight w:val="none"/>
                <w:lang w:val="en-US"/>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售后要</w:t>
            </w:r>
            <w:r>
              <w:rPr>
                <w:rFonts w:hint="eastAsia"/>
                <w:color w:val="000000" w:themeColor="text1"/>
                <w:highlight w:val="none"/>
                <w:lang w:eastAsia="zh-CN"/>
                <w14:textFill>
                  <w14:solidFill>
                    <w14:schemeClr w14:val="tx1"/>
                  </w14:solidFill>
                </w14:textFill>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ind w:firstLine="241" w:firstLineChars="0"/>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208" w:type="dxa"/>
            <w:vAlign w:val="center"/>
          </w:tcPr>
          <w:p>
            <w:pPr>
              <w:spacing w:line="240" w:lineRule="auto"/>
              <w:rPr>
                <w:rFonts w:hint="eastAsia"/>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所投产品质保三年，每增加1年得1分，最多得2分。</w:t>
            </w:r>
          </w:p>
          <w:p>
            <w:pPr>
              <w:spacing w:line="240" w:lineRule="auto"/>
              <w:rPr>
                <w:rFonts w:hint="eastAsia"/>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证明材料：须提供承诺函（格式不限）并加盖投标人公章。</w:t>
            </w:r>
          </w:p>
        </w:tc>
        <w:tc>
          <w:tcPr>
            <w:tcW w:w="758" w:type="dxa"/>
            <w:vAlign w:val="center"/>
          </w:tcPr>
          <w:p>
            <w:pPr>
              <w:numPr>
                <w:ilvl w:val="0"/>
                <w:numId w:val="0"/>
              </w:numPr>
              <w:spacing w:line="240" w:lineRule="auto"/>
              <w:ind w:firstLine="240" w:firstLineChars="1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1142" w:type="dxa"/>
            <w:vAlign w:val="center"/>
          </w:tcPr>
          <w:p>
            <w:pPr>
              <w:numPr>
                <w:ilvl w:val="0"/>
                <w:numId w:val="0"/>
              </w:numPr>
              <w:spacing w:line="24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客观分</w:t>
            </w:r>
          </w:p>
        </w:tc>
        <w:tc>
          <w:tcPr>
            <w:tcW w:w="1685" w:type="dxa"/>
            <w:vAlign w:val="center"/>
          </w:tcPr>
          <w:p>
            <w:pPr>
              <w:numPr>
                <w:ilvl w:val="0"/>
                <w:numId w:val="0"/>
              </w:numPr>
              <w:spacing w:line="24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产品质保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ind w:firstLine="241" w:firstLineChars="0"/>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208" w:type="dxa"/>
            <w:vAlign w:val="center"/>
          </w:tcPr>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供应商承诺中标后所供货物是2026年1月1日以后生产的，符合国家标准要求的合格产品的得3分。</w:t>
            </w:r>
          </w:p>
        </w:tc>
        <w:tc>
          <w:tcPr>
            <w:tcW w:w="758" w:type="dxa"/>
            <w:vAlign w:val="center"/>
          </w:tcPr>
          <w:p>
            <w:pPr>
              <w:ind w:firstLine="241" w:firstLineChars="0"/>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1142" w:type="dxa"/>
            <w:vAlign w:val="center"/>
          </w:tcPr>
          <w:p>
            <w:pP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客观分</w:t>
            </w:r>
          </w:p>
        </w:tc>
        <w:tc>
          <w:tcPr>
            <w:tcW w:w="1685" w:type="dxa"/>
            <w:vAlign w:val="center"/>
          </w:tcPr>
          <w:p>
            <w:pP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出厂时间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ind w:firstLine="241" w:firstLineChars="0"/>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208" w:type="dxa"/>
            <w:vAlign w:val="center"/>
          </w:tcPr>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投标人具有质量管理体系认证证书的得1分；</w:t>
            </w:r>
          </w:p>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投标人具有ISO27001信息安全管理体系证书得1分；</w:t>
            </w:r>
          </w:p>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投标人具有ISO20000信息技术服务管理体系认证证书得1分；证书必须在有效期内；投标文件中提供证书扫描件。</w:t>
            </w:r>
          </w:p>
        </w:tc>
        <w:tc>
          <w:tcPr>
            <w:tcW w:w="758" w:type="dxa"/>
            <w:vAlign w:val="center"/>
          </w:tcPr>
          <w:p>
            <w:pPr>
              <w:ind w:firstLine="241" w:firstLineChars="0"/>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p>
        </w:tc>
        <w:tc>
          <w:tcPr>
            <w:tcW w:w="1142" w:type="dxa"/>
            <w:vAlign w:val="center"/>
          </w:tcPr>
          <w:p>
            <w:pP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客观分</w:t>
            </w:r>
          </w:p>
        </w:tc>
        <w:tc>
          <w:tcPr>
            <w:tcW w:w="1685" w:type="dxa"/>
            <w:vAlign w:val="center"/>
          </w:tcPr>
          <w:p>
            <w:pPr>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eastAsia="zh-CN"/>
                <w14:textFill>
                  <w14:solidFill>
                    <w14:schemeClr w14:val="tx1"/>
                  </w14:solidFill>
                </w14:textFill>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8</w:t>
            </w:r>
          </w:p>
        </w:tc>
        <w:tc>
          <w:tcPr>
            <w:tcW w:w="4208" w:type="dxa"/>
            <w:vAlign w:val="center"/>
          </w:tcPr>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类似项目实施业绩一览表：投标人自202</w:t>
            </w:r>
            <w:r>
              <w:rPr>
                <w:rFonts w:hint="eastAsia"/>
                <w:color w:val="000000" w:themeColor="text1"/>
                <w:kern w:val="0"/>
                <w:sz w:val="24"/>
                <w:highlight w:val="none"/>
                <w:lang w:val="en-US" w:eastAsia="zh-CN"/>
                <w14:textFill>
                  <w14:solidFill>
                    <w14:schemeClr w14:val="tx1"/>
                  </w14:solidFill>
                </w14:textFill>
              </w:rPr>
              <w:t>3</w:t>
            </w:r>
            <w:r>
              <w:rPr>
                <w:rFonts w:hint="eastAsia"/>
                <w:color w:val="000000" w:themeColor="text1"/>
                <w:kern w:val="0"/>
                <w:sz w:val="24"/>
                <w:highlight w:val="none"/>
                <w:lang w:val="zh-CN"/>
                <w14:textFill>
                  <w14:solidFill>
                    <w14:schemeClr w14:val="tx1"/>
                  </w14:solidFill>
                </w14:textFill>
              </w:rPr>
              <w:t>年1月1日至今（时间以合同签订时间为准）承担过类似业绩</w:t>
            </w:r>
            <w:r>
              <w:rPr>
                <w:rFonts w:hint="eastAsia"/>
                <w:color w:val="000000" w:themeColor="text1"/>
                <w:kern w:val="0"/>
                <w:sz w:val="24"/>
                <w:highlight w:val="none"/>
                <w:lang w:val="en-US" w:eastAsia="zh-CN"/>
                <w14:textFill>
                  <w14:solidFill>
                    <w14:schemeClr w14:val="tx1"/>
                  </w14:solidFill>
                </w14:textFill>
              </w:rPr>
              <w:t>的</w:t>
            </w:r>
            <w:r>
              <w:rPr>
                <w:rFonts w:hint="eastAsia"/>
                <w:color w:val="000000" w:themeColor="text1"/>
                <w:kern w:val="0"/>
                <w:sz w:val="24"/>
                <w:highlight w:val="none"/>
                <w:lang w:val="zh-CN"/>
                <w14:textFill>
                  <w14:solidFill>
                    <w14:schemeClr w14:val="tx1"/>
                  </w14:solidFill>
                </w14:textFill>
              </w:rPr>
              <w:t>实施案例，每提供一个得1分，最多得</w:t>
            </w:r>
            <w:r>
              <w:rPr>
                <w:rFonts w:hint="eastAsia"/>
                <w:color w:val="000000" w:themeColor="text1"/>
                <w:kern w:val="0"/>
                <w:sz w:val="24"/>
                <w:highlight w:val="none"/>
                <w:lang w:val="en-US" w:eastAsia="zh-CN"/>
                <w14:textFill>
                  <w14:solidFill>
                    <w14:schemeClr w14:val="tx1"/>
                  </w14:solidFill>
                </w14:textFill>
              </w:rPr>
              <w:t>3</w:t>
            </w:r>
            <w:r>
              <w:rPr>
                <w:rFonts w:hint="eastAsia"/>
                <w:color w:val="000000" w:themeColor="text1"/>
                <w:kern w:val="0"/>
                <w:sz w:val="24"/>
                <w:highlight w:val="none"/>
                <w:lang w:val="zh-CN"/>
                <w14:textFill>
                  <w14:solidFill>
                    <w14:schemeClr w14:val="tx1"/>
                  </w14:solidFill>
                </w14:textFill>
              </w:rPr>
              <w:t>分；</w:t>
            </w:r>
          </w:p>
          <w:p>
            <w:pPr>
              <w:spacing w:line="240" w:lineRule="auto"/>
              <w:rPr>
                <w:rFonts w:hint="eastAsia"/>
                <w:color w:val="000000" w:themeColor="text1"/>
                <w:kern w:val="0"/>
                <w:sz w:val="24"/>
                <w:highlight w:val="none"/>
                <w:lang w:val="zh-CN"/>
                <w14:textFill>
                  <w14:solidFill>
                    <w14:schemeClr w14:val="tx1"/>
                  </w14:solidFill>
                </w14:textFill>
              </w:rPr>
            </w:pPr>
            <w:r>
              <w:rPr>
                <w:rFonts w:hint="eastAsia"/>
                <w:color w:val="000000" w:themeColor="text1"/>
                <w:kern w:val="0"/>
                <w:sz w:val="24"/>
                <w:highlight w:val="none"/>
                <w:lang w:val="zh-CN"/>
                <w14:textFill>
                  <w14:solidFill>
                    <w14:schemeClr w14:val="tx1"/>
                  </w14:solidFill>
                </w14:textFill>
              </w:rPr>
              <w:t>投标文件中同时提供合同扫描件。</w:t>
            </w:r>
          </w:p>
        </w:tc>
        <w:tc>
          <w:tcPr>
            <w:tcW w:w="758" w:type="dxa"/>
            <w:vAlign w:val="center"/>
          </w:tcPr>
          <w:p>
            <w:pPr>
              <w:snapToGrid w:val="0"/>
              <w:spacing w:line="360" w:lineRule="auto"/>
              <w:jc w:val="center"/>
              <w:rPr>
                <w:rFonts w:hint="eastAsia"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w:t>
            </w:r>
          </w:p>
        </w:tc>
        <w:tc>
          <w:tcPr>
            <w:tcW w:w="1142"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客观分</w:t>
            </w:r>
          </w:p>
        </w:tc>
        <w:tc>
          <w:tcPr>
            <w:tcW w:w="1685"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投标人项目实施业绩情况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eastAsia"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9</w:t>
            </w:r>
          </w:p>
        </w:tc>
        <w:tc>
          <w:tcPr>
            <w:tcW w:w="4208" w:type="dxa"/>
            <w:vAlign w:val="center"/>
          </w:tcPr>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所投产品（</w:t>
            </w:r>
            <w:r>
              <w:rPr>
                <w:rFonts w:hint="eastAsia"/>
                <w:color w:val="000000" w:themeColor="text1"/>
                <w:sz w:val="24"/>
                <w:highlight w:val="none"/>
                <w:lang w:val="en-US" w:eastAsia="zh-CN"/>
                <w14:textFill>
                  <w14:solidFill>
                    <w14:schemeClr w14:val="tx1"/>
                  </w14:solidFill>
                </w14:textFill>
              </w:rPr>
              <w:t>教师</w:t>
            </w:r>
            <w:r>
              <w:rPr>
                <w:rFonts w:hint="eastAsia"/>
                <w:color w:val="000000" w:themeColor="text1"/>
                <w:sz w:val="24"/>
                <w:highlight w:val="none"/>
                <w14:textFill>
                  <w14:solidFill>
                    <w14:schemeClr w14:val="tx1"/>
                  </w14:solidFill>
                </w14:textFill>
              </w:rPr>
              <w:t>电脑）获得国家相关认证机构出具的有效期之内的环境标志产品认证证书的得</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分。</w:t>
            </w:r>
          </w:p>
          <w:p>
            <w:pPr>
              <w:snapToGrid w:val="0"/>
              <w:spacing w:line="360" w:lineRule="auto"/>
              <w:jc w:val="left"/>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证书必须在有效期内；投标文件中提供证书扫描件</w:t>
            </w:r>
            <w:r>
              <w:rPr>
                <w:rFonts w:hint="eastAsia"/>
                <w:b/>
                <w:bCs/>
                <w:color w:val="000000" w:themeColor="text1"/>
                <w:sz w:val="24"/>
                <w:highlight w:val="none"/>
                <w14:textFill>
                  <w14:solidFill>
                    <w14:schemeClr w14:val="tx1"/>
                  </w14:solidFill>
                </w14:textFill>
              </w:rPr>
              <w:t>。</w:t>
            </w:r>
          </w:p>
        </w:tc>
        <w:tc>
          <w:tcPr>
            <w:tcW w:w="758"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w:t>
            </w:r>
          </w:p>
        </w:tc>
        <w:tc>
          <w:tcPr>
            <w:tcW w:w="1142"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客观分</w:t>
            </w:r>
          </w:p>
        </w:tc>
        <w:tc>
          <w:tcPr>
            <w:tcW w:w="1685"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所投产环境认证情况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10</w:t>
            </w:r>
          </w:p>
        </w:tc>
        <w:tc>
          <w:tcPr>
            <w:tcW w:w="4208" w:type="dxa"/>
            <w:vAlign w:val="center"/>
          </w:tcPr>
          <w:p>
            <w:pPr>
              <w:spacing w:line="360" w:lineRule="auto"/>
              <w:outlineLvl w:val="0"/>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有效投标报价的最低价作为评标基准价，其最低报价为满分；按［投标报价得分</w:t>
            </w:r>
            <w:r>
              <w:rPr>
                <w:rFonts w:ascii="宋体" w:hAnsi="宋体" w:eastAsia="宋体" w:cs="仿宋_GB2312"/>
                <w:color w:val="000000" w:themeColor="text1"/>
                <w:sz w:val="24"/>
                <w:highlight w:val="none"/>
                <w14:textFill>
                  <w14:solidFill>
                    <w14:schemeClr w14:val="tx1"/>
                  </w14:solidFill>
                </w14:textFill>
              </w:rPr>
              <w:t>=（评标基准价/投标报价）*</w:t>
            </w:r>
            <w:r>
              <w:rPr>
                <w:rFonts w:hint="eastAsia" w:ascii="宋体" w:hAnsi="宋体" w:cs="仿宋_GB2312"/>
                <w:color w:val="000000" w:themeColor="text1"/>
                <w:sz w:val="24"/>
                <w:highlight w:val="none"/>
                <w:lang w:val="en-US" w:eastAsia="zh-CN"/>
                <w14:textFill>
                  <w14:solidFill>
                    <w14:schemeClr w14:val="tx1"/>
                  </w14:solidFill>
                </w14:textFill>
              </w:rPr>
              <w:t>30</w:t>
            </w:r>
            <w:r>
              <w:rPr>
                <w:rFonts w:ascii="宋体" w:hAnsi="宋体" w:eastAsia="宋体" w:cs="仿宋_GB2312"/>
                <w:color w:val="000000" w:themeColor="text1"/>
                <w:sz w:val="24"/>
                <w:highlight w:val="none"/>
                <w14:textFill>
                  <w14:solidFill>
                    <w14:schemeClr w14:val="tx1"/>
                  </w14:solidFill>
                </w14:textFill>
              </w:rPr>
              <w:t>］的计算公式计算。</w:t>
            </w:r>
          </w:p>
          <w:p>
            <w:pPr>
              <w:widowControl/>
              <w:shd w:val="clear" w:color="auto" w:fill="FFFFFF"/>
              <w:adjustRightInd/>
              <w:spacing w:after="225" w:line="315" w:lineRule="atLeast"/>
              <w:ind w:firstLine="420"/>
              <w:jc w:val="left"/>
              <w:rPr>
                <w:rFonts w:ascii="宋体" w:hAnsi="宋体" w:eastAsia="宋体" w:cs="仿宋_GB2312"/>
                <w:color w:val="000000" w:themeColor="text1"/>
                <w:sz w:val="24"/>
                <w:highlight w:val="none"/>
                <w14:textFill>
                  <w14:solidFill>
                    <w14:schemeClr w14:val="tx1"/>
                  </w14:solidFill>
                </w14:textFill>
              </w:rPr>
            </w:pPr>
            <w:r>
              <w:rPr>
                <w:rFonts w:ascii="宋体" w:hAnsi="宋体" w:eastAsia="宋体" w:cs="仿宋_GB2312"/>
                <w:color w:val="000000" w:themeColor="text1"/>
                <w:sz w:val="24"/>
                <w:highlight w:val="none"/>
                <w14:textFill>
                  <w14:solidFill>
                    <w14:schemeClr w14:val="tx1"/>
                  </w14:solidFill>
                </w14:textFill>
              </w:rPr>
              <w:t>评标过程中，不得去掉报价中的最高报价和最低报价。</w:t>
            </w:r>
          </w:p>
          <w:p>
            <w:pPr>
              <w:widowControl/>
              <w:shd w:val="clear" w:color="auto" w:fill="FFFFFF"/>
              <w:adjustRightInd/>
              <w:spacing w:after="225" w:line="315" w:lineRule="atLeast"/>
              <w:ind w:firstLine="420" w:firstLineChars="0"/>
              <w:jc w:val="left"/>
              <w:rPr>
                <w:rFonts w:hint="eastAsia"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对于未预留份额专门面向中小企业的政府采购货物项目，以及预留份额政府采购货物项目中的非预留部分标项，对小型和微型企业的投标报价给予</w:t>
            </w:r>
            <w:r>
              <w:rPr>
                <w:rFonts w:hint="eastAsia" w:ascii="宋体" w:hAnsi="宋体" w:cs="仿宋_GB2312"/>
                <w:b/>
                <w:color w:val="000000" w:themeColor="text1"/>
                <w:sz w:val="24"/>
                <w:highlight w:val="none"/>
                <w:u w:val="single"/>
                <w:lang w:val="en-US" w:eastAsia="zh-CN"/>
                <w14:textFill>
                  <w14:solidFill>
                    <w14:schemeClr w14:val="tx1"/>
                  </w14:solidFill>
                </w14:textFill>
              </w:rPr>
              <w:t>20</w:t>
            </w:r>
            <w:r>
              <w:rPr>
                <w:rFonts w:hint="eastAsia" w:ascii="宋体" w:hAnsi="宋体" w:eastAsia="宋体" w:cs="仿宋_GB2312"/>
                <w:b/>
                <w:color w:val="000000" w:themeColor="text1"/>
                <w:sz w:val="24"/>
                <w:highlight w:val="none"/>
                <w:u w:val="single"/>
                <w14:textFill>
                  <w14:solidFill>
                    <w14:schemeClr w14:val="tx1"/>
                  </w14:solidFill>
                </w14:textFill>
              </w:rPr>
              <w:t>%</w:t>
            </w:r>
            <w:r>
              <w:rPr>
                <w:rFonts w:hint="eastAsia" w:ascii="宋体" w:hAnsi="宋体" w:eastAsia="宋体" w:cs="仿宋_GB2312"/>
                <w:color w:val="000000" w:themeColor="text1"/>
                <w:sz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体或者大中型企业的报价给予</w:t>
            </w:r>
            <w:r>
              <w:rPr>
                <w:rFonts w:hint="eastAsia" w:ascii="宋体" w:hAnsi="宋体" w:cs="仿宋_GB2312"/>
                <w:b/>
                <w:color w:val="000000" w:themeColor="text1"/>
                <w:sz w:val="24"/>
                <w:highlight w:val="none"/>
                <w:u w:val="single"/>
                <w:lang w:val="en-US" w:eastAsia="zh-CN"/>
                <w14:textFill>
                  <w14:solidFill>
                    <w14:schemeClr w14:val="tx1"/>
                  </w14:solidFill>
                </w14:textFill>
              </w:rPr>
              <w:t>6</w:t>
            </w:r>
            <w:r>
              <w:rPr>
                <w:rFonts w:hint="eastAsia" w:ascii="宋体" w:hAnsi="宋体" w:eastAsia="宋体" w:cs="仿宋_GB2312"/>
                <w:b/>
                <w:color w:val="000000" w:themeColor="text1"/>
                <w:sz w:val="24"/>
                <w:highlight w:val="none"/>
                <w:u w:val="single"/>
                <w14:textFill>
                  <w14:solidFill>
                    <w14:schemeClr w14:val="tx1"/>
                  </w14:solidFill>
                </w14:textFill>
              </w:rPr>
              <w:t>%</w:t>
            </w:r>
            <w:r>
              <w:rPr>
                <w:rFonts w:hint="eastAsia" w:ascii="宋体" w:hAnsi="宋体" w:eastAsia="宋体" w:cs="仿宋_GB2312"/>
                <w:color w:val="000000" w:themeColor="text1"/>
                <w:sz w:val="24"/>
                <w:highlight w:val="none"/>
                <w14:textFill>
                  <w14:solidFill>
                    <w14:schemeClr w14:val="tx1"/>
                  </w14:solidFill>
                </w14:textFill>
              </w:rPr>
              <w:t>的扣除，用扣除后的价格参加评审。</w:t>
            </w:r>
          </w:p>
        </w:tc>
        <w:tc>
          <w:tcPr>
            <w:tcW w:w="758" w:type="dxa"/>
            <w:vAlign w:val="center"/>
          </w:tcPr>
          <w:p>
            <w:pPr>
              <w:spacing w:line="360" w:lineRule="auto"/>
              <w:jc w:val="center"/>
              <w:outlineLvl w:val="0"/>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30</w:t>
            </w:r>
          </w:p>
        </w:tc>
        <w:tc>
          <w:tcPr>
            <w:tcW w:w="1142" w:type="dxa"/>
            <w:vAlign w:val="center"/>
          </w:tcPr>
          <w:p>
            <w:pPr>
              <w:spacing w:line="360" w:lineRule="auto"/>
              <w:jc w:val="center"/>
              <w:outlineLvl w:val="0"/>
              <w:rPr>
                <w:rFonts w:ascii="宋体" w:hAnsi="宋体" w:eastAsia="宋体" w:cs="仿宋_GB2312"/>
                <w:color w:val="000000" w:themeColor="text1"/>
                <w:sz w:val="24"/>
                <w:highlight w:val="none"/>
                <w14:textFill>
                  <w14:solidFill>
                    <w14:schemeClr w14:val="tx1"/>
                  </w14:solidFill>
                </w14:textFill>
              </w:rPr>
            </w:pPr>
          </w:p>
        </w:tc>
        <w:tc>
          <w:tcPr>
            <w:tcW w:w="1685" w:type="dxa"/>
            <w:vAlign w:val="center"/>
          </w:tcPr>
          <w:p>
            <w:pPr>
              <w:spacing w:line="360" w:lineRule="auto"/>
              <w:jc w:val="center"/>
              <w:outlineLvl w:val="0"/>
              <w:rPr>
                <w:rFonts w:ascii="宋体" w:hAnsi="宋体" w:eastAsia="宋体" w:cs="仿宋_GB2312"/>
                <w:color w:val="000000" w:themeColor="text1"/>
                <w:sz w:val="24"/>
                <w:highlight w:val="none"/>
                <w14:textFill>
                  <w14:solidFill>
                    <w14:schemeClr w14:val="tx1"/>
                  </w14:solidFill>
                </w14:textFill>
              </w:rPr>
            </w:pPr>
            <w:r>
              <w:rPr>
                <w:rFonts w:ascii="宋体" w:hAnsi="宋体" w:eastAsia="宋体" w:cs="仿宋_GB2312"/>
                <w:color w:val="000000" w:themeColor="text1"/>
                <w:sz w:val="24"/>
                <w:highlight w:val="none"/>
                <w14:textFill>
                  <w14:solidFill>
                    <w14:schemeClr w14:val="tx1"/>
                  </w14:solidFill>
                </w14:textFill>
              </w:rPr>
              <w:t>/</w:t>
            </w:r>
          </w:p>
        </w:tc>
      </w:tr>
    </w:tbl>
    <w:p>
      <w:pPr>
        <w:rPr>
          <w:color w:val="000000" w:themeColor="text1"/>
          <w:highlight w:val="none"/>
          <w14:textFill>
            <w14:solidFill>
              <w14:schemeClr w14:val="tx1"/>
            </w14:solidFill>
          </w14:textFill>
        </w:rPr>
      </w:pP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0"/>
          <w:szCs w:val="20"/>
          <w:highlight w:val="none"/>
          <w:shd w:val="clear" w:color="auto" w:fill="FFFFFF"/>
          <w14:textFill>
            <w14:solidFill>
              <w14:schemeClr w14:val="tx1"/>
            </w14:solidFill>
          </w14:textFill>
        </w:rPr>
        <w:t> *</w:t>
      </w:r>
      <w:r>
        <w:rPr>
          <w:rFonts w:hint="eastAsia" w:ascii="宋体" w:hAnsi="宋体" w:cs="宋体"/>
          <w:b/>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投标人编制投标文件（商务技术文件部分）时，建议按此目录（序号和内容）提供评标标准相应的商务技术资料。 </w:t>
      </w:r>
    </w:p>
    <w:p>
      <w:pPr>
        <w:snapToGrid w:val="0"/>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一、评标方法</w:t>
      </w:r>
    </w:p>
    <w:p>
      <w:pPr>
        <w:adjustRightInd/>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1.本项目采用综合评分法。</w:t>
      </w:r>
      <w:r>
        <w:rPr>
          <w:rFonts w:hint="eastAsia" w:ascii="宋体" w:hAnsi="宋体" w:cs="宋体"/>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二、评标标准</w:t>
      </w:r>
    </w:p>
    <w:p>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评标标准：</w:t>
      </w:r>
      <w:r>
        <w:rPr>
          <w:rFonts w:hint="eastAsia" w:ascii="宋体" w:hAnsi="宋体" w:cs="宋体"/>
          <w:color w:val="000000" w:themeColor="text1"/>
          <w:kern w:val="0"/>
          <w:sz w:val="24"/>
          <w:highlight w:val="none"/>
          <w14:textFill>
            <w14:solidFill>
              <w14:schemeClr w14:val="tx1"/>
            </w14:solidFill>
          </w14:textFill>
        </w:rPr>
        <w:t>见评标办法前附表。</w:t>
      </w:r>
    </w:p>
    <w:p>
      <w:pPr>
        <w:spacing w:line="360" w:lineRule="auto"/>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三、评标程序</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3.1符合性审查。</w:t>
      </w:r>
      <w:r>
        <w:rPr>
          <w:rFonts w:hint="eastAsia" w:ascii="宋体" w:hAnsi="宋体" w:cs="宋体"/>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3.2 比较与评价。</w:t>
      </w:r>
      <w:r>
        <w:rPr>
          <w:rFonts w:hint="eastAsia" w:ascii="宋体" w:hAnsi="宋体" w:cs="宋体"/>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3.3汇总商务技术得分。</w:t>
      </w:r>
      <w:r>
        <w:rPr>
          <w:rFonts w:hint="eastAsia" w:ascii="宋体" w:hAnsi="宋体" w:cs="宋体"/>
          <w:color w:val="000000" w:themeColor="text1"/>
          <w:kern w:val="0"/>
          <w:sz w:val="24"/>
          <w:highlight w:val="none"/>
          <w14:textFill>
            <w14:solidFill>
              <w14:schemeClr w14:val="tx1"/>
            </w14:solidFill>
          </w14:textFill>
        </w:rPr>
        <w:t>评标委员会各成员应当独立对每个投标人的商务和技术文件进行评价，并汇总商务技术得分情况。</w:t>
      </w:r>
    </w:p>
    <w:p>
      <w:pPr>
        <w:spacing w:line="360" w:lineRule="auto"/>
        <w:ind w:firstLine="472" w:firstLineChars="196"/>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3.4报价评审。</w:t>
      </w:r>
    </w:p>
    <w:p>
      <w:pPr>
        <w:pStyle w:val="130"/>
        <w:spacing w:before="0"/>
        <w:ind w:firstLine="508" w:firstLineChars="212"/>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3.4.1投标文件报价出现前后不一致的，按照下列规定修正：</w:t>
      </w:r>
    </w:p>
    <w:p>
      <w:pPr>
        <w:pStyle w:val="130"/>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pPr>
        <w:pStyle w:val="130"/>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3.4.1.2大写金额和小写金额不一致的，以大写金额为准;</w:t>
      </w:r>
    </w:p>
    <w:p>
      <w:pPr>
        <w:pStyle w:val="130"/>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pPr>
        <w:pStyle w:val="130"/>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3.4.1.4总价金额与按单价汇总金额不一致的，以单价金额计算结果为准。</w:t>
      </w:r>
    </w:p>
    <w:p>
      <w:pPr>
        <w:pStyle w:val="130"/>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3.4.</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政府采购评审中出现招标文件第二部分投标人须知《前附表》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“报价要求”第（2）条所列</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评审委员会启动异常低价投标（响应）审查后，属于招标文件第二部分投标人须知《前附表》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“报价要求”第（2）条</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30"/>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w:t>
      </w:r>
      <w:r>
        <w:rPr>
          <w:rFonts w:hint="eastAsia" w:ascii="宋体" w:hAnsi="宋体" w:cs="宋体"/>
          <w:color w:val="000000" w:themeColor="text1"/>
          <w:kern w:val="0"/>
          <w:szCs w:val="24"/>
          <w:highlight w:val="none"/>
          <w:lang w:val="en-US" w:eastAsia="zh-CN"/>
          <w14:textFill>
            <w14:solidFill>
              <w14:schemeClr w14:val="tx1"/>
            </w14:solidFill>
          </w14:textFill>
        </w:rPr>
        <w:t>3</w:t>
      </w:r>
      <w:r>
        <w:rPr>
          <w:rFonts w:hint="eastAsia" w:ascii="宋体" w:hAnsi="宋体" w:cs="宋体"/>
          <w:color w:val="000000" w:themeColor="text1"/>
          <w:kern w:val="0"/>
          <w:szCs w:val="24"/>
          <w:highlight w:val="none"/>
          <w14:textFill>
            <w14:solidFill>
              <w14:schemeClr w14:val="tx1"/>
            </w14:solidFill>
          </w14:textFill>
        </w:rPr>
        <w:t>对于未预留份额专门面向中小企业的政府采购货物项目，以及预留份额政府采购货物项目中的非预留部分标项，对小型和微型企业的投标报价给予10%-</w:t>
      </w:r>
      <w:r>
        <w:rPr>
          <w:rFonts w:ascii="宋体" w:hAnsi="宋体" w:cs="宋体"/>
          <w:color w:val="000000" w:themeColor="text1"/>
          <w:kern w:val="0"/>
          <w:szCs w:val="24"/>
          <w:highlight w:val="none"/>
          <w14:textFill>
            <w14:solidFill>
              <w14:schemeClr w14:val="tx1"/>
            </w14:solidFill>
          </w14:textFill>
        </w:rPr>
        <w:t>20</w:t>
      </w:r>
      <w:r>
        <w:rPr>
          <w:rFonts w:hint="eastAsia" w:ascii="宋体" w:hAnsi="宋体" w:cs="宋体"/>
          <w:color w:val="000000" w:themeColor="text1"/>
          <w:kern w:val="0"/>
          <w:szCs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000000" w:themeColor="text1"/>
          <w:kern w:val="0"/>
          <w:szCs w:val="24"/>
          <w:highlight w:val="none"/>
          <w14:textFill>
            <w14:solidFill>
              <w14:schemeClr w14:val="tx1"/>
            </w14:solidFill>
          </w14:textFill>
        </w:rPr>
        <w:t>6</w:t>
      </w:r>
      <w:r>
        <w:rPr>
          <w:rFonts w:hint="eastAsia" w:ascii="宋体" w:hAnsi="宋体" w:cs="宋体"/>
          <w:color w:val="000000" w:themeColor="text1"/>
          <w:kern w:val="0"/>
          <w:szCs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val="0"/>
          <w:bCs/>
          <w:color w:val="000000" w:themeColor="text1"/>
          <w:kern w:val="0"/>
          <w:sz w:val="24"/>
          <w:highlight w:val="none"/>
          <w:lang w:val="en-US" w:eastAsia="zh-CN"/>
          <w14:textFill>
            <w14:solidFill>
              <w14:schemeClr w14:val="tx1"/>
            </w14:solidFill>
          </w14:textFill>
        </w:rPr>
        <w:t>3.4.4</w:t>
      </w:r>
      <w:r>
        <w:rPr>
          <w:rFonts w:hint="eastAsia" w:ascii="宋体" w:hAnsi="宋体" w:cs="宋体"/>
          <w:b/>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1"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3.5排序与推荐。</w:t>
      </w:r>
      <w:r>
        <w:rPr>
          <w:rFonts w:hint="eastAsia" w:ascii="宋体" w:hAnsi="宋体" w:cs="宋体"/>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3.6编写评标报告。</w:t>
      </w:r>
      <w:r>
        <w:rPr>
          <w:rFonts w:hint="eastAsia" w:ascii="宋体" w:hAnsi="宋体" w:cs="宋体"/>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四、评标中的其他事项</w:t>
      </w:r>
    </w:p>
    <w:p>
      <w:pPr>
        <w:pStyle w:val="130"/>
        <w:spacing w:before="0"/>
        <w:ind w:firstLine="472" w:firstLineChars="196"/>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4.1投标人澄清、说明或者补正。</w:t>
      </w:r>
      <w:r>
        <w:rPr>
          <w:rFonts w:hint="eastAsia" w:ascii="宋体" w:hAnsi="宋体" w:cs="宋体"/>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color w:val="000000" w:themeColor="text1"/>
          <w:szCs w:val="2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4.2投标无效。</w:t>
      </w:r>
      <w:r>
        <w:rPr>
          <w:rFonts w:hint="eastAsia" w:cs="宋体"/>
          <w:color w:val="000000" w:themeColor="text1"/>
          <w:szCs w:val="21"/>
          <w:highlight w:val="none"/>
          <w14:textFill>
            <w14:solidFill>
              <w14:schemeClr w14:val="tx1"/>
            </w14:solidFill>
          </w14:textFill>
        </w:rPr>
        <w:t>有下列情形之一的，投标无效：</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4.2.2投标文件未按照招标文件要求签署、盖章的；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4.2.4投标文件含有采购人不能接受的附加条件的；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4.2.5投标文件中承诺的投标有效期少于招标文件中载明的投标有效期的；</w:t>
      </w:r>
    </w:p>
    <w:p>
      <w:pPr>
        <w:snapToGrid w:val="0"/>
        <w:spacing w:line="360" w:lineRule="auto"/>
        <w:ind w:firstLine="120" w:firstLineChars="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4.2.6投标文件出现不是唯一的、有选择性投标报价的；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4.2.7投标报价超过招标文件中规定的预算金额或者最高限价的；</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投标人对根据修正原则修正后的报价不确认的；</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 xml:space="preserve">9 </w:t>
      </w:r>
      <w:r>
        <w:rPr>
          <w:rFonts w:hint="eastAsia" w:ascii="宋体" w:hAnsi="宋体" w:eastAsia="宋体" w:cs="宋体"/>
          <w:b w:val="0"/>
          <w:bCs w:val="0"/>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4.2.10投标人提供虚假材料投标的；</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4.2.11投标人有恶意串通、妨碍其他投标人的竞争行为、损害采购人或者其他投标人的合法权益情形的；</w:t>
      </w:r>
    </w:p>
    <w:p>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4.2.12</w:t>
      </w:r>
      <w:r>
        <w:rPr>
          <w:rFonts w:hint="eastAsia" w:ascii="宋体" w:hAnsi="宋体" w:eastAsia="宋体" w:cs="宋体"/>
          <w:color w:val="000000" w:themeColor="text1"/>
          <w:kern w:val="0"/>
          <w:sz w:val="24"/>
          <w:highlight w:val="none"/>
          <w:lang w:val="en-US" w:eastAsia="zh-CN"/>
          <w14:textFill>
            <w14:solidFill>
              <w14:schemeClr w14:val="tx1"/>
            </w14:solidFill>
          </w14:textFill>
        </w:rPr>
        <w:t>参与同一个采购包（标段）的供应商存在下列情形之一且无法合理解释的，其投标文件无效：</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不同供应商的电子投标文件上传计算机的IP地址、网卡MAC地址或硬盘序列号等硬件信息相同的；</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val="en-US" w:eastAsia="zh-CN"/>
          <w14:textFill>
            <w14:solidFill>
              <w14:schemeClr w14:val="tx1"/>
            </w14:solidFill>
          </w14:textFill>
        </w:rPr>
        <w:t>上传的电子投标文件若出现使用本项目其他投标供应商的数字证书加密的，或者加盖本项目其他投标供应商的电子印章的；</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不同供应商的投标文件的内容存在3处（含）以上错误一致的；</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不同供应商联系人为同一人或不同联系人的联系电话一致的。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4.2.13</w:t>
      </w:r>
      <w:r>
        <w:rPr>
          <w:rFonts w:hint="eastAsia" w:ascii="宋体" w:hAnsi="宋体" w:cs="宋体"/>
          <w:color w:val="000000" w:themeColor="text1"/>
          <w:kern w:val="0"/>
          <w:sz w:val="24"/>
          <w:highlight w:val="none"/>
          <w14:textFill>
            <w14:solidFill>
              <w14:schemeClr w14:val="tx1"/>
            </w14:solidFill>
          </w14:textFill>
        </w:rPr>
        <w:t>投标人仅提交备份投标文件，未在电子交易平台传输递交投标文件的，投标无效；</w:t>
      </w:r>
    </w:p>
    <w:p>
      <w:pPr>
        <w:pStyle w:val="3"/>
        <w:ind w:left="862" w:leftChars="205"/>
        <w:rPr>
          <w:rFonts w:ascii="宋体" w:hAnsi="宋体" w:eastAsia="宋体" w:cs="宋体"/>
          <w:b w:val="0"/>
          <w:bCs w:val="0"/>
          <w:color w:val="000000" w:themeColor="text1"/>
          <w:kern w:val="0"/>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4.2.1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 xml:space="preserve"> 投标文件不满足招标文件的其它实质性要求的；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法律、法规、规章（适用本市的）及省级以上规范性文件（适用本市的）规定的其他无效情形。</w:t>
      </w:r>
    </w:p>
    <w:p>
      <w:pPr>
        <w:pStyle w:val="24"/>
        <w:snapToGrid w:val="0"/>
        <w:spacing w:line="360" w:lineRule="auto"/>
        <w:ind w:firstLine="472" w:firstLineChars="196"/>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5.废标。</w:t>
      </w:r>
      <w:r>
        <w:rPr>
          <w:rFonts w:hint="eastAsia" w:cs="宋体"/>
          <w:color w:val="000000" w:themeColor="text1"/>
          <w:highlight w:val="none"/>
          <w14:textFill>
            <w14:solidFill>
              <w14:schemeClr w14:val="tx1"/>
            </w14:solidFill>
          </w14:textFill>
        </w:rPr>
        <w:t>根据《中华人民共和国政府采购法》第三十六条之规定，在采购中，出现下列情形之一的，应予废标：</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5.1符合专业条件的供应商或者对招标文件作实质响应的供应商不足3家的；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5.2出现影响采购公正的违法、违规行为的；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5.3投标人的报价均超过了采购预算，采购人不能支付的；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5.4因重大变故，采购任务取消的。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废标后，采购机构应当将废标理由通知所有投标人。</w:t>
      </w:r>
    </w:p>
    <w:p>
      <w:pPr>
        <w:pStyle w:val="24"/>
        <w:snapToGrid w:val="0"/>
        <w:spacing w:line="360" w:lineRule="auto"/>
        <w:ind w:firstLine="590" w:firstLineChars="245"/>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6.修改招标文件，重新组织采购活动。</w:t>
      </w:r>
      <w:r>
        <w:rPr>
          <w:rFonts w:hint="eastAsia" w:cs="宋体"/>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7.重新开展采购。</w:t>
      </w:r>
      <w:r>
        <w:rPr>
          <w:rFonts w:hint="eastAsia" w:cs="宋体"/>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7.1未确定中标供应商的，终止本次政府采购活动，重新开展政府采购活动。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7.4政府采购合同已经履行，给采购人、供应商造成损失的，由责任人承担赔偿责任。</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p>
      <w:pPr>
        <w:pStyle w:val="24"/>
        <w:snapToGrid w:val="0"/>
        <w:spacing w:line="360" w:lineRule="auto"/>
        <w:ind w:firstLine="0" w:firstLineChars="0"/>
        <w:rPr>
          <w:rFonts w:cs="宋体"/>
          <w:color w:val="000000" w:themeColor="text1"/>
          <w:highlight w:val="none"/>
          <w14:textFill>
            <w14:solidFill>
              <w14:schemeClr w14:val="tx1"/>
            </w14:solidFill>
          </w14:textFill>
        </w:rPr>
      </w:pPr>
    </w:p>
    <w:bookmarkEnd w:id="30"/>
    <w:p>
      <w:pPr>
        <w:widowControl/>
        <w:adjustRightInd/>
        <w:jc w:val="left"/>
        <w:rPr>
          <w:rFonts w:ascii="宋体" w:hAnsi="宋体" w:cs="宋体"/>
          <w:b/>
          <w:color w:val="000000" w:themeColor="text1"/>
          <w:sz w:val="36"/>
          <w:szCs w:val="36"/>
          <w:highlight w:val="none"/>
          <w14:textFill>
            <w14:solidFill>
              <w14:schemeClr w14:val="tx1"/>
            </w14:solidFill>
          </w14:textFill>
        </w:rPr>
      </w:pPr>
      <w:bookmarkStart w:id="396" w:name="第五部分"/>
      <w:bookmarkStart w:id="397" w:name="_Toc86217003"/>
      <w:r>
        <w:rPr>
          <w:rFonts w:ascii="宋体" w:hAnsi="宋体" w:cs="宋体"/>
          <w:b/>
          <w:color w:val="000000" w:themeColor="text1"/>
          <w:sz w:val="36"/>
          <w:szCs w:val="36"/>
          <w:highlight w:val="none"/>
          <w14:textFill>
            <w14:solidFill>
              <w14:schemeClr w14:val="tx1"/>
            </w14:solidFill>
          </w14:textFill>
        </w:rPr>
        <w:br w:type="page"/>
      </w:r>
    </w:p>
    <w:p>
      <w:pPr>
        <w:spacing w:line="360" w:lineRule="auto"/>
        <w:ind w:left="720" w:leftChars="343" w:firstLine="1084" w:firstLineChars="300"/>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第五部分 拟签订的合同文本</w:t>
      </w:r>
    </w:p>
    <w:p>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合同编号：</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480" w:lineRule="auto"/>
        <w:jc w:val="center"/>
        <w:rPr>
          <w:rFonts w:ascii="宋体" w:hAnsi="宋体" w:cs="宋体"/>
          <w:b/>
          <w:color w:val="000000" w:themeColor="text1"/>
          <w:sz w:val="28"/>
          <w:szCs w:val="28"/>
          <w:highlight w:val="none"/>
          <w14:textFill>
            <w14:solidFill>
              <w14:schemeClr w14:val="tx1"/>
            </w14:solidFill>
          </w14:textFill>
        </w:rPr>
      </w:pPr>
    </w:p>
    <w:p>
      <w:pPr>
        <w:spacing w:line="480" w:lineRule="auto"/>
        <w:jc w:val="center"/>
        <w:rPr>
          <w:rFonts w:ascii="宋体" w:hAnsi="宋体" w:cs="宋体"/>
          <w:b/>
          <w:color w:val="000000" w:themeColor="text1"/>
          <w:sz w:val="24"/>
          <w:highlight w:val="none"/>
          <w14:textFill>
            <w14:solidFill>
              <w14:schemeClr w14:val="tx1"/>
            </w14:solidFill>
          </w14:textFill>
        </w:rPr>
      </w:pPr>
    </w:p>
    <w:p>
      <w:pPr>
        <w:spacing w:line="480" w:lineRule="auto"/>
        <w:jc w:val="center"/>
        <w:rPr>
          <w:rFonts w:ascii="宋体" w:hAnsi="宋体" w:cs="宋体"/>
          <w:b/>
          <w:color w:val="000000" w:themeColor="text1"/>
          <w:sz w:val="24"/>
          <w:highlight w:val="none"/>
          <w14:textFill>
            <w14:solidFill>
              <w14:schemeClr w14:val="tx1"/>
            </w14:solidFill>
          </w14:textFill>
        </w:rPr>
      </w:pP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政府采购合同参考范本</w:t>
      </w: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（货物类）</w:t>
      </w:r>
    </w:p>
    <w:p>
      <w:pPr>
        <w:pStyle w:val="701"/>
        <w:rPr>
          <w:rFonts w:ascii="宋体" w:hAnsi="宋体" w:cs="宋体"/>
          <w:color w:val="000000" w:themeColor="text1"/>
          <w:szCs w:val="24"/>
          <w:highlight w:val="none"/>
          <w14:textFill>
            <w14:solidFill>
              <w14:schemeClr w14:val="tx1"/>
            </w14:solidFill>
          </w14:textFill>
        </w:rPr>
      </w:pPr>
    </w:p>
    <w:p>
      <w:pPr>
        <w:pStyle w:val="701"/>
        <w:rPr>
          <w:rFonts w:ascii="宋体" w:hAnsi="宋体" w:cs="宋体"/>
          <w:color w:val="000000" w:themeColor="text1"/>
          <w:szCs w:val="24"/>
          <w:highlight w:val="none"/>
          <w14:textFill>
            <w14:solidFill>
              <w14:schemeClr w14:val="tx1"/>
            </w14:solidFill>
          </w14:textFill>
        </w:rPr>
      </w:pPr>
    </w:p>
    <w:p>
      <w:pPr>
        <w:pStyle w:val="701"/>
        <w:jc w:val="center"/>
        <w:rPr>
          <w:rFonts w:ascii="宋体" w:hAnsi="宋体" w:cs="宋体"/>
          <w:color w:val="000000" w:themeColor="text1"/>
          <w:szCs w:val="24"/>
          <w:highlight w:val="none"/>
          <w14:textFill>
            <w14:solidFill>
              <w14:schemeClr w14:val="tx1"/>
            </w14:solidFill>
          </w14:textFill>
        </w:rPr>
      </w:pPr>
    </w:p>
    <w:p>
      <w:pPr>
        <w:pStyle w:val="701"/>
        <w:ind w:firstLine="2843" w:firstLineChars="118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第一部分 合同书</w:t>
      </w:r>
    </w:p>
    <w:p>
      <w:pPr>
        <w:pStyle w:val="701"/>
        <w:rPr>
          <w:rFonts w:ascii="宋体" w:hAnsi="宋体" w:cs="宋体"/>
          <w:color w:val="000000" w:themeColor="text1"/>
          <w:szCs w:val="24"/>
          <w:highlight w:val="none"/>
          <w14:textFill>
            <w14:solidFill>
              <w14:schemeClr w14:val="tx1"/>
            </w14:solidFill>
          </w14:textFill>
        </w:rPr>
      </w:pPr>
    </w:p>
    <w:p>
      <w:pPr>
        <w:pStyle w:val="701"/>
        <w:rPr>
          <w:rFonts w:ascii="宋体" w:hAnsi="宋体" w:cs="宋体"/>
          <w:color w:val="000000" w:themeColor="text1"/>
          <w:szCs w:val="24"/>
          <w:highlight w:val="none"/>
          <w14:textFill>
            <w14:solidFill>
              <w14:schemeClr w14:val="tx1"/>
            </w14:solidFill>
          </w14:textFill>
        </w:rPr>
      </w:pP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pPr>
        <w:pStyle w:val="598"/>
        <w:spacing w:before="120" w:line="22" w:lineRule="atLeast"/>
        <w:rPr>
          <w:rFonts w:ascii="宋体" w:hAnsi="宋体" w:eastAsia="宋体" w:cs="宋体"/>
          <w:color w:val="000000" w:themeColor="text1"/>
          <w:szCs w:val="24"/>
          <w:highlight w:val="none"/>
          <w14:textFill>
            <w14:solidFill>
              <w14:schemeClr w14:val="tx1"/>
            </w14:solidFill>
          </w14:textFill>
        </w:rPr>
      </w:pPr>
    </w:p>
    <w:p>
      <w:pPr>
        <w:pStyle w:val="598"/>
        <w:spacing w:before="120" w:line="22" w:lineRule="atLeast"/>
        <w:rPr>
          <w:rFonts w:ascii="宋体" w:hAnsi="宋体" w:eastAsia="宋体" w:cs="宋体"/>
          <w:color w:val="000000" w:themeColor="text1"/>
          <w:szCs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firstLine="960" w:firstLineChars="4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签订地：</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firstLine="960" w:firstLineChars="4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widowControl/>
        <w:jc w:val="left"/>
        <w:rPr>
          <w:rFonts w:ascii="宋体" w:hAnsi="宋体" w:cs="宋体"/>
          <w:color w:val="000000" w:themeColor="text1"/>
          <w:kern w:val="0"/>
          <w:sz w:val="24"/>
          <w:highlight w:val="none"/>
          <w14:textFill>
            <w14:solidFill>
              <w14:schemeClr w14:val="tx1"/>
            </w14:solidFill>
          </w14:textFill>
        </w:rPr>
        <w:sectPr>
          <w:pgSz w:w="11907" w:h="16840"/>
          <w:pgMar w:top="1474" w:right="1814" w:bottom="1474" w:left="1814" w:header="851" w:footer="851" w:gutter="0"/>
          <w:cols w:space="720" w:num="1"/>
        </w:sectPr>
      </w:pP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（采购人） </w:t>
      </w:r>
      <w:r>
        <w:rPr>
          <w:rFonts w:hint="eastAsia" w:ascii="宋体" w:hAnsi="宋体" w:cs="宋体"/>
          <w:color w:val="000000" w:themeColor="text1"/>
          <w:sz w:val="24"/>
          <w:highlight w:val="none"/>
          <w14:textFill>
            <w14:solidFill>
              <w14:schemeClr w14:val="tx1"/>
            </w14:solidFill>
          </w14:textFill>
        </w:rPr>
        <w:t>以</w:t>
      </w:r>
      <w:r>
        <w:rPr>
          <w:rFonts w:hint="eastAsia" w:ascii="宋体" w:hAnsi="宋体" w:cs="宋体"/>
          <w:color w:val="000000" w:themeColor="text1"/>
          <w:sz w:val="24"/>
          <w:highlight w:val="none"/>
          <w:u w:val="single"/>
          <w14:textFill>
            <w14:solidFill>
              <w14:schemeClr w14:val="tx1"/>
            </w14:solidFill>
          </w14:textFill>
        </w:rPr>
        <w:t xml:space="preserve">   （政府采购方式）  </w:t>
      </w:r>
      <w:r>
        <w:rPr>
          <w:rFonts w:hint="eastAsia" w:ascii="宋体" w:hAnsi="宋体" w:cs="宋体"/>
          <w:color w:val="000000" w:themeColor="text1"/>
          <w:sz w:val="24"/>
          <w:highlight w:val="none"/>
          <w14:textFill>
            <w14:solidFill>
              <w14:schemeClr w14:val="tx1"/>
            </w14:solidFill>
          </w14:textFill>
        </w:rPr>
        <w:t>对</w:t>
      </w:r>
      <w:r>
        <w:rPr>
          <w:rFonts w:hint="eastAsia" w:ascii="宋体" w:hAnsi="宋体" w:cs="宋体"/>
          <w:color w:val="000000" w:themeColor="text1"/>
          <w:sz w:val="24"/>
          <w:highlight w:val="none"/>
          <w:u w:val="single"/>
          <w14:textFill>
            <w14:solidFill>
              <w14:schemeClr w14:val="tx1"/>
            </w14:solidFill>
          </w14:textFill>
        </w:rPr>
        <w:t xml:space="preserve"> （项目名称）（采购编号）   </w:t>
      </w:r>
      <w:r>
        <w:rPr>
          <w:rFonts w:hint="eastAsia" w:ascii="宋体" w:hAnsi="宋体" w:cs="宋体"/>
          <w:color w:val="000000" w:themeColor="text1"/>
          <w:sz w:val="24"/>
          <w:highlight w:val="none"/>
          <w14:textFill>
            <w14:solidFill>
              <w14:schemeClr w14:val="tx1"/>
            </w14:solidFill>
          </w14:textFill>
        </w:rPr>
        <w:t>项目进行了采购。经</w:t>
      </w:r>
      <w:r>
        <w:rPr>
          <w:rFonts w:hint="eastAsia" w:ascii="宋体" w:hAnsi="宋体" w:cs="宋体"/>
          <w:color w:val="000000" w:themeColor="text1"/>
          <w:sz w:val="24"/>
          <w:highlight w:val="none"/>
          <w:u w:val="single"/>
          <w14:textFill>
            <w14:solidFill>
              <w14:schemeClr w14:val="tx1"/>
            </w14:solidFill>
          </w14:textFill>
        </w:rPr>
        <w:t xml:space="preserve">   （相关评定主体名称）   </w:t>
      </w:r>
      <w:r>
        <w:rPr>
          <w:rFonts w:hint="eastAsia" w:ascii="宋体" w:hAnsi="宋体" w:cs="宋体"/>
          <w:color w:val="000000" w:themeColor="text1"/>
          <w:sz w:val="24"/>
          <w:highlight w:val="none"/>
          <w14:textFill>
            <w14:solidFill>
              <w14:schemeClr w14:val="tx1"/>
            </w14:solidFill>
          </w14:textFill>
        </w:rPr>
        <w:t>评定，</w:t>
      </w:r>
      <w:r>
        <w:rPr>
          <w:rFonts w:hint="eastAsia" w:ascii="宋体" w:hAnsi="宋体" w:cs="宋体"/>
          <w:color w:val="000000" w:themeColor="text1"/>
          <w:sz w:val="24"/>
          <w:highlight w:val="none"/>
          <w:u w:val="single"/>
          <w14:textFill>
            <w14:solidFill>
              <w14:schemeClr w14:val="tx1"/>
            </w14:solidFill>
          </w14:textFill>
        </w:rPr>
        <w:t xml:space="preserve"> （中标供应商名称）</w:t>
      </w:r>
      <w:r>
        <w:rPr>
          <w:rFonts w:hint="eastAsia" w:ascii="宋体" w:hAnsi="宋体" w:cs="宋体"/>
          <w:color w:val="000000" w:themeColor="text1"/>
          <w:sz w:val="24"/>
          <w:highlight w:val="none"/>
          <w14:textFill>
            <w14:solidFill>
              <w14:schemeClr w14:val="tx1"/>
            </w14:solidFill>
          </w14:textFill>
        </w:rPr>
        <w:t>为该项目中标或者成交供应商。现于中标或者成交通知书发出之日起10个工作日内，按照采购文件等确定的事项签订本合同。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根据《中华人民共和国民法典》《中华人民共和国政府采购法》等相关法律法规之规定，按照平等、自愿、公平、诚实信用和绿色的原则，经</w:t>
      </w:r>
      <w:r>
        <w:rPr>
          <w:rFonts w:hint="eastAsia" w:ascii="宋体" w:hAnsi="宋体" w:cs="宋体"/>
          <w:color w:val="000000" w:themeColor="text1"/>
          <w:sz w:val="24"/>
          <w:highlight w:val="none"/>
          <w:u w:val="single"/>
          <w14:textFill>
            <w14:solidFill>
              <w14:schemeClr w14:val="tx1"/>
            </w14:solidFill>
          </w14:textFill>
        </w:rPr>
        <w:t xml:space="preserve">   （采购人）   </w:t>
      </w:r>
      <w:r>
        <w:rPr>
          <w:rFonts w:hint="eastAsia" w:ascii="宋体" w:hAnsi="宋体" w:cs="宋体"/>
          <w:color w:val="000000" w:themeColor="text1"/>
          <w:sz w:val="24"/>
          <w:highlight w:val="none"/>
          <w:lang w:val="zh-CN"/>
          <w14:textFill>
            <w14:solidFill>
              <w14:schemeClr w14:val="tx1"/>
            </w14:solidFill>
          </w14:textFill>
        </w:rPr>
        <w:t>(以下简称：甲方)和</w:t>
      </w:r>
      <w:r>
        <w:rPr>
          <w:rFonts w:hint="eastAsia" w:ascii="宋体" w:hAnsi="宋体" w:cs="宋体"/>
          <w:color w:val="000000" w:themeColor="text1"/>
          <w:sz w:val="24"/>
          <w:highlight w:val="none"/>
          <w:u w:val="single"/>
          <w14:textFill>
            <w14:solidFill>
              <w14:schemeClr w14:val="tx1"/>
            </w14:solidFill>
          </w14:textFill>
        </w:rPr>
        <w:t xml:space="preserve">   （中标供应商名称）   </w:t>
      </w:r>
      <w:r>
        <w:rPr>
          <w:rFonts w:hint="eastAsia" w:ascii="宋体" w:hAnsi="宋体" w:cs="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s="宋体"/>
          <w:color w:val="000000" w:themeColor="text1"/>
          <w:sz w:val="24"/>
          <w:highlight w:val="none"/>
          <w14:textFill>
            <w14:solidFill>
              <w14:schemeClr w14:val="tx1"/>
            </w14:solidFill>
          </w14:textFill>
        </w:rPr>
        <w:t>条款，以兹共同遵守、全面履行。</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 合同组成部分</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本合同及其补充合同、变更协议；</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中标或者成交通知书；</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投标或者响应文件（含澄清或者说明文件）；</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采购文件（含澄清或者修改文件）；</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其他相关采购文件。</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1.2 货物</w:t>
      </w:r>
    </w:p>
    <w:p>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货物名称、品牌、规格型号、花色：</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货物数量：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 货物质量：</w:t>
      </w:r>
      <w:r>
        <w:rPr>
          <w:rFonts w:hint="eastAsia" w:ascii="宋体" w:hAnsi="宋体" w:cs="宋体"/>
          <w:color w:val="000000" w:themeColor="text1"/>
          <w:sz w:val="24"/>
          <w:highlight w:val="none"/>
          <w:u w:val="single"/>
          <w14:textFill>
            <w14:solidFill>
              <w14:schemeClr w14:val="tx1"/>
            </w14:solidFill>
          </w14:textFill>
        </w:rPr>
        <w:t>　　　　　　　　　                      　      ；</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 价款</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本合同总价（含税）为：￥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元人民币）。</w:t>
      </w:r>
    </w:p>
    <w:p>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000000" w:themeColor="text1"/>
                <w:sz w:val="24"/>
                <w:szCs w:val="24"/>
                <w:highlight w:val="none"/>
                <w14:textFill>
                  <w14:solidFill>
                    <w14:schemeClr w14:val="tx1"/>
                  </w14:solidFill>
                </w14:textFill>
              </w:rPr>
            </w:pPr>
          </w:p>
        </w:tc>
      </w:tr>
    </w:tbl>
    <w:p>
      <w:pPr>
        <w:pStyle w:val="959"/>
        <w:spacing w:before="0" w:beforeAutospacing="0" w:after="0" w:afterAutospacing="0" w:line="360" w:lineRule="auto"/>
        <w:ind w:firstLine="48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1.4履约保证金</w:t>
      </w:r>
    </w:p>
    <w:p>
      <w:pPr>
        <w:pStyle w:val="959"/>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color w:val="000000" w:themeColor="text1"/>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否）需要支付履约保证金。若需要支付履约保证金的，则：</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1.4.1履约保证金的比例为合同金额的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1.4.2履约保证金支付方式详见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pStyle w:val="3"/>
        <w:tabs>
          <w:tab w:val="left" w:pos="0"/>
          <w:tab w:val="clear" w:pos="432"/>
        </w:tabs>
        <w:spacing w:line="560" w:lineRule="exact"/>
        <w:ind w:left="0" w:firstLine="480" w:firstLineChars="200"/>
        <w:rPr>
          <w:rFonts w:eastAsia="宋体"/>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1.4.4 甲方在项目验收结束后及时退还履约保证金。甲方在项目通过验收之日起</w:t>
      </w:r>
      <w:r>
        <w:rPr>
          <w:rFonts w:hint="eastAsia" w:ascii="宋体" w:hAnsi="宋体" w:cs="宋体"/>
          <w:color w:val="000000" w:themeColor="text1"/>
          <w:kern w:val="0"/>
          <w:sz w:val="24"/>
          <w:highlight w:val="none"/>
          <w:u w:val="singl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highlight w:val="none"/>
          <w:u w:val="single"/>
          <w14:textFill>
            <w14:solidFill>
              <w14:schemeClr w14:val="tx1"/>
            </w14:solidFill>
          </w14:textFill>
        </w:rPr>
        <w:t xml:space="preserve">  0.05（可根据情况修改）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%计算，最高限额为本合同履约保证金的</w:t>
      </w:r>
      <w:r>
        <w:rPr>
          <w:rFonts w:hint="eastAsia" w:ascii="宋体" w:hAnsi="宋体" w:cs="宋体"/>
          <w:color w:val="000000" w:themeColor="text1"/>
          <w:kern w:val="0"/>
          <w:sz w:val="24"/>
          <w:highlight w:val="none"/>
          <w:u w:val="single"/>
          <w14:textFill>
            <w14:solidFill>
              <w14:schemeClr w14:val="tx1"/>
            </w14:solidFill>
          </w14:textFill>
        </w:rPr>
        <w:t xml:space="preserve">  20  </w:t>
      </w:r>
      <w:r>
        <w:rPr>
          <w:rFonts w:hint="eastAsia" w:ascii="宋体" w:hAnsi="宋体" w:cs="宋体"/>
          <w:color w:val="000000" w:themeColor="text1"/>
          <w:kern w:val="0"/>
          <w:sz w:val="24"/>
          <w:highlight w:val="none"/>
          <w14:textFill>
            <w14:solidFill>
              <w14:schemeClr w14:val="tx1"/>
            </w14:solidFill>
          </w14:textFill>
        </w:rPr>
        <w:t xml:space="preserve"> %。</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1.5预付款</w:t>
      </w:r>
    </w:p>
    <w:p>
      <w:pPr>
        <w:pStyle w:val="959"/>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w:t>
      </w:r>
      <w:r>
        <w:rPr>
          <w:rFonts w:hint="eastAsia"/>
          <w:color w:val="000000" w:themeColor="text1"/>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否）需要支付预付款。若需要支付预付款的，则：</w:t>
      </w:r>
    </w:p>
    <w:p>
      <w:pPr>
        <w:spacing w:line="360" w:lineRule="auto"/>
        <w:ind w:right="105" w:rightChars="50"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pStyle w:val="959"/>
        <w:spacing w:before="0" w:beforeAutospacing="0" w:after="0" w:afterAutospacing="0" w:line="360" w:lineRule="auto"/>
        <w:ind w:right="105" w:rightChars="50"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pPr>
        <w:pStyle w:val="959"/>
        <w:spacing w:before="0" w:beforeAutospacing="0" w:after="0" w:afterAutospacing="0" w:line="360" w:lineRule="auto"/>
        <w:ind w:firstLine="48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pPr>
        <w:pStyle w:val="959"/>
        <w:spacing w:before="0" w:beforeAutospacing="0" w:after="0" w:afterAutospacing="0" w:line="360" w:lineRule="auto"/>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1.6资金支付</w:t>
      </w:r>
    </w:p>
    <w:p>
      <w:pPr>
        <w:pStyle w:val="959"/>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1.6.2资金支付的方式、时间和条件详见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1.7货物交付期限、地点和方式</w:t>
      </w:r>
    </w:p>
    <w:p>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交付期限：详见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交付地点：</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 交付方式：</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1.8违约责任</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themeColor="text1"/>
          <w:sz w:val="24"/>
          <w:highlight w:val="none"/>
          <w:u w:val="single"/>
          <w14:textFill>
            <w14:solidFill>
              <w14:schemeClr w14:val="tx1"/>
            </w14:solidFill>
          </w14:textFill>
        </w:rPr>
        <w:t xml:space="preserve">  0.05</w:t>
      </w:r>
      <w:r>
        <w:rPr>
          <w:rFonts w:hint="eastAsia" w:ascii="宋体" w:hAnsi="宋体" w:cs="宋体"/>
          <w:color w:val="000000" w:themeColor="text1"/>
          <w:kern w:val="0"/>
          <w:sz w:val="24"/>
          <w:highlight w:val="none"/>
          <w:u w:val="single"/>
          <w14:textFill>
            <w14:solidFill>
              <w14:schemeClr w14:val="tx1"/>
            </w14:solidFill>
          </w14:textFill>
        </w:rPr>
        <w:t>（可根据情况修改）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   </w:t>
      </w:r>
      <w:r>
        <w:rPr>
          <w:rFonts w:hint="eastAsia" w:ascii="宋体" w:hAnsi="宋体" w:cs="宋体"/>
          <w:color w:val="000000" w:themeColor="text1"/>
          <w:sz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0.05</w:t>
      </w:r>
      <w:r>
        <w:rPr>
          <w:rFonts w:hint="eastAsia" w:ascii="宋体" w:hAnsi="宋体" w:cs="宋体"/>
          <w:color w:val="000000" w:themeColor="text1"/>
          <w:kern w:val="0"/>
          <w:sz w:val="24"/>
          <w:highlight w:val="none"/>
          <w:u w:val="single"/>
          <w14:textFill>
            <w14:solidFill>
              <w14:schemeClr w14:val="tx1"/>
            </w14:solidFill>
          </w14:textFill>
        </w:rPr>
        <w:t>（可根据情况修改）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left="-420" w:leftChars="-200" w:right="-420" w:rightChars="-200" w:firstLine="960" w:firstLine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1.8.6违约责任</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另有约定的，从其约定。</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1.9合同争议的解决</w:t>
      </w:r>
    </w:p>
    <w:p>
      <w:pPr>
        <w:spacing w:line="560" w:lineRule="exact"/>
        <w:ind w:left="-61" w:leftChars="-29" w:right="-420" w:rightChars="-200"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i/>
          <w:color w:val="000000" w:themeColor="text1"/>
          <w:sz w:val="24"/>
          <w:highlight w:val="none"/>
          <w:u w:val="single"/>
          <w14:textFill>
            <w14:solidFill>
              <w14:schemeClr w14:val="tx1"/>
            </w14:solidFill>
          </w14:textFill>
        </w:rPr>
        <w:t xml:space="preserve">    合同专用条款  </w:t>
      </w:r>
      <w:r>
        <w:rPr>
          <w:rFonts w:hint="eastAsia" w:ascii="宋体" w:hAnsi="宋体" w:cs="宋体"/>
          <w:color w:val="000000" w:themeColor="text1"/>
          <w:sz w:val="24"/>
          <w:highlight w:val="none"/>
          <w14:textFill>
            <w14:solidFill>
              <w14:schemeClr w14:val="tx1"/>
            </w14:solidFill>
          </w14:textFill>
        </w:rPr>
        <w:t>条款规定的方式解决：</w:t>
      </w:r>
    </w:p>
    <w:p>
      <w:pPr>
        <w:spacing w:line="560" w:lineRule="exact"/>
        <w:ind w:left="-420" w:leftChars="-200" w:right="-420" w:rightChars="-200"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将争议提交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pPr>
        <w:spacing w:line="560" w:lineRule="exact"/>
        <w:ind w:left="-420" w:leftChars="-200" w:right="-420" w:rightChars="-200"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向</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人民法院起诉。</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1.10</w:t>
      </w:r>
      <w:r>
        <w:rPr>
          <w:rFonts w:hint="eastAsia" w:ascii="宋体" w:hAnsi="宋体" w:cs="宋体"/>
          <w:b/>
          <w:color w:val="000000" w:themeColor="text1"/>
          <w:sz w:val="24"/>
          <w:highlight w:val="none"/>
          <w14:textFill>
            <w14:solidFill>
              <w14:schemeClr w14:val="tx1"/>
            </w14:solidFill>
          </w14:textFill>
        </w:rPr>
        <w:t xml:space="preserve"> 合同生效</w:t>
      </w:r>
    </w:p>
    <w:p>
      <w:pPr>
        <w:spacing w:line="56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本合同自双方当事人盖章签字时生效。</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甲方</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b/>
          <w:color w:val="000000" w:themeColor="text1"/>
          <w:sz w:val="24"/>
          <w:highlight w:val="none"/>
          <w:lang w:val="zh-CN"/>
          <w14:textFill>
            <w14:solidFill>
              <w14:schemeClr w14:val="tx1"/>
            </w14:solidFill>
          </w14:textFill>
        </w:rPr>
        <w:t xml:space="preserve">      乙方</w:t>
      </w:r>
      <w:r>
        <w:rPr>
          <w:rFonts w:hint="eastAsia" w:ascii="宋体" w:hAnsi="宋体" w:cs="宋体"/>
          <w:color w:val="000000" w:themeColor="text1"/>
          <w:sz w:val="24"/>
          <w:highlight w:val="none"/>
          <w:lang w:val="zh-CN"/>
          <w14:textFill>
            <w14:solidFill>
              <w14:schemeClr w14:val="tx1"/>
            </w14:solidFill>
          </w14:textFill>
        </w:rPr>
        <w:t>：</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统一社会信用代码：                        统一社会信用代码或身份证号码：</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住所：                                   住所：</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法定代表人或                             法定代表人</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授权代表（签字）：                        或授权代表（签字）: </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联系人：                                 联系人：</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约定送达地址：                           约定送达地址：</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邮政编码：                               邮政编码：</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电话:                                    电话: </w:t>
      </w:r>
    </w:p>
    <w:p>
      <w:pPr>
        <w:autoSpaceDE w:val="0"/>
        <w:autoSpaceDN w:val="0"/>
        <w:spacing w:line="5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传真:                                    传真:</w:t>
      </w:r>
    </w:p>
    <w:p>
      <w:pPr>
        <w:autoSpaceDE w:val="0"/>
        <w:autoSpaceDN w:val="0"/>
        <w:spacing w:line="5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电子邮箱：                               电子邮箱：</w:t>
      </w:r>
    </w:p>
    <w:p>
      <w:pPr>
        <w:autoSpaceDE w:val="0"/>
        <w:autoSpaceDN w:val="0"/>
        <w:spacing w:line="5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开户银行： </w:t>
      </w:r>
    </w:p>
    <w:p>
      <w:pPr>
        <w:autoSpaceDE w:val="0"/>
        <w:autoSpaceDN w:val="0"/>
        <w:spacing w:line="5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开户名称： </w:t>
      </w:r>
    </w:p>
    <w:p>
      <w:pPr>
        <w:autoSpaceDE w:val="0"/>
        <w:autoSpaceDN w:val="0"/>
        <w:spacing w:line="5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开户账号：</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开户账号：</w:t>
      </w:r>
    </w:p>
    <w:p>
      <w:pPr>
        <w:pStyle w:val="3"/>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pStyle w:val="3"/>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pStyle w:val="3"/>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br w:type="page"/>
      </w:r>
    </w:p>
    <w:p>
      <w:pPr>
        <w:pStyle w:val="701"/>
        <w:spacing w:line="560" w:lineRule="exact"/>
        <w:ind w:firstLine="482"/>
        <w:jc w:val="center"/>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第二部分 合同一般条款</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 定义</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本合同中的下列词语应按以下内容进行解释：</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“合同”系指采购人和中标或成交供应商签订的载明双方当事人所达成的协议，并包括所有的附件、附录和构成合同的其他文件。</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“合同价”系指根据合同约定，中标或成交供应商在完全履行合同义务后，采购人应支付给中标或成交供应商的价格。</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“货物”系指中标或成交供应商根据合同约定应向采购人交付的一切各种形态和种类的物品，包括原材料、燃料、设备、机械、仪表、备件、计算机软件、产品等，并包括工具、手册等其他相关资料。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 “甲方”系指与中标供应商签署合同的采购人；采购人委托采购代理机构代表其与乙方签订合同的，采购人的授权委托书作为合同附件。</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 “现场”系指合同约定货物将要运至或者安装的地点。</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 技术规范</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2.3 知识产权</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000000" w:themeColor="text1"/>
          <w:sz w:val="24"/>
          <w:highlight w:val="none"/>
          <w14:textFill>
            <w14:solidFill>
              <w14:schemeClr w14:val="tx1"/>
            </w14:solidFill>
          </w14:textFill>
        </w:rPr>
        <w:t>乙方还应及时澄清相关信息，使甲方声誉免受损害，甲方保留追责的权利。</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2.3.2具有知识产权的计算机软件等货物的知识产权归属，详见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2.4 包装和装运</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 装运货物的要求和通知，详见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2.5 履约检查和问题反馈</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合同履行期间，甲方有权将履行过程中出现的问题反馈给乙方，双方当事人应以书面形式约定需要完善和改进的内容。</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2.6 技术资料和保密义务</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2.6.2 乙方有义务妥善保管和保护由甲方提供的前款信息和资料等；</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2.7 质量保证</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乙方应保证履行合同的人员数量和素质、软件和硬件设备的配置、场地、环境和设施等满足全面履行合同的要求，并应接受甲方的监督检查。</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2.8 货物的风险负担</w:t>
      </w:r>
    </w:p>
    <w:p>
      <w:pPr>
        <w:spacing w:line="56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货物或者在途货物或者交付给第一承运人后的货物毁损、灭失的风险负担详见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2.9 延迟交货</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甲乙双方签订合同后，乙方应按照合同约定履行合同义务，除不可抗力外，乙方不得延迟交货。</w:t>
      </w:r>
      <w:r>
        <w:rPr>
          <w:rFonts w:hint="eastAsia" w:ascii="宋体" w:hAnsi="宋体" w:cs="宋体"/>
          <w:color w:val="000000" w:themeColor="text1"/>
          <w:sz w:val="24"/>
          <w:highlight w:val="none"/>
          <w14:textFill>
            <w14:solidFill>
              <w14:schemeClr w14:val="tx1"/>
            </w14:solidFill>
          </w14:textFill>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2.10 合同变更</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2.11 合同转让和分包</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2.11.1合同的权利义务依法不得转让，但经甲方</w:t>
      </w:r>
      <w:r>
        <w:rPr>
          <w:rFonts w:hint="eastAsia" w:ascii="宋体" w:hAnsi="宋体" w:cs="宋体"/>
          <w:color w:val="000000" w:themeColor="text1"/>
          <w:sz w:val="24"/>
          <w:highlight w:val="none"/>
          <w:lang w:val="en-US" w:eastAsia="zh-CN"/>
          <w14:textFill>
            <w14:solidFill>
              <w14:schemeClr w14:val="tx1"/>
            </w14:solidFill>
          </w14:textFill>
        </w:rPr>
        <w:t>书面</w:t>
      </w:r>
      <w:r>
        <w:rPr>
          <w:rFonts w:hint="eastAsia" w:ascii="宋体" w:hAnsi="宋体" w:cs="宋体"/>
          <w:color w:val="000000" w:themeColor="text1"/>
          <w:sz w:val="24"/>
          <w:highlight w:val="none"/>
          <w14:textFill>
            <w14:solidFill>
              <w14:schemeClr w14:val="tx1"/>
            </w14:solidFill>
          </w14:textFill>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2.11.2乙方采取分包方式履行合同的，甲方可直接向分包供应商支付款项。</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2.12 不可抗力</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2.12.2 因不可抗力致使不能实现合同目的的，当事人可以解除合同；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2.12.3 因不可抗力致使合同有变更必要的，双方当事人应在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约定时间内以书面形式变更合同；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2.12.4受不可抗力影响的一方在不可抗力发生后，应在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约定时间内以书面形式通知对方当事人，并在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约定时间内，将有关部门出具的证明文件送达对方当事人。</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2.13 税费</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与合同有关的一切税费，均按照中华人民共和国法律的相关规定。</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2.14乙方破产</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2.15 合同中止、终止</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2.15.1 双方当事人不得擅自中止或者终止合同；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2.16检验和验收</w:t>
      </w:r>
    </w:p>
    <w:p>
      <w:pPr>
        <w:tabs>
          <w:tab w:val="left" w:pos="360"/>
          <w:tab w:val="left" w:pos="540"/>
          <w:tab w:val="left" w:pos="1080"/>
        </w:tabs>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2.16.1货物交付前，乙方应对货物的质量、数量等方面进行详细、全面的检验，并向甲方出具证明货物符合合同约定的文件；货物交付时，甲方在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2.16.3 检验和验收标准、程序等具体内容以及前述验收书的效力详见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i/>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2.17 通知和送达</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000000" w:themeColor="text1"/>
          <w:sz w:val="24"/>
          <w:highlight w:val="none"/>
          <w:u w:val="singl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2.18 计量单位</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2.19 合同使用的文字和适用的法律</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2.19.1 合同使用汉语书就、变更和解释；</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2.19.2 合同适用中华人民共和国法律。</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2.20 合同份数</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合同份数按</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规定，每份均具有同等法律效力。</w:t>
      </w:r>
    </w:p>
    <w:p>
      <w:pPr>
        <w:adjustRightInd/>
        <w:spacing w:line="360" w:lineRule="auto"/>
        <w:ind w:firstLine="2513" w:firstLineChars="1197"/>
        <w:outlineLvl w:val="0"/>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br w:type="page"/>
      </w:r>
      <w:r>
        <w:rPr>
          <w:rFonts w:hint="eastAsia" w:ascii="宋体" w:hAnsi="宋体" w:cs="宋体"/>
          <w:b/>
          <w:color w:val="000000" w:themeColor="text1"/>
          <w:sz w:val="32"/>
          <w:szCs w:val="20"/>
          <w:highlight w:val="none"/>
          <w14:textFill>
            <w14:solidFill>
              <w14:schemeClr w14:val="tx1"/>
            </w14:solidFill>
          </w14:textFill>
        </w:rPr>
        <w:t xml:space="preserve"> 第三部分  合同专用条款</w:t>
      </w:r>
    </w:p>
    <w:p>
      <w:pPr>
        <w:spacing w:line="560" w:lineRule="exact"/>
        <w:ind w:left="-420" w:leftChars="-200" w:right="-420" w:rightChars="-20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79"/>
        <w:rPr>
          <w:color w:val="000000" w:themeColor="text1"/>
          <w:highlight w:val="none"/>
          <w14:textFill>
            <w14:solidFill>
              <w14:schemeClr w14:val="tx1"/>
            </w14:solidFill>
          </w14:textFill>
        </w:rPr>
      </w:pP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4534" w:type="pct"/>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否）需要支付履约保证金。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1.4.1</w:t>
            </w:r>
          </w:p>
        </w:tc>
        <w:tc>
          <w:tcPr>
            <w:tcW w:w="4534" w:type="pct"/>
            <w:vAlign w:val="center"/>
          </w:tcPr>
          <w:p>
            <w:pPr>
              <w:spacing w:line="360" w:lineRule="auto"/>
              <w:rPr>
                <w:rFonts w:hint="eastAsia"/>
                <w:color w:val="000000" w:themeColor="text1"/>
                <w:sz w:val="24"/>
                <w:highlight w:val="none"/>
                <w14:textFill>
                  <w14:solidFill>
                    <w14:schemeClr w14:val="tx1"/>
                  </w14:solidFill>
                </w14:textFill>
              </w:rPr>
            </w:pPr>
            <w:r>
              <w:rPr>
                <w:rFonts w:hint="eastAsia" w:ascii="Times New Roman" w:hAnsi="Times New Roman" w:cs="Times New Roman"/>
                <w:color w:val="000000" w:themeColor="text1"/>
                <w:kern w:val="2"/>
                <w:sz w:val="24"/>
                <w:highlight w:val="none"/>
                <w14:textFill>
                  <w14:solidFill>
                    <w14:schemeClr w14:val="tx1"/>
                  </w14:solidFill>
                </w14:textFill>
              </w:rPr>
              <w:t>履约保证金的比例为合同金额的</w:t>
            </w:r>
            <w:r>
              <w:rPr>
                <w:rFonts w:hint="eastAsia" w:ascii="Times New Roman" w:hAnsi="Times New Roman" w:cs="Times New Roman"/>
                <w:color w:val="000000" w:themeColor="text1"/>
                <w:kern w:val="2"/>
                <w:sz w:val="24"/>
                <w:highlight w:val="none"/>
                <w:u w:val="none"/>
                <w14:textFill>
                  <w14:solidFill>
                    <w14:schemeClr w14:val="tx1"/>
                  </w14:solidFill>
                </w14:textFill>
              </w:rPr>
              <w:t xml:space="preserve">     </w:t>
            </w:r>
            <w:r>
              <w:rPr>
                <w:rFonts w:hint="eastAsia" w:ascii="Times New Roman" w:hAnsi="Times New Roman" w:cs="Times New Roman"/>
                <w:color w:val="000000" w:themeColor="text1"/>
                <w:kern w:val="2"/>
                <w:sz w:val="24"/>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1.4.2</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否）需要支付预付款。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1.5.2 </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1.9.1</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1.9.2</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w:t>
            </w:r>
          </w:p>
        </w:tc>
        <w:tc>
          <w:tcPr>
            <w:tcW w:w="4534" w:type="pct"/>
            <w:vAlign w:val="center"/>
          </w:tcPr>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w:t>
            </w:r>
          </w:p>
        </w:tc>
        <w:tc>
          <w:tcPr>
            <w:tcW w:w="4534" w:type="pct"/>
            <w:vAlign w:val="center"/>
          </w:tcPr>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2.8 </w:t>
            </w:r>
          </w:p>
        </w:tc>
        <w:tc>
          <w:tcPr>
            <w:tcW w:w="4534" w:type="pct"/>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2.12.3</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2.12.4</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2.16.1</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2.16.3</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pPr>
              <w:spacing w:line="360" w:lineRule="auto"/>
              <w:ind w:left="-420" w:leftChars="-200" w:right="-420" w:rightChars="-200"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2.20 </w:t>
            </w:r>
          </w:p>
        </w:tc>
        <w:tc>
          <w:tcPr>
            <w:tcW w:w="453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bl>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jc w:val="center"/>
        <w:outlineLvl w:val="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jc w:val="center"/>
        <w:outlineLvl w:val="0"/>
        <w:rPr>
          <w:rFonts w:ascii="宋体" w:hAnsi="宋体" w:cs="宋体"/>
          <w:color w:val="000000" w:themeColor="text1"/>
          <w:sz w:val="24"/>
          <w:highlight w:val="none"/>
          <w14:textFill>
            <w14:solidFill>
              <w14:schemeClr w14:val="tx1"/>
            </w14:solidFill>
          </w14:textFill>
        </w:rPr>
      </w:pPr>
    </w:p>
    <w:p>
      <w:pPr>
        <w:spacing w:line="240" w:lineRule="auto"/>
        <w:ind w:left="0" w:firstLine="0" w:firstLineChars="0"/>
        <w:outlineLvl w:val="9"/>
        <w:rPr>
          <w:rFonts w:hint="eastAsia"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br w:type="page"/>
      </w:r>
    </w:p>
    <w:p>
      <w:pPr>
        <w:spacing w:line="360" w:lineRule="auto"/>
        <w:ind w:left="720" w:firstLine="722" w:firstLineChars="200"/>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第六部分</w:t>
      </w:r>
      <w:bookmarkEnd w:id="396"/>
      <w:r>
        <w:rPr>
          <w:rFonts w:hint="eastAsia" w:ascii="宋体" w:hAnsi="宋体" w:cs="宋体"/>
          <w:b/>
          <w:color w:val="000000" w:themeColor="text1"/>
          <w:sz w:val="36"/>
          <w:szCs w:val="20"/>
          <w:highlight w:val="none"/>
          <w14:textFill>
            <w14:solidFill>
              <w14:schemeClr w14:val="tx1"/>
            </w14:solidFill>
          </w14:textFill>
        </w:rPr>
        <w:t xml:space="preserve"> </w:t>
      </w:r>
      <w:bookmarkEnd w:id="397"/>
      <w:r>
        <w:rPr>
          <w:rFonts w:hint="eastAsia" w:ascii="宋体" w:hAnsi="宋体" w:cs="宋体"/>
          <w:b/>
          <w:color w:val="000000" w:themeColor="text1"/>
          <w:sz w:val="36"/>
          <w:szCs w:val="20"/>
          <w:highlight w:val="none"/>
          <w14:textFill>
            <w14:solidFill>
              <w14:schemeClr w14:val="tx1"/>
            </w14:solidFill>
          </w14:textFill>
        </w:rPr>
        <w:t>应提交的有关格式范例</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（1）符合参加政府采购活动应当具备的一般条件的承诺函……………（页码）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（2）联合协议</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）本项目的特定资格要求………………………………………………（页码）</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b/>
          <w:color w:val="000000" w:themeColor="text1"/>
          <w:kern w:val="0"/>
          <w:sz w:val="32"/>
          <w:szCs w:val="32"/>
          <w:highlight w:val="none"/>
          <w14:textFill>
            <w14:solidFill>
              <w14:schemeClr w14:val="tx1"/>
            </w14:solidFill>
          </w14:textFill>
        </w:rPr>
        <w:t xml:space="preserve">  一、 符合参加政府采购活动应当具备的一般条件的承诺函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我方参与（项目名称）【招标编号：（采购编号）】政府采购活动，郑重承诺：</w:t>
      </w:r>
    </w:p>
    <w:p>
      <w:pPr>
        <w:snapToGrid w:val="0"/>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（一）具备《中华人民共和国政府采购法》第二十二条第一款规定的条件：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6、具有法律、行政法规规定的其他条件。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（三）不存在以下情况：</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pStyle w:val="3"/>
        <w:rPr>
          <w:color w:val="000000" w:themeColor="text1"/>
          <w:highlight w:val="none"/>
          <w14:textFill>
            <w14:solidFill>
              <w14:schemeClr w14:val="tx1"/>
            </w14:solidFill>
          </w14:textFill>
        </w:rPr>
      </w:pPr>
    </w:p>
    <w:p>
      <w:pPr>
        <w:snapToGrid w:val="0"/>
        <w:spacing w:line="360" w:lineRule="auto"/>
        <w:ind w:right="480" w:firstLine="559" w:firstLineChars="233"/>
        <w:jc w:val="left"/>
        <w:rPr>
          <w:rFonts w:ascii="宋体" w:hAnsi="宋体" w:cs="宋体"/>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注：根据《</w:t>
      </w:r>
      <w:r>
        <w:rPr>
          <w:rFonts w:cs="仿宋_GB2312" w:asciiTheme="minorEastAsia" w:hAnsiTheme="minorEastAsia" w:eastAsiaTheme="minorEastAsia"/>
          <w:color w:val="000000" w:themeColor="text1"/>
          <w:sz w:val="24"/>
          <w:highlight w:val="none"/>
          <w14:textFill>
            <w14:solidFill>
              <w14:schemeClr w14:val="tx1"/>
            </w14:solidFill>
          </w14:textFill>
        </w:rPr>
        <w:t>关于规范政府采购供应商资格设定及资格审查的通知</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r>
        <w:rPr>
          <w:rFonts w:cs="仿宋_GB2312" w:asciiTheme="minorEastAsia" w:hAnsiTheme="minorEastAsia" w:eastAsiaTheme="minorEastAsia"/>
          <w:color w:val="000000" w:themeColor="text1"/>
          <w:sz w:val="24"/>
          <w:highlight w:val="none"/>
          <w14:textFill>
            <w14:solidFill>
              <w14:schemeClr w14:val="tx1"/>
            </w14:solidFill>
          </w14:textFill>
        </w:rPr>
        <w:t>浙财采监[2013]24号</w:t>
      </w:r>
      <w:r>
        <w:rPr>
          <w:rFonts w:hint="eastAsia" w:cs="仿宋_GB2312" w:asciiTheme="minorEastAsia" w:hAnsiTheme="minorEastAsia" w:eastAsiaTheme="minorEastAsia"/>
          <w:color w:val="000000" w:themeColor="text1"/>
          <w:sz w:val="24"/>
          <w:highlight w:val="none"/>
          <w14:textFill>
            <w14:solidFill>
              <w14:schemeClr w14:val="tx1"/>
            </w14:solidFill>
          </w14:textFill>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000000" w:themeColor="text1"/>
          <w:sz w:val="24"/>
          <w:highlight w:val="none"/>
          <w:u w:val="single"/>
          <w14:textFill>
            <w14:solidFill>
              <w14:schemeClr w14:val="tx1"/>
            </w14:solidFill>
          </w14:textFill>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rPr>
          <w:rFonts w:ascii="宋体" w:hAnsi="宋体" w:cs="宋体"/>
          <w:color w:val="000000" w:themeColor="text1"/>
          <w:highlight w:val="none"/>
          <w14:textFill>
            <w14:solidFill>
              <w14:schemeClr w14:val="tx1"/>
            </w14:solidFill>
          </w14:textFill>
        </w:rPr>
      </w:pPr>
    </w:p>
    <w:p>
      <w:pPr>
        <w:widowControl/>
        <w:spacing w:line="360" w:lineRule="auto"/>
        <w:ind w:firstLine="642" w:firstLineChars="20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二、联合协议（如果有）</w:t>
      </w:r>
    </w:p>
    <w:p>
      <w:pPr>
        <w:widowControl/>
        <w:spacing w:line="360" w:lineRule="auto"/>
        <w:ind w:firstLine="481"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三、落实政府采购政策需满足的资格要求（如果有）</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.专门面向中小企业，货物全部由符合政策要求的中小企业（或小微企业）制造的，提供相应的中小企业声明函（附件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 </w:t>
      </w:r>
    </w:p>
    <w:p>
      <w:pPr>
        <w:widowControl/>
        <w:spacing w:line="360" w:lineRule="auto"/>
        <w:ind w:firstLine="480"/>
        <w:jc w:val="left"/>
        <w:rPr>
          <w:rFonts w:ascii="宋体" w:hAnsi="宋体" w:cs="宋体"/>
          <w:color w:val="000000" w:themeColor="text1"/>
          <w:sz w:val="24"/>
          <w:highlight w:val="none"/>
          <w14:textFill>
            <w14:solidFill>
              <w14:schemeClr w14:val="tx1"/>
            </w14:solidFill>
          </w14:textFill>
        </w:rPr>
      </w:pPr>
    </w:p>
    <w:p>
      <w:pPr>
        <w:widowControl/>
        <w:spacing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要求以联合体形式参加的，提供联合协议（附件</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中小企业合同金额应当达到招标公告载明的比例；如果供应商提供</w:t>
      </w:r>
      <w:r>
        <w:rPr>
          <w:rFonts w:hint="eastAsia" w:ascii="宋体" w:hAnsi="宋体" w:cs="宋体"/>
          <w:color w:val="000000" w:themeColor="text1"/>
          <w:sz w:val="24"/>
          <w:highlight w:val="none"/>
          <w:lang w:val="en-US" w:eastAsia="zh-CN"/>
          <w14:textFill>
            <w14:solidFill>
              <w14:schemeClr w14:val="tx1"/>
            </w14:solidFill>
          </w14:textFill>
        </w:rPr>
        <w:t>的</w:t>
      </w:r>
      <w:r>
        <w:rPr>
          <w:rFonts w:hint="eastAsia" w:ascii="宋体" w:hAnsi="宋体" w:cs="宋体"/>
          <w:color w:val="000000" w:themeColor="text1"/>
          <w:sz w:val="24"/>
          <w:highlight w:val="none"/>
          <w14:textFill>
            <w14:solidFill>
              <w14:schemeClr w14:val="tx1"/>
            </w14:solidFill>
          </w14:textFill>
        </w:rPr>
        <w:t>所有标的均由中小企业制造的，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无需再与其他中小企业组成联合体参加政府采购活动，无需提供联合协议。</w:t>
      </w:r>
    </w:p>
    <w:p>
      <w:pPr>
        <w:snapToGrid w:val="0"/>
        <w:spacing w:before="50" w:after="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要求合同分包的，提供分包意向协议（附件6）和中小企业声明函（附件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中小企业合同金额应当达到招标公告载明的比例；如果供应商提供</w:t>
      </w:r>
      <w:r>
        <w:rPr>
          <w:rFonts w:hint="eastAsia" w:ascii="宋体" w:hAnsi="宋体" w:cs="宋体"/>
          <w:color w:val="000000" w:themeColor="text1"/>
          <w:sz w:val="24"/>
          <w:highlight w:val="none"/>
          <w:lang w:val="en-US" w:eastAsia="zh-CN"/>
          <w14:textFill>
            <w14:solidFill>
              <w14:schemeClr w14:val="tx1"/>
            </w14:solidFill>
          </w14:textFill>
        </w:rPr>
        <w:t>的</w:t>
      </w:r>
      <w:r>
        <w:rPr>
          <w:rFonts w:hint="eastAsia" w:ascii="宋体" w:hAnsi="宋体" w:cs="宋体"/>
          <w:color w:val="000000" w:themeColor="text1"/>
          <w:sz w:val="24"/>
          <w:highlight w:val="none"/>
          <w14:textFill>
            <w14:solidFill>
              <w14:schemeClr w14:val="tx1"/>
            </w14:solidFill>
          </w14:textFill>
        </w:rPr>
        <w:t>所有标的均由中小企业制造的，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无需再向中小企业分包，无需提供分包意向协议。</w:t>
      </w: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四、本项目的特定资格要求（如果有）</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（根据招标公告本项目的特定资格要求提供相应的材料；未要求的，无需提供）</w:t>
      </w:r>
    </w:p>
    <w:p>
      <w:pPr>
        <w:rPr>
          <w:rFonts w:ascii="宋体" w:hAnsi="宋体" w:cs="宋体"/>
          <w:color w:val="000000" w:themeColor="text1"/>
          <w:highlight w:val="none"/>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商务技术文件部分</w:t>
      </w:r>
    </w:p>
    <w:p>
      <w:pPr>
        <w:spacing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目录</w:t>
      </w:r>
    </w:p>
    <w:p>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w:t>
      </w:r>
      <w:r>
        <w:rPr>
          <w:rFonts w:hint="eastAsia" w:ascii="宋体" w:hAnsi="宋体" w:cs="宋体"/>
          <w:color w:val="000000" w:themeColor="text1"/>
          <w:highlight w:val="none"/>
          <w14:textFill>
            <w14:solidFill>
              <w14:schemeClr w14:val="tx1"/>
            </w14:solidFill>
          </w14:textFill>
        </w:rPr>
        <w:t>…………………………………………………………………………………（页码）</w:t>
      </w:r>
      <w:r>
        <w:rPr>
          <w:rFonts w:hint="eastAsia" w:ascii="宋体" w:hAnsi="宋体" w:cs="宋体"/>
          <w:color w:val="000000" w:themeColor="text1"/>
          <w:sz w:val="24"/>
          <w:highlight w:val="none"/>
          <w14:textFill>
            <w14:solidFill>
              <w14:schemeClr w14:val="tx1"/>
            </w14:solidFill>
          </w14:textFill>
        </w:rPr>
        <w:t>（2）授权委托书或法定代表人（单位负责人、自然人本人）身份证明</w:t>
      </w:r>
      <w:r>
        <w:rPr>
          <w:rFonts w:hint="eastAsia" w:ascii="宋体" w:hAnsi="宋体" w:cs="宋体"/>
          <w:color w:val="000000" w:themeColor="text1"/>
          <w:highlight w:val="none"/>
          <w14:textFill>
            <w14:solidFill>
              <w14:schemeClr w14:val="tx1"/>
            </w14:solidFill>
          </w14:textFill>
        </w:rPr>
        <w:t>………（页码）</w:t>
      </w:r>
    </w:p>
    <w:p>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color w:val="000000" w:themeColor="text1"/>
          <w:highlight w:val="none"/>
          <w14:textFill>
            <w14:solidFill>
              <w14:schemeClr w14:val="tx1"/>
            </w14:solidFill>
          </w14:textFill>
        </w:rPr>
        <w:t>…………………………………………………………………………（页码）</w:t>
      </w:r>
    </w:p>
    <w:p>
      <w:pPr>
        <w:snapToGrid w:val="0"/>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r>
        <w:rPr>
          <w:rFonts w:hint="eastAsia" w:ascii="宋体" w:hAnsi="宋体" w:cs="宋体"/>
          <w:color w:val="000000" w:themeColor="text1"/>
          <w:highlight w:val="none"/>
          <w14:textFill>
            <w14:solidFill>
              <w14:schemeClr w14:val="tx1"/>
            </w14:solidFill>
          </w14:textFill>
        </w:rPr>
        <w:t>………………………………………………………………………（页码）</w:t>
      </w:r>
    </w:p>
    <w:p>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……………（页码）</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……………（页码）</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）商务技术偏离表</w:t>
      </w:r>
      <w:r>
        <w:rPr>
          <w:rFonts w:hint="eastAsia" w:ascii="宋体" w:hAnsi="宋体" w:cs="宋体"/>
          <w:color w:val="000000" w:themeColor="text1"/>
          <w:highlight w:val="none"/>
          <w14:textFill>
            <w14:solidFill>
              <w14:schemeClr w14:val="tx1"/>
            </w14:solidFill>
          </w14:textFill>
        </w:rPr>
        <w:t>………………………………………………………………………（页码）</w:t>
      </w:r>
    </w:p>
    <w:p>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r>
        <w:rPr>
          <w:rFonts w:hint="eastAsia" w:ascii="宋体" w:hAnsi="宋体" w:cs="宋体"/>
          <w:color w:val="000000" w:themeColor="text1"/>
          <w:highlight w:val="none"/>
          <w14:textFill>
            <w14:solidFill>
              <w14:schemeClr w14:val="tx1"/>
            </w14:solidFill>
          </w14:textFill>
        </w:rPr>
        <w:t>…………………………………………………（页码）</w:t>
      </w: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outlineLvl w:val="0"/>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kern w:val="0"/>
          <w:sz w:val="32"/>
          <w:szCs w:val="32"/>
          <w:highlight w:val="none"/>
          <w14:textFill>
            <w14:solidFill>
              <w14:schemeClr w14:val="tx1"/>
            </w14:solidFill>
          </w14:textFill>
        </w:rPr>
      </w:pPr>
    </w:p>
    <w:p>
      <w:pPr>
        <w:pStyle w:val="3"/>
        <w:rPr>
          <w:color w:val="000000" w:themeColor="text1"/>
          <w:highlight w:val="none"/>
          <w:lang w:val="en-US"/>
          <w14:textFill>
            <w14:solidFill>
              <w14:schemeClr w14:val="tx1"/>
            </w14:solidFill>
          </w14:textFill>
        </w:rPr>
      </w:pPr>
    </w:p>
    <w:p>
      <w:pPr>
        <w:rPr>
          <w:color w:val="000000" w:themeColor="text1"/>
          <w:highlight w:val="none"/>
          <w14:textFill>
            <w14:solidFill>
              <w14:schemeClr w14:val="tx1"/>
            </w14:solidFill>
          </w14:textFill>
        </w:rPr>
      </w:pPr>
    </w:p>
    <w:p>
      <w:pPr>
        <w:snapToGrid w:val="0"/>
        <w:spacing w:line="360" w:lineRule="auto"/>
        <w:ind w:firstLine="3855" w:firstLineChars="1200"/>
        <w:outlineLvl w:val="0"/>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firstLine="3855" w:firstLineChars="1200"/>
        <w:outlineLvl w:val="0"/>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firstLine="3855" w:firstLineChars="1200"/>
        <w:outlineLvl w:val="0"/>
        <w:rPr>
          <w:rFonts w:ascii="宋体" w:hAnsi="宋体" w:cs="宋体"/>
          <w:b/>
          <w:color w:val="000000" w:themeColor="text1"/>
          <w:kern w:val="0"/>
          <w:sz w:val="32"/>
          <w:szCs w:val="32"/>
          <w:highlight w:val="none"/>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snapToGrid w:val="0"/>
        <w:spacing w:line="360" w:lineRule="auto"/>
        <w:ind w:firstLine="3855" w:firstLineChars="1200"/>
        <w:outlineLvl w:val="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一、投标</w:t>
      </w:r>
      <w:r>
        <w:rPr>
          <w:rFonts w:hint="eastAsia" w:ascii="宋体" w:hAnsi="宋体" w:cs="宋体"/>
          <w:b/>
          <w:color w:val="000000" w:themeColor="text1"/>
          <w:sz w:val="32"/>
          <w:szCs w:val="32"/>
          <w:highlight w:val="none"/>
          <w14:textFill>
            <w14:solidFill>
              <w14:schemeClr w14:val="tx1"/>
            </w14:solidFill>
          </w14:textFill>
        </w:rPr>
        <w:t>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2.1.1承诺函；</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r>
        <w:rPr>
          <w:rFonts w:hint="eastAsia" w:ascii="宋体" w:hAnsi="宋体" w:cs="宋体"/>
          <w:snapToGrid w:val="0"/>
          <w:color w:val="000000" w:themeColor="text1"/>
          <w:kern w:val="28"/>
          <w:sz w:val="24"/>
          <w:szCs w:val="20"/>
          <w:highlight w:val="none"/>
          <w14:textFill>
            <w14:solidFill>
              <w14:schemeClr w14:val="tx1"/>
            </w14:solidFill>
          </w14:textFill>
        </w:rPr>
        <w:t>联合协议（如果有)；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left="210" w:leftChars="1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2.2.1投标函；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2.2.2授权委托书或法定代表人（单位负责人）身份证明；</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商务技术偏离表；</w:t>
      </w:r>
    </w:p>
    <w:p>
      <w:pPr>
        <w:snapToGrid w:val="0"/>
        <w:spacing w:line="360" w:lineRule="auto"/>
        <w:ind w:left="420" w:leftChars="2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3报价文件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2.3.1开标一览表（报价表）；</w:t>
      </w:r>
    </w:p>
    <w:p>
      <w:pPr>
        <w:snapToGrid w:val="0"/>
        <w:spacing w:line="360" w:lineRule="auto"/>
        <w:ind w:left="420" w:leftChars="20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2.3.2关于符合本国产品标准的</w:t>
      </w:r>
      <w:r>
        <w:rPr>
          <w:rFonts w:hint="eastAsia" w:ascii="宋体" w:hAnsi="宋体" w:cs="宋体"/>
          <w:color w:val="000000" w:themeColor="text1"/>
          <w:sz w:val="24"/>
          <w:highlight w:val="none"/>
          <w14:textFill>
            <w14:solidFill>
              <w14:schemeClr w14:val="tx1"/>
            </w14:solidFill>
          </w14:textFill>
        </w:rPr>
        <w:t>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如果有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中小企业声明函（如果有）。</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4、如我方中标，我方承诺：</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4.2在签订合同时不向你方提出附加条件；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4.3按照招标文件要求提交履约保证金；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4.4在合同约定的期限内完成合同规定的全部义务。 </w:t>
      </w:r>
    </w:p>
    <w:p>
      <w:pPr>
        <w:numPr>
          <w:ilvl w:val="0"/>
          <w:numId w:val="5"/>
        </w:numPr>
        <w:snapToGrid/>
        <w:spacing w:line="360" w:lineRule="auto"/>
        <w:ind w:left="0" w:leftChars="0" w:firstLine="480" w:firstLineChars="200"/>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对</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、其他补充说明: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投标人名称（电子签名）：                          </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snapToGrid w:val="0"/>
        <w:spacing w:line="360" w:lineRule="auto"/>
        <w:ind w:left="420" w:leftChars="200" w:firstLine="4200" w:firstLineChars="1750"/>
        <w:rPr>
          <w:rFonts w:ascii="宋体" w:hAnsi="宋体" w:cs="宋体"/>
          <w:color w:val="000000" w:themeColor="text1"/>
          <w:kern w:val="0"/>
          <w:sz w:val="24"/>
          <w:highlight w:val="none"/>
          <w:u w:val="singl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pPr>
        <w:snapToGrid w:val="0"/>
        <w:spacing w:line="360" w:lineRule="auto"/>
        <w:ind w:firstLine="0" w:firstLineChars="0"/>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授权委托书（适用于非联合体投标）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pPr>
        <w:snapToGrid w:val="0"/>
        <w:spacing w:line="360" w:lineRule="auto"/>
        <w:rPr>
          <w:rFonts w:ascii="宋体" w:hAnsi="宋体" w:cs="宋体"/>
          <w:color w:val="000000" w:themeColor="text1"/>
          <w:sz w:val="24"/>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 xml:space="preserve">      </w:t>
      </w:r>
      <w:r>
        <w:rPr>
          <w:rFonts w:hint="eastAsia" w:ascii="宋体" w:hAnsi="宋体" w:cs="宋体"/>
          <w:b/>
          <w:color w:val="000000" w:themeColor="text1"/>
          <w:kern w:val="0"/>
          <w:sz w:val="32"/>
          <w:szCs w:val="32"/>
          <w:highlight w:val="none"/>
          <w14:textFill>
            <w14:solidFill>
              <w14:schemeClr w14:val="tx1"/>
            </w14:solidFill>
          </w14:textFill>
        </w:rPr>
        <w:t xml:space="preserve"> </w:t>
      </w: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授权委托书（适用于联合体投标）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jc w:val="center"/>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napToGri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p>
    <w:p>
      <w:pPr>
        <w:snapToGrid w:val="0"/>
        <w:spacing w:line="360" w:lineRule="auto"/>
        <w:ind w:firstLine="480" w:firstLineChars="200"/>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注：▲供应商委派不在本单位缴纳社保的人员作为授权代表（代理人）的，应当在投标（响应）文件中，说明具体原因、授权代表缴纳社保的单位，并附列该授权代表缴纳社保清单。</w:t>
      </w:r>
      <w:r>
        <w:rPr>
          <w:rFonts w:ascii="宋体" w:hAnsi="宋体" w:cs="宋体"/>
          <w:b/>
          <w:color w:val="000000" w:themeColor="text1"/>
          <w:kern w:val="0"/>
          <w:sz w:val="32"/>
          <w:szCs w:val="32"/>
          <w:highlight w:val="none"/>
          <w:lang w:val="zh-CN"/>
          <w14:textFill>
            <w14:solidFill>
              <w14:schemeClr w14:val="tx1"/>
            </w14:solidFill>
          </w14:textFill>
        </w:rPr>
        <w:br w:type="page"/>
      </w:r>
    </w:p>
    <w:p>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宋体" w:hAnsi="宋体" w:cs="宋体"/>
          <w:b/>
          <w:color w:val="000000" w:themeColor="text1"/>
          <w:sz w:val="30"/>
          <w:szCs w:val="30"/>
          <w:highlight w:val="none"/>
          <w14:textFill>
            <w14:solidFill>
              <w14:schemeClr w14:val="tx1"/>
            </w14:solidFill>
          </w14:textFill>
        </w:rPr>
        <w:t>的身份证明（适用于法定代表人、单位负责人或者自然人本人代表投标人参加投标）</w:t>
      </w:r>
    </w:p>
    <w:p>
      <w:pPr>
        <w:pStyle w:val="148"/>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8"/>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pPr>
              <w:pStyle w:val="148"/>
              <w:adjustRightInd w:val="0"/>
              <w:spacing w:line="360" w:lineRule="auto"/>
              <w:rPr>
                <w:rFonts w:hAnsi="宋体" w:cs="宋体"/>
                <w:bCs/>
                <w:color w:val="000000" w:themeColor="text1"/>
                <w:sz w:val="24"/>
                <w:highlight w:val="none"/>
                <w14:textFill>
                  <w14:solidFill>
                    <w14:schemeClr w14:val="tx1"/>
                  </w14:solidFill>
                </w14:textFill>
              </w:rPr>
            </w:pPr>
          </w:p>
        </w:tc>
      </w:tr>
    </w:tbl>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                              </w:t>
      </w:r>
    </w:p>
    <w:p>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218" w:right="1418" w:bottom="1418" w:left="1418" w:header="851" w:footer="992" w:gutter="0"/>
          <w:cols w:space="720" w:num="1"/>
          <w:titlePg/>
          <w:docGrid w:linePitch="312" w:charSpace="0"/>
        </w:sectPr>
      </w:pPr>
    </w:p>
    <w:p>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三、分包意向协议（如果有）</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bookmarkStart w:id="398" w:name="_Hlk101169080"/>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中标后以分包方式履行合同的，提供分包意向协议(附件6</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bookmarkEnd w:id="398"/>
    <w:p>
      <w:pPr>
        <w:rPr>
          <w:color w:val="000000" w:themeColor="text1"/>
          <w:highlight w:val="none"/>
          <w14:textFill>
            <w14:solidFill>
              <w14:schemeClr w14:val="tx1"/>
            </w14:solidFill>
          </w14:textFill>
        </w:rPr>
      </w:pPr>
    </w:p>
    <w:p>
      <w:pPr>
        <w:pStyle w:val="3"/>
        <w:rPr>
          <w:color w:val="000000" w:themeColor="text1"/>
          <w:highlight w:val="none"/>
          <w:lang w:val="en-US"/>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四、符合性审查资料</w:t>
      </w:r>
    </w:p>
    <w:p>
      <w:pPr>
        <w:jc w:val="center"/>
        <w:rPr>
          <w:rFonts w:ascii="宋体" w:hAnsi="宋体" w:cs="宋体"/>
          <w:b/>
          <w:color w:val="000000" w:themeColor="text1"/>
          <w:kern w:val="0"/>
          <w:sz w:val="32"/>
          <w:szCs w:val="32"/>
          <w:highlight w:val="none"/>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4874"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实质性要求</w:t>
            </w:r>
          </w:p>
        </w:tc>
        <w:tc>
          <w:tcPr>
            <w:tcW w:w="2551"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需要提供的符合性审查资料</w:t>
            </w:r>
          </w:p>
        </w:tc>
        <w:tc>
          <w:tcPr>
            <w:tcW w:w="1418"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投标文件中的</w:t>
            </w:r>
          </w:p>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4874" w:type="dxa"/>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投标文件按照招标文件要求签署、盖章。</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需要使用电子签名或者签字盖章的投标文件的组成部分</w:t>
            </w:r>
          </w:p>
        </w:tc>
        <w:tc>
          <w:tcPr>
            <w:tcW w:w="1418" w:type="dxa"/>
          </w:tcPr>
          <w:p>
            <w:pPr>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4874" w:type="dxa"/>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投标文件中承诺的投标有效期不少于招标文件中载明的投标有效期。</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w:t>
            </w:r>
          </w:p>
        </w:tc>
        <w:tc>
          <w:tcPr>
            <w:tcW w:w="1418" w:type="dxa"/>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3</w:t>
            </w:r>
          </w:p>
        </w:tc>
        <w:tc>
          <w:tcPr>
            <w:tcW w:w="4874" w:type="dxa"/>
          </w:tcPr>
          <w:p>
            <w:pPr>
              <w:snapToGrid w:val="0"/>
              <w:spacing w:line="360" w:lineRule="auto"/>
              <w:ind w:firstLine="0" w:firstLineChars="0"/>
              <w:rPr>
                <w:rFonts w:hint="eastAsia" w:ascii="宋体" w:hAnsi="宋体" w:cs="宋体"/>
                <w:b w:val="0"/>
                <w:bCs w:val="0"/>
                <w:snapToGrid w:val="0"/>
                <w:color w:val="000000" w:themeColor="text1"/>
                <w:sz w:val="24"/>
                <w:highlight w:val="none"/>
                <w14:textFill>
                  <w14:solidFill>
                    <w14:schemeClr w14:val="tx1"/>
                  </w14:solidFill>
                </w14:textFill>
              </w:rPr>
            </w:pPr>
            <w:r>
              <w:rPr>
                <w:rFonts w:hint="eastAsia" w:ascii="宋体" w:hAnsi="宋体" w:cs="宋体"/>
                <w:b w:val="0"/>
                <w:bCs w:val="0"/>
                <w:snapToGrid w:val="0"/>
                <w:color w:val="000000" w:themeColor="text1"/>
                <w:sz w:val="24"/>
                <w:highlight w:val="none"/>
                <w14:textFill>
                  <w14:solidFill>
                    <w14:schemeClr w14:val="tx1"/>
                  </w14:solidFill>
                </w14:textFill>
              </w:rPr>
              <w:t>投标</w:t>
            </w: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文件的组成应符合招标文件要求</w:t>
            </w:r>
          </w:p>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p>
        </w:tc>
        <w:tc>
          <w:tcPr>
            <w:tcW w:w="2551" w:type="dxa"/>
            <w:vAlign w:val="center"/>
          </w:tcPr>
          <w:p>
            <w:pPr>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投标文件</w:t>
            </w:r>
          </w:p>
        </w:tc>
        <w:tc>
          <w:tcPr>
            <w:tcW w:w="1418" w:type="dxa"/>
          </w:tcPr>
          <w:p>
            <w:pPr>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4</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其他实质性要求1：</w:t>
            </w:r>
          </w:p>
        </w:tc>
        <w:tc>
          <w:tcPr>
            <w:tcW w:w="2551" w:type="dxa"/>
            <w:vMerge w:val="restart"/>
            <w:vAlign w:val="center"/>
          </w:tcPr>
          <w:p>
            <w:pPr>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招标文件其它实质性要求相应的材料（“▲” 系指实质性要求条款，招标文件无其它实质性要求的，无需提供）</w:t>
            </w:r>
          </w:p>
        </w:tc>
        <w:tc>
          <w:tcPr>
            <w:tcW w:w="1418" w:type="dxa"/>
          </w:tcPr>
          <w:p>
            <w:pPr>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5</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其他实质性要求2：</w:t>
            </w:r>
          </w:p>
        </w:tc>
        <w:tc>
          <w:tcPr>
            <w:tcW w:w="2551" w:type="dxa"/>
            <w:vMerge w:val="continue"/>
            <w:vAlign w:val="center"/>
          </w:tcPr>
          <w:p>
            <w:pPr>
              <w:rPr>
                <w:rFonts w:hint="eastAsia" w:ascii="宋体" w:hAnsi="宋体" w:cs="宋体"/>
                <w:b w:val="0"/>
                <w:bCs w:val="0"/>
                <w:color w:val="000000" w:themeColor="text1"/>
                <w:kern w:val="0"/>
                <w:sz w:val="24"/>
                <w:highlight w:val="none"/>
                <w14:textFill>
                  <w14:solidFill>
                    <w14:schemeClr w14:val="tx1"/>
                  </w14:solidFill>
                </w14:textFill>
              </w:rPr>
            </w:pPr>
          </w:p>
        </w:tc>
        <w:tc>
          <w:tcPr>
            <w:tcW w:w="1418" w:type="dxa"/>
          </w:tcPr>
          <w:p>
            <w:pPr>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w:t>
            </w:r>
          </w:p>
        </w:tc>
        <w:tc>
          <w:tcPr>
            <w:tcW w:w="2551" w:type="dxa"/>
            <w:vMerge w:val="continue"/>
            <w:vAlign w:val="center"/>
          </w:tcPr>
          <w:p>
            <w:pPr>
              <w:rPr>
                <w:rFonts w:hint="eastAsia" w:ascii="宋体" w:hAnsi="宋体" w:cs="宋体"/>
                <w:b w:val="0"/>
                <w:bCs w:val="0"/>
                <w:color w:val="000000" w:themeColor="text1"/>
                <w:kern w:val="0"/>
                <w:sz w:val="24"/>
                <w:highlight w:val="none"/>
                <w14:textFill>
                  <w14:solidFill>
                    <w14:schemeClr w14:val="tx1"/>
                  </w14:solidFill>
                </w14:textFill>
              </w:rPr>
            </w:pPr>
          </w:p>
        </w:tc>
        <w:tc>
          <w:tcPr>
            <w:tcW w:w="1418" w:type="dxa"/>
          </w:tcPr>
          <w:p>
            <w:pPr>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bl>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spacing w:line="360" w:lineRule="auto"/>
        <w:ind w:right="42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2、招标文件中实质性要求必须明确响应。</w:t>
      </w:r>
      <w:r>
        <w:rPr>
          <w:rFonts w:hint="eastAsia" w:ascii="宋体" w:hAnsi="宋体" w:cs="宋体"/>
          <w:b/>
          <w:color w:val="000000" w:themeColor="text1"/>
          <w:kern w:val="0"/>
          <w:sz w:val="32"/>
          <w:szCs w:val="32"/>
          <w:highlight w:val="none"/>
          <w14:textFill>
            <w14:solidFill>
              <w14:schemeClr w14:val="tx1"/>
            </w14:solidFill>
          </w14:textFill>
        </w:rPr>
        <w:t xml:space="preserve">     </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五、评标标准相应的商务技术资料</w:t>
      </w:r>
    </w:p>
    <w:p>
      <w:pPr>
        <w:snapToGrid w:val="0"/>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t>序号</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14:textFill>
                  <w14:solidFill>
                    <w14:schemeClr w14:val="tx1"/>
                  </w14:solidFill>
                </w14:textFill>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1</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2</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default" w:ascii="宋体" w:hAnsi="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p>
        </w:tc>
        <w:tc>
          <w:tcPr>
            <w:tcW w:w="3046" w:type="dxa"/>
          </w:tcPr>
          <w:p>
            <w:pPr>
              <w:snapToGrid/>
              <w:spacing w:line="240" w:lineRule="auto"/>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bl>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ind w:firstLine="2891" w:firstLineChars="9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83"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招标文件章节及具体内容</w:t>
            </w:r>
          </w:p>
        </w:tc>
        <w:tc>
          <w:tcPr>
            <w:tcW w:w="354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投标文件章节及具体内容</w:t>
            </w:r>
          </w:p>
        </w:tc>
        <w:tc>
          <w:tcPr>
            <w:tcW w:w="127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bl>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spacing w:line="360" w:lineRule="auto"/>
        <w:ind w:right="42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2、本表格所反映的偏离情况与“</w:t>
      </w:r>
      <w:r>
        <w:rPr>
          <w:rFonts w:hint="eastAsia" w:ascii="宋体" w:hAnsi="宋体" w:cs="宋体"/>
          <w:b w:val="0"/>
          <w:color w:val="000000" w:themeColor="text1"/>
          <w:kern w:val="2"/>
          <w:sz w:val="24"/>
          <w:szCs w:val="24"/>
          <w:highlight w:val="none"/>
          <w14:textFill>
            <w14:solidFill>
              <w14:schemeClr w14:val="tx1"/>
            </w14:solidFill>
          </w14:textFill>
        </w:rPr>
        <w:t>符合性审查资料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评标标准相应的商务技术资料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b w:val="0"/>
          <w:color w:val="000000" w:themeColor="text1"/>
          <w:kern w:val="2"/>
          <w:sz w:val="24"/>
          <w:szCs w:val="24"/>
          <w:highlight w:val="none"/>
          <w:lang w:val="en-US" w:eastAsia="zh-CN"/>
          <w14:textFill>
            <w14:solidFill>
              <w14:schemeClr w14:val="tx1"/>
            </w14:solidFill>
          </w14:textFill>
        </w:rPr>
        <w:t>不一致的，以</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符合性审查资料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评标标准相应的商务技术资料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b w:val="0"/>
          <w:color w:val="000000" w:themeColor="text1"/>
          <w:kern w:val="2"/>
          <w:sz w:val="24"/>
          <w:szCs w:val="24"/>
          <w:highlight w:val="none"/>
          <w:lang w:val="en-US" w:eastAsia="zh-CN"/>
          <w14:textFill>
            <w14:solidFill>
              <w14:schemeClr w14:val="tx1"/>
            </w14:solidFill>
          </w14:textFill>
        </w:rPr>
        <w:t>为准。</w:t>
      </w:r>
    </w:p>
    <w:p>
      <w:pPr>
        <w:numPr>
          <w:ilvl w:val="0"/>
          <w:numId w:val="0"/>
        </w:numPr>
        <w:spacing w:line="360" w:lineRule="auto"/>
        <w:ind w:right="420"/>
        <w:rPr>
          <w:rFonts w:hint="eastAsia" w:ascii="宋体" w:hAnsi="宋体" w:cs="宋体"/>
          <w:color w:val="000000" w:themeColor="text1"/>
          <w:kern w:val="2"/>
          <w:sz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highlight w:val="none"/>
          <w14:textFill>
            <w14:solidFill>
              <w14:schemeClr w14:val="tx1"/>
            </w14:solidFill>
          </w14:textFill>
        </w:rPr>
        <w:t>投标人须保证：除商务技术偏离表列出的偏离外，投标人响应招标文件的全部非实质性要求。</w:t>
      </w:r>
    </w:p>
    <w:p>
      <w:pPr>
        <w:spacing w:line="360" w:lineRule="auto"/>
        <w:ind w:right="420"/>
        <w:rPr>
          <w:rFonts w:ascii="宋体" w:hAnsi="宋体" w:cs="宋体"/>
          <w:color w:val="000000" w:themeColor="text1"/>
          <w:sz w:val="24"/>
          <w:highlight w:val="none"/>
          <w14:textFill>
            <w14:solidFill>
              <w14:schemeClr w14:val="tx1"/>
            </w14:solidFill>
          </w14:textFill>
        </w:rPr>
      </w:pPr>
    </w:p>
    <w:p>
      <w:pPr>
        <w:ind w:firstLine="1911" w:firstLineChars="595"/>
        <w:rPr>
          <w:rFonts w:ascii="宋体" w:hAnsi="宋体" w:cs="宋体"/>
          <w:b/>
          <w:bCs/>
          <w:color w:val="000000" w:themeColor="text1"/>
          <w:sz w:val="32"/>
          <w:szCs w:val="32"/>
          <w:highlight w:val="none"/>
          <w14:textFill>
            <w14:solidFill>
              <w14:schemeClr w14:val="tx1"/>
            </w14:solidFill>
          </w14:textFill>
        </w:rPr>
      </w:pPr>
    </w:p>
    <w:p>
      <w:pPr>
        <w:ind w:firstLine="1911" w:firstLineChars="595"/>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八</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政府采购供应商廉洁自律承诺书</w:t>
      </w:r>
    </w:p>
    <w:p>
      <w:pPr>
        <w:snapToGrid w:val="0"/>
        <w:spacing w:line="360" w:lineRule="auto"/>
        <w:rPr>
          <w:rFonts w:ascii="宋体" w:hAnsi="宋体" w:cs="宋体"/>
          <w:color w:val="000000" w:themeColor="text1"/>
          <w:sz w:val="24"/>
          <w:highlight w:val="none"/>
          <w14:textFill>
            <w14:solidFill>
              <w14:schemeClr w14:val="tx1"/>
            </w14:solidFill>
          </w14:textFill>
        </w:rPr>
      </w:pP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我单位响应你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四、不为项目有关人员及部门出国（境）、旅游等提供方便；</w:t>
      </w:r>
    </w:p>
    <w:p>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好处；</w:t>
      </w:r>
    </w:p>
    <w:p>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六、严格遵守《</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政府采购法》《</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招标投标</w:t>
      </w:r>
    </w:p>
    <w:p>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w:t>
      </w:r>
      <w:r>
        <w:rPr>
          <w:rFonts w:hint="eastAsia" w:ascii="宋体" w:hAnsi="宋体" w:cs="宋体"/>
          <w:color w:val="000000" w:themeColor="text1"/>
          <w:sz w:val="24"/>
          <w:highlight w:val="none"/>
          <w:lang w:val="zh-CN"/>
          <w14:textFill>
            <w14:solidFill>
              <w14:schemeClr w14:val="tx1"/>
            </w14:solidFill>
          </w14:textFill>
        </w:rPr>
        <w:t>《中华人民共和国民法典》</w:t>
      </w:r>
      <w:r>
        <w:rPr>
          <w:rFonts w:hint="eastAsia" w:ascii="宋体" w:hAnsi="宋体"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如违反上述承诺，你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leftChars="1" w:right="1120" w:firstLine="4560" w:firstLineChars="19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sz w:val="24"/>
          <w:highlight w:val="none"/>
          <w14:textFill>
            <w14:solidFill>
              <w14:schemeClr w14:val="tx1"/>
            </w14:solidFill>
          </w14:textFill>
        </w:rPr>
        <w:t>电子签名</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pacing w:line="360" w:lineRule="auto"/>
        <w:ind w:left="4620" w:leftChars="2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   年   月   日</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spacing w:line="360" w:lineRule="auto"/>
        <w:jc w:val="center"/>
        <w:rPr>
          <w:rFonts w:ascii="宋体" w:hAnsi="宋体" w:cs="宋体"/>
          <w:b/>
          <w:bCs/>
          <w:color w:val="000000" w:themeColor="text1"/>
          <w:sz w:val="24"/>
          <w:highlight w:val="none"/>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报价文件部分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（1）开标一览表（报价表）………………………………………………………（页码）</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关于符合本国产品标准的</w:t>
      </w:r>
      <w:r>
        <w:rPr>
          <w:rFonts w:hint="eastAsia" w:ascii="宋体" w:hAnsi="宋体" w:cs="宋体"/>
          <w:color w:val="000000" w:themeColor="text1"/>
          <w:sz w:val="24"/>
          <w:highlight w:val="none"/>
          <w14:textFill>
            <w14:solidFill>
              <w14:schemeClr w14:val="tx1"/>
            </w14:solidFill>
          </w14:textFill>
        </w:rPr>
        <w:t>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）中小企业声明函………………………………………………………………（页码）</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pStyle w:val="692"/>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pStyle w:val="692"/>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r>
        <w:rPr>
          <w:rFonts w:hint="eastAsia" w:ascii="宋体" w:hAnsi="宋体" w:eastAsia="宋体" w:cs="宋体"/>
          <w:color w:val="000000" w:themeColor="text1"/>
          <w:kern w:val="2"/>
          <w:sz w:val="32"/>
          <w:szCs w:val="32"/>
          <w:highlight w:val="none"/>
          <w14:textFill>
            <w14:solidFill>
              <w14:schemeClr w14:val="tx1"/>
            </w14:solidFill>
          </w14:textFill>
        </w:rPr>
        <w:t>一、开标一览表（报价表）</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w:t>
      </w:r>
      <w:r>
        <w:rPr>
          <w:rFonts w:hint="eastAsia" w:ascii="宋体" w:hAnsi="宋体" w:cs="宋体"/>
          <w:color w:val="000000" w:themeColor="text1"/>
          <w:kern w:val="0"/>
          <w:sz w:val="24"/>
          <w:highlight w:val="none"/>
          <w:lang w:val="en-US" w:eastAsia="zh-CN"/>
          <w14:textFill>
            <w14:solidFill>
              <w14:schemeClr w14:val="tx1"/>
            </w14:solidFill>
          </w14:textFill>
        </w:rPr>
        <w:t>报价</w:t>
      </w:r>
      <w:r>
        <w:rPr>
          <w:rFonts w:hint="eastAsia" w:ascii="宋体" w:hAnsi="宋体" w:cs="宋体"/>
          <w:color w:val="000000" w:themeColor="text1"/>
          <w:kern w:val="0"/>
          <w:sz w:val="24"/>
          <w:highlight w:val="none"/>
          <w:lang w:val="zh-CN"/>
          <w14:textFill>
            <w14:solidFill>
              <w14:schemeClr w14:val="tx1"/>
            </w14:solidFill>
          </w14:textFill>
        </w:rPr>
        <w:t>完成</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14:textFill>
            <w14:solidFill>
              <w14:schemeClr w14:val="tx1"/>
            </w14:solidFill>
          </w14:textFill>
        </w:rPr>
        <w:t>（采购编号）】的实施</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jc w:val="center"/>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417"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843" w:type="dxa"/>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品牌（如果有）</w:t>
            </w:r>
          </w:p>
        </w:tc>
        <w:tc>
          <w:tcPr>
            <w:tcW w:w="3118"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规格型号</w:t>
            </w:r>
          </w:p>
        </w:tc>
        <w:tc>
          <w:tcPr>
            <w:tcW w:w="993"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1559"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单价</w:t>
            </w:r>
          </w:p>
        </w:tc>
        <w:tc>
          <w:tcPr>
            <w:tcW w:w="1984"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合计</w:t>
            </w:r>
          </w:p>
        </w:tc>
        <w:tc>
          <w:tcPr>
            <w:tcW w:w="3119"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pPr>
              <w:spacing w:line="360" w:lineRule="auto"/>
              <w:jc w:val="center"/>
              <w:rPr>
                <w:rFonts w:ascii="宋体" w:hAnsi="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1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184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41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184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41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41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41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投标报价（小写）</w:t>
            </w:r>
          </w:p>
        </w:tc>
        <w:tc>
          <w:tcPr>
            <w:tcW w:w="7655" w:type="dxa"/>
            <w:gridSpan w:val="4"/>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投标报价（大写）</w:t>
            </w:r>
          </w:p>
        </w:tc>
        <w:tc>
          <w:tcPr>
            <w:tcW w:w="7655" w:type="dxa"/>
            <w:gridSpan w:val="4"/>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注：</w:t>
      </w:r>
    </w:p>
    <w:p>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1、投标人需按本表格</w:t>
      </w:r>
      <w:r>
        <w:rPr>
          <w:rFonts w:hint="eastAsia" w:ascii="宋体" w:hAnsi="宋体" w:cs="宋体"/>
          <w:color w:val="000000" w:themeColor="text1"/>
          <w:kern w:val="0"/>
          <w:sz w:val="24"/>
          <w:highlight w:val="none"/>
          <w:lang w:val="en-US" w:eastAsia="zh-CN"/>
          <w14:textFill>
            <w14:solidFill>
              <w14:schemeClr w14:val="tx1"/>
            </w14:solidFill>
          </w14:textFill>
        </w:rPr>
        <w:t>要求</w:t>
      </w:r>
      <w:r>
        <w:rPr>
          <w:rFonts w:hint="eastAsia" w:ascii="宋体" w:hAnsi="宋体" w:cs="宋体"/>
          <w:color w:val="000000" w:themeColor="text1"/>
          <w:kern w:val="0"/>
          <w:sz w:val="24"/>
          <w:highlight w:val="none"/>
          <w:lang w:val="zh-CN"/>
          <w14:textFill>
            <w14:solidFill>
              <w14:schemeClr w14:val="tx1"/>
            </w14:solidFill>
          </w14:textFill>
        </w:rPr>
        <w:t>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投标文件含有采购人不能接受的附加条件，投标无效</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highlight w:val="none"/>
          <w:lang w:val="en-US" w:eastAsia="zh-CN"/>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000000" w:themeColor="text1"/>
          <w:kern w:val="0"/>
          <w:sz w:val="24"/>
          <w:highlight w:val="none"/>
          <w:lang w:val="en-US" w:eastAsia="zh-CN"/>
          <w14:textFill>
            <w14:solidFill>
              <w14:schemeClr w14:val="tx1"/>
            </w14:solidFill>
          </w14:textFill>
        </w:rPr>
        <w:t>签订条件；</w:t>
      </w:r>
      <w:r>
        <w:rPr>
          <w:rFonts w:hint="eastAsia" w:ascii="宋体" w:hAnsi="宋体" w:eastAsia="宋体" w:cs="宋体"/>
          <w:color w:val="000000" w:themeColor="text1"/>
          <w:spacing w:val="0"/>
          <w:kern w:val="0"/>
          <w:sz w:val="24"/>
          <w:szCs w:val="24"/>
          <w:highlight w:val="none"/>
          <w14:textFill>
            <w14:solidFill>
              <w14:schemeClr w14:val="tx1"/>
            </w14:solidFill>
          </w14:textFill>
        </w:rPr>
        <w:t>总价</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不为零</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部分</w:t>
      </w:r>
      <w:r>
        <w:rPr>
          <w:rFonts w:hint="eastAsia" w:ascii="宋体" w:hAnsi="宋体" w:eastAsia="宋体" w:cs="宋体"/>
          <w:color w:val="000000" w:themeColor="text1"/>
          <w:spacing w:val="0"/>
          <w:kern w:val="0"/>
          <w:sz w:val="24"/>
          <w:szCs w:val="24"/>
          <w:highlight w:val="none"/>
          <w14:textFill>
            <w14:solidFill>
              <w14:schemeClr w14:val="tx1"/>
            </w14:solidFill>
          </w14:textFill>
        </w:rPr>
        <w:t>产品、服务单价为零的，视作已包含在总价中</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3、特别提示：采购机构将对项目名称和项目编号，中标供应商名称、地址和中标金额，主要中标标的名称、品牌（如果有）、规格型号、数量、单价等予以公示。</w:t>
      </w:r>
    </w:p>
    <w:p>
      <w:pPr>
        <w:snapToGrid w:val="0"/>
        <w:spacing w:line="360" w:lineRule="auto"/>
        <w:ind w:firstLine="5520" w:firstLineChars="2300"/>
        <w:rPr>
          <w:rFonts w:hint="eastAsia" w:ascii="宋体" w:hAnsi="宋体" w:cs="宋体"/>
          <w:color w:val="000000" w:themeColor="text1"/>
          <w:kern w:val="0"/>
          <w:sz w:val="24"/>
          <w:highlight w:val="none"/>
          <w:lang w:val="zh-CN"/>
          <w14:textFill>
            <w14:solidFill>
              <w14:schemeClr w14:val="tx1"/>
            </w14:solidFill>
          </w14:textFill>
        </w:rPr>
      </w:pPr>
    </w:p>
    <w:p>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pStyle w:val="692"/>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p>
    <w:p>
      <w:pPr>
        <w:pStyle w:val="692"/>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p>
    <w:p>
      <w:pPr>
        <w:pStyle w:val="692"/>
        <w:keepNext w:val="0"/>
        <w:pageBreakBefore w:val="0"/>
        <w:tabs>
          <w:tab w:val="clear" w:pos="720"/>
        </w:tabs>
        <w:snapToGrid w:val="0"/>
        <w:spacing w:before="120" w:after="120"/>
        <w:ind w:firstLine="643"/>
        <w:outlineLvl w:val="9"/>
        <w:rPr>
          <w:rFonts w:hint="default" w:ascii="宋体" w:hAnsi="宋体" w:eastAsia="宋体" w:cs="宋体"/>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二、关于符合本国产品标准的声明函</w:t>
      </w:r>
      <w: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（如果有）</w:t>
      </w:r>
    </w:p>
    <w:p>
      <w:pPr>
        <w:widowControl/>
        <w:spacing w:line="360" w:lineRule="auto"/>
        <w:ind w:firstLine="120" w:firstLineChars="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[符合《</w:t>
      </w:r>
      <w:r>
        <w:rPr>
          <w:rFonts w:hint="eastAsia" w:ascii="宋体" w:hAnsi="宋体" w:cs="宋体"/>
          <w:b/>
          <w:color w:val="000000" w:themeColor="text1"/>
          <w:sz w:val="24"/>
          <w:highlight w:val="none"/>
          <w:lang w:val="en-US" w:eastAsia="zh-CN"/>
          <w14:textFill>
            <w14:solidFill>
              <w14:schemeClr w14:val="tx1"/>
            </w14:solidFill>
          </w14:textFill>
        </w:rPr>
        <w:t>国务院办公厅关于在政府采购中实施本国产品标准及相关政策的通知</w:t>
      </w:r>
      <w:r>
        <w:rPr>
          <w:rFonts w:hint="eastAsia" w:ascii="宋体" w:hAnsi="宋体" w:cs="宋体"/>
          <w:b/>
          <w:color w:val="000000" w:themeColor="text1"/>
          <w:sz w:val="24"/>
          <w:highlight w:val="none"/>
          <w14:textFill>
            <w14:solidFill>
              <w14:schemeClr w14:val="tx1"/>
            </w14:solidFill>
          </w14:textFill>
        </w:rPr>
        <w:t>》规定的</w:t>
      </w:r>
      <w:r>
        <w:rPr>
          <w:rFonts w:hint="eastAsia" w:ascii="宋体" w:hAnsi="宋体" w:cs="宋体"/>
          <w:b/>
          <w:color w:val="000000" w:themeColor="text1"/>
          <w:sz w:val="24"/>
          <w:highlight w:val="none"/>
          <w:lang w:val="en-US" w:eastAsia="zh-CN"/>
          <w14:textFill>
            <w14:solidFill>
              <w14:schemeClr w14:val="tx1"/>
            </w14:solidFill>
          </w14:textFill>
        </w:rPr>
        <w:t>本国产品</w:t>
      </w:r>
      <w:r>
        <w:rPr>
          <w:rFonts w:hint="eastAsia" w:ascii="宋体" w:hAnsi="宋体" w:cs="宋体"/>
          <w:b/>
          <w:color w:val="000000" w:themeColor="text1"/>
          <w:sz w:val="24"/>
          <w:highlight w:val="none"/>
          <w14:textFill>
            <w14:solidFill>
              <w14:schemeClr w14:val="tx1"/>
            </w14:solidFill>
          </w14:textFill>
        </w:rPr>
        <w:t>拟享受价格扣除政策的，需提供</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关于符合本国产品标准的声明函</w:t>
      </w:r>
      <w:r>
        <w:rPr>
          <w:rFonts w:hint="eastAsia" w:ascii="宋体" w:hAnsi="宋体" w:cs="宋体"/>
          <w:b/>
          <w:color w:val="000000" w:themeColor="text1"/>
          <w:sz w:val="24"/>
          <w:highlight w:val="none"/>
          <w14:textFill>
            <w14:solidFill>
              <w14:schemeClr w14:val="tx1"/>
            </w14:solidFill>
          </w14:textFill>
        </w:rPr>
        <w:t>（附件</w:t>
      </w:r>
      <w:r>
        <w:rPr>
          <w:rFonts w:hint="eastAsia" w:ascii="宋体" w:hAnsi="宋体" w:cs="宋体"/>
          <w:b/>
          <w:color w:val="000000" w:themeColor="text1"/>
          <w:sz w:val="24"/>
          <w:highlight w:val="none"/>
          <w:lang w:val="en-US" w:eastAsia="zh-CN"/>
          <w14:textFill>
            <w14:solidFill>
              <w14:schemeClr w14:val="tx1"/>
            </w14:solidFill>
          </w14:textFill>
        </w:rPr>
        <w:t>9</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sz w:val="24"/>
          <w:highlight w:val="none"/>
          <w14:textFill>
            <w14:solidFill>
              <w14:schemeClr w14:val="tx1"/>
            </w14:solidFill>
          </w14:textFill>
        </w:rPr>
        <w:t>。]</w:t>
      </w:r>
    </w:p>
    <w:p>
      <w:pPr>
        <w:widowControl/>
        <w:spacing w:line="360" w:lineRule="auto"/>
        <w:ind w:firstLine="0" w:firstLineChars="0"/>
        <w:jc w:val="left"/>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u w:val="single"/>
          <w:lang w:val="en-US" w:eastAsia="zh-CN"/>
          <w14:textFill>
            <w14:solidFill>
              <w14:schemeClr w14:val="tx1"/>
            </w14:solidFill>
          </w14:textFill>
        </w:rPr>
        <w:t>注：投标人未提供</w:t>
      </w:r>
      <w:r>
        <w:rPr>
          <w:rFonts w:hint="eastAsia" w:ascii="宋体" w:hAnsi="宋体" w:eastAsia="宋体" w:cs="宋体"/>
          <w:b/>
          <w:color w:val="000000" w:themeColor="text1"/>
          <w:kern w:val="2"/>
          <w:sz w:val="24"/>
          <w:szCs w:val="24"/>
          <w:highlight w:val="none"/>
          <w:u w:val="single"/>
          <w:lang w:val="en-US" w:eastAsia="zh-CN"/>
          <w14:textFill>
            <w14:solidFill>
              <w14:schemeClr w14:val="tx1"/>
            </w14:solidFill>
          </w14:textFill>
        </w:rPr>
        <w:t>关于符合本国产品标准的声明函</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u w:val="single"/>
          <w:lang w:val="en-US" w:eastAsia="zh-CN"/>
          <w14:textFill>
            <w14:solidFill>
              <w14:schemeClr w14:val="tx1"/>
            </w14:solidFill>
          </w14:textFill>
        </w:rPr>
        <w:t>或提供的</w:t>
      </w:r>
      <w:r>
        <w:rPr>
          <w:rFonts w:hint="eastAsia" w:ascii="宋体" w:hAnsi="宋体" w:eastAsia="宋体" w:cs="宋体"/>
          <w:b/>
          <w:color w:val="000000" w:themeColor="text1"/>
          <w:kern w:val="2"/>
          <w:sz w:val="24"/>
          <w:szCs w:val="24"/>
          <w:highlight w:val="none"/>
          <w:u w:val="single"/>
          <w:lang w:val="en-US" w:eastAsia="zh-CN"/>
          <w14:textFill>
            <w14:solidFill>
              <w14:schemeClr w14:val="tx1"/>
            </w14:solidFill>
          </w14:textFill>
        </w:rPr>
        <w:t>关于符合本国产品标准的声明函</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）不符合要求的，</w:t>
      </w:r>
      <w:r>
        <w:rPr>
          <w:rFonts w:hint="eastAsia" w:ascii="宋体" w:hAnsi="宋体" w:cs="宋体"/>
          <w:b/>
          <w:color w:val="000000" w:themeColor="text1"/>
          <w:sz w:val="24"/>
          <w:highlight w:val="none"/>
          <w:u w:val="single"/>
          <w:lang w:val="en-US" w:eastAsia="zh-CN"/>
          <w14:textFill>
            <w14:solidFill>
              <w14:schemeClr w14:val="tx1"/>
            </w14:solidFill>
          </w14:textFill>
        </w:rPr>
        <w:t>不享受该价格扣除政策</w:t>
      </w:r>
      <w:r>
        <w:rPr>
          <w:rFonts w:hint="eastAsia" w:ascii="宋体" w:hAnsi="宋体" w:cs="宋体"/>
          <w:b/>
          <w:color w:val="000000" w:themeColor="text1"/>
          <w:sz w:val="24"/>
          <w:highlight w:val="none"/>
          <w:u w:val="single"/>
          <w14:textFill>
            <w14:solidFill>
              <w14:schemeClr w14:val="tx1"/>
            </w14:solidFill>
          </w14:textFill>
        </w:rPr>
        <w:t>。</w:t>
      </w:r>
    </w:p>
    <w:p>
      <w:pPr>
        <w:pStyle w:val="692"/>
        <w:keepNext w:val="0"/>
        <w:pageBreakBefore w:val="0"/>
        <w:tabs>
          <w:tab w:val="clear" w:pos="720"/>
        </w:tabs>
        <w:snapToGrid w:val="0"/>
        <w:spacing w:before="120" w:after="120"/>
        <w:ind w:firstLine="643"/>
        <w:outlineLvl w:val="9"/>
        <w:rPr>
          <w:rFonts w:hint="default" w:ascii="宋体" w:hAnsi="宋体" w:eastAsia="宋体" w:cs="宋体"/>
          <w:color w:val="000000" w:themeColor="text1"/>
          <w:sz w:val="32"/>
          <w:szCs w:val="32"/>
          <w:highlight w:val="none"/>
          <w:lang w:val="en-US" w:eastAsia="zh-CN"/>
          <w14:textFill>
            <w14:solidFill>
              <w14:schemeClr w14:val="tx1"/>
            </w14:solidFill>
          </w14:textFill>
        </w:rPr>
      </w:pPr>
    </w:p>
    <w:p>
      <w:pPr>
        <w:pStyle w:val="692"/>
        <w:keepNext w:val="0"/>
        <w:pageBreakBefore w:val="0"/>
        <w:tabs>
          <w:tab w:val="clear" w:pos="720"/>
        </w:tabs>
        <w:snapToGrid w:val="0"/>
        <w:spacing w:before="120" w:after="120"/>
        <w:ind w:firstLine="643"/>
        <w:outlineLvl w:val="9"/>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color w:val="000000" w:themeColor="text1"/>
          <w:sz w:val="32"/>
          <w:szCs w:val="32"/>
          <w:highlight w:val="none"/>
          <w14:textFill>
            <w14:solidFill>
              <w14:schemeClr w14:val="tx1"/>
            </w14:solidFill>
          </w14:textFill>
        </w:rPr>
        <w:t>中小企业声明函</w:t>
      </w:r>
      <w:bookmarkStart w:id="399" w:name="_Hlk101259491"/>
      <w:r>
        <w:rPr>
          <w:rFonts w:hint="eastAsia" w:ascii="宋体" w:hAnsi="宋体" w:eastAsia="宋体" w:cs="宋体"/>
          <w:color w:val="000000" w:themeColor="text1"/>
          <w:sz w:val="32"/>
          <w:szCs w:val="32"/>
          <w:highlight w:val="none"/>
          <w14:textFill>
            <w14:solidFill>
              <w14:schemeClr w14:val="tx1"/>
            </w14:solidFill>
          </w14:textFill>
        </w:rPr>
        <w:t>（如果有）</w:t>
      </w:r>
      <w:bookmarkEnd w:id="399"/>
    </w:p>
    <w:p>
      <w:pPr>
        <w:widowControl/>
        <w:spacing w:line="360" w:lineRule="auto"/>
        <w:ind w:firstLine="120" w:firstLineChars="5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highlight w:val="none"/>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w:t>
      </w:r>
    </w:p>
    <w:p>
      <w:pPr>
        <w:pStyle w:val="692"/>
        <w:keepNext w:val="0"/>
        <w:pageBreakBefore w:val="0"/>
        <w:tabs>
          <w:tab w:val="clear" w:pos="720"/>
        </w:tabs>
        <w:snapToGrid w:val="0"/>
        <w:spacing w:before="120" w:after="120"/>
        <w:ind w:firstLine="643"/>
        <w:outlineLvl w:val="9"/>
        <w:rPr>
          <w:rFonts w:ascii="宋体" w:hAnsi="宋体" w:eastAsia="宋体" w:cs="宋体"/>
          <w:b w:val="0"/>
          <w:color w:val="000000" w:themeColor="text1"/>
          <w:sz w:val="32"/>
          <w:szCs w:val="32"/>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000000" w:themeColor="text1"/>
          <w:highlight w:val="none"/>
          <w14:textFill>
            <w14:solidFill>
              <w14:schemeClr w14:val="tx1"/>
            </w14:solidFill>
          </w14:textFill>
        </w:rPr>
      </w:pPr>
      <w:bookmarkStart w:id="400" w:name="_Toc465665161"/>
      <w:r>
        <w:rPr>
          <w:rFonts w:hint="eastAsia" w:ascii="宋体" w:hAnsi="宋体" w:cs="宋体"/>
          <w:color w:val="000000" w:themeColor="text1"/>
          <w:highlight w:val="none"/>
          <w14:textFill>
            <w14:solidFill>
              <w14:schemeClr w14:val="tx1"/>
            </w14:solidFill>
          </w14:textFill>
        </w:rPr>
        <w:t>附件</w:t>
      </w:r>
      <w:bookmarkEnd w:id="400"/>
    </w:p>
    <w:p>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bookmarkStart w:id="401" w:name="OLE_LINK13"/>
      <w:bookmarkStart w:id="402" w:name="OLE_LINK14"/>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bookmarkEnd w:id="401"/>
    <w:bookmarkEnd w:id="402"/>
    <w:p>
      <w:pPr>
        <w:spacing w:line="360" w:lineRule="auto"/>
        <w:rPr>
          <w:rFonts w:ascii="宋体" w:hAnsi="宋体" w:cs="宋体"/>
          <w:b/>
          <w:color w:val="000000" w:themeColor="text1"/>
          <w:spacing w:val="6"/>
          <w:sz w:val="30"/>
          <w:szCs w:val="30"/>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cs="宋体"/>
          <w:color w:val="000000" w:themeColor="text1"/>
          <w:sz w:val="24"/>
          <w:highlight w:val="none"/>
          <w14:textFill>
            <w14:solidFill>
              <w14:schemeClr w14:val="tx1"/>
            </w14:solidFill>
          </w14:textFill>
        </w:rPr>
        <w:t>：</w:t>
      </w: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附件2：质疑函范本及制作说明</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质疑函范本</w:t>
      </w:r>
    </w:p>
    <w:p>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000000" w:themeColor="text1"/>
          <w:sz w:val="30"/>
          <w:szCs w:val="30"/>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附件3：投诉书范本及制作说明</w:t>
      </w:r>
    </w:p>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投诉书范本</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一、投诉相关主体基本情况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6510"/>
        </w:tabs>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法定代表人/主要负责人：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tabs>
          <w:tab w:val="left" w:pos="6510"/>
        </w:tabs>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被投诉人1：</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相关供应商：</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二、投诉项目基本情况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采购结果公告: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三、质疑基本情况</w:t>
      </w:r>
    </w:p>
    <w:p>
      <w:pPr>
        <w:spacing w:line="360" w:lineRule="auto"/>
        <w:ind w:firstLine="480" w:firstLineChars="200"/>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采购人/代理机构</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日,就质疑事项作出了答复/没有在法定期限内作出答复。</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四、投诉事项具体内容</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 1：</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五、与投诉事项相关的投诉请求</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投诉书制作说明：</w:t>
      </w:r>
    </w:p>
    <w:p>
      <w:pPr>
        <w:widowControl/>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3.投诉人若对项目的某一分包进行投诉，投诉书应列明具体分包号。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4.投诉书应简要列明质疑事项，质疑函、质疑答复等作为附件材料提供。</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5.投诉书的投诉事项应具体、明确，并有必要的事实依据和法律依据。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6.投诉书的投诉请求应与投诉事项相关。</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附件4：</w:t>
      </w:r>
      <w:r>
        <w:rPr>
          <w:rFonts w:hint="eastAsia" w:ascii="宋体" w:hAnsi="宋体" w:cs="宋体"/>
          <w:b/>
          <w:bCs/>
          <w:color w:val="000000" w:themeColor="text1"/>
          <w:sz w:val="32"/>
          <w:szCs w:val="32"/>
          <w:highlight w:val="none"/>
          <w14:textFill>
            <w14:solidFill>
              <w14:schemeClr w14:val="tx1"/>
            </w14:solidFill>
          </w14:textFill>
        </w:rPr>
        <w:t>业务专用章使用说明函</w:t>
      </w:r>
    </w:p>
    <w:p>
      <w:pPr>
        <w:spacing w:line="360" w:lineRule="auto"/>
        <w:rPr>
          <w:rFonts w:ascii="宋体" w:hAnsi="宋体" w:cs="宋体"/>
          <w:color w:val="000000" w:themeColor="text1"/>
          <w:sz w:val="24"/>
          <w:highlight w:val="none"/>
          <w:u w:val="singl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（采购人）、杭州市公共资源交易中心</w:t>
      </w:r>
      <w:r>
        <w:rPr>
          <w:rFonts w:hint="eastAsia" w:ascii="宋体" w:hAnsi="宋体" w:cs="宋体"/>
          <w:color w:val="000000" w:themeColor="text1"/>
          <w:sz w:val="24"/>
          <w:highlight w:val="none"/>
          <w:u w:val="single"/>
          <w:lang w:eastAsia="zh-CN"/>
          <w14:textFill>
            <w14:solidFill>
              <w14:schemeClr w14:val="tx1"/>
            </w14:solidFill>
          </w14:textFill>
        </w:rPr>
        <w:t>临平分中心</w:t>
      </w:r>
      <w:r>
        <w:rPr>
          <w:rFonts w:hint="eastAsia" w:ascii="宋体" w:hAnsi="宋体" w:cs="宋体"/>
          <w:color w:val="000000" w:themeColor="text1"/>
          <w:sz w:val="24"/>
          <w:highlight w:val="none"/>
          <w:u w:val="singl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你方组织的（项目名称）【招标编号：（采购编号）】</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right="480" w:firstLine="4080" w:firstLineChars="17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投标单位（法定名称章）：</w:t>
      </w:r>
    </w:p>
    <w:p>
      <w:pPr>
        <w:ind w:right="1440" w:firstLine="49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投标单位法定名称章（印模）                投标单位“XX专用章”（印模）</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附件</w:t>
      </w:r>
      <w:r>
        <w:rPr>
          <w:rFonts w:ascii="宋体" w:hAnsi="宋体" w:cs="宋体"/>
          <w:b/>
          <w:color w:val="000000" w:themeColor="text1"/>
          <w:kern w:val="0"/>
          <w:sz w:val="32"/>
          <w:szCs w:val="32"/>
          <w:highlight w:val="none"/>
          <w14:textFill>
            <w14:solidFill>
              <w14:schemeClr w14:val="tx1"/>
            </w14:solidFill>
          </w14:textFill>
        </w:rPr>
        <w:t>5</w:t>
      </w:r>
      <w:r>
        <w:rPr>
          <w:rFonts w:hint="eastAsia" w:ascii="宋体" w:hAnsi="宋体" w:cs="宋体"/>
          <w:b/>
          <w:color w:val="000000" w:themeColor="text1"/>
          <w:kern w:val="0"/>
          <w:sz w:val="32"/>
          <w:szCs w:val="32"/>
          <w:highlight w:val="none"/>
          <w14:textFill>
            <w14:solidFill>
              <w14:schemeClr w14:val="tx1"/>
            </w14:solidFill>
          </w14:textFill>
        </w:rPr>
        <w:t>：联合协议</w:t>
      </w:r>
    </w:p>
    <w:p>
      <w:pPr>
        <w:widowControl/>
        <w:spacing w:line="360" w:lineRule="auto"/>
        <w:ind w:firstLine="481"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 xml:space="preserve">投标。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授权代表根据招标文件规定及投标内容而对采购人、采购机构所作的任何合法承诺，包括书面澄清及</w:t>
      </w:r>
      <w:r>
        <w:rPr>
          <w:rFonts w:hint="eastAsia" w:ascii="宋体" w:hAnsi="宋体" w:cs="宋体"/>
          <w:color w:val="000000" w:themeColor="text1"/>
          <w:kern w:val="0"/>
          <w:sz w:val="24"/>
          <w:highlight w:val="none"/>
          <w:lang w:val="en-US" w:eastAsia="zh-CN"/>
          <w14:textFill>
            <w14:solidFill>
              <w14:schemeClr w14:val="tx1"/>
            </w14:solidFill>
          </w14:textFill>
        </w:rPr>
        <w:t>响</w:t>
      </w:r>
      <w:r>
        <w:rPr>
          <w:rFonts w:hint="eastAsia" w:ascii="宋体" w:hAnsi="宋体" w:cs="宋体"/>
          <w:color w:val="000000" w:themeColor="text1"/>
          <w:kern w:val="0"/>
          <w:sz w:val="24"/>
          <w:highlight w:val="none"/>
          <w:lang w:val="zh-CN"/>
          <w14:textFill>
            <w14:solidFill>
              <w14:schemeClr w14:val="tx1"/>
            </w14:solidFill>
          </w14:textFill>
        </w:rPr>
        <w:t>应等均对联合投标各方产生约束力。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w:t>
      </w:r>
      <w:r>
        <w:rPr>
          <w:rFonts w:hint="eastAsia" w:ascii="宋体" w:hAnsi="宋体" w:cs="宋体"/>
          <w:color w:val="000000" w:themeColor="text1"/>
          <w:kern w:val="0"/>
          <w:sz w:val="24"/>
          <w:highlight w:val="none"/>
          <w:lang w:val="en-US" w:eastAsia="zh-CN"/>
          <w14:textFill>
            <w14:solidFill>
              <w14:schemeClr w14:val="tx1"/>
            </w14:solidFill>
          </w14:textFill>
        </w:rPr>
        <w:t>所有联合体成员</w:t>
      </w:r>
      <w:r>
        <w:rPr>
          <w:rFonts w:hint="eastAsia" w:ascii="宋体" w:hAnsi="宋体" w:cs="宋体"/>
          <w:color w:val="000000" w:themeColor="text1"/>
          <w:kern w:val="0"/>
          <w:sz w:val="24"/>
          <w:highlight w:val="none"/>
          <w:lang w:val="zh-CN"/>
          <w14:textFill>
            <w14:solidFill>
              <w14:schemeClr w14:val="tx1"/>
            </w14:solidFill>
          </w14:textFill>
        </w:rPr>
        <w:t>分工如下：</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bookmarkStart w:id="403" w:name="_Hlk101134295"/>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bookmarkEnd w:id="403"/>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790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X,</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提供的全部货物由小微企业制造，其合同份额占到合同总金额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274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其中</w:t>
      </w:r>
      <w:r>
        <w:rPr>
          <w:rFonts w:hint="eastAsia" w:ascii="宋体" w:hAnsi="宋体" w:cs="宋体"/>
          <w:color w:val="000000" w:themeColor="text1"/>
          <w:sz w:val="24"/>
          <w:highlight w:val="none"/>
          <w14:textFill>
            <w14:solidFill>
              <w14:schemeClr w14:val="tx1"/>
            </w14:solidFill>
          </w14:textFill>
        </w:rPr>
        <w:t>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3、本协议提交采购人、采购机构后，联合体各方不得以任何形式对上述内容进行修改或撤销。</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附件</w:t>
      </w:r>
      <w:r>
        <w:rPr>
          <w:rFonts w:ascii="宋体" w:hAnsi="宋体" w:cs="宋体"/>
          <w:b/>
          <w:color w:val="000000" w:themeColor="text1"/>
          <w:kern w:val="0"/>
          <w:sz w:val="32"/>
          <w:szCs w:val="32"/>
          <w:highlight w:val="none"/>
          <w14:textFill>
            <w14:solidFill>
              <w14:schemeClr w14:val="tx1"/>
            </w14:solidFill>
          </w14:textFill>
        </w:rPr>
        <w:t>6</w:t>
      </w:r>
      <w:r>
        <w:rPr>
          <w:rFonts w:hint="eastAsia" w:ascii="宋体" w:hAnsi="宋体" w:cs="宋体"/>
          <w:b/>
          <w:color w:val="000000" w:themeColor="text1"/>
          <w:kern w:val="0"/>
          <w:sz w:val="32"/>
          <w:szCs w:val="32"/>
          <w:highlight w:val="none"/>
          <w14:textFill>
            <w14:solidFill>
              <w14:schemeClr w14:val="tx1"/>
            </w14:solidFill>
          </w14:textFill>
        </w:rPr>
        <w:t>：分包意向协议</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w:t>
      </w:r>
      <w:r>
        <w:rPr>
          <w:rFonts w:hint="eastAsia" w:ascii="宋体" w:hAnsi="宋体" w:cs="宋体"/>
          <w:color w:val="000000" w:themeColor="text1"/>
          <w:kern w:val="0"/>
          <w:sz w:val="24"/>
          <w:highlight w:val="none"/>
          <w:u w:val="single"/>
          <w:lang w:val="zh-CN"/>
          <w14:textFill>
            <w14:solidFill>
              <w14:schemeClr w14:val="tx1"/>
            </w14:solidFill>
          </w14:textFill>
        </w:rPr>
        <w:t>（投标人名称）</w:t>
      </w:r>
      <w:r>
        <w:rPr>
          <w:rFonts w:hint="eastAsia" w:ascii="宋体" w:hAnsi="宋体" w:cs="宋体"/>
          <w:color w:val="000000" w:themeColor="text1"/>
          <w:kern w:val="0"/>
          <w:sz w:val="24"/>
          <w:highlight w:val="none"/>
          <w:u w:val="none"/>
          <w:lang w:val="zh-CN"/>
          <w14:textFill>
            <w14:solidFill>
              <w14:schemeClr w14:val="tx1"/>
            </w14:solidFill>
          </w14:textFill>
        </w:rPr>
        <w:t>将工作</w:t>
      </w:r>
      <w:r>
        <w:rPr>
          <w:rFonts w:hint="eastAsia" w:ascii="宋体" w:hAnsi="宋体" w:cs="宋体"/>
          <w:color w:val="000000" w:themeColor="text1"/>
          <w:kern w:val="0"/>
          <w:sz w:val="24"/>
          <w:highlight w:val="none"/>
          <w:lang w:val="zh-CN"/>
          <w14:textFill>
            <w14:solidFill>
              <w14:schemeClr w14:val="tx1"/>
            </w14:solidFill>
          </w14:textFill>
        </w:rPr>
        <w:t>分包如下：</w:t>
      </w:r>
      <w:r>
        <w:rPr>
          <w:rFonts w:hint="eastAsia" w:ascii="宋体" w:hAnsi="宋体" w:cs="宋体"/>
          <w:b/>
          <w:bCs/>
          <w:i/>
          <w:iCs/>
          <w:color w:val="000000" w:themeColor="text1"/>
          <w:kern w:val="0"/>
          <w:sz w:val="24"/>
          <w:szCs w:val="24"/>
          <w:highlight w:val="none"/>
          <w:lang w:val="zh-CN"/>
          <w14:textFill>
            <w14:solidFill>
              <w14:schemeClr w14:val="tx1"/>
            </w14:solidFill>
          </w14:textFill>
        </w:rPr>
        <w:t>（注：投标人只能将招标文件第二部分中“前附表”的“分包”规定的工作进行分包）</w:t>
      </w:r>
    </w:p>
    <w:p>
      <w:pPr>
        <w:snapToGrid w:val="0"/>
        <w:spacing w:line="360" w:lineRule="auto"/>
        <w:ind w:firstLine="576"/>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pPr>
        <w:snapToGrid w:val="0"/>
        <w:spacing w:line="360" w:lineRule="auto"/>
        <w:ind w:firstLine="576"/>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pPr>
        <w:pStyle w:val="3"/>
        <w:spacing w:line="360" w:lineRule="auto"/>
        <w:ind w:left="664" w:leftChars="316" w:firstLine="228"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pStyle w:val="3"/>
        <w:ind w:left="664" w:leftChars="316" w:firstLine="228" w:firstLineChars="95"/>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highlight w:val="none"/>
          <w:u w:val="none"/>
          <w:lang w:eastAsia="zh-CN"/>
          <w14:textFill>
            <w14:solidFill>
              <w14:schemeClr w14:val="tx1"/>
            </w14:solidFill>
          </w14:textFill>
        </w:rPr>
        <w:t>以上分包供应商</w:t>
      </w:r>
      <w:r>
        <w:rPr>
          <w:rFonts w:hint="eastAsia" w:ascii="宋体" w:hAnsi="宋体" w:eastAsia="宋体" w:cs="宋体"/>
          <w:color w:val="000000" w:themeColor="text1"/>
          <w:kern w:val="0"/>
          <w:sz w:val="24"/>
          <w:highlight w:val="none"/>
          <w:u w:val="none"/>
          <w:lang w:val="zh-CN"/>
          <w14:textFill>
            <w14:solidFill>
              <w14:schemeClr w14:val="tx1"/>
            </w14:solidFill>
          </w14:textFill>
        </w:rPr>
        <w:t>具备所承</w:t>
      </w:r>
      <w:r>
        <w:rPr>
          <w:rFonts w:hint="eastAsia" w:ascii="宋体" w:hAnsi="宋体" w:eastAsia="宋体" w:cs="宋体"/>
          <w:color w:val="000000" w:themeColor="text1"/>
          <w:kern w:val="0"/>
          <w:sz w:val="24"/>
          <w:highlight w:val="none"/>
          <w:u w:val="none"/>
          <w14:textFill>
            <w14:solidFill>
              <w14:schemeClr w14:val="tx1"/>
            </w14:solidFill>
          </w14:textFill>
        </w:rPr>
        <w:t>担</w:t>
      </w:r>
      <w:r>
        <w:rPr>
          <w:rFonts w:hint="eastAsia" w:ascii="宋体" w:hAnsi="宋体" w:eastAsia="宋体" w:cs="宋体"/>
          <w:color w:val="000000" w:themeColor="text1"/>
          <w:kern w:val="0"/>
          <w:sz w:val="24"/>
          <w:highlight w:val="none"/>
          <w:u w:val="none"/>
          <w:lang w:val="zh-CN"/>
          <w14:textFill>
            <w14:solidFill>
              <w14:schemeClr w14:val="tx1"/>
            </w14:solidFill>
          </w14:textFill>
        </w:rPr>
        <w:t>分包工作内容相应的资质条件且不得再次分包。</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59212"/>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……）提供的货物全部由小微企业制造，</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6650"/>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bookmarkStart w:id="404" w:name="_Hlk101133173"/>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其中</w:t>
      </w:r>
      <w:r>
        <w:rPr>
          <w:rFonts w:hint="eastAsia" w:ascii="宋体" w:hAnsi="宋体" w:cs="宋体"/>
          <w:color w:val="000000" w:themeColor="text1"/>
          <w:sz w:val="24"/>
          <w:highlight w:val="none"/>
          <w14:textFill>
            <w14:solidFill>
              <w14:schemeClr w14:val="tx1"/>
            </w14:solidFill>
          </w14:textFill>
        </w:rPr>
        <w:t>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中中小企业、其中小微企业合同金额应当达到的比例要求填写。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404"/>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pPr>
        <w:snapToGrid w:val="0"/>
        <w:spacing w:line="36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pPr>
        <w:snapToGrid w:val="0"/>
        <w:spacing w:line="360" w:lineRule="auto"/>
        <w:ind w:left="770" w:leftChars="342" w:hanging="52" w:hangingChars="25"/>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八、其他</w:t>
      </w:r>
    </w:p>
    <w:p>
      <w:pPr>
        <w:snapToGrid w:val="0"/>
        <w:spacing w:line="360" w:lineRule="auto"/>
        <w:ind w:left="5128" w:leftChars="342" w:hanging="441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分包供应商名称(电子签名/公章)：</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snapToGrid w:val="0"/>
        <w:spacing w:line="360" w:lineRule="auto"/>
        <w:outlineLvl w:val="0"/>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cs="宋体"/>
          <w:b/>
          <w:color w:val="000000" w:themeColor="text1"/>
          <w:kern w:val="0"/>
          <w:sz w:val="44"/>
          <w:szCs w:val="44"/>
          <w:highlight w:val="none"/>
          <w14:textFill>
            <w14:solidFill>
              <w14:schemeClr w14:val="tx1"/>
            </w14:solidFill>
          </w14:textFill>
        </w:rPr>
        <w:t>附件</w:t>
      </w:r>
      <w:r>
        <w:rPr>
          <w:rFonts w:ascii="宋体" w:hAnsi="宋体" w:cs="宋体"/>
          <w:b/>
          <w:color w:val="000000" w:themeColor="text1"/>
          <w:kern w:val="0"/>
          <w:sz w:val="44"/>
          <w:szCs w:val="44"/>
          <w:highlight w:val="none"/>
          <w14:textFill>
            <w14:solidFill>
              <w14:schemeClr w14:val="tx1"/>
            </w14:solidFill>
          </w14:textFill>
        </w:rPr>
        <w:t>7</w:t>
      </w:r>
      <w:r>
        <w:rPr>
          <w:rFonts w:hint="eastAsia" w:ascii="宋体" w:hAnsi="宋体" w:cs="宋体"/>
          <w:b/>
          <w:color w:val="000000" w:themeColor="text1"/>
          <w:kern w:val="0"/>
          <w:sz w:val="44"/>
          <w:szCs w:val="44"/>
          <w:highlight w:val="none"/>
          <w14:textFill>
            <w14:solidFill>
              <w14:schemeClr w14:val="tx1"/>
            </w14:solidFill>
          </w14:textFill>
        </w:rPr>
        <w:t>：中小企业声明函</w:t>
      </w:r>
    </w:p>
    <w:p>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中小企业声明函（货物）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①</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② （中型企业、小型企业、微型企业）</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①</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② （中型企业、小型企业、微型企业）</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pPr>
        <w:snapToGrid w:val="0"/>
        <w:spacing w:line="360" w:lineRule="auto"/>
        <w:ind w:firstLine="5160" w:firstLineChars="21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spacing w:line="360" w:lineRule="auto"/>
        <w:ind w:right="42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w:t>
      </w:r>
      <w:r>
        <w:rPr>
          <w:rFonts w:hint="eastAsia" w:ascii="宋体" w:hAnsi="宋体" w:cs="宋体"/>
          <w:color w:val="000000" w:themeColor="text1"/>
          <w:sz w:val="24"/>
          <w:highlight w:val="none"/>
          <w:lang w:val="en-US" w:eastAsia="zh-CN"/>
          <w14:textFill>
            <w14:solidFill>
              <w14:schemeClr w14:val="tx1"/>
            </w14:solidFill>
          </w14:textFill>
        </w:rPr>
        <w:t>1、应</w:t>
      </w:r>
      <w:r>
        <w:rPr>
          <w:rFonts w:hint="eastAsia" w:ascii="宋体" w:hAnsi="宋体" w:cs="宋体"/>
          <w:color w:val="000000" w:themeColor="text1"/>
          <w:sz w:val="24"/>
          <w:highlight w:val="none"/>
          <w14:textFill>
            <w14:solidFill>
              <w14:schemeClr w14:val="tx1"/>
            </w14:solidFill>
          </w14:textFill>
        </w:rPr>
        <w:t>按本格式</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要求填写</w:t>
      </w:r>
      <w:r>
        <w:rPr>
          <w:rFonts w:hint="eastAsia" w:ascii="宋体" w:hAnsi="宋体" w:cs="宋体"/>
          <w:color w:val="000000" w:themeColor="text1"/>
          <w:sz w:val="24"/>
          <w:highlight w:val="none"/>
          <w:lang w:eastAsia="zh-CN"/>
          <w14:textFill>
            <w14:solidFill>
              <w14:schemeClr w14:val="tx1"/>
            </w14:solidFill>
          </w14:textFill>
        </w:rPr>
        <w:t>。其中，</w:t>
      </w:r>
      <w:r>
        <w:rPr>
          <w:rFonts w:hint="eastAsia" w:ascii="宋体" w:hAnsi="宋体" w:cs="宋体"/>
          <w:color w:val="000000" w:themeColor="text1"/>
          <w:sz w:val="24"/>
          <w:highlight w:val="none"/>
          <w14:textFill>
            <w14:solidFill>
              <w14:schemeClr w14:val="tx1"/>
            </w14:solidFill>
          </w14:textFill>
        </w:rPr>
        <w:t>标的名称</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所属行业依据招标文件第二部分投标人须知前附表中“采购标的及其对应的中小企业划分标准所属行业”</w:t>
      </w:r>
      <w:r>
        <w:rPr>
          <w:rFonts w:hint="eastAsia" w:ascii="宋体" w:hAnsi="宋体" w:cs="宋体"/>
          <w:color w:val="000000" w:themeColor="text1"/>
          <w:sz w:val="24"/>
          <w:highlight w:val="none"/>
          <w:lang w:eastAsia="zh-CN"/>
          <w14:textFill>
            <w14:solidFill>
              <w14:schemeClr w14:val="tx1"/>
            </w14:solidFill>
          </w14:textFill>
        </w:rPr>
        <w:t>规定的要求</w:t>
      </w:r>
      <w:r>
        <w:rPr>
          <w:rFonts w:hint="eastAsia" w:ascii="宋体" w:hAnsi="宋体" w:cs="宋体"/>
          <w:color w:val="000000" w:themeColor="text1"/>
          <w:sz w:val="24"/>
          <w:highlight w:val="none"/>
          <w14:textFill>
            <w14:solidFill>
              <w14:schemeClr w14:val="tx1"/>
            </w14:solidFill>
          </w14:textFill>
        </w:rPr>
        <w:t>填写，不得缺漏</w:t>
      </w:r>
      <w:r>
        <w:rPr>
          <w:rFonts w:hint="eastAsia" w:ascii="宋体" w:hAnsi="宋体" w:cs="宋体"/>
          <w:color w:val="000000" w:themeColor="text1"/>
          <w:sz w:val="24"/>
          <w:highlight w:val="none"/>
          <w:lang w:eastAsia="zh-CN"/>
          <w14:textFill>
            <w14:solidFill>
              <w14:schemeClr w14:val="tx1"/>
            </w14:solidFill>
          </w14:textFill>
        </w:rPr>
        <w:t>（声明函格式内容中已填写的，无需改动）；标记“</w:t>
      </w: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处填写企业名称；</w:t>
      </w:r>
      <w:r>
        <w:rPr>
          <w:rFonts w:hint="eastAsia"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从业人员、营业收入、资产总额填报上一年度数据，无上一年度数据的新成立企业可不填报；结合</w:t>
      </w:r>
      <w:r>
        <w:rPr>
          <w:rFonts w:hint="eastAsia" w:ascii="宋体" w:hAnsi="宋体" w:cs="宋体"/>
          <w:color w:val="000000" w:themeColor="text1"/>
          <w:sz w:val="24"/>
          <w:highlight w:val="none"/>
          <w:lang w:eastAsia="zh-CN"/>
          <w14:textFill>
            <w14:solidFill>
              <w14:schemeClr w14:val="tx1"/>
            </w14:solidFill>
          </w14:textFill>
        </w:rPr>
        <w:t>所填</w:t>
      </w:r>
      <w:r>
        <w:rPr>
          <w:rFonts w:hint="eastAsia" w:ascii="宋体" w:hAnsi="宋体" w:cs="宋体"/>
          <w:color w:val="000000" w:themeColor="text1"/>
          <w:sz w:val="24"/>
          <w:highlight w:val="none"/>
          <w14:textFill>
            <w14:solidFill>
              <w14:schemeClr w14:val="tx1"/>
            </w14:solidFill>
          </w14:textFill>
        </w:rPr>
        <w:t>数据</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依据《中小企业划型标准规定》（工信部联企业〔2011〕300号）</w:t>
      </w:r>
      <w:r>
        <w:rPr>
          <w:rFonts w:hint="eastAsia" w:ascii="宋体" w:hAnsi="宋体" w:cs="宋体"/>
          <w:color w:val="000000" w:themeColor="text1"/>
          <w:sz w:val="24"/>
          <w:highlight w:val="none"/>
          <w:lang w:eastAsia="zh-CN"/>
          <w14:textFill>
            <w14:solidFill>
              <w14:schemeClr w14:val="tx1"/>
            </w14:solidFill>
          </w14:textFill>
        </w:rPr>
        <w:t>规定</w:t>
      </w:r>
      <w:r>
        <w:rPr>
          <w:rFonts w:hint="eastAsia" w:ascii="宋体" w:hAnsi="宋体" w:cs="宋体"/>
          <w:color w:val="000000" w:themeColor="text1"/>
          <w:sz w:val="24"/>
          <w:highlight w:val="none"/>
          <w14:textFill>
            <w14:solidFill>
              <w14:schemeClr w14:val="tx1"/>
            </w14:solidFill>
          </w14:textFill>
        </w:rPr>
        <w:t>，确定中型企业、小型企业、微型企业</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种企业类型中</w:t>
      </w:r>
      <w:r>
        <w:rPr>
          <w:rFonts w:hint="eastAsia" w:ascii="宋体" w:hAnsi="宋体" w:cs="宋体"/>
          <w:color w:val="000000" w:themeColor="text1"/>
          <w:sz w:val="24"/>
          <w:highlight w:val="none"/>
          <w:lang w:eastAsia="zh-CN"/>
          <w14:textFill>
            <w14:solidFill>
              <w14:schemeClr w14:val="tx1"/>
            </w14:solidFill>
          </w14:textFill>
        </w:rPr>
        <w:t>的其中一</w:t>
      </w:r>
      <w:r>
        <w:rPr>
          <w:rFonts w:hint="eastAsia" w:ascii="宋体" w:hAnsi="宋体" w:cs="宋体"/>
          <w:color w:val="000000" w:themeColor="text1"/>
          <w:sz w:val="24"/>
          <w:highlight w:val="none"/>
          <w14:textFill>
            <w14:solidFill>
              <w14:schemeClr w14:val="tx1"/>
            </w14:solidFill>
          </w14:textFill>
        </w:rPr>
        <w:t>种</w:t>
      </w:r>
      <w:r>
        <w:rPr>
          <w:rFonts w:hint="eastAsia" w:ascii="宋体" w:hAnsi="宋体" w:cs="宋体"/>
          <w:color w:val="000000" w:themeColor="text1"/>
          <w:sz w:val="24"/>
          <w:highlight w:val="none"/>
          <w:lang w:eastAsia="zh-CN"/>
          <w14:textFill>
            <w14:solidFill>
              <w14:schemeClr w14:val="tx1"/>
            </w14:solidFill>
          </w14:textFill>
        </w:rPr>
        <w:t>在标记“②”处</w:t>
      </w:r>
      <w:r>
        <w:rPr>
          <w:rFonts w:hint="eastAsia" w:ascii="宋体" w:hAnsi="宋体" w:cs="宋体"/>
          <w:color w:val="000000" w:themeColor="text1"/>
          <w:sz w:val="24"/>
          <w:highlight w:val="none"/>
          <w14:textFill>
            <w14:solidFill>
              <w14:schemeClr w14:val="tx1"/>
            </w14:solidFill>
          </w14:textFill>
        </w:rPr>
        <w:t>填写。</w:t>
      </w:r>
    </w:p>
    <w:p>
      <w:pPr>
        <w:spacing w:line="360" w:lineRule="auto"/>
        <w:ind w:right="420"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3"/>
        <w:rPr>
          <w:rFonts w:hint="eastAsia" w:ascii="宋体" w:hAnsi="宋体" w:eastAsia="宋体" w:cs="宋体"/>
          <w:b/>
          <w:bCs w:val="0"/>
          <w:color w:val="000000" w:themeColor="text1"/>
          <w:sz w:val="36"/>
          <w:szCs w:val="20"/>
          <w:highlight w:val="none"/>
          <w:lang w:val="en-US"/>
          <w14:textFill>
            <w14:solidFill>
              <w14:schemeClr w14:val="tx1"/>
            </w14:solidFill>
          </w14:textFill>
        </w:rPr>
      </w:pPr>
    </w:p>
    <w:p>
      <w:pPr>
        <w:rPr>
          <w:rFonts w:hint="eastAsia" w:ascii="宋体" w:hAnsi="宋体" w:eastAsia="宋体" w:cs="宋体"/>
          <w:b/>
          <w:bCs w:val="0"/>
          <w:color w:val="000000" w:themeColor="text1"/>
          <w:sz w:val="36"/>
          <w:szCs w:val="20"/>
          <w:highlight w:val="none"/>
          <w:lang w:val="en-US"/>
          <w14:textFill>
            <w14:solidFill>
              <w14:schemeClr w14:val="tx1"/>
            </w14:solidFill>
          </w14:textFill>
        </w:rPr>
      </w:pPr>
      <w:r>
        <w:rPr>
          <w:rFonts w:hint="eastAsia" w:ascii="宋体" w:hAnsi="宋体" w:eastAsia="宋体" w:cs="宋体"/>
          <w:b/>
          <w:bCs w:val="0"/>
          <w:color w:val="000000" w:themeColor="text1"/>
          <w:sz w:val="36"/>
          <w:szCs w:val="20"/>
          <w:highlight w:val="none"/>
          <w:lang w:val="en-US"/>
          <w14:textFill>
            <w14:solidFill>
              <w14:schemeClr w14:val="tx1"/>
            </w14:solidFill>
          </w14:textFill>
        </w:rPr>
        <w:br w:type="page"/>
      </w:r>
    </w:p>
    <w:p>
      <w:pPr>
        <w:pStyle w:val="3"/>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pPr>
      <w:r>
        <w:rPr>
          <w:rFonts w:hint="eastAsia" w:ascii="宋体" w:hAnsi="宋体" w:eastAsia="宋体" w:cs="宋体"/>
          <w:b/>
          <w:bCs w:val="0"/>
          <w:color w:val="000000" w:themeColor="text1"/>
          <w:sz w:val="36"/>
          <w:szCs w:val="20"/>
          <w:highlight w:val="none"/>
          <w:lang w:val="en-US"/>
          <w14:textFill>
            <w14:solidFill>
              <w14:schemeClr w14:val="tx1"/>
            </w14:solidFill>
          </w14:textFill>
        </w:rPr>
        <w:t>附件</w:t>
      </w:r>
      <w:r>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t>8</w:t>
      </w:r>
      <w:r>
        <w:rPr>
          <w:rFonts w:hint="eastAsia" w:ascii="宋体" w:hAnsi="宋体" w:eastAsia="宋体" w:cs="宋体"/>
          <w:b/>
          <w:bCs w:val="0"/>
          <w:color w:val="000000" w:themeColor="text1"/>
          <w:sz w:val="36"/>
          <w:szCs w:val="20"/>
          <w:highlight w:val="none"/>
          <w:lang w:val="en-US"/>
          <w14:textFill>
            <w14:solidFill>
              <w14:schemeClr w14:val="tx1"/>
            </w14:solidFill>
          </w14:textFill>
        </w:rPr>
        <w:t>：中小企业</w:t>
      </w:r>
      <w:r>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t>划型标准</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各行业划型标准为：</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pPr>
        <w:spacing w:line="24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p>
      <w:pPr>
        <w:snapToGrid w:val="0"/>
        <w:spacing w:before="0" w:line="360" w:lineRule="auto"/>
        <w:ind w:left="0"/>
        <w:outlineLvl w:val="0"/>
        <w:rPr>
          <w:rFonts w:hint="eastAsia" w:ascii="宋体" w:hAnsi="宋体" w:eastAsia="宋体" w:cs="宋体"/>
          <w:b/>
          <w:color w:val="000000" w:themeColor="text1"/>
          <w:kern w:val="0"/>
          <w:sz w:val="32"/>
          <w:szCs w:val="32"/>
          <w:highlight w:val="none"/>
          <w:lang w:val="en-US"/>
          <w14:textFill>
            <w14:solidFill>
              <w14:schemeClr w14:val="tx1"/>
            </w14:solidFill>
          </w14:textFill>
        </w:rPr>
      </w:pPr>
      <w:r>
        <w:rPr>
          <w:rFonts w:hint="eastAsia" w:ascii="宋体" w:hAnsi="宋体" w:eastAsia="宋体" w:cs="宋体"/>
          <w:b/>
          <w:color w:val="000000" w:themeColor="text1"/>
          <w:spacing w:val="0"/>
          <w:kern w:val="0"/>
          <w:sz w:val="32"/>
          <w:szCs w:val="32"/>
          <w:highlight w:val="none"/>
          <w:lang w:val="zh-CN"/>
          <w14:textFill>
            <w14:solidFill>
              <w14:schemeClr w14:val="tx1"/>
            </w14:solidFill>
          </w14:textFill>
        </w:rPr>
        <w:t>附件</w:t>
      </w:r>
      <w:r>
        <w:rPr>
          <w:rFonts w:hint="eastAsia" w:ascii="宋体" w:hAnsi="宋体" w:cs="宋体"/>
          <w:b/>
          <w:color w:val="000000" w:themeColor="text1"/>
          <w:spacing w:val="0"/>
          <w:kern w:val="0"/>
          <w:sz w:val="32"/>
          <w:szCs w:val="32"/>
          <w:highlight w:val="none"/>
          <w:lang w:val="en-US" w:eastAsia="zh-CN"/>
          <w14:textFill>
            <w14:solidFill>
              <w14:schemeClr w14:val="tx1"/>
            </w14:solidFill>
          </w14:textFill>
        </w:rPr>
        <w:t>9</w:t>
      </w:r>
      <w:r>
        <w:rPr>
          <w:rFonts w:hint="eastAsia" w:ascii="宋体" w:hAnsi="宋体" w:eastAsia="宋体" w:cs="宋体"/>
          <w:b/>
          <w:color w:val="000000" w:themeColor="text1"/>
          <w:spacing w:val="0"/>
          <w:kern w:val="0"/>
          <w:sz w:val="32"/>
          <w:szCs w:val="32"/>
          <w:highlight w:val="none"/>
          <w:lang w:val="en-US" w:eastAsia="zh-CN"/>
          <w14:textFill>
            <w14:solidFill>
              <w14:schemeClr w14:val="tx1"/>
            </w14:solidFill>
          </w14:textFill>
        </w:rPr>
        <w:t>：</w:t>
      </w:r>
    </w:p>
    <w:p>
      <w:pPr>
        <w:snapToGrid w:val="0"/>
        <w:spacing w:before="0" w:line="360" w:lineRule="auto"/>
        <w:ind w:left="0" w:right="0" w:firstLine="642" w:firstLineChars="200"/>
        <w:jc w:val="center"/>
        <w:rPr>
          <w:rFonts w:hint="eastAsia" w:ascii="宋体" w:hAnsi="宋体" w:cs="宋体"/>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pacing w:val="0"/>
          <w:sz w:val="32"/>
          <w:szCs w:val="32"/>
          <w:highlight w:val="none"/>
          <w:lang w:val="zh-CN"/>
          <w14:textFill>
            <w14:solidFill>
              <w14:schemeClr w14:val="tx1"/>
            </w14:solidFill>
          </w14:textFill>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1.</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w:t>
      </w:r>
      <w:r>
        <w:rPr>
          <w:rFonts w:hint="eastAsia" w:ascii="宋体" w:hAnsi="宋体" w:cs="宋体"/>
          <w:color w:val="000000" w:themeColor="text1"/>
          <w:spacing w:val="0"/>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pPr>
        <w:snapToGrid w:val="0"/>
        <w:spacing w:before="0" w:line="360" w:lineRule="auto"/>
        <w:ind w:left="0"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p>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14:textFill>
                  <w14:solidFill>
                    <w14:schemeClr w14:val="tx1"/>
                  </w14:solidFill>
                </w14:textFill>
              </w:rPr>
            </w:pPr>
            <m:oMathPara>
              <m:oMath>
                <m:r>
                  <m:rPr>
                    <m:sty m:val="p"/>
                  </m:rPr>
                  <w:rPr>
                    <w:rFonts w:hint="eastAsia" w:ascii="Cambria Math" w:hAnsi="Cambria Math" w:eastAsia="宋体" w:cs="宋体"/>
                    <w:color w:val="000000" w:themeColor="text1"/>
                    <w:sz w:val="24"/>
                    <w:szCs w:val="24"/>
                    <w:highlight w:val="none"/>
                    <w14:textFill>
                      <w14:solidFill>
                        <w14:schemeClr w14:val="tx1"/>
                      </w14:solidFill>
                    </w14:textFill>
                  </w:rPr>
                  <m:t>比例</m:t>
                </m:r>
                <m:r>
                  <m:rPr/>
                  <w:rPr>
                    <w:rFonts w:hint="eastAsia" w:ascii="Cambria Math" w:hAnsi="Cambria Math" w:eastAsia="宋体" w:cs="宋体"/>
                    <w:color w:val="000000" w:themeColor="text1"/>
                    <w:sz w:val="24"/>
                    <w:szCs w:val="24"/>
                    <w:highlight w:val="none"/>
                    <w14:textFill>
                      <w14:solidFill>
                        <w14:schemeClr w14:val="tx1"/>
                      </w14:solidFill>
                    </w14:textFill>
                  </w:rPr>
                  <m:t>=</m:t>
                </m:r>
                <m:f>
                  <m:fPr>
                    <m:ctrlPr>
                      <w:rPr>
                        <w:rFonts w:hint="eastAsia" w:ascii="Cambria Math" w:hAnsi="Cambria Math" w:eastAsia="宋体" w:cs="宋体"/>
                        <w:i/>
                        <w:color w:val="000000" w:themeColor="text1"/>
                        <w:sz w:val="24"/>
                        <w:szCs w:val="24"/>
                        <w:highlight w:val="none"/>
                        <w14:textFill>
                          <w14:solidFill>
                            <w14:schemeClr w14:val="tx1"/>
                          </w14:solidFill>
                        </w14:textFill>
                      </w:rPr>
                    </m:ctrlPr>
                  </m:fPr>
                  <m:num>
                    <m:r>
                      <m:rPr>
                        <m:sty m:val="p"/>
                      </m:rPr>
                      <w:rPr>
                        <w:rFonts w:hint="eastAsia" w:ascii="Cambria Math" w:hAnsi="Cambria Math" w:eastAsia="宋体" w:cs="宋体"/>
                        <w:color w:val="000000" w:themeColor="text1"/>
                        <w:sz w:val="24"/>
                        <w:szCs w:val="24"/>
                        <w:highlight w:val="none"/>
                        <w14:textFill>
                          <w14:solidFill>
                            <w14:schemeClr w14:val="tx1"/>
                          </w14:solidFill>
                        </w14:textFill>
                      </w:rPr>
                      <m:t>符合本国产品标准的投标产品成本之和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num>
                  <m:den>
                    <m:r>
                      <m:rPr>
                        <m:sty m:val="p"/>
                      </m:rPr>
                      <w:rPr>
                        <w:rFonts w:hint="eastAsia" w:ascii="Cambria Math" w:hAnsi="Cambria Math" w:eastAsia="宋体" w:cs="宋体"/>
                        <w:color w:val="000000" w:themeColor="text1"/>
                        <w:sz w:val="24"/>
                        <w:szCs w:val="24"/>
                        <w:highlight w:val="none"/>
                        <w14:textFill>
                          <w14:solidFill>
                            <w14:schemeClr w14:val="tx1"/>
                          </w14:solidFill>
                        </w14:textFill>
                      </w:rPr>
                      <m:t>提供的全部产品成本之和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den>
                </m:f>
                <m:r>
                  <m:rPr>
                    <m:sty m:val="p"/>
                  </m:rPr>
                  <w:rPr>
                    <w:rFonts w:hint="eastAsia" w:ascii="Cambria Math" w:hAnsi="Cambria Math" w:eastAsia="宋体" w:cs="宋体"/>
                    <w:color w:val="000000" w:themeColor="text1"/>
                    <w:sz w:val="24"/>
                    <w:szCs w:val="24"/>
                    <w:highlight w:val="none"/>
                    <w14:textFill>
                      <w14:solidFill>
                        <w14:schemeClr w14:val="tx1"/>
                      </w14:solidFill>
                    </w14:textFill>
                  </w:rPr>
                  <m:t>×</m:t>
                </m:r>
                <m:r>
                  <m:rPr/>
                  <w:rPr>
                    <w:rFonts w:hint="eastAsia" w:ascii="Cambria Math" w:hAnsi="Cambria Math" w:eastAsia="宋体" w:cs="宋体"/>
                    <w:color w:val="000000" w:themeColor="text1"/>
                    <w:sz w:val="24"/>
                    <w:szCs w:val="24"/>
                    <w:highlight w:val="none"/>
                    <w14:textFill>
                      <w14:solidFill>
                        <w14:schemeClr w14:val="tx1"/>
                      </w14:solidFill>
                    </w14:textFill>
                  </w:rPr>
                  <m:t>100%</m:t>
                </m:r>
              </m:oMath>
            </m:oMathPara>
          </w:p>
          <w:p>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lang w:val="en-US" w:eastAsia="zh-CN"/>
                <w14:textFill>
                  <w14:solidFill>
                    <w14:schemeClr w14:val="tx1"/>
                  </w14:solidFill>
                </w14:textFill>
              </w:rPr>
            </w:pPr>
          </w:p>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tc>
        <w:tc>
          <w:tcPr>
            <w:tcW w:w="2092" w:type="dxa"/>
            <w:vAlign w:val="center"/>
          </w:tcPr>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w:t>
            </w:r>
          </w:p>
        </w:tc>
      </w:tr>
    </w:tbl>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公司（单位）名称（盖章</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日期：       年    月     日</w:t>
      </w:r>
    </w:p>
    <w:p>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.产品如有型号，</w:t>
      </w:r>
      <w:r>
        <w:rPr>
          <w:rFonts w:hint="eastAsia" w:ascii="宋体" w:hAnsi="宋体" w:eastAsia="宋体" w:cs="宋体"/>
          <w:color w:val="000000" w:themeColor="text1"/>
          <w:spacing w:val="0"/>
          <w:kern w:val="0"/>
          <w:sz w:val="24"/>
          <w:szCs w:val="24"/>
          <w:highlight w:val="none"/>
          <w:u w:val="none"/>
          <w:lang w:val="zh-CN"/>
          <w14:textFill>
            <w14:solidFill>
              <w14:schemeClr w14:val="tx1"/>
            </w14:solidFill>
          </w14:textFill>
        </w:rPr>
        <w:t>请在“产品名称”</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栏一并填写。</w:t>
      </w:r>
    </w:p>
    <w:p>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.生产厂名与厂址应与生产厂营业执照载明的相关信息保持一致。</w:t>
      </w:r>
    </w:p>
    <w:p>
      <w:pPr>
        <w:snapToGrid w:val="0"/>
        <w:spacing w:before="0" w:line="360" w:lineRule="auto"/>
        <w:ind w:left="0"/>
        <w:rPr>
          <w:rFonts w:hint="eastAsia" w:ascii="宋体" w:hAnsi="宋体" w:eastAsia="宋体" w:cs="宋体"/>
          <w:color w:val="000000" w:themeColor="text1"/>
          <w:kern w:val="0"/>
          <w:sz w:val="24"/>
          <w:highlight w:val="none"/>
          <w:lang w:val="zh-CN"/>
          <w14:textFill>
            <w14:solidFill>
              <w14:schemeClr w14:val="tx1"/>
            </w14:solidFill>
          </w14:textFill>
        </w:rPr>
      </w:pPr>
    </w:p>
    <w:p>
      <w:pPr>
        <w:pStyle w:val="3"/>
        <w:rPr>
          <w:rFonts w:hint="eastAsia"/>
          <w:color w:val="000000" w:themeColor="text1"/>
          <w:highlight w:val="none"/>
          <w:lang w:val="en-US" w:eastAsia="zh-CN"/>
          <w14:textFill>
            <w14:solidFill>
              <w14:schemeClr w14:val="tx1"/>
            </w14:solidFill>
          </w14:textFill>
        </w:rPr>
      </w:pPr>
    </w:p>
    <w:p>
      <w:pPr>
        <w:spacing w:line="360" w:lineRule="auto"/>
        <w:ind w:right="420" w:firstLine="642" w:firstLineChars="200"/>
        <w:rPr>
          <w:rFonts w:ascii="宋体" w:hAnsi="宋体" w:cs="宋体"/>
          <w:b/>
          <w:color w:val="000000" w:themeColor="text1"/>
          <w:sz w:val="32"/>
          <w:szCs w:val="32"/>
          <w:highlight w:val="none"/>
          <w14:textFill>
            <w14:solidFill>
              <w14:schemeClr w14:val="tx1"/>
            </w14:solidFill>
          </w14:textFill>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国标宋体-超大字符集"/>
    <w:panose1 w:val="00000000000000000000"/>
    <w:charset w:val="00"/>
    <w:family w:val="auto"/>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MS Sans Serif">
    <w:altName w:val="汉仪叶叶相思体简"/>
    <w:panose1 w:val="00000000000000000000"/>
    <w:charset w:val="00"/>
    <w:family w:val="swiss"/>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等线 Light">
    <w:altName w:val="华文中宋"/>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幼圆">
    <w:altName w:val="仿宋_GB2312"/>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w:altName w:val="DejaVu Sans"/>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DejaVu Sans"/>
    <w:panose1 w:val="020B0604020202020204"/>
    <w:charset w:val="00"/>
    <w:family w:val="swiss"/>
    <w:pitch w:val="default"/>
    <w:sig w:usb0="00000000" w:usb1="00000000" w:usb2="00000000" w:usb3="00000000" w:csb0="00000001"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altName w:val="方正书宋_GBK"/>
    <w:panose1 w:val="020B0609070205080204"/>
    <w:charset w:val="80"/>
    <w:family w:val="modern"/>
    <w:pitch w:val="default"/>
    <w:sig w:usb0="00000000" w:usb1="00000000" w:usb2="08000012" w:usb3="00000000" w:csb0="4002009F" w:csb1="DFD70000"/>
  </w:font>
  <w:font w:name="MS Mincho">
    <w:altName w:val="方正书宋_GBK"/>
    <w:panose1 w:val="02020609040205080304"/>
    <w:charset w:val="80"/>
    <w:family w:val="modern"/>
    <w:pitch w:val="default"/>
    <w:sig w:usb0="00000000" w:usb1="00000000" w:usb2="00000012" w:usb3="00000000" w:csb0="4002009F" w:csb1="DFD70000"/>
  </w:font>
  <w:font w:name="Wingdings 2">
    <w:panose1 w:val="05020102010507070707"/>
    <w:charset w:val="00"/>
    <w:family w:val="auto"/>
    <w:pitch w:val="default"/>
    <w:sig w:usb0="00000000" w:usb1="00000000" w:usb2="00000000" w:usb3="00000000" w:csb0="80000000"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GWZT-EN">
    <w:panose1 w:val="020204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bookmarkStart w:id="405" w:name="_Toc91899912"/>
    <w:bookmarkStart w:id="406" w:name="_Toc164085800"/>
    <w:bookmarkStart w:id="407" w:name="_Toc131845147"/>
    <w:bookmarkStart w:id="408" w:name="_Toc36110187"/>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w:t>
    </w:r>
    <w:r>
      <w:rPr>
        <w:rFonts w:hint="eastAsia"/>
      </w:rPr>
      <w:t xml:space="preserve">             </w:t>
    </w:r>
    <w:r>
      <w:t>杭州市</w:t>
    </w:r>
    <w:r>
      <w:rPr>
        <w:rFonts w:hint="eastAsia"/>
        <w:lang w:eastAsia="zh-CN"/>
      </w:rPr>
      <w:t>临平区</w:t>
    </w: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r>
      <w:t>杭州市</w:t>
    </w:r>
    <w:r>
      <w:rPr>
        <w:rFonts w:hint="eastAsia"/>
        <w:lang w:eastAsia="zh-CN"/>
      </w:rPr>
      <w:t>临平区</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w:t>
    </w:r>
    <w:r>
      <w:rPr>
        <w:rFonts w:hint="eastAsia"/>
        <w:lang w:val="zh-CN"/>
      </w:rPr>
      <w:t>临平区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t>杭州市</w:t>
    </w:r>
    <w:r>
      <w:rPr>
        <w:rFonts w:hint="eastAsia"/>
        <w:lang w:eastAsia="zh-CN"/>
      </w:rPr>
      <w:t>临平区</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t>杭州市</w:t>
    </w:r>
    <w:r>
      <w:rPr>
        <w:rFonts w:hint="eastAsia"/>
        <w:lang w:eastAsia="zh-CN"/>
      </w:rPr>
      <w:t>临平区</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t xml:space="preserve"> 杭州市</w:t>
    </w:r>
    <w:r>
      <w:rPr>
        <w:rFonts w:hint="eastAsia"/>
        <w:lang w:eastAsia="zh-CN"/>
      </w:rPr>
      <w:t>临平区</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t>杭州市</w:t>
    </w:r>
    <w:r>
      <w:rPr>
        <w:rFonts w:hint="eastAsia"/>
        <w:lang w:eastAsia="zh-CN"/>
      </w:rPr>
      <w:t>临平区</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rPr>
        <w:rFonts w:hint="eastAsia"/>
      </w:rPr>
      <w:t xml:space="preserve">                                  </w:t>
    </w:r>
    <w:r>
      <w:t>杭州市</w:t>
    </w:r>
    <w:r>
      <w:rPr>
        <w:rFonts w:hint="eastAsia"/>
        <w:lang w:eastAsia="zh-CN"/>
      </w:rPr>
      <w:t>临平区</w:t>
    </w:r>
    <w: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hint="eastAsia"/>
      </w:rPr>
      <w:t xml:space="preserve">                                                                                                        </w:t>
    </w:r>
    <w:r>
      <w:t>杭州市</w:t>
    </w:r>
    <w:r>
      <w:rPr>
        <w:rFonts w:hint="eastAsia"/>
        <w:lang w:eastAsia="zh-CN"/>
      </w:rPr>
      <w:t>临平区</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杭州市</w:t>
    </w:r>
    <w:r>
      <w:rPr>
        <w:rFonts w:hint="eastAsia"/>
        <w:lang w:eastAsia="zh-CN"/>
      </w:rPr>
      <w:t>临平区</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29EB2"/>
    <w:multiLevelType w:val="singleLevel"/>
    <w:tmpl w:val="8C929EB2"/>
    <w:lvl w:ilvl="0" w:tentative="0">
      <w:start w:val="2"/>
      <w:numFmt w:val="chineseCounting"/>
      <w:suff w:val="nothing"/>
      <w:lvlText w:val="%1、"/>
      <w:lvlJc w:val="left"/>
      <w:rPr>
        <w:rFonts w:hint="eastAsia"/>
      </w:rPr>
    </w:lvl>
  </w:abstractNum>
  <w:abstractNum w:abstractNumId="1">
    <w:nsid w:val="D5131716"/>
    <w:multiLevelType w:val="singleLevel"/>
    <w:tmpl w:val="D5131716"/>
    <w:lvl w:ilvl="0" w:tentative="0">
      <w:start w:val="5"/>
      <w:numFmt w:val="decimal"/>
      <w:suff w:val="nothing"/>
      <w:lvlText w:val="%1、"/>
      <w:lvlJc w:val="left"/>
    </w:lvl>
  </w:abstractNum>
  <w:abstractNum w:abstractNumId="2">
    <w:nsid w:val="5E71B7F9"/>
    <w:multiLevelType w:val="singleLevel"/>
    <w:tmpl w:val="5E71B7F9"/>
    <w:lvl w:ilvl="0" w:tentative="0">
      <w:start w:val="1"/>
      <w:numFmt w:val="decimal"/>
      <w:suff w:val="nothing"/>
      <w:lvlText w:val="%1、"/>
      <w:lvlJc w:val="left"/>
    </w:lvl>
  </w:abstractNum>
  <w:abstractNum w:abstractNumId="3">
    <w:nsid w:val="76EE9C81"/>
    <w:multiLevelType w:val="singleLevel"/>
    <w:tmpl w:val="76EE9C81"/>
    <w:lvl w:ilvl="0" w:tentative="0">
      <w:start w:val="5"/>
      <w:numFmt w:val="chineseCounting"/>
      <w:suff w:val="nothing"/>
      <w:lvlText w:val="%1、"/>
      <w:lvlJc w:val="left"/>
      <w:rPr>
        <w:rFonts w:hint="eastAsia"/>
      </w:rPr>
    </w:lvl>
  </w:abstractNum>
  <w:abstractNum w:abstractNumId="4">
    <w:nsid w:val="7F9DCF24"/>
    <w:multiLevelType w:val="singleLevel"/>
    <w:tmpl w:val="7F9DCF24"/>
    <w:lvl w:ilvl="0" w:tentative="0">
      <w:start w:val="1"/>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54E"/>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4B4C"/>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3FDE"/>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6B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020"/>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18A0"/>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09F"/>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B6"/>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81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0CBA"/>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199"/>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A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2DB"/>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8C"/>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DC"/>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2DEA"/>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6D62"/>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2EE9"/>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05D"/>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9C3"/>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5D2"/>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07"/>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B5B"/>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2D18"/>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247"/>
    <w:rsid w:val="00E15D6C"/>
    <w:rsid w:val="00E1720B"/>
    <w:rsid w:val="00E203DE"/>
    <w:rsid w:val="00E20CE7"/>
    <w:rsid w:val="00E217B1"/>
    <w:rsid w:val="00E222FA"/>
    <w:rsid w:val="00E229CE"/>
    <w:rsid w:val="00E22B4A"/>
    <w:rsid w:val="00E2376D"/>
    <w:rsid w:val="00E23CEB"/>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B4F"/>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E3B97"/>
    <w:rsid w:val="011C32AB"/>
    <w:rsid w:val="011F6449"/>
    <w:rsid w:val="01236AFB"/>
    <w:rsid w:val="01541149"/>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BE6034"/>
    <w:rsid w:val="03DD35E4"/>
    <w:rsid w:val="04076900"/>
    <w:rsid w:val="041A5A3B"/>
    <w:rsid w:val="042311BA"/>
    <w:rsid w:val="042B157A"/>
    <w:rsid w:val="044D2C6F"/>
    <w:rsid w:val="04884340"/>
    <w:rsid w:val="048F763B"/>
    <w:rsid w:val="049F330E"/>
    <w:rsid w:val="04AA775C"/>
    <w:rsid w:val="04AF1889"/>
    <w:rsid w:val="04F66F48"/>
    <w:rsid w:val="05251E14"/>
    <w:rsid w:val="053022E6"/>
    <w:rsid w:val="05393890"/>
    <w:rsid w:val="053C1FF4"/>
    <w:rsid w:val="059565ED"/>
    <w:rsid w:val="05A16594"/>
    <w:rsid w:val="05A7762D"/>
    <w:rsid w:val="060E5941"/>
    <w:rsid w:val="06110FAF"/>
    <w:rsid w:val="06493CA7"/>
    <w:rsid w:val="065A6178"/>
    <w:rsid w:val="066F1CF3"/>
    <w:rsid w:val="067F52D3"/>
    <w:rsid w:val="06930BB8"/>
    <w:rsid w:val="07245D42"/>
    <w:rsid w:val="07264C62"/>
    <w:rsid w:val="07351E35"/>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99095E"/>
    <w:rsid w:val="0BF6188C"/>
    <w:rsid w:val="0BF73C91"/>
    <w:rsid w:val="0C170175"/>
    <w:rsid w:val="0C1F16AD"/>
    <w:rsid w:val="0C403756"/>
    <w:rsid w:val="0C571A41"/>
    <w:rsid w:val="0C5C1171"/>
    <w:rsid w:val="0C5E1CBC"/>
    <w:rsid w:val="0C615B50"/>
    <w:rsid w:val="0C8445DA"/>
    <w:rsid w:val="0C87121B"/>
    <w:rsid w:val="0CC007F7"/>
    <w:rsid w:val="0CC617AC"/>
    <w:rsid w:val="0CD22F77"/>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6538BF"/>
    <w:rsid w:val="107D4B15"/>
    <w:rsid w:val="108A3C80"/>
    <w:rsid w:val="10C26171"/>
    <w:rsid w:val="10C70674"/>
    <w:rsid w:val="10F33360"/>
    <w:rsid w:val="10FC16EA"/>
    <w:rsid w:val="110F1D40"/>
    <w:rsid w:val="11266F33"/>
    <w:rsid w:val="118963A1"/>
    <w:rsid w:val="11C6522A"/>
    <w:rsid w:val="11CB5870"/>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C81A92"/>
    <w:rsid w:val="150536C3"/>
    <w:rsid w:val="150C1963"/>
    <w:rsid w:val="151447A0"/>
    <w:rsid w:val="154A6454"/>
    <w:rsid w:val="15762120"/>
    <w:rsid w:val="16A8729C"/>
    <w:rsid w:val="16B33777"/>
    <w:rsid w:val="16BC70A7"/>
    <w:rsid w:val="16C6339E"/>
    <w:rsid w:val="16EA17B8"/>
    <w:rsid w:val="172F2D79"/>
    <w:rsid w:val="17557BEF"/>
    <w:rsid w:val="17D349C1"/>
    <w:rsid w:val="1830729E"/>
    <w:rsid w:val="1870062C"/>
    <w:rsid w:val="18817102"/>
    <w:rsid w:val="18830A15"/>
    <w:rsid w:val="18852B28"/>
    <w:rsid w:val="188B5321"/>
    <w:rsid w:val="18A63700"/>
    <w:rsid w:val="196071E6"/>
    <w:rsid w:val="19932372"/>
    <w:rsid w:val="19A20DD5"/>
    <w:rsid w:val="19AE03F1"/>
    <w:rsid w:val="1A071A03"/>
    <w:rsid w:val="1A1F16AE"/>
    <w:rsid w:val="1A3B5C77"/>
    <w:rsid w:val="1A984BAD"/>
    <w:rsid w:val="1AB21997"/>
    <w:rsid w:val="1AB74606"/>
    <w:rsid w:val="1AB8220E"/>
    <w:rsid w:val="1AE4166C"/>
    <w:rsid w:val="1AF06CFB"/>
    <w:rsid w:val="1AF11B8D"/>
    <w:rsid w:val="1B11359C"/>
    <w:rsid w:val="1B2A271F"/>
    <w:rsid w:val="1B530544"/>
    <w:rsid w:val="1B713184"/>
    <w:rsid w:val="1B83082F"/>
    <w:rsid w:val="1BA209CF"/>
    <w:rsid w:val="1BB4777D"/>
    <w:rsid w:val="1BD75AB8"/>
    <w:rsid w:val="1BFF803D"/>
    <w:rsid w:val="1C0459C2"/>
    <w:rsid w:val="1C1B3B4A"/>
    <w:rsid w:val="1C88086E"/>
    <w:rsid w:val="1CFC2692"/>
    <w:rsid w:val="1D266CE1"/>
    <w:rsid w:val="1D3963AF"/>
    <w:rsid w:val="1D55566A"/>
    <w:rsid w:val="1D6A673C"/>
    <w:rsid w:val="1D9247AE"/>
    <w:rsid w:val="1DB567EC"/>
    <w:rsid w:val="1DF51A98"/>
    <w:rsid w:val="1E3D060F"/>
    <w:rsid w:val="1E3F7D2E"/>
    <w:rsid w:val="1E4134E4"/>
    <w:rsid w:val="1E5062B3"/>
    <w:rsid w:val="1E523514"/>
    <w:rsid w:val="1E714A66"/>
    <w:rsid w:val="1E802593"/>
    <w:rsid w:val="1E8B34D8"/>
    <w:rsid w:val="1E8B6156"/>
    <w:rsid w:val="1EA703CC"/>
    <w:rsid w:val="1EB7330C"/>
    <w:rsid w:val="1EBA4931"/>
    <w:rsid w:val="1EE73F05"/>
    <w:rsid w:val="1F0A0FF3"/>
    <w:rsid w:val="1F5771FF"/>
    <w:rsid w:val="1FBEFB0E"/>
    <w:rsid w:val="1FE868A9"/>
    <w:rsid w:val="1FEF81EB"/>
    <w:rsid w:val="20034907"/>
    <w:rsid w:val="20173E4B"/>
    <w:rsid w:val="204E48BC"/>
    <w:rsid w:val="20761D66"/>
    <w:rsid w:val="208921B3"/>
    <w:rsid w:val="20973DEB"/>
    <w:rsid w:val="20B26522"/>
    <w:rsid w:val="20B44310"/>
    <w:rsid w:val="211116EB"/>
    <w:rsid w:val="216133FC"/>
    <w:rsid w:val="21C1200C"/>
    <w:rsid w:val="21D56769"/>
    <w:rsid w:val="21DC2CED"/>
    <w:rsid w:val="21E52EF3"/>
    <w:rsid w:val="21FB5D7B"/>
    <w:rsid w:val="22015E94"/>
    <w:rsid w:val="220B1C3D"/>
    <w:rsid w:val="221D1D20"/>
    <w:rsid w:val="22334A87"/>
    <w:rsid w:val="226D60F0"/>
    <w:rsid w:val="22BE6801"/>
    <w:rsid w:val="23251041"/>
    <w:rsid w:val="233500BF"/>
    <w:rsid w:val="23377FF7"/>
    <w:rsid w:val="236B425F"/>
    <w:rsid w:val="23836192"/>
    <w:rsid w:val="23901F29"/>
    <w:rsid w:val="239C0061"/>
    <w:rsid w:val="23B908A4"/>
    <w:rsid w:val="23CF178A"/>
    <w:rsid w:val="23E95BEF"/>
    <w:rsid w:val="23FD0064"/>
    <w:rsid w:val="24422C3A"/>
    <w:rsid w:val="24476BBD"/>
    <w:rsid w:val="245375B0"/>
    <w:rsid w:val="24642C0A"/>
    <w:rsid w:val="24B22173"/>
    <w:rsid w:val="24B95AD9"/>
    <w:rsid w:val="24BE24DA"/>
    <w:rsid w:val="24CF5825"/>
    <w:rsid w:val="24D663E6"/>
    <w:rsid w:val="24D77F2B"/>
    <w:rsid w:val="25684F13"/>
    <w:rsid w:val="258B00E2"/>
    <w:rsid w:val="25A917A6"/>
    <w:rsid w:val="25BE27CC"/>
    <w:rsid w:val="25CC175F"/>
    <w:rsid w:val="25F74A5C"/>
    <w:rsid w:val="2628662C"/>
    <w:rsid w:val="262D45DE"/>
    <w:rsid w:val="26871DC8"/>
    <w:rsid w:val="26A53EF9"/>
    <w:rsid w:val="26A94201"/>
    <w:rsid w:val="26AC274F"/>
    <w:rsid w:val="27044A29"/>
    <w:rsid w:val="271D34C8"/>
    <w:rsid w:val="276142BF"/>
    <w:rsid w:val="27783712"/>
    <w:rsid w:val="27907362"/>
    <w:rsid w:val="27E17931"/>
    <w:rsid w:val="28333E1D"/>
    <w:rsid w:val="28454BD6"/>
    <w:rsid w:val="28455253"/>
    <w:rsid w:val="28551971"/>
    <w:rsid w:val="285B1C53"/>
    <w:rsid w:val="289F7086"/>
    <w:rsid w:val="28C32028"/>
    <w:rsid w:val="28CC490F"/>
    <w:rsid w:val="28DE40AA"/>
    <w:rsid w:val="29345E77"/>
    <w:rsid w:val="29363ABF"/>
    <w:rsid w:val="294C65AD"/>
    <w:rsid w:val="29806583"/>
    <w:rsid w:val="298B3C4C"/>
    <w:rsid w:val="29B652B8"/>
    <w:rsid w:val="29D90840"/>
    <w:rsid w:val="29F26D24"/>
    <w:rsid w:val="2A15033F"/>
    <w:rsid w:val="2A1662C1"/>
    <w:rsid w:val="2A1C7367"/>
    <w:rsid w:val="2A246A79"/>
    <w:rsid w:val="2A2815FA"/>
    <w:rsid w:val="2A6D6092"/>
    <w:rsid w:val="2A7A1FF0"/>
    <w:rsid w:val="2A7D76B4"/>
    <w:rsid w:val="2B2D5F15"/>
    <w:rsid w:val="2B406152"/>
    <w:rsid w:val="2B437463"/>
    <w:rsid w:val="2B7807EE"/>
    <w:rsid w:val="2B7A0324"/>
    <w:rsid w:val="2B966A97"/>
    <w:rsid w:val="2BA50BF7"/>
    <w:rsid w:val="2BBF00EC"/>
    <w:rsid w:val="2BC37CFD"/>
    <w:rsid w:val="2BD5237F"/>
    <w:rsid w:val="2BE536CE"/>
    <w:rsid w:val="2BE758D9"/>
    <w:rsid w:val="2C09049E"/>
    <w:rsid w:val="2C0A653C"/>
    <w:rsid w:val="2C191F85"/>
    <w:rsid w:val="2C4B376B"/>
    <w:rsid w:val="2CE82D6F"/>
    <w:rsid w:val="2D343236"/>
    <w:rsid w:val="2DD15014"/>
    <w:rsid w:val="2DF72DE4"/>
    <w:rsid w:val="2E0220AF"/>
    <w:rsid w:val="2E4B082A"/>
    <w:rsid w:val="2E5D4E86"/>
    <w:rsid w:val="2E5D790B"/>
    <w:rsid w:val="2E9A3C18"/>
    <w:rsid w:val="2EBB0FEE"/>
    <w:rsid w:val="2EC63002"/>
    <w:rsid w:val="2F0A6B38"/>
    <w:rsid w:val="2F0E3BA3"/>
    <w:rsid w:val="2F7F85A2"/>
    <w:rsid w:val="2F946CCB"/>
    <w:rsid w:val="2FD25781"/>
    <w:rsid w:val="2FDC745C"/>
    <w:rsid w:val="2FFD7934"/>
    <w:rsid w:val="30733ACD"/>
    <w:rsid w:val="30767F8E"/>
    <w:rsid w:val="308C3862"/>
    <w:rsid w:val="309379D8"/>
    <w:rsid w:val="30A270F7"/>
    <w:rsid w:val="30DF1478"/>
    <w:rsid w:val="30EC586F"/>
    <w:rsid w:val="313308E4"/>
    <w:rsid w:val="31933ADE"/>
    <w:rsid w:val="319C6071"/>
    <w:rsid w:val="31AC537E"/>
    <w:rsid w:val="31E3679B"/>
    <w:rsid w:val="31E732FD"/>
    <w:rsid w:val="32076C52"/>
    <w:rsid w:val="324B0876"/>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CE591D"/>
    <w:rsid w:val="34FA6E12"/>
    <w:rsid w:val="354D7158"/>
    <w:rsid w:val="355A4115"/>
    <w:rsid w:val="358D5588"/>
    <w:rsid w:val="35BB2355"/>
    <w:rsid w:val="35EF75B4"/>
    <w:rsid w:val="363A3B40"/>
    <w:rsid w:val="365302AE"/>
    <w:rsid w:val="36607A0A"/>
    <w:rsid w:val="366E227C"/>
    <w:rsid w:val="366F2E0D"/>
    <w:rsid w:val="367B6A5C"/>
    <w:rsid w:val="369E361B"/>
    <w:rsid w:val="36A74ADA"/>
    <w:rsid w:val="36AD60D5"/>
    <w:rsid w:val="36B224F9"/>
    <w:rsid w:val="36EC0CC9"/>
    <w:rsid w:val="37377380"/>
    <w:rsid w:val="373F410B"/>
    <w:rsid w:val="37B02C8E"/>
    <w:rsid w:val="37EE7094"/>
    <w:rsid w:val="38296C89"/>
    <w:rsid w:val="383002EB"/>
    <w:rsid w:val="38471845"/>
    <w:rsid w:val="38586797"/>
    <w:rsid w:val="38BC0149"/>
    <w:rsid w:val="38D87D1C"/>
    <w:rsid w:val="3925145A"/>
    <w:rsid w:val="39636459"/>
    <w:rsid w:val="396B7F6C"/>
    <w:rsid w:val="39B417A9"/>
    <w:rsid w:val="39FC5695"/>
    <w:rsid w:val="3A006D8E"/>
    <w:rsid w:val="3A3651E5"/>
    <w:rsid w:val="3A744481"/>
    <w:rsid w:val="3A772A1D"/>
    <w:rsid w:val="3A8C7BEF"/>
    <w:rsid w:val="3A906246"/>
    <w:rsid w:val="3B2349B7"/>
    <w:rsid w:val="3B616CFF"/>
    <w:rsid w:val="3B6259F6"/>
    <w:rsid w:val="3B700132"/>
    <w:rsid w:val="3B976654"/>
    <w:rsid w:val="3BC01EFC"/>
    <w:rsid w:val="3BCA786A"/>
    <w:rsid w:val="3BD31E2F"/>
    <w:rsid w:val="3BF15831"/>
    <w:rsid w:val="3C105946"/>
    <w:rsid w:val="3C471448"/>
    <w:rsid w:val="3C5F759A"/>
    <w:rsid w:val="3C6436E5"/>
    <w:rsid w:val="3C6C525A"/>
    <w:rsid w:val="3CCE23CB"/>
    <w:rsid w:val="3CD17D17"/>
    <w:rsid w:val="3D3C7F39"/>
    <w:rsid w:val="3D440F09"/>
    <w:rsid w:val="3D4504A0"/>
    <w:rsid w:val="3D8734BB"/>
    <w:rsid w:val="3D9A11D4"/>
    <w:rsid w:val="3DA16D89"/>
    <w:rsid w:val="3DA364BE"/>
    <w:rsid w:val="3DB8289D"/>
    <w:rsid w:val="3DE041CB"/>
    <w:rsid w:val="3DFB41C4"/>
    <w:rsid w:val="3E0D48F6"/>
    <w:rsid w:val="3E1868B4"/>
    <w:rsid w:val="3E377251"/>
    <w:rsid w:val="3E42664B"/>
    <w:rsid w:val="3E5A7334"/>
    <w:rsid w:val="3E7B5D6B"/>
    <w:rsid w:val="3E843E66"/>
    <w:rsid w:val="3E8F51FE"/>
    <w:rsid w:val="3E926F87"/>
    <w:rsid w:val="3E9A59DE"/>
    <w:rsid w:val="3EAF4836"/>
    <w:rsid w:val="3EBB57EB"/>
    <w:rsid w:val="3EC33DFA"/>
    <w:rsid w:val="3EDF3E8F"/>
    <w:rsid w:val="3F060E16"/>
    <w:rsid w:val="3F1D1096"/>
    <w:rsid w:val="3F2F0234"/>
    <w:rsid w:val="3F4000D4"/>
    <w:rsid w:val="3F6363FE"/>
    <w:rsid w:val="3F756B8F"/>
    <w:rsid w:val="3F95482B"/>
    <w:rsid w:val="4019356B"/>
    <w:rsid w:val="40592157"/>
    <w:rsid w:val="406E1CAE"/>
    <w:rsid w:val="40A0133A"/>
    <w:rsid w:val="40C31A53"/>
    <w:rsid w:val="40FF545D"/>
    <w:rsid w:val="410067C8"/>
    <w:rsid w:val="418F0D2A"/>
    <w:rsid w:val="41D01505"/>
    <w:rsid w:val="42310E70"/>
    <w:rsid w:val="42474939"/>
    <w:rsid w:val="424C3C57"/>
    <w:rsid w:val="42613FF3"/>
    <w:rsid w:val="42660D96"/>
    <w:rsid w:val="428667D2"/>
    <w:rsid w:val="42CD1CE0"/>
    <w:rsid w:val="42E1381E"/>
    <w:rsid w:val="42ED6459"/>
    <w:rsid w:val="42FE58DD"/>
    <w:rsid w:val="43174B3D"/>
    <w:rsid w:val="43474996"/>
    <w:rsid w:val="434B790E"/>
    <w:rsid w:val="4360274F"/>
    <w:rsid w:val="43977AB6"/>
    <w:rsid w:val="439A302D"/>
    <w:rsid w:val="43A3342B"/>
    <w:rsid w:val="43C77C27"/>
    <w:rsid w:val="43DE09EE"/>
    <w:rsid w:val="43F565F9"/>
    <w:rsid w:val="44002FAD"/>
    <w:rsid w:val="449101DD"/>
    <w:rsid w:val="44DE1391"/>
    <w:rsid w:val="451B225C"/>
    <w:rsid w:val="452410C9"/>
    <w:rsid w:val="45317DFB"/>
    <w:rsid w:val="45425A4E"/>
    <w:rsid w:val="45450AE9"/>
    <w:rsid w:val="456D3CE4"/>
    <w:rsid w:val="4579042C"/>
    <w:rsid w:val="457F0571"/>
    <w:rsid w:val="45851176"/>
    <w:rsid w:val="45C63B94"/>
    <w:rsid w:val="460E7DA5"/>
    <w:rsid w:val="462D48B7"/>
    <w:rsid w:val="46422483"/>
    <w:rsid w:val="4659254A"/>
    <w:rsid w:val="465B0637"/>
    <w:rsid w:val="465E3F0D"/>
    <w:rsid w:val="466A16E6"/>
    <w:rsid w:val="46893F2B"/>
    <w:rsid w:val="46BA7686"/>
    <w:rsid w:val="46C4686E"/>
    <w:rsid w:val="472C0120"/>
    <w:rsid w:val="475C24EB"/>
    <w:rsid w:val="477B778F"/>
    <w:rsid w:val="478203EC"/>
    <w:rsid w:val="47B025FA"/>
    <w:rsid w:val="4809698F"/>
    <w:rsid w:val="4811697D"/>
    <w:rsid w:val="487A3E25"/>
    <w:rsid w:val="488B5503"/>
    <w:rsid w:val="48937E21"/>
    <w:rsid w:val="489A0361"/>
    <w:rsid w:val="48AD5BBF"/>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7BE4E4"/>
    <w:rsid w:val="4B9739F7"/>
    <w:rsid w:val="4BEE2503"/>
    <w:rsid w:val="4C245A30"/>
    <w:rsid w:val="4CB6685F"/>
    <w:rsid w:val="4CC367FE"/>
    <w:rsid w:val="4D077F3C"/>
    <w:rsid w:val="4D123355"/>
    <w:rsid w:val="4D2A3B31"/>
    <w:rsid w:val="4D312C52"/>
    <w:rsid w:val="4D422183"/>
    <w:rsid w:val="4D8D46D3"/>
    <w:rsid w:val="4D905305"/>
    <w:rsid w:val="4D964A72"/>
    <w:rsid w:val="4D9C1254"/>
    <w:rsid w:val="4D9C6E2F"/>
    <w:rsid w:val="4E693057"/>
    <w:rsid w:val="4E793892"/>
    <w:rsid w:val="4E800872"/>
    <w:rsid w:val="4E915170"/>
    <w:rsid w:val="4EC5306C"/>
    <w:rsid w:val="4EC569ED"/>
    <w:rsid w:val="4ED4505D"/>
    <w:rsid w:val="4ED50EA1"/>
    <w:rsid w:val="4ED7026C"/>
    <w:rsid w:val="4EEC050C"/>
    <w:rsid w:val="4F104EC3"/>
    <w:rsid w:val="4F47354A"/>
    <w:rsid w:val="4F911C54"/>
    <w:rsid w:val="4FE625E0"/>
    <w:rsid w:val="50045C0C"/>
    <w:rsid w:val="50097733"/>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3175B"/>
    <w:rsid w:val="53544462"/>
    <w:rsid w:val="53671FB1"/>
    <w:rsid w:val="5397158E"/>
    <w:rsid w:val="54013861"/>
    <w:rsid w:val="54487265"/>
    <w:rsid w:val="544D6070"/>
    <w:rsid w:val="54605E1E"/>
    <w:rsid w:val="54B3506A"/>
    <w:rsid w:val="54CA0D16"/>
    <w:rsid w:val="54DD4057"/>
    <w:rsid w:val="54E7490F"/>
    <w:rsid w:val="550764A4"/>
    <w:rsid w:val="550B2BF6"/>
    <w:rsid w:val="55214EB5"/>
    <w:rsid w:val="552A2BBF"/>
    <w:rsid w:val="55364EFD"/>
    <w:rsid w:val="55544871"/>
    <w:rsid w:val="555D4828"/>
    <w:rsid w:val="557A4C8B"/>
    <w:rsid w:val="558931E1"/>
    <w:rsid w:val="55923347"/>
    <w:rsid w:val="55925180"/>
    <w:rsid w:val="55983B1B"/>
    <w:rsid w:val="55A8376B"/>
    <w:rsid w:val="55DC29B6"/>
    <w:rsid w:val="55DD4241"/>
    <w:rsid w:val="566B6D1E"/>
    <w:rsid w:val="56A7044E"/>
    <w:rsid w:val="57032A2C"/>
    <w:rsid w:val="570452C9"/>
    <w:rsid w:val="570F5219"/>
    <w:rsid w:val="5733704C"/>
    <w:rsid w:val="575D12B5"/>
    <w:rsid w:val="57610A87"/>
    <w:rsid w:val="577B1140"/>
    <w:rsid w:val="577B7F21"/>
    <w:rsid w:val="577F181B"/>
    <w:rsid w:val="57921984"/>
    <w:rsid w:val="579737F0"/>
    <w:rsid w:val="57AB7B30"/>
    <w:rsid w:val="57AF5251"/>
    <w:rsid w:val="57B26373"/>
    <w:rsid w:val="57B35D3A"/>
    <w:rsid w:val="57B63F04"/>
    <w:rsid w:val="57CD20C2"/>
    <w:rsid w:val="57D675AB"/>
    <w:rsid w:val="57D95FDD"/>
    <w:rsid w:val="58103758"/>
    <w:rsid w:val="582708F3"/>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35357"/>
    <w:rsid w:val="5B843A1C"/>
    <w:rsid w:val="5B873E3F"/>
    <w:rsid w:val="5BF34B8F"/>
    <w:rsid w:val="5BFF3326"/>
    <w:rsid w:val="5C02690E"/>
    <w:rsid w:val="5C196DA7"/>
    <w:rsid w:val="5C2A048C"/>
    <w:rsid w:val="5C80234E"/>
    <w:rsid w:val="5C8A680C"/>
    <w:rsid w:val="5C98591B"/>
    <w:rsid w:val="5D061C6C"/>
    <w:rsid w:val="5D0C4701"/>
    <w:rsid w:val="5D0F0395"/>
    <w:rsid w:val="5D221076"/>
    <w:rsid w:val="5D235B2D"/>
    <w:rsid w:val="5D397964"/>
    <w:rsid w:val="5D3E36E0"/>
    <w:rsid w:val="5D5A391C"/>
    <w:rsid w:val="5D5F10C0"/>
    <w:rsid w:val="5D891B7B"/>
    <w:rsid w:val="5DAD38EE"/>
    <w:rsid w:val="5DCA7D57"/>
    <w:rsid w:val="5DE16345"/>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B2783"/>
    <w:rsid w:val="5F8D0B82"/>
    <w:rsid w:val="5FCC5339"/>
    <w:rsid w:val="5FE34A5B"/>
    <w:rsid w:val="5FFE1E36"/>
    <w:rsid w:val="60232584"/>
    <w:rsid w:val="607330CE"/>
    <w:rsid w:val="60825176"/>
    <w:rsid w:val="609F2AC4"/>
    <w:rsid w:val="60C413D5"/>
    <w:rsid w:val="60FA2EE8"/>
    <w:rsid w:val="61054A27"/>
    <w:rsid w:val="610A52BC"/>
    <w:rsid w:val="611D2366"/>
    <w:rsid w:val="61421856"/>
    <w:rsid w:val="61473390"/>
    <w:rsid w:val="615227C4"/>
    <w:rsid w:val="61524EF4"/>
    <w:rsid w:val="61654E3F"/>
    <w:rsid w:val="6182292A"/>
    <w:rsid w:val="619F7F92"/>
    <w:rsid w:val="61E760F3"/>
    <w:rsid w:val="61F94C26"/>
    <w:rsid w:val="62000E56"/>
    <w:rsid w:val="624F3E49"/>
    <w:rsid w:val="62632286"/>
    <w:rsid w:val="62885958"/>
    <w:rsid w:val="62C76317"/>
    <w:rsid w:val="62F40B65"/>
    <w:rsid w:val="62FC2CFE"/>
    <w:rsid w:val="63024505"/>
    <w:rsid w:val="63507DF2"/>
    <w:rsid w:val="635600A5"/>
    <w:rsid w:val="635B1DB5"/>
    <w:rsid w:val="63711FED"/>
    <w:rsid w:val="63880DDC"/>
    <w:rsid w:val="638D750D"/>
    <w:rsid w:val="63AC6CC0"/>
    <w:rsid w:val="64055776"/>
    <w:rsid w:val="64240056"/>
    <w:rsid w:val="643E143A"/>
    <w:rsid w:val="64491666"/>
    <w:rsid w:val="647924D6"/>
    <w:rsid w:val="648B6EEF"/>
    <w:rsid w:val="64C158BF"/>
    <w:rsid w:val="64CE2EAA"/>
    <w:rsid w:val="653C3090"/>
    <w:rsid w:val="65854376"/>
    <w:rsid w:val="6586246E"/>
    <w:rsid w:val="658767BE"/>
    <w:rsid w:val="65892531"/>
    <w:rsid w:val="66195831"/>
    <w:rsid w:val="662E75B1"/>
    <w:rsid w:val="66342C2E"/>
    <w:rsid w:val="663E784C"/>
    <w:rsid w:val="668B6A45"/>
    <w:rsid w:val="672F3F24"/>
    <w:rsid w:val="673E055F"/>
    <w:rsid w:val="67551CE3"/>
    <w:rsid w:val="67A22552"/>
    <w:rsid w:val="67B22DCC"/>
    <w:rsid w:val="67B87403"/>
    <w:rsid w:val="67BE71AA"/>
    <w:rsid w:val="67C2339D"/>
    <w:rsid w:val="67D90273"/>
    <w:rsid w:val="67DE5875"/>
    <w:rsid w:val="67E55852"/>
    <w:rsid w:val="67EB1AB4"/>
    <w:rsid w:val="67FA1285"/>
    <w:rsid w:val="68551F4F"/>
    <w:rsid w:val="686408B6"/>
    <w:rsid w:val="687C10C9"/>
    <w:rsid w:val="68840C16"/>
    <w:rsid w:val="68876EFB"/>
    <w:rsid w:val="68884654"/>
    <w:rsid w:val="68982ED4"/>
    <w:rsid w:val="689F444F"/>
    <w:rsid w:val="68B96DBB"/>
    <w:rsid w:val="68CA2805"/>
    <w:rsid w:val="68E937A3"/>
    <w:rsid w:val="693E15D3"/>
    <w:rsid w:val="69627681"/>
    <w:rsid w:val="6977531D"/>
    <w:rsid w:val="69CC2BFF"/>
    <w:rsid w:val="69FD55B8"/>
    <w:rsid w:val="6A0B1C62"/>
    <w:rsid w:val="6A2406C8"/>
    <w:rsid w:val="6A6C124E"/>
    <w:rsid w:val="6ADE0BD1"/>
    <w:rsid w:val="6AE96859"/>
    <w:rsid w:val="6B147746"/>
    <w:rsid w:val="6B24787C"/>
    <w:rsid w:val="6B573233"/>
    <w:rsid w:val="6B5B6274"/>
    <w:rsid w:val="6B935D53"/>
    <w:rsid w:val="6BA34B63"/>
    <w:rsid w:val="6C196F71"/>
    <w:rsid w:val="6C226FCB"/>
    <w:rsid w:val="6C31226F"/>
    <w:rsid w:val="6C552F0B"/>
    <w:rsid w:val="6C8C67B7"/>
    <w:rsid w:val="6C9D744C"/>
    <w:rsid w:val="6D167928"/>
    <w:rsid w:val="6D26299B"/>
    <w:rsid w:val="6D4772EC"/>
    <w:rsid w:val="6D8E4EF3"/>
    <w:rsid w:val="6D9078AF"/>
    <w:rsid w:val="6D9B3275"/>
    <w:rsid w:val="6DAA3FEF"/>
    <w:rsid w:val="6DBE0F5A"/>
    <w:rsid w:val="6DC0172B"/>
    <w:rsid w:val="6DCB690C"/>
    <w:rsid w:val="6DD41A5B"/>
    <w:rsid w:val="6DF43C2E"/>
    <w:rsid w:val="6DF51CA3"/>
    <w:rsid w:val="6E8335BD"/>
    <w:rsid w:val="6E8E12EF"/>
    <w:rsid w:val="6E972936"/>
    <w:rsid w:val="6ED446C5"/>
    <w:rsid w:val="6F2A7D94"/>
    <w:rsid w:val="6F4436E1"/>
    <w:rsid w:val="6F632E9C"/>
    <w:rsid w:val="6F8331F1"/>
    <w:rsid w:val="6FAA5C3A"/>
    <w:rsid w:val="6FAE1A09"/>
    <w:rsid w:val="6FD75BF8"/>
    <w:rsid w:val="6FFF1196"/>
    <w:rsid w:val="70594C86"/>
    <w:rsid w:val="70644E8B"/>
    <w:rsid w:val="707723D0"/>
    <w:rsid w:val="70F5661B"/>
    <w:rsid w:val="71360107"/>
    <w:rsid w:val="713B688E"/>
    <w:rsid w:val="713E488C"/>
    <w:rsid w:val="71D43752"/>
    <w:rsid w:val="71F1796A"/>
    <w:rsid w:val="72154626"/>
    <w:rsid w:val="72262B5D"/>
    <w:rsid w:val="72283FF7"/>
    <w:rsid w:val="722E7212"/>
    <w:rsid w:val="723A0474"/>
    <w:rsid w:val="725923E4"/>
    <w:rsid w:val="727E0840"/>
    <w:rsid w:val="72864BF7"/>
    <w:rsid w:val="729023FC"/>
    <w:rsid w:val="72C45265"/>
    <w:rsid w:val="73C0646E"/>
    <w:rsid w:val="742222F5"/>
    <w:rsid w:val="74476126"/>
    <w:rsid w:val="74706664"/>
    <w:rsid w:val="747F3682"/>
    <w:rsid w:val="749C4185"/>
    <w:rsid w:val="75067759"/>
    <w:rsid w:val="752E6DCD"/>
    <w:rsid w:val="7551380D"/>
    <w:rsid w:val="75600BE5"/>
    <w:rsid w:val="7564475C"/>
    <w:rsid w:val="7583797F"/>
    <w:rsid w:val="758B5587"/>
    <w:rsid w:val="75D20F1D"/>
    <w:rsid w:val="75DA2C18"/>
    <w:rsid w:val="75F54412"/>
    <w:rsid w:val="761D08E0"/>
    <w:rsid w:val="765D347C"/>
    <w:rsid w:val="76826699"/>
    <w:rsid w:val="76C87133"/>
    <w:rsid w:val="76CD08D5"/>
    <w:rsid w:val="76D86CF7"/>
    <w:rsid w:val="76DB4B92"/>
    <w:rsid w:val="77052AA4"/>
    <w:rsid w:val="77136511"/>
    <w:rsid w:val="77340A39"/>
    <w:rsid w:val="77351FD0"/>
    <w:rsid w:val="77472422"/>
    <w:rsid w:val="777F31F2"/>
    <w:rsid w:val="77B533CE"/>
    <w:rsid w:val="77D1700D"/>
    <w:rsid w:val="77EC04CC"/>
    <w:rsid w:val="78775729"/>
    <w:rsid w:val="78A42DB0"/>
    <w:rsid w:val="78A656AB"/>
    <w:rsid w:val="78B2245C"/>
    <w:rsid w:val="78BF38D0"/>
    <w:rsid w:val="78E172CC"/>
    <w:rsid w:val="78EA1D1F"/>
    <w:rsid w:val="7904172F"/>
    <w:rsid w:val="790F7E27"/>
    <w:rsid w:val="792A231A"/>
    <w:rsid w:val="79316829"/>
    <w:rsid w:val="797E66A9"/>
    <w:rsid w:val="798518A4"/>
    <w:rsid w:val="79A97383"/>
    <w:rsid w:val="79BD70A9"/>
    <w:rsid w:val="79E27E8B"/>
    <w:rsid w:val="79F850CE"/>
    <w:rsid w:val="79FD443C"/>
    <w:rsid w:val="7A1D1975"/>
    <w:rsid w:val="7A3E5150"/>
    <w:rsid w:val="7A4670D6"/>
    <w:rsid w:val="7A534B63"/>
    <w:rsid w:val="7A615382"/>
    <w:rsid w:val="7A67303B"/>
    <w:rsid w:val="7A852E5D"/>
    <w:rsid w:val="7AAB1D04"/>
    <w:rsid w:val="7ABA4368"/>
    <w:rsid w:val="7AD05746"/>
    <w:rsid w:val="7B257FFD"/>
    <w:rsid w:val="7B343476"/>
    <w:rsid w:val="7B5A2978"/>
    <w:rsid w:val="7B5A7E4C"/>
    <w:rsid w:val="7B667AF9"/>
    <w:rsid w:val="7B7468F8"/>
    <w:rsid w:val="7B904755"/>
    <w:rsid w:val="7BEE0103"/>
    <w:rsid w:val="7C0A0FE4"/>
    <w:rsid w:val="7C1C0071"/>
    <w:rsid w:val="7C254906"/>
    <w:rsid w:val="7C590818"/>
    <w:rsid w:val="7C7C10F6"/>
    <w:rsid w:val="7C853BEA"/>
    <w:rsid w:val="7C881368"/>
    <w:rsid w:val="7CE27788"/>
    <w:rsid w:val="7D0C32F1"/>
    <w:rsid w:val="7D0F408D"/>
    <w:rsid w:val="7D491C6C"/>
    <w:rsid w:val="7D5429C0"/>
    <w:rsid w:val="7D6E6D43"/>
    <w:rsid w:val="7DB57A34"/>
    <w:rsid w:val="7DE60973"/>
    <w:rsid w:val="7DEF0916"/>
    <w:rsid w:val="7E0929FF"/>
    <w:rsid w:val="7E1E5218"/>
    <w:rsid w:val="7E3231B3"/>
    <w:rsid w:val="7E9A4E1F"/>
    <w:rsid w:val="7E9E4952"/>
    <w:rsid w:val="7EA7723A"/>
    <w:rsid w:val="7EF56FBB"/>
    <w:rsid w:val="7F0768EB"/>
    <w:rsid w:val="7F143BEC"/>
    <w:rsid w:val="7F715AF2"/>
    <w:rsid w:val="7F886E69"/>
    <w:rsid w:val="7FD503A0"/>
    <w:rsid w:val="9CFDBD1B"/>
    <w:rsid w:val="BB7FA927"/>
    <w:rsid w:val="BBF91708"/>
    <w:rsid w:val="CF3C44E9"/>
    <w:rsid w:val="D3FB378E"/>
    <w:rsid w:val="EDDB176E"/>
    <w:rsid w:val="EDF64A4E"/>
    <w:rsid w:val="F5FFD31F"/>
    <w:rsid w:val="FC7F90B0"/>
    <w:rsid w:val="FDDFE25C"/>
    <w:rsid w:val="FDFE24BB"/>
    <w:rsid w:val="FFA83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8"/>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1"/>
    <w:qFormat/>
    <w:uiPriority w:val="0"/>
    <w:pPr>
      <w:shd w:val="clear" w:color="auto" w:fill="000080"/>
    </w:pPr>
  </w:style>
  <w:style w:type="paragraph" w:styleId="19">
    <w:name w:val="annotation text"/>
    <w:basedOn w:val="1"/>
    <w:link w:val="343"/>
    <w:qFormat/>
    <w:uiPriority w:val="99"/>
    <w:pPr>
      <w:jc w:val="left"/>
    </w:pPr>
  </w:style>
  <w:style w:type="paragraph" w:styleId="20">
    <w:name w:val="Salutation"/>
    <w:basedOn w:val="1"/>
    <w:next w:val="1"/>
    <w:link w:val="297"/>
    <w:qFormat/>
    <w:uiPriority w:val="0"/>
    <w:rPr>
      <w:rFonts w:ascii="仿宋_GB2312" w:eastAsia="仿宋_GB2312"/>
      <w:sz w:val="28"/>
      <w:szCs w:val="20"/>
    </w:rPr>
  </w:style>
  <w:style w:type="paragraph" w:styleId="21">
    <w:name w:val="Body Text 3"/>
    <w:basedOn w:val="1"/>
    <w:link w:val="329"/>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4"/>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0"/>
    <w:qFormat/>
    <w:uiPriority w:val="0"/>
    <w:pPr>
      <w:ind w:left="100" w:leftChars="2500"/>
    </w:pPr>
    <w:rPr>
      <w:rFonts w:ascii="宋体"/>
      <w:sz w:val="24"/>
      <w:szCs w:val="21"/>
      <w:lang w:val="zh-CN"/>
    </w:rPr>
  </w:style>
  <w:style w:type="paragraph" w:styleId="36">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7">
    <w:name w:val="endnote text"/>
    <w:basedOn w:val="1"/>
    <w:link w:val="931"/>
    <w:qFormat/>
    <w:uiPriority w:val="0"/>
    <w:rPr>
      <w:lang w:val="zh-CN"/>
    </w:rPr>
  </w:style>
  <w:style w:type="paragraph" w:styleId="38">
    <w:name w:val="Balloon Text"/>
    <w:basedOn w:val="1"/>
    <w:link w:val="187"/>
    <w:qFormat/>
    <w:uiPriority w:val="0"/>
    <w:rPr>
      <w:sz w:val="18"/>
      <w:szCs w:val="18"/>
    </w:rPr>
  </w:style>
  <w:style w:type="paragraph" w:styleId="39">
    <w:name w:val="footer"/>
    <w:basedOn w:val="1"/>
    <w:link w:val="382"/>
    <w:qFormat/>
    <w:uiPriority w:val="99"/>
    <w:pPr>
      <w:tabs>
        <w:tab w:val="center" w:pos="4153"/>
        <w:tab w:val="right" w:pos="8306"/>
      </w:tabs>
      <w:snapToGrid w:val="0"/>
      <w:jc w:val="left"/>
    </w:pPr>
    <w:rPr>
      <w:sz w:val="18"/>
      <w:szCs w:val="18"/>
    </w:rPr>
  </w:style>
  <w:style w:type="paragraph" w:styleId="40">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4"/>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1"/>
    <w:qFormat/>
    <w:uiPriority w:val="0"/>
    <w:pPr>
      <w:spacing w:after="120" w:line="480" w:lineRule="auto"/>
    </w:pPr>
  </w:style>
  <w:style w:type="paragraph" w:styleId="56">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5"/>
    <w:qFormat/>
    <w:uiPriority w:val="0"/>
    <w:rPr>
      <w:b/>
      <w:bCs/>
    </w:rPr>
  </w:style>
  <w:style w:type="paragraph" w:styleId="60">
    <w:name w:val="Body Text First Indent"/>
    <w:basedOn w:val="23"/>
    <w:link w:val="320"/>
    <w:qFormat/>
    <w:uiPriority w:val="0"/>
    <w:pPr>
      <w:ind w:firstLine="420"/>
    </w:pPr>
    <w:rPr>
      <w:rFonts w:hAnsi="Calibri" w:cs="Times New Roman"/>
      <w:snapToGrid/>
      <w:szCs w:val="20"/>
    </w:rPr>
  </w:style>
  <w:style w:type="paragraph" w:styleId="61">
    <w:name w:val="Body Text First Indent 2"/>
    <w:basedOn w:val="24"/>
    <w:link w:val="12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正文空2字"/>
    <w:basedOn w:val="8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qFormat/>
    <w:uiPriority w:val="99"/>
    <w:rPr>
      <w:rFonts w:ascii="Calibri" w:hAnsi="Calibri" w:eastAsia="仿宋_GB2312" w:cs="Calibri"/>
      <w:kern w:val="2"/>
      <w:sz w:val="32"/>
      <w:szCs w:val="32"/>
      <w:lang w:val="en-US" w:eastAsia="zh-CN" w:bidi="ar-SA"/>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59"/>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1"/>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9"/>
    <w:qFormat/>
    <w:uiPriority w:val="0"/>
    <w:rPr>
      <w:rFonts w:ascii="Arial" w:hAnsi="Arial" w:eastAsia="黑体" w:cs="Arial"/>
      <w:snapToGrid w:val="0"/>
      <w:kern w:val="0"/>
      <w:szCs w:val="21"/>
    </w:rPr>
  </w:style>
  <w:style w:type="character" w:customStyle="1" w:styleId="124">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6"/>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5"/>
    <w:qFormat/>
    <w:uiPriority w:val="0"/>
    <w:rPr>
      <w:rFonts w:ascii="宋体"/>
      <w:kern w:val="2"/>
      <w:sz w:val="24"/>
      <w:szCs w:val="21"/>
      <w:lang w:val="zh-CN"/>
    </w:rPr>
  </w:style>
  <w:style w:type="character" w:customStyle="1" w:styleId="181">
    <w:name w:val="标题 9 Char"/>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38"/>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8"/>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69"/>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29"/>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6"/>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4"/>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58"/>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0"/>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6"/>
    <w:qFormat/>
    <w:uiPriority w:val="0"/>
    <w:rPr>
      <w:rFonts w:ascii="黑体" w:hAnsi="Courier New" w:eastAsia="黑体"/>
    </w:rPr>
  </w:style>
  <w:style w:type="character" w:customStyle="1" w:styleId="301">
    <w:name w:val="正文文本 2 Char1"/>
    <w:link w:val="55"/>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6"/>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49"/>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0"/>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1"/>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qFormat/>
    <w:uiPriority w:val="0"/>
    <w:rPr>
      <w:kern w:val="2"/>
      <w:sz w:val="21"/>
      <w:szCs w:val="24"/>
    </w:rPr>
  </w:style>
  <w:style w:type="character" w:customStyle="1" w:styleId="344">
    <w:name w:val="签名 Char"/>
    <w:link w:val="41"/>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2"/>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39"/>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0"/>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5"/>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6"/>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7"/>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77</Pages>
  <Words>307</Words>
  <Characters>336</Characters>
  <Lines>287</Lines>
  <Paragraphs>80</Paragraphs>
  <TotalTime>9</TotalTime>
  <ScaleCrop>false</ScaleCrop>
  <LinksUpToDate>false</LinksUpToDate>
  <CharactersWithSpaces>444</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2021-08-02T16:22:00Z</dcterms:created>
  <dc:creator>玥</dc:creator>
  <cp:lastModifiedBy>huawei</cp:lastModifiedBy>
  <cp:lastPrinted>2021-12-30T19:06:00Z</cp:lastPrinted>
  <dcterms:modified xsi:type="dcterms:W3CDTF">2026-06-15T09:11:21Z</dcterms:modified>
  <dc:title>杭州市市民卡扩大发卡工程</dc:title>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4DAF1759F0C18521212E266A78B84C8B</vt:lpwstr>
  </property>
  <property fmtid="{D5CDD505-2E9C-101B-9397-08002B2CF9AE}" pid="5" name="KSOTemplateDocerSaveRecord">
    <vt:lpwstr>eyJoZGlkIjoiYmMxZDI1ODlhNWRlYjkxN2VjODFmOWI0MTRiZWU2ZjUiLCJ1c2VySWQiOiIzMTExNjMyNDAifQ==</vt:lpwstr>
  </property>
</Properties>
</file>