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6"/>
        <w:jc w:val="center"/>
        <w:spacing w:line="360" w:lineRule="auto"/>
        <w:shd w:val="clear" w:color="auto" w:fill="ffffff"/>
        <w:widowControl/>
        <w:rPr>
          <w:rFonts w:hint="eastAsia" w:ascii="宋体" w:hAnsi="宋体"/>
          <w:b/>
          <w:color w:val="000000"/>
          <w:sz w:val="48"/>
          <w:szCs w:val="48"/>
          <w:highlight w:val="none"/>
        </w:rPr>
      </w:pPr>
      <w:r>
        <w:rPr>
          <w:rFonts w:hint="eastAsia" w:ascii="宋体" w:hAnsi="宋体"/>
          <w:b/>
          <w:color w:val="000000"/>
          <w:sz w:val="48"/>
          <w:szCs w:val="48"/>
          <w:highlight w:val="none"/>
        </w:rPr>
      </w:r>
      <w:r/>
    </w:p>
    <w:p>
      <w:pPr>
        <w:pStyle w:val="1256"/>
        <w:spacing w:line="360" w:lineRule="auto"/>
        <w:shd w:val="clear" w:color="auto" w:fill="ffffff"/>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56"/>
        <w:jc w:val="center"/>
        <w:spacing w:line="360" w:lineRule="auto"/>
        <w:widowControl/>
        <w:rPr>
          <w:rFonts w:hint="eastAsia" w:ascii="等线" w:hAnsi="等线" w:eastAsia="等线" w:cs="等线"/>
          <w:b/>
          <w:color w:val="000000"/>
          <w:sz w:val="52"/>
          <w:szCs w:val="52"/>
          <w:highlight w:val="none"/>
        </w:rPr>
      </w:pPr>
      <w:r>
        <w:rPr>
          <w:rFonts w:hint="eastAsia" w:ascii="等线" w:hAnsi="等线" w:eastAsia="等线" w:cs="等线"/>
          <w:b/>
          <w:color w:val="000000"/>
          <w:sz w:val="52"/>
          <w:szCs w:val="52"/>
          <w:highlight w:val="none"/>
        </w:rPr>
        <w:t xml:space="preserve"> </w:t>
      </w:r>
      <w:r>
        <w:rPr>
          <w:rFonts w:hint="eastAsia" w:ascii="等线" w:hAnsi="等线" w:eastAsia="等线" w:cs="等线"/>
          <w:b/>
          <w:color w:val="000000"/>
          <w:sz w:val="52"/>
          <w:szCs w:val="52"/>
          <w:highlight w:val="none"/>
        </w:rPr>
      </w:r>
      <w:r/>
    </w:p>
    <w:p>
      <w:pPr>
        <w:pStyle w:val="1256"/>
        <w:jc w:val="center"/>
        <w:spacing w:line="360" w:lineRule="auto"/>
        <w:widowControl/>
        <w:rPr>
          <w:rFonts w:hint="eastAsia" w:ascii="等线" w:hAnsi="等线" w:eastAsia="等线" w:cs="等线"/>
          <w:b/>
          <w:color w:val="000000"/>
          <w:sz w:val="72"/>
          <w:szCs w:val="72"/>
          <w:highlight w:val="none"/>
        </w:rPr>
      </w:pPr>
      <w:r>
        <w:rPr>
          <w:rFonts w:hint="eastAsia" w:ascii="等线" w:hAnsi="等线" w:eastAsia="等线" w:cs="等线"/>
          <w:b/>
          <w:color w:val="000000"/>
          <w:sz w:val="72"/>
          <w:szCs w:val="72"/>
          <w:highlight w:val="none"/>
        </w:rPr>
        <w:t xml:space="preserve">公开招标文件</w:t>
      </w:r>
      <w:r>
        <w:rPr>
          <w:rFonts w:hint="eastAsia" w:ascii="等线" w:hAnsi="等线" w:eastAsia="等线" w:cs="等线"/>
          <w:b/>
          <w:color w:val="000000"/>
          <w:sz w:val="72"/>
          <w:szCs w:val="72"/>
          <w:highlight w:val="none"/>
        </w:rPr>
      </w:r>
      <w:r/>
    </w:p>
    <w:p>
      <w:pPr>
        <w:pStyle w:val="1256"/>
        <w:rPr>
          <w:rFonts w:hint="eastAsia"/>
          <w:color w:val="000000"/>
          <w:highlight w:val="none"/>
        </w:rPr>
      </w:pPr>
      <w:r>
        <w:rPr>
          <w:rFonts w:hint="eastAsia"/>
          <w:color w:val="000000"/>
          <w:highlight w:val="none"/>
        </w:rPr>
        <w:t xml:space="preserve"> </w:t>
      </w:r>
      <w:r>
        <w:rPr>
          <w:rFonts w:hint="eastAsia"/>
          <w:color w:val="000000"/>
          <w:highlight w:val="none"/>
        </w:rPr>
      </w:r>
      <w:r/>
    </w:p>
    <w:p>
      <w:pPr>
        <w:pStyle w:val="1256"/>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279"/>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279"/>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279"/>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321"/>
        <w:ind w:firstLine="720"/>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r>
      <w:r/>
    </w:p>
    <w:p>
      <w:pPr>
        <w:pStyle w:val="1256"/>
        <w:rPr>
          <w:rFonts w:hint="eastAsia"/>
          <w:color w:val="000000"/>
          <w:highlight w:val="none"/>
        </w:rPr>
      </w:pPr>
      <w:r>
        <w:rPr>
          <w:rFonts w:hint="eastAsia"/>
          <w:color w:val="000000"/>
          <w:highlight w:val="none"/>
        </w:rPr>
      </w:r>
      <w:r/>
    </w:p>
    <w:p>
      <w:pPr>
        <w:pStyle w:val="1321"/>
        <w:ind w:left="0" w:firstLine="360"/>
        <w:rPr>
          <w:rFonts w:hint="eastAsia" w:ascii="等线" w:hAnsi="等线" w:eastAsia="等线" w:cs="等线"/>
          <w:b/>
          <w:color w:val="000000"/>
          <w:sz w:val="36"/>
          <w:szCs w:val="36"/>
          <w:highlight w:val="none"/>
        </w:rPr>
        <w:outlineLvl w:val="0"/>
      </w:pPr>
      <w:r/>
      <w:bookmarkStart w:id="0" w:name="_Toc677"/>
      <w:r>
        <w:rPr>
          <w:rFonts w:hint="eastAsia" w:ascii="等线" w:hAnsi="等线" w:eastAsia="等线" w:cs="等线"/>
          <w:b/>
          <w:color w:val="000000"/>
          <w:sz w:val="36"/>
          <w:szCs w:val="36"/>
          <w:highlight w:val="none"/>
        </w:rPr>
        <w:t xml:space="preserve">项目编号：</w:t>
      </w:r>
      <w:bookmarkEnd w:id="0"/>
      <w:r/>
      <w:bookmarkStart w:id="1" w:name="_Toc10683"/>
      <w:r>
        <w:rPr>
          <w:rFonts w:hint="eastAsia" w:ascii="等线" w:hAnsi="等线" w:eastAsia="等线" w:cs="等线"/>
          <w:b/>
          <w:color w:val="000000"/>
          <w:sz w:val="36"/>
          <w:szCs w:val="36"/>
          <w:highlight w:val="none"/>
        </w:rPr>
        <w:t xml:space="preserve">JSZC-320000-NJJC-G2026-0047</w:t>
      </w:r>
      <w:r>
        <w:rPr>
          <w:rFonts w:hint="eastAsia" w:ascii="等线" w:hAnsi="等线" w:eastAsia="等线" w:cs="等线"/>
          <w:b/>
          <w:color w:val="000000"/>
          <w:sz w:val="36"/>
          <w:szCs w:val="36"/>
          <w:highlight w:val="none"/>
        </w:rPr>
      </w:r>
      <w:r/>
    </w:p>
    <w:p>
      <w:pPr>
        <w:pStyle w:val="1321"/>
        <w:ind w:left="0" w:firstLine="360"/>
        <w:rPr>
          <w:rFonts w:hint="eastAsia" w:ascii="等线" w:hAnsi="等线" w:eastAsia="等线" w:cs="等线"/>
          <w:b/>
          <w:color w:val="000000"/>
          <w:sz w:val="36"/>
          <w:szCs w:val="36"/>
          <w:highlight w:val="none"/>
        </w:rPr>
        <w:outlineLvl w:val="0"/>
      </w:pPr>
      <w:r>
        <w:rPr>
          <w:rFonts w:hint="eastAsia" w:ascii="等线" w:hAnsi="等线" w:eastAsia="等线" w:cs="等线"/>
          <w:b/>
          <w:color w:val="000000"/>
          <w:sz w:val="36"/>
          <w:szCs w:val="36"/>
          <w:highlight w:val="none"/>
        </w:rPr>
        <w:t xml:space="preserve">项目名称：</w:t>
      </w:r>
      <w:bookmarkEnd w:id="1"/>
      <w:r>
        <w:rPr>
          <w:rFonts w:hint="eastAsia" w:ascii="等线" w:hAnsi="等线" w:eastAsia="等线" w:cs="等线"/>
          <w:b/>
          <w:color w:val="000000"/>
          <w:sz w:val="36"/>
          <w:szCs w:val="36"/>
          <w:highlight w:val="none"/>
        </w:rPr>
        <w:t xml:space="preserve">南京特殊教育师范学院人工智能+软件工程专业特色实验室项目</w:t>
      </w:r>
      <w:r>
        <w:rPr>
          <w:rFonts w:hint="eastAsia" w:ascii="等线" w:hAnsi="等线" w:eastAsia="等线" w:cs="等线"/>
          <w:b/>
          <w:color w:val="000000"/>
          <w:sz w:val="36"/>
          <w:szCs w:val="36"/>
          <w:highlight w:val="none"/>
        </w:rPr>
      </w:r>
      <w:r/>
    </w:p>
    <w:p>
      <w:pPr>
        <w:pStyle w:val="1321"/>
        <w:ind w:left="0" w:firstLine="360"/>
        <w:rPr>
          <w:rFonts w:hint="eastAsia" w:ascii="等线" w:hAnsi="等线" w:eastAsia="等线" w:cs="等线"/>
          <w:color w:val="000000"/>
          <w:highlight w:val="none"/>
        </w:rPr>
      </w:pPr>
      <w:r>
        <w:rPr>
          <w:rFonts w:hint="eastAsia" w:ascii="等线" w:hAnsi="等线" w:eastAsia="等线" w:cs="等线"/>
          <w:b/>
          <w:color w:val="000000"/>
          <w:sz w:val="36"/>
          <w:szCs w:val="36"/>
          <w:highlight w:val="none"/>
        </w:rPr>
        <w:t xml:space="preserve">项目类别：货物类</w:t>
      </w:r>
      <w:r>
        <w:rPr>
          <w:rFonts w:hint="eastAsia" w:ascii="等线" w:hAnsi="等线" w:eastAsia="等线" w:cs="等线"/>
          <w:color w:val="000000"/>
          <w:highlight w:val="none"/>
        </w:rPr>
      </w:r>
      <w:r/>
    </w:p>
    <w:p>
      <w:pPr>
        <w:pStyle w:val="1321"/>
        <w:ind w:firstLine="720"/>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r>
      <w:r/>
    </w:p>
    <w:p>
      <w:pPr>
        <w:pStyle w:val="1321"/>
        <w:ind w:firstLine="720"/>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r>
      <w:r/>
    </w:p>
    <w:p>
      <w:pPr>
        <w:pStyle w:val="1321"/>
        <w:ind w:firstLine="720"/>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r>
      <w:r/>
    </w:p>
    <w:p>
      <w:pPr>
        <w:pStyle w:val="1321"/>
        <w:rPr>
          <w:rFonts w:hint="eastAsia" w:ascii="等线" w:hAnsi="等线" w:eastAsia="等线" w:cs="等线"/>
          <w:color w:val="000000"/>
          <w:highlight w:val="none"/>
        </w:rPr>
      </w:pPr>
      <w:r>
        <w:rPr>
          <w:rFonts w:hint="eastAsia" w:ascii="等线" w:hAnsi="等线" w:eastAsia="等线" w:cs="等线"/>
          <w:color w:val="000000"/>
          <w:highlight w:val="none"/>
        </w:rPr>
      </w:r>
      <w:r/>
    </w:p>
    <w:p>
      <w:pPr>
        <w:pStyle w:val="1256"/>
        <w:ind w:firstLine="1081"/>
        <w:spacing w:line="360" w:lineRule="auto"/>
        <w:widowControl/>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t xml:space="preserve">采 购 人：南京特殊教育师范学院</w:t>
      </w:r>
      <w:r>
        <w:rPr>
          <w:rFonts w:hint="eastAsia" w:ascii="等线" w:hAnsi="等线" w:eastAsia="等线" w:cs="等线"/>
          <w:b/>
          <w:color w:val="000000"/>
          <w:sz w:val="36"/>
          <w:szCs w:val="36"/>
          <w:highlight w:val="none"/>
        </w:rPr>
      </w:r>
      <w:r/>
    </w:p>
    <w:p>
      <w:pPr>
        <w:pStyle w:val="1256"/>
        <w:ind w:firstLine="1081"/>
        <w:spacing w:line="360" w:lineRule="auto"/>
        <w:widowControl/>
        <w:rPr>
          <w:rFonts w:hint="eastAsia" w:ascii="等线" w:hAnsi="等线" w:eastAsia="等线" w:cs="等线"/>
          <w:b/>
          <w:color w:val="000000"/>
          <w:sz w:val="36"/>
          <w:szCs w:val="36"/>
          <w:highlight w:val="none"/>
        </w:rPr>
        <w:outlineLvl w:val="0"/>
      </w:pPr>
      <w:r/>
      <w:bookmarkStart w:id="2" w:name="_Toc13433"/>
      <w:r>
        <w:rPr>
          <w:rFonts w:hint="eastAsia" w:ascii="等线" w:hAnsi="等线" w:eastAsia="等线" w:cs="等线"/>
          <w:b/>
          <w:color w:val="000000"/>
          <w:sz w:val="36"/>
          <w:szCs w:val="36"/>
          <w:highlight w:val="none"/>
        </w:rPr>
        <w:t xml:space="preserve">招标代理：南京江城工程项目管理有限公司</w:t>
      </w:r>
      <w:bookmarkEnd w:id="2"/>
      <w:r>
        <w:rPr>
          <w:rFonts w:hint="eastAsia" w:ascii="等线" w:hAnsi="等线" w:eastAsia="等线" w:cs="等线"/>
          <w:b/>
          <w:color w:val="000000"/>
          <w:sz w:val="36"/>
          <w:szCs w:val="36"/>
          <w:highlight w:val="none"/>
        </w:rPr>
      </w:r>
      <w:r/>
    </w:p>
    <w:p>
      <w:pPr>
        <w:pStyle w:val="1256"/>
        <w:jc w:val="center"/>
        <w:spacing w:line="360" w:lineRule="auto"/>
        <w:shd w:val="clear" w:color="auto" w:fill="ffffff"/>
        <w:widowControl/>
        <w:rPr>
          <w:rFonts w:hint="eastAsia" w:ascii="等线" w:hAnsi="等线" w:eastAsia="等线" w:cs="等线"/>
          <w:b/>
          <w:color w:val="000000"/>
          <w:sz w:val="36"/>
          <w:szCs w:val="36"/>
          <w:highlight w:val="none"/>
        </w:rPr>
      </w:pPr>
      <w:r>
        <w:rPr>
          <w:rFonts w:hint="eastAsia" w:ascii="等线" w:hAnsi="等线" w:eastAsia="等线" w:cs="等线"/>
          <w:b/>
          <w:color w:val="000000"/>
          <w:sz w:val="36"/>
          <w:szCs w:val="36"/>
          <w:highlight w:val="none"/>
        </w:rPr>
        <w:t xml:space="preserve">2026年</w:t>
      </w:r>
      <w:r>
        <w:rPr>
          <w:rFonts w:hint="eastAsia" w:ascii="等线" w:hAnsi="等线" w:eastAsia="等线" w:cs="等线"/>
          <w:b/>
          <w:color w:val="000000"/>
          <w:sz w:val="36"/>
          <w:szCs w:val="36"/>
          <w:highlight w:val="none"/>
          <w:lang w:val="en-US" w:eastAsia="zh-CN"/>
        </w:rPr>
        <w:t xml:space="preserve">7</w:t>
      </w:r>
      <w:r>
        <w:rPr>
          <w:rFonts w:hint="eastAsia" w:ascii="等线" w:hAnsi="等线" w:eastAsia="等线" w:cs="等线"/>
          <w:b/>
          <w:color w:val="000000"/>
          <w:sz w:val="36"/>
          <w:szCs w:val="36"/>
          <w:highlight w:val="none"/>
        </w:rPr>
        <w:t xml:space="preserve">月</w:t>
      </w:r>
      <w:r>
        <w:rPr>
          <w:rFonts w:hint="eastAsia" w:ascii="等线" w:hAnsi="等线" w:eastAsia="等线" w:cs="等线"/>
          <w:b/>
          <w:color w:val="000000"/>
          <w:sz w:val="36"/>
          <w:szCs w:val="36"/>
          <w:highlight w:val="none"/>
        </w:rPr>
      </w:r>
      <w:r/>
    </w:p>
    <w:p>
      <w:pPr>
        <w:pStyle w:val="1392"/>
        <w:jc w:val="center"/>
        <w:rPr>
          <w:rFonts w:hint="eastAsia" w:ascii="等线" w:hAnsi="等线" w:eastAsia="等线" w:cs="等线"/>
          <w:color w:val="000000"/>
          <w:sz w:val="44"/>
          <w:szCs w:val="44"/>
          <w:highlight w:val="none"/>
          <w:lang w:val="zh-CN"/>
        </w:rPr>
        <w:sectPr>
          <w:headerReference w:type="default" r:id="rId9"/>
          <w:headerReference w:type="first" r:id="rId10"/>
          <w:footerReference w:type="default" r:id="rId14"/>
          <w:footerReference w:type="first" r:id="rId15"/>
          <w:footnotePr/>
          <w:endnotePr/>
          <w:type w:val="nextPage"/>
          <w:pgSz w:w="11906" w:h="16838" w:orient="portrait"/>
          <w:pgMar w:top="1100" w:right="1236" w:bottom="1100" w:left="1236" w:header="851" w:footer="992" w:gutter="0"/>
          <w:pgNumType w:start="1"/>
          <w:cols w:num="1" w:sep="0" w:space="1701" w:equalWidth="1"/>
          <w:docGrid w:linePitch="360"/>
          <w:titlePg/>
        </w:sectPr>
      </w:pPr>
      <w:r>
        <w:rPr>
          <w:rFonts w:hint="eastAsia" w:ascii="等线" w:hAnsi="等线" w:eastAsia="等线" w:cs="等线"/>
          <w:color w:val="000000"/>
          <w:sz w:val="44"/>
          <w:szCs w:val="44"/>
          <w:highlight w:val="none"/>
          <w:lang w:val="zh-CN"/>
        </w:rPr>
      </w:r>
      <w:r/>
    </w:p>
    <w:p>
      <w:pPr>
        <w:pStyle w:val="1256"/>
        <w:jc w:val="center"/>
        <w:rPr>
          <w:b/>
          <w:bCs/>
          <w:color w:val="000000"/>
          <w:sz w:val="36"/>
          <w:szCs w:val="36"/>
          <w:highlight w:val="none"/>
        </w:rPr>
      </w:pPr>
      <w:r>
        <w:rPr>
          <w:rFonts w:ascii="宋体" w:hAnsi="宋体"/>
          <w:b/>
          <w:bCs/>
          <w:color w:val="000000"/>
          <w:sz w:val="36"/>
          <w:szCs w:val="36"/>
          <w:highlight w:val="none"/>
        </w:rPr>
        <w:t xml:space="preserve">目</w:t>
      </w:r>
      <w:r>
        <w:rPr>
          <w:rFonts w:hint="eastAsia" w:ascii="宋体" w:hAnsi="宋体"/>
          <w:b/>
          <w:bCs/>
          <w:color w:val="000000"/>
          <w:sz w:val="36"/>
          <w:szCs w:val="36"/>
          <w:highlight w:val="none"/>
        </w:rPr>
        <w:t xml:space="preserve">  </w:t>
      </w:r>
      <w:r>
        <w:rPr>
          <w:rFonts w:ascii="宋体" w:hAnsi="宋体"/>
          <w:b/>
          <w:bCs/>
          <w:color w:val="000000"/>
          <w:sz w:val="36"/>
          <w:szCs w:val="36"/>
          <w:highlight w:val="none"/>
        </w:rPr>
        <w:t xml:space="preserve">录</w:t>
      </w:r>
      <w:r>
        <w:rPr>
          <w:b/>
          <w:bCs/>
          <w:color w:val="000000"/>
          <w:sz w:val="36"/>
          <w:szCs w:val="36"/>
          <w:highlight w:val="none"/>
        </w:rPr>
      </w:r>
      <w:r/>
    </w:p>
    <w:p>
      <w:pPr>
        <w:pStyle w:val="1387"/>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TOC \o "1-1" \h \u </w:instrText>
      </w:r>
      <w:r>
        <w:rPr>
          <w:rFonts w:hint="eastAsia" w:ascii="宋体" w:hAnsi="宋体"/>
          <w:b/>
          <w:bCs/>
          <w:color w:val="000000"/>
          <w:sz w:val="28"/>
          <w:szCs w:val="28"/>
          <w:highlight w:val="none"/>
        </w:rPr>
        <w:fldChar w:fldCharType="separate"/>
      </w: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_Toc22368 </w:instrText>
      </w:r>
      <w:r>
        <w:rPr>
          <w:rFonts w:hint="eastAsia" w:ascii="宋体" w:hAnsi="宋体"/>
          <w:b/>
          <w:bCs/>
          <w:color w:val="000000"/>
          <w:sz w:val="28"/>
          <w:szCs w:val="28"/>
          <w:highlight w:val="none"/>
        </w:rPr>
        <w:fldChar w:fldCharType="separate"/>
      </w:r>
      <w:r>
        <w:rPr>
          <w:rFonts w:hint="eastAsia" w:ascii="宋体" w:hAnsi="宋体" w:cs="宋体"/>
          <w:b/>
          <w:bCs/>
          <w:color w:val="000000"/>
          <w:sz w:val="28"/>
          <w:szCs w:val="28"/>
          <w:highlight w:val="none"/>
          <w:shd w:val="clear" w:color="auto" w:fill="ffffff"/>
        </w:rPr>
        <w:t xml:space="preserve">第一章 </w:t>
      </w:r>
      <w:r>
        <w:rPr>
          <w:rFonts w:hint="eastAsia" w:ascii="宋体" w:hAnsi="宋体"/>
          <w:b/>
          <w:bCs/>
          <w:color w:val="000000"/>
          <w:sz w:val="28"/>
          <w:szCs w:val="28"/>
          <w:highlight w:val="none"/>
        </w:rPr>
        <w:t xml:space="preserve">投标邀请书（招标公告）</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_Toc22368 \h </w:instrText>
      </w:r>
      <w:r>
        <w:rPr>
          <w:b/>
          <w:bCs/>
          <w:color w:val="000000"/>
          <w:sz w:val="28"/>
          <w:szCs w:val="28"/>
          <w:highlight w:val="none"/>
        </w:rPr>
        <w:fldChar w:fldCharType="separate"/>
      </w:r>
      <w:r>
        <w:rPr>
          <w:b/>
          <w:bCs/>
          <w:color w:val="000000"/>
          <w:sz w:val="28"/>
          <w:szCs w:val="28"/>
          <w:highlight w:val="none"/>
        </w:rPr>
        <w:t xml:space="preserve">3</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387"/>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_Toc11451 </w:instrText>
      </w:r>
      <w:r>
        <w:rPr>
          <w:rFonts w:hint="eastAsia" w:ascii="宋体" w:hAnsi="宋体"/>
          <w:b/>
          <w:bCs/>
          <w:color w:val="000000"/>
          <w:sz w:val="28"/>
          <w:szCs w:val="28"/>
          <w:highlight w:val="none"/>
        </w:rPr>
        <w:fldChar w:fldCharType="separate"/>
      </w:r>
      <w:r>
        <w:rPr>
          <w:rFonts w:hint="eastAsia"/>
          <w:b/>
          <w:bCs/>
          <w:color w:val="000000"/>
          <w:sz w:val="28"/>
          <w:szCs w:val="28"/>
          <w:highlight w:val="none"/>
        </w:rPr>
        <w:t xml:space="preserve">第二章 投标供应商须知</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_Toc11451 \h </w:instrText>
      </w:r>
      <w:r>
        <w:rPr>
          <w:b/>
          <w:bCs/>
          <w:color w:val="000000"/>
          <w:sz w:val="28"/>
          <w:szCs w:val="28"/>
          <w:highlight w:val="none"/>
        </w:rPr>
        <w:fldChar w:fldCharType="separate"/>
      </w:r>
      <w:r>
        <w:rPr>
          <w:b/>
          <w:bCs/>
          <w:color w:val="000000"/>
          <w:sz w:val="28"/>
          <w:szCs w:val="28"/>
          <w:highlight w:val="none"/>
        </w:rPr>
        <w:t xml:space="preserve">6</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387"/>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_Toc15912 </w:instrText>
      </w:r>
      <w:r>
        <w:rPr>
          <w:rFonts w:hint="eastAsia" w:ascii="宋体" w:hAnsi="宋体"/>
          <w:b/>
          <w:bCs/>
          <w:color w:val="000000"/>
          <w:sz w:val="28"/>
          <w:szCs w:val="28"/>
          <w:highlight w:val="none"/>
        </w:rPr>
        <w:fldChar w:fldCharType="separate"/>
      </w:r>
      <w:r>
        <w:rPr>
          <w:rFonts w:hint="eastAsia"/>
          <w:b/>
          <w:bCs/>
          <w:color w:val="000000"/>
          <w:sz w:val="28"/>
          <w:szCs w:val="28"/>
          <w:highlight w:val="none"/>
        </w:rPr>
        <w:t xml:space="preserve">第三章 评标标准</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_Toc15912 \h </w:instrText>
      </w:r>
      <w:r>
        <w:rPr>
          <w:b/>
          <w:bCs/>
          <w:color w:val="000000"/>
          <w:sz w:val="28"/>
          <w:szCs w:val="28"/>
          <w:highlight w:val="none"/>
        </w:rPr>
        <w:fldChar w:fldCharType="separate"/>
      </w:r>
      <w:r>
        <w:rPr>
          <w:b/>
          <w:bCs/>
          <w:color w:val="000000"/>
          <w:sz w:val="28"/>
          <w:szCs w:val="28"/>
          <w:highlight w:val="none"/>
        </w:rPr>
        <w:t xml:space="preserve">19</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387"/>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_Toc18457 </w:instrText>
      </w:r>
      <w:r>
        <w:rPr>
          <w:rFonts w:hint="eastAsia" w:ascii="宋体" w:hAnsi="宋体"/>
          <w:b/>
          <w:bCs/>
          <w:color w:val="000000"/>
          <w:sz w:val="28"/>
          <w:szCs w:val="28"/>
          <w:highlight w:val="none"/>
        </w:rPr>
        <w:fldChar w:fldCharType="separate"/>
      </w:r>
      <w:r>
        <w:rPr>
          <w:rFonts w:hint="eastAsia" w:ascii="宋体" w:hAnsi="宋体" w:cs="宋体"/>
          <w:b/>
          <w:bCs/>
          <w:color w:val="000000"/>
          <w:sz w:val="28"/>
          <w:szCs w:val="28"/>
          <w:highlight w:val="none"/>
          <w:shd w:val="clear" w:color="auto" w:fill="ffffff"/>
        </w:rPr>
        <w:t xml:space="preserve">第四章 招标项目的服务内容及要求等</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_Toc18457 \h </w:instrText>
      </w:r>
      <w:r>
        <w:rPr>
          <w:b/>
          <w:bCs/>
          <w:color w:val="000000"/>
          <w:sz w:val="28"/>
          <w:szCs w:val="28"/>
          <w:highlight w:val="none"/>
        </w:rPr>
        <w:fldChar w:fldCharType="separate"/>
      </w:r>
      <w:r>
        <w:rPr>
          <w:b/>
          <w:bCs/>
          <w:color w:val="000000"/>
          <w:sz w:val="28"/>
          <w:szCs w:val="28"/>
          <w:highlight w:val="none"/>
        </w:rPr>
        <w:t xml:space="preserve">22</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387"/>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_Toc22410 </w:instrText>
      </w:r>
      <w:r>
        <w:rPr>
          <w:rFonts w:hint="eastAsia" w:ascii="宋体" w:hAnsi="宋体"/>
          <w:b/>
          <w:bCs/>
          <w:color w:val="000000"/>
          <w:sz w:val="28"/>
          <w:szCs w:val="28"/>
          <w:highlight w:val="none"/>
        </w:rPr>
        <w:fldChar w:fldCharType="separate"/>
      </w:r>
      <w:r>
        <w:rPr>
          <w:rFonts w:hint="eastAsia" w:ascii="宋体" w:hAnsi="宋体" w:cs="宋体"/>
          <w:b/>
          <w:bCs/>
          <w:color w:val="000000"/>
          <w:sz w:val="28"/>
          <w:szCs w:val="28"/>
          <w:highlight w:val="none"/>
          <w:shd w:val="clear" w:color="auto" w:fill="ffffff"/>
        </w:rPr>
        <w:t xml:space="preserve">第五章 合同主要条款及格式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_Toc22410 \h </w:instrText>
      </w:r>
      <w:r>
        <w:rPr>
          <w:b/>
          <w:bCs/>
          <w:color w:val="000000"/>
          <w:sz w:val="28"/>
          <w:szCs w:val="28"/>
          <w:highlight w:val="none"/>
        </w:rPr>
        <w:fldChar w:fldCharType="separate"/>
      </w:r>
      <w:r>
        <w:rPr>
          <w:b/>
          <w:bCs/>
          <w:color w:val="000000"/>
          <w:sz w:val="28"/>
          <w:szCs w:val="28"/>
          <w:highlight w:val="none"/>
        </w:rPr>
        <w:t xml:space="preserve">22</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387"/>
        <w:jc w:val="center"/>
        <w:tabs>
          <w:tab w:val="right" w:pos="9060" w:leader="dot"/>
        </w:tabs>
        <w:rPr>
          <w:b/>
          <w:bCs/>
          <w:color w:val="000000"/>
          <w:sz w:val="28"/>
          <w:szCs w:val="28"/>
          <w:highlight w:val="none"/>
        </w:rPr>
      </w:pPr>
      <w:r>
        <w:rPr>
          <w:rFonts w:hint="eastAsia" w:ascii="宋体" w:hAnsi="宋体"/>
          <w:b/>
          <w:bCs/>
          <w:color w:val="000000"/>
          <w:sz w:val="28"/>
          <w:szCs w:val="28"/>
          <w:highlight w:val="none"/>
        </w:rPr>
        <w:fldChar w:fldCharType="begin"/>
      </w:r>
      <w:r>
        <w:rPr>
          <w:rFonts w:hint="eastAsia" w:ascii="宋体" w:hAnsi="宋体"/>
          <w:b/>
          <w:bCs/>
          <w:color w:val="000000"/>
          <w:sz w:val="28"/>
          <w:szCs w:val="28"/>
          <w:highlight w:val="none"/>
        </w:rPr>
        <w:instrText xml:space="preserve"> HYPERLINK \l _Toc8262 </w:instrText>
      </w:r>
      <w:r>
        <w:rPr>
          <w:rFonts w:hint="eastAsia" w:ascii="宋体" w:hAnsi="宋体"/>
          <w:b/>
          <w:bCs/>
          <w:color w:val="000000"/>
          <w:sz w:val="28"/>
          <w:szCs w:val="28"/>
          <w:highlight w:val="none"/>
        </w:rPr>
        <w:fldChar w:fldCharType="separate"/>
      </w:r>
      <w:r>
        <w:rPr>
          <w:rFonts w:hint="eastAsia" w:ascii="宋体" w:hAnsi="宋体" w:cs="宋体"/>
          <w:b/>
          <w:bCs/>
          <w:color w:val="000000"/>
          <w:sz w:val="28"/>
          <w:szCs w:val="28"/>
          <w:highlight w:val="none"/>
          <w:shd w:val="clear" w:color="auto" w:fill="ffffff"/>
        </w:rPr>
        <w:t xml:space="preserve">第六章 投标文件格式及附件</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_Toc8262 \h </w:instrText>
      </w:r>
      <w:r>
        <w:rPr>
          <w:b/>
          <w:bCs/>
          <w:color w:val="000000"/>
          <w:sz w:val="28"/>
          <w:szCs w:val="28"/>
          <w:highlight w:val="none"/>
        </w:rPr>
        <w:fldChar w:fldCharType="separate"/>
      </w:r>
      <w:r>
        <w:rPr>
          <w:b/>
          <w:bCs/>
          <w:color w:val="000000"/>
          <w:sz w:val="28"/>
          <w:szCs w:val="28"/>
          <w:highlight w:val="none"/>
        </w:rPr>
        <w:t xml:space="preserve">71</w:t>
      </w:r>
      <w:r>
        <w:rPr>
          <w:b/>
          <w:bCs/>
          <w:color w:val="000000"/>
          <w:sz w:val="28"/>
          <w:szCs w:val="28"/>
          <w:highlight w:val="none"/>
        </w:rPr>
        <w:fldChar w:fldCharType="end"/>
      </w:r>
      <w:r>
        <w:rPr>
          <w:rFonts w:hint="eastAsia" w:ascii="宋体" w:hAnsi="宋体"/>
          <w:b/>
          <w:bCs/>
          <w:color w:val="000000"/>
          <w:sz w:val="28"/>
          <w:szCs w:val="28"/>
          <w:highlight w:val="none"/>
        </w:rPr>
        <w:fldChar w:fldCharType="end"/>
      </w:r>
      <w:r>
        <w:rPr>
          <w:b/>
          <w:bCs/>
          <w:color w:val="000000"/>
          <w:sz w:val="28"/>
          <w:szCs w:val="28"/>
          <w:highlight w:val="none"/>
        </w:rPr>
      </w:r>
      <w:r/>
    </w:p>
    <w:p>
      <w:pPr>
        <w:pStyle w:val="1321"/>
        <w:ind w:firstLine="562"/>
        <w:jc w:val="center"/>
        <w:rPr>
          <w:rFonts w:hint="eastAsia" w:ascii="宋体" w:hAnsi="宋体"/>
          <w:b/>
          <w:color w:val="000000"/>
          <w:sz w:val="36"/>
          <w:szCs w:val="36"/>
          <w:highlight w:val="none"/>
        </w:rPr>
      </w:pPr>
      <w:r>
        <w:rPr>
          <w:rFonts w:hint="eastAsia" w:ascii="宋体" w:hAnsi="宋体"/>
          <w:b/>
          <w:bCs/>
          <w:color w:val="000000"/>
          <w:sz w:val="28"/>
          <w:szCs w:val="28"/>
          <w:highlight w:val="none"/>
        </w:rPr>
        <w:fldChar w:fldCharType="end"/>
      </w:r>
      <w:r>
        <w:rPr>
          <w:rFonts w:hint="eastAsia" w:ascii="宋体" w:hAnsi="宋体"/>
          <w:b/>
          <w:color w:val="000000"/>
          <w:sz w:val="36"/>
          <w:szCs w:val="36"/>
          <w:highlight w:val="none"/>
        </w:rPr>
      </w:r>
      <w:r/>
    </w:p>
    <w:p>
      <w:pPr>
        <w:pStyle w:val="1257"/>
        <w:numPr>
          <w:ilvl w:val="0"/>
          <w:numId w:val="0"/>
        </w:numPr>
        <w:spacing w:before="100" w:after="100" w:line="360" w:lineRule="auto"/>
        <w:rPr>
          <w:rFonts w:hint="eastAsia" w:ascii="宋体" w:hAnsi="宋体" w:cs="宋体"/>
          <w:color w:val="000000"/>
          <w:szCs w:val="32"/>
          <w:highlight w:val="none"/>
          <w:shd w:val="clear" w:color="auto" w:fill="ffffff"/>
        </w:rPr>
        <w:sectPr>
          <w:footerReference w:type="default" r:id="rId16"/>
          <w:footerReference w:type="first" r:id="rId17"/>
          <w:footnotePr/>
          <w:endnotePr/>
          <w:type w:val="nextPage"/>
          <w:pgSz w:w="11906" w:h="16838" w:orient="portrait"/>
          <w:pgMar w:top="1100" w:right="1236" w:bottom="1100" w:left="1236" w:header="851" w:footer="992" w:gutter="0"/>
          <w:pgNumType w:start="1"/>
          <w:cols w:num="1" w:sep="0" w:space="1701" w:equalWidth="1"/>
          <w:docGrid w:linePitch="360"/>
        </w:sectPr>
      </w:pPr>
      <w:r/>
      <w:bookmarkStart w:id="3" w:name="_Toc452625217"/>
      <w:r/>
      <w:bookmarkStart w:id="4" w:name="_Toc22368"/>
      <w:r>
        <w:rPr>
          <w:rFonts w:hint="eastAsia" w:ascii="宋体" w:hAnsi="宋体" w:cs="宋体"/>
          <w:color w:val="000000"/>
          <w:szCs w:val="32"/>
          <w:highlight w:val="none"/>
          <w:shd w:val="clear" w:color="auto" w:fill="ffffff"/>
        </w:rPr>
      </w:r>
      <w:r/>
    </w:p>
    <w:p>
      <w:pPr>
        <w:pStyle w:val="1257"/>
        <w:numPr>
          <w:ilvl w:val="0"/>
          <w:numId w:val="0"/>
        </w:numPr>
        <w:spacing w:before="0" w:after="0" w:line="360" w:lineRule="auto"/>
        <w:rPr>
          <w:rFonts w:ascii="宋体" w:hAnsi="宋体"/>
          <w:color w:val="000000"/>
          <w:szCs w:val="32"/>
          <w:highlight w:val="none"/>
        </w:rPr>
      </w:pPr>
      <w:r>
        <w:rPr>
          <w:rFonts w:hint="eastAsia" w:ascii="宋体" w:hAnsi="宋体" w:cs="宋体"/>
          <w:color w:val="000000"/>
          <w:szCs w:val="32"/>
          <w:highlight w:val="none"/>
          <w:shd w:val="clear" w:color="auto" w:fill="ffffff"/>
        </w:rPr>
        <w:t xml:space="preserve">第一章 </w:t>
      </w:r>
      <w:r>
        <w:rPr>
          <w:rFonts w:hint="eastAsia" w:ascii="宋体" w:hAnsi="宋体"/>
          <w:color w:val="000000"/>
          <w:szCs w:val="32"/>
          <w:highlight w:val="none"/>
        </w:rPr>
        <w:t xml:space="preserve">投标邀请书（招标公告）</w:t>
      </w:r>
      <w:bookmarkEnd w:id="3"/>
      <w:r/>
      <w:bookmarkEnd w:id="4"/>
      <w:r>
        <w:rPr>
          <w:rFonts w:ascii="宋体" w:hAnsi="宋体"/>
          <w:color w:val="000000"/>
          <w:szCs w:val="32"/>
          <w:highlight w:val="none"/>
        </w:rPr>
      </w:r>
      <w:r/>
    </w:p>
    <w:p>
      <w:pPr>
        <w:pStyle w:val="1256"/>
        <w:ind w:firstLine="442"/>
        <w:jc w:val="left"/>
        <w:spacing w:line="324" w:lineRule="auto"/>
        <w:rPr>
          <w:rFonts w:ascii="宋体" w:hAnsi="宋体" w:cs="宋体"/>
          <w:color w:val="000000"/>
          <w:sz w:val="22"/>
          <w:szCs w:val="22"/>
          <w:highlight w:val="none"/>
        </w:rPr>
        <w:pBdr>
          <w:top w:val="single" w:color="000000" w:sz="4" w:space="1"/>
          <w:left w:val="single" w:color="000000" w:sz="4" w:space="4"/>
          <w:bottom w:val="single" w:color="000000" w:sz="4" w:space="1"/>
          <w:right w:val="single" w:color="000000" w:sz="4" w:space="4"/>
        </w:pBdr>
      </w:pPr>
      <w:r/>
      <w:bookmarkStart w:id="5" w:name="_Toc28359012"/>
      <w:r/>
      <w:bookmarkStart w:id="6" w:name="_Toc35393629"/>
      <w:r/>
      <w:bookmarkStart w:id="7" w:name="_Toc35393798"/>
      <w:r/>
      <w:bookmarkStart w:id="8" w:name="_Toc28359089"/>
      <w:r>
        <w:rPr>
          <w:rFonts w:hint="eastAsia" w:ascii="宋体" w:hAnsi="宋体" w:cs="宋体"/>
          <w:b/>
          <w:bCs/>
          <w:color w:val="000000"/>
          <w:sz w:val="22"/>
          <w:szCs w:val="22"/>
          <w:highlight w:val="none"/>
        </w:rPr>
        <w:t xml:space="preserve">项目概况</w:t>
      </w:r>
      <w:r>
        <w:rPr>
          <w:rFonts w:ascii="宋体" w:hAnsi="宋体" w:cs="宋体"/>
          <w:color w:val="000000"/>
          <w:sz w:val="22"/>
          <w:szCs w:val="22"/>
          <w:highlight w:val="none"/>
        </w:rPr>
      </w:r>
      <w:r/>
    </w:p>
    <w:p>
      <w:pPr>
        <w:pStyle w:val="1256"/>
        <w:ind w:firstLine="440"/>
        <w:jc w:val="left"/>
        <w:spacing w:line="324" w:lineRule="auto"/>
        <w:rPr>
          <w:rFonts w:ascii="宋体" w:hAnsi="宋体" w:cs="宋体"/>
          <w:color w:val="000000"/>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2"/>
          <w:szCs w:val="22"/>
          <w:highlight w:val="none"/>
          <w:u w:val="single"/>
        </w:rPr>
      </w:r>
      <w:r>
        <w:rPr>
          <w:rFonts w:ascii="SimSun" w:hAnsi="SimSun" w:eastAsia="SimSun" w:cs="SimSun"/>
          <w:color w:val="000000"/>
          <w:sz w:val="22"/>
          <w:u w:val="single"/>
        </w:rPr>
        <w:t xml:space="preserve">南京特殊教育师范学院人工智能+软件工程专业特色实验室项目</w:t>
      </w:r>
      <w:r>
        <w:rPr>
          <w:rFonts w:ascii="SimSun" w:hAnsi="SimSun" w:eastAsia="SimSun" w:cs="SimSun"/>
          <w:color w:val="000000"/>
          <w:sz w:val="22"/>
        </w:rPr>
        <w:t xml:space="preserve">招标项目的潜在投标供应商应在</w:t>
      </w:r>
      <w:r>
        <w:rPr>
          <w:rFonts w:ascii="SimSun" w:hAnsi="SimSun" w:eastAsia="SimSun" w:cs="SimSun"/>
          <w:color w:val="000000"/>
          <w:sz w:val="22"/>
          <w:u w:val="single"/>
        </w:rPr>
        <w:t xml:space="preserve">江苏省政府采购交易系统（苏采云系统）</w:t>
      </w:r>
      <w:r>
        <w:rPr>
          <w:rFonts w:ascii="SimSun" w:hAnsi="SimSun" w:eastAsia="SimSun" w:cs="SimSun"/>
          <w:color w:val="000000"/>
          <w:sz w:val="22"/>
        </w:rPr>
        <w:t xml:space="preserve">获取招标文件，并于</w:t>
      </w:r>
      <w:r>
        <w:rPr>
          <w:rFonts w:ascii="SimSun" w:hAnsi="SimSun" w:eastAsia="SimSun" w:cs="SimSun"/>
          <w:color w:val="000000"/>
          <w:sz w:val="22"/>
          <w:u w:val="single"/>
        </w:rPr>
        <w:t xml:space="preserve">2026年7月23日9点30分（</w:t>
      </w:r>
      <w:r>
        <w:rPr>
          <w:rFonts w:ascii="SimSun" w:hAnsi="SimSun" w:eastAsia="SimSun" w:cs="SimSun"/>
          <w:color w:val="000000"/>
          <w:sz w:val="22"/>
        </w:rPr>
        <w:t xml:space="preserve">北京时间）前递交投标文件。</w:t>
      </w:r>
      <w:r>
        <w:rPr>
          <w:rFonts w:ascii="宋体" w:hAnsi="宋体" w:cs="宋体"/>
          <w:color w:val="000000"/>
          <w:sz w:val="22"/>
          <w:szCs w:val="22"/>
          <w:highlight w:val="none"/>
        </w:rPr>
      </w:r>
      <w:r/>
    </w:p>
    <w:p>
      <w:pPr>
        <w:pStyle w:val="1258"/>
        <w:numPr>
          <w:ilvl w:val="0"/>
          <w:numId w:val="0"/>
        </w:numPr>
        <w:jc w:val="left"/>
        <w:keepLines w:val="0"/>
        <w:keepNext w:val="0"/>
        <w:spacing w:before="0" w:after="0" w:line="324" w:lineRule="auto"/>
        <w:tabs>
          <w:tab w:val="left" w:pos="840" w:leader="none"/>
        </w:tabs>
        <w:rPr>
          <w:rFonts w:ascii="宋体"/>
          <w:color w:val="000000"/>
          <w:sz w:val="22"/>
          <w:szCs w:val="22"/>
          <w:highlight w:val="none"/>
        </w:rPr>
      </w:pPr>
      <w:r/>
      <w:bookmarkStart w:id="9" w:name="_Toc35393790"/>
      <w:r/>
      <w:bookmarkStart w:id="10" w:name="_Toc28359002"/>
      <w:r/>
      <w:bookmarkStart w:id="11" w:name="_Toc28359079"/>
      <w:r/>
      <w:bookmarkStart w:id="12" w:name="_Toc35393621"/>
      <w:r/>
      <w:bookmarkStart w:id="13" w:name="_Toc17152"/>
      <w:r/>
      <w:bookmarkStart w:id="14" w:name="_Hlk24379207"/>
      <w:r>
        <w:rPr>
          <w:rFonts w:hint="eastAsia" w:ascii="宋体"/>
          <w:color w:val="000000"/>
          <w:sz w:val="22"/>
          <w:szCs w:val="22"/>
          <w:highlight w:val="none"/>
        </w:rPr>
        <w:t xml:space="preserve">一、项目基本情况</w:t>
      </w:r>
      <w:bookmarkEnd w:id="9"/>
      <w:r/>
      <w:bookmarkEnd w:id="10"/>
      <w:r/>
      <w:bookmarkEnd w:id="11"/>
      <w:r/>
      <w:bookmarkEnd w:id="12"/>
      <w:r/>
      <w:bookmarkEnd w:id="13"/>
      <w:r>
        <w:rPr>
          <w:rFonts w:ascii="宋体"/>
          <w:color w:val="000000"/>
          <w:sz w:val="22"/>
          <w:szCs w:val="22"/>
          <w:highlight w:val="none"/>
        </w:rPr>
      </w:r>
      <w:r/>
    </w:p>
    <w:p>
      <w:pPr>
        <w:pStyle w:val="1256"/>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1.项目编号：JSZC-320000-NJJC-G2026-0047；</w:t>
      </w:r>
      <w:r>
        <w:rPr>
          <w:rFonts w:ascii="宋体" w:hAnsi="宋体" w:cs="宋体"/>
          <w:color w:val="000000"/>
          <w:sz w:val="22"/>
          <w:szCs w:val="22"/>
          <w:highlight w:val="none"/>
        </w:rPr>
      </w:r>
      <w:r/>
    </w:p>
    <w:p>
      <w:pPr>
        <w:pStyle w:val="1256"/>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2.项目名称：南京特殊教育师范学院人工智能+软件工程专业特色实验室项目；</w:t>
      </w:r>
      <w:r>
        <w:rPr>
          <w:rFonts w:ascii="宋体" w:hAnsi="宋体" w:cs="宋体"/>
          <w:color w:val="000000"/>
          <w:sz w:val="22"/>
          <w:szCs w:val="22"/>
          <w:highlight w:val="none"/>
        </w:rPr>
      </w:r>
      <w:r/>
    </w:p>
    <w:p>
      <w:pPr>
        <w:pStyle w:val="1256"/>
        <w:ind w:firstLine="440"/>
        <w:jc w:val="left"/>
        <w:spacing w:line="324" w:lineRule="auto"/>
        <w:rPr>
          <w:rFonts w:ascii="宋体" w:hAnsi="宋体" w:cs="宋体"/>
          <w:color w:val="000000"/>
          <w:sz w:val="22"/>
          <w:szCs w:val="22"/>
          <w:highlight w:val="none"/>
        </w:rPr>
      </w:pPr>
      <w:r/>
      <w:bookmarkEnd w:id="14"/>
      <w:r>
        <w:rPr>
          <w:rFonts w:hint="eastAsia" w:ascii="宋体" w:hAnsi="宋体" w:cs="宋体"/>
          <w:color w:val="000000"/>
          <w:sz w:val="22"/>
          <w:szCs w:val="22"/>
          <w:highlight w:val="none"/>
        </w:rPr>
        <w:t xml:space="preserve">3.预算金额：19</w:t>
      </w:r>
      <w:r>
        <w:rPr>
          <w:rFonts w:ascii="宋体" w:hAnsi="宋体" w:cs="宋体"/>
          <w:color w:val="000000"/>
          <w:sz w:val="22"/>
          <w:szCs w:val="22"/>
          <w:highlight w:val="none"/>
        </w:rPr>
        <w:t xml:space="preserve">3.81</w:t>
      </w:r>
      <w:r>
        <w:rPr>
          <w:rFonts w:hint="eastAsia" w:ascii="宋体" w:hAnsi="宋体" w:cs="宋体"/>
          <w:color w:val="000000"/>
          <w:sz w:val="22"/>
          <w:szCs w:val="22"/>
          <w:highlight w:val="none"/>
        </w:rPr>
        <w:t xml:space="preserve">万元；</w:t>
      </w:r>
      <w:r>
        <w:rPr>
          <w:rFonts w:ascii="宋体" w:hAnsi="宋体" w:cs="宋体"/>
          <w:color w:val="000000"/>
          <w:sz w:val="22"/>
          <w:szCs w:val="22"/>
          <w:highlight w:val="none"/>
        </w:rPr>
      </w:r>
      <w:r/>
    </w:p>
    <w:p>
      <w:pPr>
        <w:pStyle w:val="1256"/>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4.最高限价：19</w:t>
      </w:r>
      <w:r>
        <w:rPr>
          <w:rFonts w:ascii="宋体" w:hAnsi="宋体" w:cs="宋体"/>
          <w:color w:val="000000"/>
          <w:sz w:val="22"/>
          <w:szCs w:val="22"/>
          <w:highlight w:val="none"/>
        </w:rPr>
        <w:t xml:space="preserve">3.81</w:t>
      </w:r>
      <w:r>
        <w:rPr>
          <w:rFonts w:hint="eastAsia" w:ascii="宋体" w:hAnsi="宋体" w:cs="宋体"/>
          <w:color w:val="000000"/>
          <w:sz w:val="22"/>
          <w:szCs w:val="22"/>
          <w:highlight w:val="none"/>
        </w:rPr>
        <w:t xml:space="preserve">万元，超过最高限价的投标文件按无效标处理；</w:t>
      </w:r>
      <w:r>
        <w:rPr>
          <w:rFonts w:ascii="宋体" w:hAnsi="宋体" w:cs="宋体"/>
          <w:color w:val="000000"/>
          <w:sz w:val="22"/>
          <w:szCs w:val="22"/>
          <w:highlight w:val="none"/>
        </w:rPr>
      </w:r>
      <w:r/>
    </w:p>
    <w:p>
      <w:pPr>
        <w:pStyle w:val="1256"/>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5.采购需求：</w:t>
      </w:r>
      <w:r>
        <w:rPr>
          <w:rFonts w:hint="eastAsia" w:ascii="宋体" w:hAnsi="宋体"/>
          <w:color w:val="000000"/>
          <w:sz w:val="22"/>
          <w:szCs w:val="22"/>
          <w:highlight w:val="none"/>
        </w:rPr>
        <w:t xml:space="preserve">南京特殊教育师范学院人工智能+软件工程专业特色实验室项目</w:t>
      </w:r>
      <w:r>
        <w:rPr>
          <w:rFonts w:hint="eastAsia" w:ascii="宋体" w:hAnsi="宋体" w:cs="宋体"/>
          <w:color w:val="000000"/>
          <w:sz w:val="22"/>
          <w:szCs w:val="22"/>
          <w:highlight w:val="none"/>
        </w:rPr>
        <w:t xml:space="preserve">，具体详见招标文件第四章；</w:t>
      </w:r>
      <w:r>
        <w:rPr>
          <w:rFonts w:ascii="宋体" w:hAnsi="宋体" w:cs="宋体"/>
          <w:color w:val="000000"/>
          <w:sz w:val="22"/>
          <w:szCs w:val="22"/>
          <w:highlight w:val="none"/>
        </w:rPr>
      </w:r>
      <w:r/>
    </w:p>
    <w:p>
      <w:pPr>
        <w:pStyle w:val="1256"/>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6.项目交货期：自合同签订后45天内完成供货及安装；</w:t>
      </w:r>
      <w:r>
        <w:rPr>
          <w:rFonts w:ascii="宋体" w:hAnsi="宋体" w:cs="宋体"/>
          <w:color w:val="000000"/>
          <w:sz w:val="22"/>
          <w:szCs w:val="22"/>
          <w:highlight w:val="none"/>
        </w:rPr>
      </w:r>
      <w:r/>
    </w:p>
    <w:p>
      <w:pPr>
        <w:pStyle w:val="1256"/>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7.本项目</w:t>
      </w:r>
      <w:r>
        <w:rPr>
          <w:rFonts w:hint="eastAsia" w:ascii="宋体" w:hAnsi="宋体" w:cs="宋体"/>
          <w:b/>
          <w:color w:val="000000"/>
          <w:sz w:val="22"/>
          <w:szCs w:val="22"/>
          <w:highlight w:val="none"/>
        </w:rPr>
        <w:t xml:space="preserve">不接受</w:t>
      </w:r>
      <w:r>
        <w:rPr>
          <w:rFonts w:hint="eastAsia" w:ascii="宋体" w:hAnsi="宋体" w:cs="宋体"/>
          <w:color w:val="000000"/>
          <w:sz w:val="22"/>
          <w:szCs w:val="22"/>
          <w:highlight w:val="none"/>
        </w:rPr>
        <w:t xml:space="preserve">联合体投标；</w:t>
      </w:r>
      <w:r>
        <w:rPr>
          <w:rFonts w:ascii="宋体" w:hAnsi="宋体" w:cs="宋体"/>
          <w:color w:val="000000"/>
          <w:sz w:val="22"/>
          <w:szCs w:val="22"/>
          <w:highlight w:val="none"/>
        </w:rPr>
      </w:r>
      <w:r/>
    </w:p>
    <w:p>
      <w:pPr>
        <w:pStyle w:val="1256"/>
        <w:ind w:firstLine="472"/>
        <w:jc w:val="left"/>
        <w:spacing w:line="324" w:lineRule="auto"/>
        <w:rPr>
          <w:rFonts w:ascii="宋体"/>
          <w:color w:val="000000"/>
          <w:sz w:val="22"/>
          <w:szCs w:val="22"/>
          <w:highlight w:val="none"/>
        </w:rPr>
      </w:pPr>
      <w:r>
        <w:rPr>
          <w:rFonts w:hint="eastAsia" w:ascii="宋体" w:hAnsi="Arial" w:cs="Arial"/>
          <w:color w:val="000000"/>
          <w:spacing w:val="8"/>
          <w:sz w:val="22"/>
          <w:szCs w:val="22"/>
          <w:highlight w:val="none"/>
        </w:rPr>
        <w:t xml:space="preserve">8.本项目</w:t>
      </w:r>
      <w:r>
        <w:rPr>
          <w:rFonts w:hint="eastAsia" w:ascii="宋体" w:hAnsi="Arial" w:cs="Arial"/>
          <w:b/>
          <w:bCs/>
          <w:color w:val="000000"/>
          <w:spacing w:val="8"/>
          <w:sz w:val="22"/>
          <w:szCs w:val="22"/>
          <w:highlight w:val="none"/>
        </w:rPr>
        <w:t xml:space="preserve">不接受</w:t>
      </w:r>
      <w:r>
        <w:rPr>
          <w:rFonts w:hint="eastAsia" w:ascii="宋体" w:hAnsi="Arial" w:cs="Arial"/>
          <w:color w:val="000000"/>
          <w:spacing w:val="8"/>
          <w:sz w:val="22"/>
          <w:szCs w:val="22"/>
          <w:highlight w:val="none"/>
        </w:rPr>
        <w:t xml:space="preserve">进口产品（注：本文件所称进口产品是指通过中国海关报关验放进入中国境内且产自关境外的产品）。</w:t>
      </w:r>
      <w:r>
        <w:rPr>
          <w:rFonts w:ascii="宋体"/>
          <w:color w:val="000000"/>
          <w:sz w:val="22"/>
          <w:szCs w:val="22"/>
          <w:highlight w:val="none"/>
        </w:rPr>
      </w:r>
      <w:r/>
    </w:p>
    <w:p>
      <w:pPr>
        <w:pStyle w:val="1258"/>
        <w:numPr>
          <w:ilvl w:val="1"/>
          <w:numId w:val="0"/>
        </w:numPr>
        <w:jc w:val="left"/>
        <w:keepLines w:val="0"/>
        <w:keepNext w:val="0"/>
        <w:spacing w:before="0" w:after="0" w:line="324" w:lineRule="auto"/>
        <w:tabs>
          <w:tab w:val="left" w:pos="840" w:leader="none"/>
        </w:tabs>
        <w:rPr>
          <w:rFonts w:ascii="宋体"/>
          <w:color w:val="000000"/>
          <w:sz w:val="22"/>
          <w:szCs w:val="22"/>
          <w:highlight w:val="none"/>
        </w:rPr>
      </w:pPr>
      <w:r/>
      <w:bookmarkStart w:id="15" w:name="_Toc35393791"/>
      <w:r/>
      <w:bookmarkStart w:id="16" w:name="_Toc29131"/>
      <w:r/>
      <w:bookmarkStart w:id="17" w:name="_Toc28359003"/>
      <w:r/>
      <w:bookmarkStart w:id="18" w:name="_Toc35393622"/>
      <w:r/>
      <w:bookmarkStart w:id="19" w:name="_Toc28359080"/>
      <w:r>
        <w:rPr>
          <w:rFonts w:hint="eastAsia" w:ascii="宋体"/>
          <w:color w:val="000000"/>
          <w:sz w:val="22"/>
          <w:szCs w:val="22"/>
          <w:highlight w:val="none"/>
        </w:rPr>
        <w:t xml:space="preserve">二、申请人的资格要求：</w:t>
      </w:r>
      <w:bookmarkEnd w:id="15"/>
      <w:r/>
      <w:bookmarkEnd w:id="16"/>
      <w:r/>
      <w:bookmarkEnd w:id="17"/>
      <w:r/>
      <w:bookmarkEnd w:id="18"/>
      <w:r/>
      <w:bookmarkEnd w:id="19"/>
      <w:r>
        <w:rPr>
          <w:rFonts w:ascii="宋体"/>
          <w:color w:val="000000"/>
          <w:sz w:val="22"/>
          <w:szCs w:val="22"/>
          <w:highlight w:val="none"/>
        </w:rPr>
      </w:r>
      <w:r/>
    </w:p>
    <w:p>
      <w:pPr>
        <w:pStyle w:val="1256"/>
        <w:ind w:firstLine="440"/>
        <w:jc w:val="left"/>
        <w:spacing w:line="324"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（一）满足《中华人民共和国政府采购法》第二十二条规定；</w:t>
      </w:r>
      <w:r>
        <w:rPr>
          <w:rFonts w:ascii="宋体" w:hAnsi="宋体" w:cs="宋体"/>
          <w:color w:val="000000"/>
          <w:sz w:val="22"/>
          <w:szCs w:val="22"/>
          <w:highlight w:val="none"/>
        </w:rPr>
      </w:r>
      <w:r/>
    </w:p>
    <w:p>
      <w:pPr>
        <w:pStyle w:val="1256"/>
        <w:ind w:firstLine="440"/>
        <w:jc w:val="left"/>
        <w:spacing w:line="324" w:lineRule="auto"/>
        <w:rPr>
          <w:rFonts w:ascii="宋体" w:hAnsi="宋体"/>
          <w:color w:val="000000"/>
          <w:sz w:val="22"/>
          <w:szCs w:val="22"/>
          <w:highlight w:val="none"/>
        </w:rPr>
      </w:pPr>
      <w:r>
        <w:rPr>
          <w:rFonts w:hint="eastAsia" w:ascii="宋体" w:hAnsi="宋体"/>
          <w:color w:val="000000"/>
          <w:sz w:val="22"/>
          <w:szCs w:val="22"/>
          <w:highlight w:val="none"/>
        </w:rPr>
        <w:t xml:space="preserve">1.具有独立承担民事责任的能力（提供法人或其他组织的营业执照扫描件加盖供应商公章）；</w:t>
      </w:r>
      <w:r>
        <w:rPr>
          <w:rFonts w:ascii="宋体" w:hAnsi="宋体"/>
          <w:color w:val="000000"/>
          <w:sz w:val="22"/>
          <w:szCs w:val="22"/>
          <w:highlight w:val="none"/>
        </w:rPr>
      </w:r>
      <w:r/>
    </w:p>
    <w:p>
      <w:pPr>
        <w:pStyle w:val="1256"/>
        <w:ind w:firstLine="440"/>
        <w:jc w:val="left"/>
        <w:spacing w:line="324" w:lineRule="auto"/>
        <w:rPr>
          <w:rFonts w:ascii="宋体" w:hAnsi="宋体"/>
          <w:color w:val="000000" w:themeColor="text1"/>
          <w:sz w:val="22"/>
          <w:szCs w:val="22"/>
          <w:highlight w:val="none"/>
        </w:rPr>
      </w:pPr>
      <w:r>
        <w:rPr>
          <w:rFonts w:hint="eastAsia" w:ascii="宋体" w:hAnsi="宋体"/>
          <w:color w:val="000000"/>
          <w:sz w:val="22"/>
          <w:szCs w:val="22"/>
          <w:highlight w:val="none"/>
        </w:rPr>
        <w:t xml:space="preserve">2.具有良好的商业信誉和健全的财务会计制度【提供由第三</w:t>
      </w:r>
      <w:r>
        <w:rPr>
          <w:rFonts w:hint="eastAsia" w:ascii="宋体" w:hAnsi="宋体"/>
          <w:color w:val="000000" w:themeColor="text1"/>
          <w:sz w:val="22"/>
          <w:szCs w:val="22"/>
          <w:highlight w:val="none"/>
        </w:rPr>
        <w:t xml:space="preserve">方专业机构出具的2025年度财务审计报告（至少包含资产负债表、利润表、现金流量表、第三方专业机构</w:t>
      </w:r>
      <w:r>
        <w:rPr>
          <w:rFonts w:hint="eastAsia" w:ascii="宋体" w:hAnsi="宋体"/>
          <w:color w:val="000000" w:themeColor="text1"/>
          <w:sz w:val="22"/>
          <w:szCs w:val="22"/>
          <w:highlight w:val="none"/>
          <w:lang w:val="en-US" w:eastAsia="zh-CN"/>
        </w:rPr>
        <w:t xml:space="preserve">盖章</w:t>
      </w:r>
      <w:r>
        <w:rPr>
          <w:rFonts w:hint="eastAsia" w:ascii="宋体" w:hAnsi="宋体"/>
          <w:color w:val="000000" w:themeColor="text1"/>
          <w:sz w:val="22"/>
          <w:szCs w:val="22"/>
          <w:highlight w:val="none"/>
        </w:rPr>
        <w:t xml:space="preserve">和注册会计师签字盖章页）扫描件并加盖供应商公章，或提供</w:t>
      </w:r>
      <w:r>
        <w:rPr>
          <w:rFonts w:hint="eastAsia" w:ascii="宋体" w:hAnsi="宋体"/>
          <w:color w:val="000000" w:themeColor="text1"/>
          <w:sz w:val="22"/>
          <w:szCs w:val="22"/>
          <w:highlight w:val="none"/>
          <w:lang w:eastAsia="zh-CN"/>
        </w:rPr>
        <w:t xml:space="preserve">投标截止时间</w:t>
      </w:r>
      <w:r>
        <w:rPr>
          <w:rFonts w:hint="eastAsia" w:ascii="宋体" w:hAnsi="宋体"/>
          <w:color w:val="000000" w:themeColor="text1"/>
          <w:sz w:val="22"/>
          <w:szCs w:val="22"/>
          <w:highlight w:val="none"/>
        </w:rPr>
        <w:t xml:space="preserve">前半年内（</w:t>
      </w:r>
      <w:r>
        <w:rPr>
          <w:rFonts w:hint="eastAsia" w:ascii="宋体" w:hAnsi="宋体"/>
          <w:color w:val="000000" w:themeColor="text1"/>
          <w:sz w:val="22"/>
          <w:szCs w:val="22"/>
          <w:highlight w:val="none"/>
          <w:lang w:eastAsia="zh-CN"/>
        </w:rPr>
        <w:t xml:space="preserve">2026年1月至今</w:t>
      </w:r>
      <w:r>
        <w:rPr>
          <w:rFonts w:hint="eastAsia" w:ascii="宋体" w:hAnsi="宋体"/>
          <w:color w:val="000000" w:themeColor="text1"/>
          <w:sz w:val="22"/>
          <w:szCs w:val="22"/>
          <w:highlight w:val="none"/>
        </w:rPr>
        <w:t xml:space="preserve">）至少一个月的财务报表（至少包括资产负债表和利润表）扫描件加盖供应商公章，或</w:t>
      </w:r>
      <w:r>
        <w:rPr>
          <w:rFonts w:hint="eastAsia" w:ascii="宋体" w:hAnsi="宋体"/>
          <w:color w:val="000000" w:themeColor="text1"/>
          <w:sz w:val="22"/>
          <w:szCs w:val="22"/>
          <w:highlight w:val="none"/>
          <w:lang w:eastAsia="zh-CN"/>
        </w:rPr>
        <w:t xml:space="preserve">投标截止时间</w:t>
      </w:r>
      <w:r>
        <w:rPr>
          <w:rFonts w:hint="eastAsia" w:ascii="宋体" w:hAnsi="宋体"/>
          <w:color w:val="000000" w:themeColor="text1"/>
          <w:sz w:val="22"/>
          <w:szCs w:val="22"/>
          <w:highlight w:val="none"/>
        </w:rPr>
        <w:t xml:space="preserve">前半年内（</w:t>
      </w:r>
      <w:r>
        <w:rPr>
          <w:rFonts w:hint="eastAsia" w:ascii="宋体" w:hAnsi="宋体"/>
          <w:color w:val="000000" w:themeColor="text1"/>
          <w:sz w:val="22"/>
          <w:szCs w:val="22"/>
          <w:highlight w:val="none"/>
          <w:lang w:eastAsia="zh-CN"/>
        </w:rPr>
        <w:t xml:space="preserve">2026年1月至今</w:t>
      </w:r>
      <w:r>
        <w:rPr>
          <w:rFonts w:hint="eastAsia" w:ascii="宋体" w:hAnsi="宋体"/>
          <w:color w:val="000000" w:themeColor="text1"/>
          <w:sz w:val="22"/>
          <w:szCs w:val="22"/>
          <w:highlight w:val="none"/>
        </w:rPr>
        <w:t xml:space="preserve">）银行出具的资信证明扫描件加盖供应商公章，成立不满一年的无须提供】；</w:t>
      </w:r>
      <w:r>
        <w:rPr>
          <w:color w:val="000000" w:themeColor="text1"/>
        </w:rPr>
      </w:r>
      <w:r/>
    </w:p>
    <w:p>
      <w:pPr>
        <w:pStyle w:val="1256"/>
        <w:ind w:firstLine="440"/>
        <w:jc w:val="left"/>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3.具有履行合同所必需的设备和专业技术能力（提供具有履行合同所必需的设备和专业技术能力的书面声明加盖供应商公章）；</w:t>
      </w:r>
      <w:r>
        <w:rPr>
          <w:color w:val="000000" w:themeColor="text1"/>
        </w:rPr>
      </w:r>
      <w:r/>
    </w:p>
    <w:p>
      <w:pPr>
        <w:pStyle w:val="1256"/>
        <w:ind w:firstLine="440"/>
        <w:jc w:val="left"/>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4.有依法缴纳税收和社会保障资金的良好记录【提供参加本次采购活动前半年内（</w:t>
      </w:r>
      <w:r>
        <w:rPr>
          <w:rFonts w:hint="eastAsia" w:ascii="宋体" w:hAnsi="宋体"/>
          <w:color w:val="000000" w:themeColor="text1"/>
          <w:sz w:val="22"/>
          <w:szCs w:val="22"/>
          <w:highlight w:val="none"/>
          <w:lang w:eastAsia="zh-CN"/>
        </w:rPr>
        <w:t xml:space="preserve">2026年1月至今</w:t>
      </w:r>
      <w:r>
        <w:rPr>
          <w:rFonts w:hint="eastAsia" w:ascii="宋体" w:hAnsi="宋体"/>
          <w:color w:val="000000" w:themeColor="text1"/>
          <w:sz w:val="22"/>
          <w:szCs w:val="22"/>
          <w:highlight w:val="none"/>
        </w:rPr>
        <w:t xml:space="preserve">）至少一个月依法缴纳税收和社会保障资金的相关材料（相关主管部门出具的缴纳证明或银行代扣证明，根据国家相关政策免缴或迟缴的需提供相关证明材料）扫描件加盖供应商公章】；</w:t>
      </w:r>
      <w:r>
        <w:rPr>
          <w:color w:val="000000" w:themeColor="text1"/>
        </w:rPr>
      </w:r>
      <w:r/>
    </w:p>
    <w:p>
      <w:pPr>
        <w:pStyle w:val="1256"/>
        <w:ind w:firstLine="440"/>
        <w:jc w:val="left"/>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5.</w:t>
      </w:r>
      <w:r>
        <w:rPr>
          <w:rFonts w:hint="eastAsia" w:ascii="宋体" w:hAnsi="宋体"/>
          <w:color w:val="000000" w:themeColor="text1"/>
          <w:sz w:val="22"/>
          <w:szCs w:val="22"/>
          <w:highlight w:val="none"/>
          <w:lang w:val="zh-TW"/>
        </w:rPr>
        <w:t xml:space="preserve">参加政府采购活动前三年内，在经营活动中没有重大违法记录（提供参加本次政府采购活动前3年内在经营活动中没有重大违法记录的书面声明</w:t>
      </w:r>
      <w:r>
        <w:rPr>
          <w:rFonts w:hint="eastAsia" w:ascii="宋体" w:hAnsi="宋体"/>
          <w:color w:val="000000" w:themeColor="text1"/>
          <w:sz w:val="22"/>
          <w:szCs w:val="22"/>
          <w:highlight w:val="none"/>
        </w:rPr>
        <w:t xml:space="preserve">加盖供应商公章</w:t>
      </w:r>
      <w:r>
        <w:rPr>
          <w:rFonts w:hint="eastAsia" w:ascii="宋体" w:hAnsi="宋体"/>
          <w:color w:val="000000" w:themeColor="text1"/>
          <w:sz w:val="22"/>
          <w:szCs w:val="22"/>
          <w:highlight w:val="none"/>
          <w:lang w:val="zh-TW"/>
        </w:rPr>
        <w:t xml:space="preserve">）；</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6.法律、行政法规规定的其他条件。</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color w:val="000000" w:themeColor="text1"/>
        </w:rPr>
      </w:r>
      <w:bookmarkStart w:id="20" w:name="_Toc28359081"/>
      <w:r>
        <w:rPr>
          <w:color w:val="000000" w:themeColor="text1"/>
        </w:rPr>
      </w:r>
      <w:bookmarkStart w:id="21" w:name="_Toc28359004"/>
      <w:r>
        <w:rPr>
          <w:rFonts w:hint="eastAsia" w:ascii="宋体" w:hAnsi="宋体" w:cs="宋体"/>
          <w:color w:val="000000" w:themeColor="text1"/>
          <w:sz w:val="22"/>
          <w:szCs w:val="22"/>
          <w:highlight w:val="none"/>
        </w:rPr>
        <w:t xml:space="preserve">（二）落实政府采购政策需满足的资格要求：本项目不专门面向中小微企业采购，执行价格扣除优惠政策，对小微企业报价给予10%的扣除。</w:t>
      </w:r>
      <w:r>
        <w:rPr>
          <w:rFonts w:hint="eastAsia" w:ascii="宋体" w:hAnsi="宋体" w:cs="宋体"/>
          <w:color w:val="000000" w:themeColor="text1"/>
          <w:sz w:val="22"/>
          <w:szCs w:val="22"/>
          <w:highlight w:val="none"/>
          <w:lang w:val="zh-CN"/>
        </w:rPr>
        <w:t xml:space="preserve">提供《</w:t>
      </w:r>
      <w:r>
        <w:rPr>
          <w:rFonts w:hint="eastAsia" w:ascii="宋体" w:hAnsi="宋体" w:cs="宋体"/>
          <w:color w:val="000000" w:themeColor="text1"/>
          <w:sz w:val="22"/>
          <w:szCs w:val="22"/>
          <w:highlight w:val="none"/>
        </w:rPr>
        <w:t xml:space="preserve">中</w:t>
      </w:r>
      <w:r>
        <w:rPr>
          <w:rFonts w:hint="eastAsia" w:ascii="宋体" w:hAnsi="宋体" w:cs="宋体"/>
          <w:color w:val="000000" w:themeColor="text1"/>
          <w:sz w:val="22"/>
          <w:szCs w:val="22"/>
          <w:highlight w:val="none"/>
          <w:lang w:val="zh-CN"/>
        </w:rPr>
        <w:t xml:space="preserve">小企业声明函》（格式见</w:t>
      </w:r>
      <w:r>
        <w:rPr>
          <w:rFonts w:hint="eastAsia" w:ascii="宋体" w:hAnsi="宋体" w:cs="宋体"/>
          <w:color w:val="000000" w:themeColor="text1"/>
          <w:sz w:val="22"/>
          <w:szCs w:val="22"/>
          <w:highlight w:val="none"/>
        </w:rPr>
        <w:t xml:space="preserve">附件</w:t>
      </w:r>
      <w:r>
        <w:rPr>
          <w:rFonts w:hint="eastAsia" w:ascii="宋体" w:hAnsi="宋体" w:cs="宋体"/>
          <w:color w:val="000000" w:themeColor="text1"/>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s="宋体"/>
          <w:color w:val="000000" w:themeColor="text1"/>
          <w:sz w:val="22"/>
          <w:szCs w:val="22"/>
          <w:highlight w:val="none"/>
        </w:rPr>
        <w:t xml:space="preserve">附件</w:t>
      </w:r>
      <w:r>
        <w:rPr>
          <w:rFonts w:hint="eastAsia" w:ascii="宋体" w:hAnsi="宋体" w:cs="宋体"/>
          <w:color w:val="000000" w:themeColor="text1"/>
          <w:sz w:val="22"/>
          <w:szCs w:val="22"/>
          <w:highlight w:val="none"/>
          <w:lang w:val="zh-CN"/>
        </w:rPr>
        <w:t xml:space="preserve">）。</w:t>
      </w:r>
      <w:r>
        <w:rPr>
          <w:color w:val="000000" w:themeColor="text1"/>
        </w:rPr>
      </w:r>
      <w:r/>
    </w:p>
    <w:p>
      <w:pPr>
        <w:pStyle w:val="1256"/>
        <w:ind w:firstLine="440"/>
        <w:jc w:val="left"/>
        <w:spacing w:line="324" w:lineRule="auto"/>
        <w:rPr>
          <w:rFonts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rPr>
        <w:t xml:space="preserve">（三）本项目的特定资格要求</w:t>
      </w:r>
      <w:r>
        <w:rPr>
          <w:rFonts w:hint="eastAsia" w:ascii="宋体" w:hAnsi="宋体" w:cs="宋体"/>
          <w:b/>
          <w:bCs/>
          <w:color w:val="000000" w:themeColor="text1"/>
          <w:sz w:val="22"/>
          <w:szCs w:val="22"/>
          <w:highlight w:val="none"/>
        </w:rPr>
        <w:t xml:space="preserve">：无</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（四）拒绝下列供应商参加本次采购活动：</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1.供应商单位负责人为同一人或者存在直接控股、管理关系的不同供应商，不得参加同一合同项下的政府采购活动。</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2.凡为采购项目提供整体设计、规范编制或者项目管理、监理、检测等服务的供应商，不得再参加本项目的采购活动。</w:t>
      </w:r>
      <w:r>
        <w:rPr>
          <w:color w:val="000000" w:themeColor="text1"/>
        </w:rPr>
      </w:r>
      <w:r/>
    </w:p>
    <w:p>
      <w:pPr>
        <w:pStyle w:val="1373"/>
        <w:ind w:firstLine="440"/>
        <w:jc w:val="left"/>
        <w:spacing w:line="324" w:lineRule="auto"/>
        <w:rPr>
          <w:rFonts w:ascii="宋体" w:hAnsi="宋体" w:cs="宋体"/>
          <w:color w:val="000000" w:themeColor="text1"/>
          <w:sz w:val="22"/>
          <w:szCs w:val="22"/>
          <w:highlight w:val="none"/>
        </w:rPr>
      </w:pPr>
      <w:r>
        <w:rPr>
          <w:color w:val="000000" w:themeColor="text1"/>
        </w:rPr>
      </w:r>
      <w:bookmarkStart w:id="22" w:name="_Toc35393623"/>
      <w:r>
        <w:rPr>
          <w:color w:val="000000" w:themeColor="text1"/>
        </w:rPr>
      </w:r>
      <w:bookmarkStart w:id="23" w:name="_Toc35393792"/>
      <w:r>
        <w:rPr>
          <w:rFonts w:hint="eastAsia" w:ascii="宋体" w:hAnsi="宋体" w:cs="宋体"/>
          <w:color w:val="000000" w:themeColor="text1"/>
          <w:sz w:val="22"/>
          <w:szCs w:val="22"/>
          <w:highlight w:val="none"/>
        </w:rPr>
        <w:t xml:space="preserve">3.供应商被列入失信被执行人、重大税收违法案件当事人名单、政府采购严重违法失信行为记录名单及其他不符合《中华人民共和国政府采购法》第二十二条规定条件的供应商参与政府采购活动。</w:t>
      </w:r>
      <w:r>
        <w:rPr>
          <w:color w:val="000000" w:themeColor="text1"/>
        </w:rPr>
      </w:r>
      <w:r/>
    </w:p>
    <w:p>
      <w:pPr>
        <w:pStyle w:val="1258"/>
        <w:numPr>
          <w:ilvl w:val="1"/>
          <w:numId w:val="0"/>
        </w:numPr>
        <w:jc w:val="left"/>
        <w:keepLines w:val="0"/>
        <w:keepNext w:val="0"/>
        <w:spacing w:before="0" w:after="0" w:line="324" w:lineRule="auto"/>
        <w:tabs>
          <w:tab w:val="left" w:pos="840" w:leader="none"/>
        </w:tabs>
        <w:rPr>
          <w:rFonts w:ascii="宋体"/>
          <w:color w:val="000000" w:themeColor="text1"/>
          <w:sz w:val="22"/>
          <w:szCs w:val="22"/>
          <w:highlight w:val="none"/>
        </w:rPr>
      </w:pPr>
      <w:r>
        <w:rPr>
          <w:color w:val="000000" w:themeColor="text1"/>
        </w:rPr>
      </w:r>
      <w:bookmarkStart w:id="24" w:name="_Toc25319"/>
      <w:r>
        <w:rPr>
          <w:rFonts w:hint="eastAsia" w:ascii="宋体"/>
          <w:color w:val="000000" w:themeColor="text1"/>
          <w:sz w:val="22"/>
          <w:szCs w:val="22"/>
          <w:highlight w:val="none"/>
        </w:rPr>
        <w:t xml:space="preserve">三、报名及获取招标文件</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r/>
    </w:p>
    <w:p>
      <w:pPr>
        <w:pStyle w:val="1256"/>
        <w:ind w:firstLine="420"/>
        <w:jc w:val="both"/>
        <w:spacing w:line="360" w:lineRule="auto"/>
        <w:widowControl w:val="off"/>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时间：</w:t>
      </w:r>
      <w:r>
        <w:rPr>
          <w:rFonts w:hint="eastAsia" w:ascii="Microsoft New Tai Lue" w:hAnsi="Microsoft New Tai Lue" w:cs="Microsoft New Tai Lue"/>
          <w:bCs/>
          <w:color w:val="000000" w:themeColor="text1"/>
          <w:szCs w:val="21"/>
          <w:highlight w:val="none"/>
        </w:rPr>
        <w:t xml:space="preserve">自招标文件公告发布之日起5个工作日</w:t>
      </w:r>
      <w:r>
        <w:rPr>
          <w:rFonts w:hint="eastAsia" w:ascii="宋体" w:hAnsi="宋体" w:eastAsia="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lang w:eastAsia="zh-CN"/>
        </w:rPr>
        <w:t xml:space="preserve">2026年</w:t>
      </w:r>
      <w:r>
        <w:rPr>
          <w:rFonts w:hint="eastAsia" w:ascii="宋体" w:hAnsi="宋体" w:eastAsia="宋体" w:cs="宋体"/>
          <w:bCs/>
          <w:color w:val="000000" w:themeColor="text1"/>
          <w:sz w:val="22"/>
          <w:szCs w:val="22"/>
          <w:highlight w:val="none"/>
          <w:lang w:val="en-US" w:eastAsia="zh-CN"/>
        </w:rPr>
        <w:t xml:space="preserve">7</w:t>
      </w:r>
      <w:r>
        <w:rPr>
          <w:rFonts w:hint="eastAsia" w:ascii="宋体" w:hAnsi="宋体" w:eastAsia="宋体" w:cs="宋体"/>
          <w:bCs/>
          <w:color w:val="000000" w:themeColor="text1"/>
          <w:sz w:val="22"/>
          <w:szCs w:val="22"/>
          <w:highlight w:val="none"/>
          <w:lang w:eastAsia="zh-CN"/>
        </w:rPr>
        <w:t xml:space="preserve">月</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lang w:eastAsia="zh-CN"/>
        </w:rPr>
        <w:t xml:space="preserve">日至2026年</w:t>
      </w:r>
      <w:r>
        <w:rPr>
          <w:rFonts w:hint="eastAsia" w:ascii="宋体" w:hAnsi="宋体" w:eastAsia="宋体" w:cs="宋体"/>
          <w:bCs/>
          <w:color w:val="000000" w:themeColor="text1"/>
          <w:sz w:val="22"/>
          <w:szCs w:val="22"/>
          <w:highlight w:val="none"/>
          <w:lang w:val="en-US" w:eastAsia="zh-CN"/>
        </w:rPr>
        <w:t xml:space="preserve">7</w:t>
      </w:r>
      <w:r>
        <w:rPr>
          <w:rFonts w:hint="eastAsia" w:ascii="宋体" w:hAnsi="宋体" w:eastAsia="宋体" w:cs="宋体"/>
          <w:bCs/>
          <w:color w:val="000000" w:themeColor="text1"/>
          <w:sz w:val="22"/>
          <w:szCs w:val="22"/>
          <w:highlight w:val="none"/>
          <w:lang w:eastAsia="zh-CN"/>
        </w:rPr>
        <w:t xml:space="preserve">月</w:t>
      </w:r>
      <w:r>
        <w:rPr>
          <w:rFonts w:hint="eastAsia" w:ascii="宋体" w:hAnsi="宋体" w:eastAsia="宋体" w:cs="宋体"/>
          <w:bCs/>
          <w:color w:val="000000" w:themeColor="text1"/>
          <w:sz w:val="22"/>
          <w:szCs w:val="22"/>
          <w:highlight w:val="none"/>
          <w:lang w:val="en-US" w:eastAsia="zh-CN"/>
        </w:rPr>
        <w:t xml:space="preserve">9</w:t>
      </w:r>
      <w:r>
        <w:rPr>
          <w:rFonts w:hint="eastAsia" w:ascii="宋体" w:hAnsi="宋体" w:eastAsia="宋体" w:cs="宋体"/>
          <w:bCs/>
          <w:color w:val="000000" w:themeColor="text1"/>
          <w:sz w:val="22"/>
          <w:szCs w:val="22"/>
          <w:highlight w:val="none"/>
          <w:lang w:eastAsia="zh-CN"/>
        </w:rPr>
        <w:t xml:space="preserve">日</w:t>
      </w:r>
      <w:r>
        <w:rPr>
          <w:rFonts w:hint="eastAsia" w:ascii="宋体" w:hAnsi="宋体" w:eastAsia="宋体" w:cs="宋体"/>
          <w:bCs/>
          <w:color w:val="000000" w:themeColor="text1"/>
          <w:sz w:val="22"/>
          <w:szCs w:val="22"/>
          <w:highlight w:val="none"/>
          <w:lang w:eastAsia="zh-CN"/>
        </w:rPr>
        <w:t xml:space="preserve">9:00至11:30，14:00至17:00(北京时间，节假日除外)</w:t>
      </w:r>
      <w:r>
        <w:rPr>
          <w:color w:val="000000" w:themeColor="text1"/>
        </w:rPr>
      </w:r>
      <w:r/>
    </w:p>
    <w:p>
      <w:pPr>
        <w:pStyle w:val="1256"/>
        <w:ind w:firstLine="525"/>
        <w:spacing w:line="324"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地点：</w:t>
      </w:r>
      <w:r>
        <w:rPr>
          <w:rFonts w:hint="eastAsia" w:ascii="宋体" w:hAnsi="宋体" w:cs="宋体"/>
          <w:color w:val="000000" w:themeColor="text1"/>
          <w:highlight w:val="none"/>
        </w:rPr>
        <w:t xml:space="preserve">江苏省政府采购交易系统（苏采云系统）</w:t>
      </w:r>
      <w:r>
        <w:rPr>
          <w:rFonts w:hint="eastAsia" w:ascii="Microsoft New Tai Lue" w:hAnsi="Microsoft New Tai Lue" w:cs="Microsoft New Tai Lue"/>
          <w:bCs/>
          <w:color w:val="000000" w:themeColor="text1"/>
          <w:szCs w:val="21"/>
          <w:highlight w:val="none"/>
        </w:rPr>
        <w:t xml:space="preserve"> </w:t>
      </w:r>
      <w:r>
        <w:rPr>
          <w:color w:val="000000" w:themeColor="text1"/>
        </w:rPr>
      </w:r>
      <w:r/>
    </w:p>
    <w:p>
      <w:pPr>
        <w:pStyle w:val="1256"/>
        <w:ind w:firstLine="525"/>
        <w:spacing w:line="324" w:lineRule="auto"/>
        <w:rPr>
          <w:rFonts w:hint="eastAsia"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方式：网上下载。</w:t>
      </w:r>
      <w:r>
        <w:rPr>
          <w:rFonts w:hint="eastAsia" w:ascii="Microsoft New Tai Lue" w:hAnsi="Microsoft New Tai Lue" w:cs="Microsoft New Tai Lue"/>
          <w:bCs/>
          <w:color w:val="000000" w:themeColor="text1"/>
          <w:szCs w:val="21"/>
          <w:highlight w:val="none"/>
        </w:rPr>
        <w:t xml:space="preserve"> </w:t>
      </w:r>
      <w:r>
        <w:rPr>
          <w:color w:val="000000" w:themeColor="text1"/>
        </w:rPr>
      </w:r>
      <w:r/>
    </w:p>
    <w:p>
      <w:pPr>
        <w:pStyle w:val="1256"/>
        <w:ind w:firstLine="525"/>
        <w:spacing w:line="324"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售价：0元。</w:t>
      </w:r>
      <w:r>
        <w:rPr>
          <w:color w:val="000000" w:themeColor="text1"/>
        </w:rPr>
      </w:r>
      <w:r/>
    </w:p>
    <w:p>
      <w:pPr>
        <w:pStyle w:val="1258"/>
        <w:numPr>
          <w:ilvl w:val="1"/>
          <w:numId w:val="0"/>
        </w:numPr>
        <w:jc w:val="left"/>
        <w:keepLines w:val="0"/>
        <w:keepNext w:val="0"/>
        <w:spacing w:before="0" w:after="0" w:line="324" w:lineRule="auto"/>
        <w:tabs>
          <w:tab w:val="left" w:pos="840" w:leader="none"/>
        </w:tabs>
        <w:rPr>
          <w:rFonts w:ascii="宋体"/>
          <w:color w:val="000000" w:themeColor="text1"/>
          <w:sz w:val="22"/>
          <w:szCs w:val="22"/>
          <w:highlight w:val="none"/>
        </w:rPr>
      </w:pPr>
      <w:r>
        <w:rPr>
          <w:color w:val="000000" w:themeColor="text1"/>
        </w:rPr>
      </w:r>
      <w:bookmarkStart w:id="25" w:name="_Toc35393793"/>
      <w:r>
        <w:rPr>
          <w:color w:val="000000" w:themeColor="text1"/>
        </w:rPr>
      </w:r>
      <w:bookmarkStart w:id="26" w:name="_Toc28359005"/>
      <w:r>
        <w:rPr>
          <w:color w:val="000000" w:themeColor="text1"/>
        </w:rPr>
      </w:r>
      <w:bookmarkStart w:id="27" w:name="_Toc28359082"/>
      <w:r>
        <w:rPr>
          <w:color w:val="000000" w:themeColor="text1"/>
        </w:rPr>
      </w:r>
      <w:bookmarkStart w:id="28" w:name="_Toc23243"/>
      <w:r>
        <w:rPr>
          <w:color w:val="000000" w:themeColor="text1"/>
        </w:rPr>
      </w:r>
      <w:bookmarkStart w:id="29" w:name="_Toc35393624"/>
      <w:r>
        <w:rPr>
          <w:rFonts w:hint="eastAsia" w:ascii="宋体"/>
          <w:color w:val="000000" w:themeColor="text1"/>
          <w:sz w:val="22"/>
          <w:szCs w:val="22"/>
          <w:highlight w:val="none"/>
        </w:rPr>
        <w:t xml:space="preserve">四、提交投标文件</w:t>
      </w:r>
      <w:bookmarkEnd w:id="26"/>
      <w:r>
        <w:rPr>
          <w:color w:val="000000" w:themeColor="text1"/>
        </w:rPr>
      </w:r>
      <w:bookmarkEnd w:id="27"/>
      <w:r>
        <w:rPr>
          <w:rFonts w:hint="eastAsia" w:ascii="宋体"/>
          <w:color w:val="000000" w:themeColor="text1"/>
          <w:sz w:val="22"/>
          <w:szCs w:val="22"/>
          <w:highlight w:val="none"/>
        </w:rPr>
        <w:t xml:space="preserve">截止时间、开标时间和地点</w:t>
      </w:r>
      <w:bookmarkEnd w:id="25"/>
      <w:r>
        <w:rPr>
          <w:color w:val="000000" w:themeColor="text1"/>
        </w:rPr>
      </w:r>
      <w:bookmarkEnd w:id="28"/>
      <w:r>
        <w:rPr>
          <w:color w:val="000000" w:themeColor="text1"/>
        </w:rPr>
      </w:r>
      <w:bookmarkEnd w:id="29"/>
      <w:r>
        <w:rPr>
          <w:color w:val="000000" w:themeColor="text1"/>
        </w:rPr>
      </w:r>
      <w:r/>
    </w:p>
    <w:p>
      <w:pPr>
        <w:pStyle w:val="1256"/>
        <w:ind w:firstLine="442"/>
        <w:jc w:val="left"/>
        <w:spacing w:line="324" w:lineRule="auto"/>
        <w:rPr>
          <w:rFonts w:ascii="宋体" w:hAnsi="宋体" w:cs="宋体"/>
          <w:bCs/>
          <w:color w:val="000000" w:themeColor="text1"/>
          <w:sz w:val="22"/>
          <w:szCs w:val="22"/>
          <w:highlight w:val="none"/>
          <w:u w:val="single"/>
        </w:rPr>
      </w:pPr>
      <w:r>
        <w:rPr>
          <w:rFonts w:hint="eastAsia" w:ascii="宋体" w:hAnsi="宋体" w:cs="宋体"/>
          <w:b/>
          <w:bCs/>
          <w:color w:val="000000" w:themeColor="text1"/>
          <w:sz w:val="22"/>
          <w:szCs w:val="22"/>
          <w:highlight w:val="none"/>
        </w:rPr>
        <w:t xml:space="preserve">投标文件截止时间、开标时间：</w:t>
      </w:r>
      <w:r>
        <w:rPr>
          <w:rFonts w:hint="eastAsia" w:ascii="宋体" w:hAnsi="宋体" w:cs="宋体"/>
          <w:bCs/>
          <w:color w:val="000000" w:themeColor="text1"/>
          <w:sz w:val="22"/>
          <w:szCs w:val="22"/>
          <w:highlight w:val="none"/>
          <w:u w:val="single"/>
        </w:rPr>
        <w:t xml:space="preserve">2026年</w:t>
      </w:r>
      <w:r>
        <w:rPr>
          <w:rFonts w:hint="eastAsia" w:ascii="宋体" w:hAnsi="宋体" w:cs="宋体"/>
          <w:bCs/>
          <w:color w:val="000000" w:themeColor="text1"/>
          <w:sz w:val="22"/>
          <w:szCs w:val="22"/>
          <w:highlight w:val="none"/>
          <w:u w:val="single"/>
          <w:lang w:val="en-US" w:eastAsia="zh-CN"/>
        </w:rPr>
        <w:t xml:space="preserve">7</w:t>
      </w:r>
      <w:r>
        <w:rPr>
          <w:rFonts w:hint="eastAsia" w:ascii="宋体" w:hAnsi="宋体" w:cs="宋体"/>
          <w:bCs/>
          <w:color w:val="000000" w:themeColor="text1"/>
          <w:sz w:val="22"/>
          <w:szCs w:val="22"/>
          <w:highlight w:val="none"/>
          <w:u w:val="single"/>
        </w:rPr>
        <w:t xml:space="preserve">月</w:t>
      </w:r>
      <w:r>
        <w:rPr>
          <w:rFonts w:hint="eastAsia" w:ascii="宋体" w:hAnsi="宋体" w:cs="宋体"/>
          <w:bCs/>
          <w:color w:val="000000" w:themeColor="text1"/>
          <w:sz w:val="22"/>
          <w:szCs w:val="22"/>
          <w:highlight w:val="none"/>
          <w:u w:val="single"/>
          <w:lang w:val="en-US" w:eastAsia="zh-CN"/>
        </w:rPr>
        <w:t xml:space="preserve">2</w:t>
      </w:r>
      <w:r>
        <w:rPr>
          <w:rFonts w:hint="eastAsia" w:ascii="宋体" w:hAnsi="宋体" w:cs="宋体"/>
          <w:bCs/>
          <w:color w:val="000000" w:themeColor="text1"/>
          <w:sz w:val="22"/>
          <w:szCs w:val="22"/>
          <w:highlight w:val="none"/>
          <w:u w:val="single"/>
          <w:lang w:val="en-US" w:eastAsia="zh-CN"/>
        </w:rPr>
        <w:t xml:space="preserve">3</w:t>
      </w:r>
      <w:r>
        <w:rPr>
          <w:rFonts w:hint="eastAsia" w:ascii="宋体" w:hAnsi="宋体" w:cs="宋体"/>
          <w:bCs/>
          <w:color w:val="000000" w:themeColor="text1"/>
          <w:sz w:val="22"/>
          <w:szCs w:val="22"/>
          <w:highlight w:val="none"/>
          <w:u w:val="single"/>
        </w:rPr>
        <w:t xml:space="preserve">日</w:t>
      </w:r>
      <w:r>
        <w:rPr>
          <w:rFonts w:hint="eastAsia" w:ascii="宋体" w:hAnsi="宋体" w:cs="宋体"/>
          <w:bCs/>
          <w:color w:val="000000" w:themeColor="text1"/>
          <w:sz w:val="22"/>
          <w:szCs w:val="22"/>
          <w:highlight w:val="none"/>
          <w:u w:val="single"/>
        </w:rPr>
        <w:t xml:space="preserve">9点30分</w:t>
      </w:r>
      <w:r>
        <w:rPr>
          <w:rFonts w:hint="eastAsia" w:ascii="宋体" w:hAnsi="宋体" w:cs="宋体"/>
          <w:bCs/>
          <w:color w:val="000000" w:themeColor="text1"/>
          <w:sz w:val="22"/>
          <w:szCs w:val="22"/>
          <w:highlight w:val="none"/>
        </w:rPr>
        <w:t xml:space="preserve">（北京时间）</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u w:val="single"/>
        </w:rPr>
      </w:pPr>
      <w:r>
        <w:rPr>
          <w:rFonts w:hint="eastAsia" w:ascii="宋体" w:hAnsi="宋体" w:cs="宋体"/>
          <w:color w:val="000000" w:themeColor="text1"/>
          <w:sz w:val="22"/>
          <w:szCs w:val="22"/>
          <w:highlight w:val="none"/>
        </w:rPr>
        <w:t xml:space="preserve">地点：</w:t>
      </w:r>
      <w:r>
        <w:rPr>
          <w:rFonts w:hint="eastAsia" w:ascii="宋体" w:hAnsi="宋体" w:cs="宋体"/>
          <w:color w:val="000000" w:themeColor="text1"/>
          <w:highlight w:val="none"/>
        </w:rPr>
        <w:t xml:space="preserve">江苏省政府采购交易系统（苏采云系统）网上开标大厅</w:t>
      </w:r>
      <w:r>
        <w:rPr>
          <w:color w:val="000000" w:themeColor="text1"/>
        </w:rPr>
      </w:r>
      <w:r/>
    </w:p>
    <w:p>
      <w:pPr>
        <w:pStyle w:val="1258"/>
        <w:numPr>
          <w:ilvl w:val="1"/>
          <w:numId w:val="0"/>
        </w:numPr>
        <w:jc w:val="left"/>
        <w:keepLines w:val="0"/>
        <w:keepNext w:val="0"/>
        <w:spacing w:before="0" w:after="0" w:line="324" w:lineRule="auto"/>
        <w:tabs>
          <w:tab w:val="left" w:pos="840" w:leader="none"/>
        </w:tabs>
        <w:rPr>
          <w:rFonts w:ascii="宋体"/>
          <w:color w:val="000000" w:themeColor="text1"/>
          <w:sz w:val="22"/>
          <w:szCs w:val="22"/>
          <w:highlight w:val="none"/>
        </w:rPr>
      </w:pPr>
      <w:r>
        <w:rPr>
          <w:color w:val="000000" w:themeColor="text1"/>
        </w:rPr>
      </w:r>
      <w:bookmarkStart w:id="30" w:name="_Toc35393794"/>
      <w:r>
        <w:rPr>
          <w:color w:val="000000" w:themeColor="text1"/>
        </w:rPr>
      </w:r>
      <w:bookmarkStart w:id="31" w:name="_Toc1637"/>
      <w:r>
        <w:rPr>
          <w:color w:val="000000" w:themeColor="text1"/>
        </w:rPr>
      </w:r>
      <w:bookmarkStart w:id="32" w:name="_Toc35393625"/>
      <w:r>
        <w:rPr>
          <w:color w:val="000000" w:themeColor="text1"/>
        </w:rPr>
      </w:r>
      <w:bookmarkStart w:id="33" w:name="_Toc28359007"/>
      <w:r>
        <w:rPr>
          <w:color w:val="000000" w:themeColor="text1"/>
        </w:rPr>
      </w:r>
      <w:bookmarkStart w:id="34" w:name="_Toc28359084"/>
      <w:r>
        <w:rPr>
          <w:rFonts w:hint="eastAsia" w:ascii="宋体"/>
          <w:color w:val="000000" w:themeColor="text1"/>
          <w:sz w:val="22"/>
          <w:szCs w:val="22"/>
          <w:highlight w:val="none"/>
        </w:rPr>
        <w:t xml:space="preserve">五、公告期限</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自本公告发布之日起5个工作日。</w:t>
      </w:r>
      <w:r>
        <w:rPr>
          <w:color w:val="000000" w:themeColor="text1"/>
        </w:rPr>
      </w:r>
      <w:r/>
    </w:p>
    <w:p>
      <w:pPr>
        <w:pStyle w:val="1258"/>
        <w:numPr>
          <w:ilvl w:val="1"/>
          <w:numId w:val="0"/>
        </w:numPr>
        <w:jc w:val="left"/>
        <w:keepLines w:val="0"/>
        <w:keepNext w:val="0"/>
        <w:spacing w:before="0" w:after="0" w:line="324" w:lineRule="auto"/>
        <w:tabs>
          <w:tab w:val="left" w:pos="840" w:leader="none"/>
        </w:tabs>
        <w:rPr>
          <w:rFonts w:ascii="宋体"/>
          <w:color w:val="000000" w:themeColor="text1"/>
          <w:sz w:val="22"/>
          <w:szCs w:val="22"/>
          <w:highlight w:val="none"/>
        </w:rPr>
      </w:pPr>
      <w:r>
        <w:rPr>
          <w:color w:val="000000" w:themeColor="text1"/>
        </w:rPr>
      </w:r>
      <w:bookmarkStart w:id="35" w:name="_Toc35393795"/>
      <w:r>
        <w:rPr>
          <w:color w:val="000000" w:themeColor="text1"/>
        </w:rPr>
      </w:r>
      <w:bookmarkStart w:id="36" w:name="_Toc35393626"/>
      <w:r>
        <w:rPr>
          <w:color w:val="000000" w:themeColor="text1"/>
        </w:rPr>
      </w:r>
      <w:bookmarkStart w:id="37" w:name="_Toc10995"/>
      <w:r>
        <w:rPr>
          <w:rFonts w:hint="eastAsia" w:ascii="宋体"/>
          <w:color w:val="000000" w:themeColor="text1"/>
          <w:sz w:val="22"/>
          <w:szCs w:val="22"/>
          <w:highlight w:val="none"/>
        </w:rPr>
        <w:t xml:space="preserve">六、其他补充事宜</w:t>
      </w:r>
      <w:bookmarkEnd w:id="35"/>
      <w:r>
        <w:rPr>
          <w:color w:val="000000" w:themeColor="text1"/>
        </w:rPr>
      </w:r>
      <w:bookmarkEnd w:id="36"/>
      <w:r>
        <w:rPr>
          <w:color w:val="000000" w:themeColor="text1"/>
        </w:rPr>
      </w:r>
      <w:bookmarkEnd w:id="37"/>
      <w:r>
        <w:rPr>
          <w:color w:val="000000" w:themeColor="text1"/>
        </w:rPr>
      </w:r>
      <w:r/>
    </w:p>
    <w:p>
      <w:pPr>
        <w:pStyle w:val="1256"/>
        <w:ind w:firstLine="440"/>
        <w:jc w:val="left"/>
        <w:spacing w:line="324" w:lineRule="auto"/>
        <w:rPr>
          <w:rFonts w:ascii="宋体" w:hAnsi="宋体" w:cs="宋体"/>
          <w:bCs/>
          <w:color w:val="000000" w:themeColor="text1"/>
          <w:sz w:val="22"/>
          <w:szCs w:val="22"/>
          <w:highlight w:val="none"/>
        </w:rPr>
      </w:pPr>
      <w:r>
        <w:rPr>
          <w:rFonts w:hint="eastAsia" w:ascii="宋体" w:hAnsi="宋体" w:cs="宋体"/>
          <w:color w:val="000000" w:themeColor="text1"/>
          <w:sz w:val="22"/>
          <w:szCs w:val="22"/>
          <w:highlight w:val="none"/>
        </w:rPr>
        <w:t xml:space="preserve">1.投标文件制作份数要求：正本份数：1份，副本份数：4份，电子版投标文件壹份（电子版为投标文件正本加盖公章、签字后形成PDF扫描件，扫描件内容应与纸质投标文件正本完全一致。文件名建议修改为公司名+项目编号简写、U盘形式（单独密封），与纸质投标文件一并递交）。当纸质正本文件与副本、电子版文件不一致时，以纸质投标文件正本为准。电子版文件用于辅助评标和存档，供应商须承担前述不一致造成的不利后果。每份纸质文件须清楚标明“正本”或“副本”字样。</w:t>
      </w:r>
      <w:r>
        <w:rPr>
          <w:color w:val="000000" w:themeColor="text1"/>
        </w:rPr>
      </w:r>
      <w:r/>
    </w:p>
    <w:p>
      <w:pPr>
        <w:pStyle w:val="1256"/>
        <w:ind w:firstLine="442"/>
        <w:jc w:val="left"/>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w:t>
      </w:r>
      <w:r>
        <w:rPr>
          <w:rFonts w:hint="eastAsia" w:ascii="宋体" w:hAnsi="宋体" w:cs="宋体"/>
          <w:b/>
          <w:bCs/>
          <w:color w:val="000000" w:themeColor="text1"/>
          <w:sz w:val="22"/>
          <w:szCs w:val="22"/>
          <w:highlight w:val="none"/>
        </w:rPr>
        <w:t xml:space="preserve">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本次采购项目核心产品：人工智能综合实训箱。</w:t>
      </w:r>
      <w:r>
        <w:rPr>
          <w:color w:val="000000" w:themeColor="text1"/>
        </w:rPr>
      </w:r>
      <w:r/>
    </w:p>
    <w:p>
      <w:pPr>
        <w:pStyle w:val="1256"/>
        <w:ind w:firstLine="440"/>
        <w:spacing w:line="324" w:lineRule="auto"/>
        <w:rPr>
          <w:rFonts w:hint="eastAsia" w:ascii="宋体" w:hAnsi="宋体"/>
          <w:color w:val="000000" w:themeColor="text1"/>
          <w:sz w:val="22"/>
          <w:szCs w:val="22"/>
          <w:highlight w:val="none"/>
        </w:rPr>
      </w:pPr>
      <w:r>
        <w:rPr>
          <w:color w:val="000000" w:themeColor="text1"/>
        </w:rPr>
      </w:r>
      <w:bookmarkStart w:id="38" w:name="_Toc28359008"/>
      <w:r>
        <w:rPr>
          <w:color w:val="000000" w:themeColor="text1"/>
        </w:rPr>
      </w:r>
      <w:bookmarkStart w:id="39" w:name="_Toc35393627"/>
      <w:r>
        <w:rPr>
          <w:color w:val="000000" w:themeColor="text1"/>
        </w:rPr>
      </w:r>
      <w:bookmarkStart w:id="40" w:name="_Toc35393796"/>
      <w:r>
        <w:rPr>
          <w:color w:val="000000" w:themeColor="text1"/>
        </w:rPr>
      </w:r>
      <w:bookmarkStart w:id="41" w:name="_Toc28359085"/>
      <w:r>
        <w:rPr>
          <w:color w:val="000000" w:themeColor="text1"/>
        </w:rPr>
      </w:r>
      <w:bookmarkStart w:id="42" w:name="_Toc25508"/>
      <w:r>
        <w:rPr>
          <w:rFonts w:hint="eastAsia" w:hAnsi="宋体" w:cs="宋体"/>
          <w:color w:val="000000" w:themeColor="text1"/>
          <w:sz w:val="22"/>
          <w:szCs w:val="22"/>
          <w:highlight w:val="none"/>
        </w:rPr>
        <w:t xml:space="preserve">3.集中考察现场或答疑：招标人不组织</w:t>
      </w:r>
      <w:r>
        <w:rPr>
          <w:rFonts w:hint="eastAsia" w:ascii="宋体" w:hAnsi="宋体"/>
          <w:color w:val="000000" w:themeColor="text1"/>
          <w:sz w:val="22"/>
          <w:szCs w:val="22"/>
          <w:highlight w:val="none"/>
        </w:rPr>
        <w:t xml:space="preserve">。</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4.潜在供应商访问电子招标</w:t>
      </w:r>
      <w:r>
        <w:rPr>
          <w:rFonts w:hint="eastAsia"/>
          <w:color w:val="000000" w:themeColor="text1"/>
          <w:szCs w:val="21"/>
          <w:highlight w:val="none"/>
          <w:lang w:val="en-US" w:eastAsia="zh-CN"/>
        </w:rPr>
        <w:t xml:space="preserve">投标</w:t>
      </w:r>
      <w:r>
        <w:rPr>
          <w:rFonts w:hint="eastAsia"/>
          <w:color w:val="000000" w:themeColor="text1"/>
          <w:szCs w:val="21"/>
          <w:highlight w:val="none"/>
        </w:rPr>
        <w:t xml:space="preserve">交易平台的网络地址和方法：</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“苏采云”系统用户注册--获取“CA数字证书”--CA绑定与登录--网上报名--下载采购文件（后缀名为“.kedt”）--将后缀名为“.kedt”的采购文件导入政府采购客户端工具--制作</w:t>
      </w:r>
      <w:r>
        <w:rPr>
          <w:rFonts w:hint="eastAsia"/>
          <w:color w:val="000000" w:themeColor="text1"/>
          <w:szCs w:val="21"/>
          <w:highlight w:val="none"/>
          <w:lang w:eastAsia="zh-CN"/>
        </w:rPr>
        <w:t xml:space="preserve">投标文件</w:t>
      </w:r>
      <w:r>
        <w:rPr>
          <w:rFonts w:hint="eastAsia"/>
          <w:color w:val="000000" w:themeColor="text1"/>
          <w:szCs w:val="21"/>
          <w:highlight w:val="none"/>
        </w:rPr>
        <w:t xml:space="preserve">--导出加密的</w:t>
      </w:r>
      <w:r>
        <w:rPr>
          <w:rFonts w:hint="eastAsia"/>
          <w:color w:val="000000" w:themeColor="text1"/>
          <w:szCs w:val="21"/>
          <w:highlight w:val="none"/>
          <w:lang w:eastAsia="zh-CN"/>
        </w:rPr>
        <w:t xml:space="preserve">投标文件</w:t>
      </w:r>
      <w:r>
        <w:rPr>
          <w:rFonts w:hint="eastAsia"/>
          <w:color w:val="000000" w:themeColor="text1"/>
          <w:szCs w:val="21"/>
          <w:highlight w:val="none"/>
        </w:rPr>
        <w:t xml:space="preserve">（后缀名为zip）--通过“苏采云”系统上传</w:t>
      </w:r>
      <w:r>
        <w:rPr>
          <w:rFonts w:hint="eastAsia"/>
          <w:color w:val="000000" w:themeColor="text1"/>
          <w:szCs w:val="21"/>
          <w:highlight w:val="none"/>
          <w:lang w:eastAsia="zh-CN"/>
        </w:rPr>
        <w:t xml:space="preserve">投标文件</w:t>
      </w:r>
      <w:r>
        <w:rPr>
          <w:rFonts w:hint="eastAsia"/>
          <w:color w:val="000000" w:themeColor="text1"/>
          <w:szCs w:val="21"/>
          <w:highlight w:val="none"/>
        </w:rPr>
        <w:t xml:space="preserve">。具体见《江苏省政府采购管理交易系统（苏采云）供应商操作手册》。</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5.潜在供应商访问“苏采云”系统的网络地址和方法：“苏采云”系统的网址：http://jszfcg.jsczt.cn/。</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6.“CA数字证书”的获取：</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投标供应商需办理“CA数字证书”，CA办理指南及“苏采云”操作手册可至江苏省政府采购网―办事指南-资料下载中心下载。</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通过苏采云系统首页（http://jszfcg.jscz.gov.cn/）的“苏采云控件驱动下载”，选择“政务CA、方正签章控件驱动安装包及安装说明”下载安装，具体安装方法详见下载文件内的《安装说明》。</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7.采购文件（后缀名为“.kedt”）、供应商操作手册及政府采购客户端工具可通过“苏采云”系统--已报名项目--报名详情页面内相应链接进行下载。</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8.请潜在供应商提前安装相应的控件（详见《江苏省政府采购管理交易系统（苏采云）供应商操作手册》）并使用谷歌浏览器登录“苏采云”系统参与不见面开评标。</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注：如潜在供应商未按上述要求操作，将自行承担所产生的风险。</w:t>
      </w:r>
      <w:r>
        <w:rPr>
          <w:color w:val="000000" w:themeColor="text1"/>
        </w:rPr>
      </w:r>
      <w:r/>
    </w:p>
    <w:p>
      <w:pPr>
        <w:pStyle w:val="1256"/>
        <w:ind w:firstLine="420"/>
        <w:spacing w:line="324" w:lineRule="auto"/>
        <w:rPr>
          <w:color w:val="000000" w:themeColor="text1"/>
          <w:szCs w:val="21"/>
          <w:highlight w:val="none"/>
        </w:rPr>
      </w:pPr>
      <w:r>
        <w:rPr>
          <w:rFonts w:hint="eastAsia"/>
          <w:color w:val="000000" w:themeColor="text1"/>
          <w:szCs w:val="21"/>
          <w:highlight w:val="none"/>
        </w:rPr>
        <w:t xml:space="preserve">9.项目开标活动模式：不见面远程开标模式，供应商在各自地点通过不见面交易系统参加开标会。</w:t>
      </w:r>
      <w:r>
        <w:rPr>
          <w:color w:val="000000" w:themeColor="text1"/>
        </w:rPr>
      </w:r>
      <w:r/>
    </w:p>
    <w:p>
      <w:pPr>
        <w:pStyle w:val="1256"/>
        <w:ind w:firstLine="420"/>
        <w:spacing w:line="324" w:lineRule="auto"/>
        <w:rPr>
          <w:rFonts w:ascii="Microsoft New Tai Lue" w:hAnsi="Microsoft New Tai Lue" w:cs="Microsoft New Tai Lue"/>
          <w:bCs/>
          <w:color w:val="000000" w:themeColor="text1"/>
          <w:szCs w:val="21"/>
          <w:highlight w:val="none"/>
        </w:rPr>
      </w:pPr>
      <w:r>
        <w:rPr>
          <w:rFonts w:hint="eastAsia"/>
          <w:color w:val="000000" w:themeColor="text1"/>
          <w:szCs w:val="21"/>
          <w:highlight w:val="none"/>
        </w:rPr>
        <w:t xml:space="preserve">10投标文件的解密：开标当天各供应商及时登录不见面开标大厅，投标文件递交截止时间后，招标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color w:val="000000" w:themeColor="text1"/>
          <w:szCs w:val="21"/>
          <w:highlight w:val="none"/>
          <w:lang w:eastAsia="zh-CN"/>
        </w:rPr>
        <w:t xml:space="preserve">投标文件</w:t>
      </w:r>
      <w:r>
        <w:rPr>
          <w:rFonts w:hint="eastAsia"/>
          <w:color w:val="000000" w:themeColor="text1"/>
          <w:szCs w:val="21"/>
          <w:highlight w:val="none"/>
        </w:rPr>
        <w:t xml:space="preserve">在规定时间内未能解密、解密失败或解密超时，视为投标供应商撤销其</w:t>
      </w:r>
      <w:r>
        <w:rPr>
          <w:rFonts w:hint="eastAsia"/>
          <w:color w:val="000000" w:themeColor="text1"/>
          <w:szCs w:val="21"/>
          <w:highlight w:val="none"/>
          <w:lang w:eastAsia="zh-CN"/>
        </w:rPr>
        <w:t xml:space="preserve">投标文件</w:t>
      </w:r>
      <w:r>
        <w:rPr>
          <w:rFonts w:hint="eastAsia"/>
          <w:color w:val="000000" w:themeColor="text1"/>
          <w:szCs w:val="21"/>
          <w:highlight w:val="none"/>
        </w:rPr>
        <w:t xml:space="preserve">，系统内投标文件将被退回；因招标人（或采购代理机构）原因或网上招投标平台发生故障，导致无法按时完成投标文件解密或开、评标工作无法进行的，可根据实际情况相应延迟解密时间或调整开、评标时间。</w:t>
      </w:r>
      <w:r>
        <w:rPr>
          <w:color w:val="000000" w:themeColor="text1"/>
        </w:rPr>
      </w:r>
      <w:r/>
    </w:p>
    <w:p>
      <w:pPr>
        <w:pStyle w:val="1256"/>
        <w:ind w:firstLine="440"/>
        <w:spacing w:line="324" w:lineRule="auto"/>
        <w:rPr>
          <w:rFonts w:hint="eastAsia" w:ascii="宋体" w:hAnsi="宋体"/>
          <w:color w:val="000000" w:themeColor="text1"/>
          <w:sz w:val="22"/>
          <w:szCs w:val="22"/>
          <w:highlight w:val="none"/>
        </w:rPr>
      </w:pPr>
      <w:r>
        <w:rPr>
          <w:rFonts w:hint="eastAsia" w:ascii="宋体" w:hAnsi="宋体" w:cs="宋体"/>
          <w:color w:val="000000" w:themeColor="text1"/>
          <w:sz w:val="22"/>
          <w:szCs w:val="22"/>
          <w:highlight w:val="none"/>
        </w:rPr>
        <w:t xml:space="preserve">11.本次采购公告在“江苏政府采购网”上发布,有关本次采购的事项若存在变动或修改，敬请及时关注“江苏政府采购网”发布的信息更正公告，其责任由投标供应商自行承担。</w:t>
      </w:r>
      <w:r>
        <w:rPr>
          <w:color w:val="000000" w:themeColor="text1"/>
        </w:rPr>
      </w:r>
      <w:r/>
    </w:p>
    <w:p>
      <w:pPr>
        <w:pStyle w:val="1258"/>
        <w:numPr>
          <w:ilvl w:val="1"/>
          <w:numId w:val="0"/>
        </w:numPr>
        <w:jc w:val="left"/>
        <w:keepLines w:val="0"/>
        <w:keepNext w:val="0"/>
        <w:spacing w:before="0" w:after="0" w:line="324" w:lineRule="auto"/>
        <w:tabs>
          <w:tab w:val="left" w:pos="840" w:leader="none"/>
        </w:tabs>
        <w:rPr>
          <w:rFonts w:ascii="宋体"/>
          <w:color w:val="000000" w:themeColor="text1"/>
          <w:sz w:val="22"/>
          <w:szCs w:val="22"/>
          <w:highlight w:val="none"/>
        </w:rPr>
      </w:pPr>
      <w:r>
        <w:rPr>
          <w:rFonts w:hint="eastAsia" w:ascii="宋体"/>
          <w:color w:val="000000" w:themeColor="text1"/>
          <w:sz w:val="22"/>
          <w:szCs w:val="22"/>
          <w:highlight w:val="none"/>
        </w:rPr>
        <w:t xml:space="preserve">七、对本次招标提出询问，请按以下方式联系。</w:t>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r/>
    </w:p>
    <w:p>
      <w:pPr>
        <w:pStyle w:val="1256"/>
        <w:ind w:firstLine="442"/>
        <w:jc w:val="left"/>
        <w:spacing w:line="324" w:lineRule="auto"/>
        <w:rPr>
          <w:rFonts w:ascii="宋体" w:hAnsi="宋体" w:cs="宋体"/>
          <w:b/>
          <w:color w:val="000000" w:themeColor="text1"/>
          <w:sz w:val="22"/>
          <w:szCs w:val="22"/>
          <w:highlight w:val="none"/>
        </w:rPr>
        <w:outlineLvl w:val="2"/>
      </w:pPr>
      <w:r>
        <w:rPr>
          <w:rFonts w:hint="eastAsia" w:ascii="宋体" w:hAnsi="宋体" w:cs="宋体"/>
          <w:b/>
          <w:color w:val="000000" w:themeColor="text1"/>
          <w:sz w:val="22"/>
          <w:szCs w:val="22"/>
          <w:highlight w:val="none"/>
        </w:rPr>
        <w:t xml:space="preserve">1.招标人信息</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color w:val="000000" w:themeColor="text1"/>
        </w:rPr>
      </w:r>
      <w:bookmarkStart w:id="43" w:name="_Toc28359009"/>
      <w:r>
        <w:rPr>
          <w:color w:val="000000" w:themeColor="text1"/>
        </w:rPr>
      </w:r>
      <w:bookmarkStart w:id="44" w:name="_Toc28359086"/>
      <w:r>
        <w:rPr>
          <w:rFonts w:hint="eastAsia" w:ascii="宋体" w:hAnsi="宋体" w:cs="宋体"/>
          <w:color w:val="000000" w:themeColor="text1"/>
          <w:sz w:val="22"/>
          <w:szCs w:val="22"/>
          <w:highlight w:val="none"/>
          <w:lang w:bidi="ar"/>
        </w:rPr>
        <w:t xml:space="preserve">名 称：南京特殊教育师范学院　　</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地  址：南京市栖霞区神农路1号</w:t>
      </w:r>
      <w:r>
        <w:rPr>
          <w:color w:val="000000" w:themeColor="text1"/>
        </w:rPr>
      </w:r>
      <w:r/>
    </w:p>
    <w:p>
      <w:pPr>
        <w:pStyle w:val="1427"/>
        <w:ind w:firstLine="480"/>
        <w:spacing w:line="324"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shd w:val="clear" w:color="auto" w:fill="ffffff"/>
        </w:rPr>
        <w:t xml:space="preserve">联系人：严老师</w:t>
      </w:r>
      <w:r>
        <w:rPr>
          <w:rFonts w:hint="eastAsia" w:ascii="宋体" w:hAnsi="宋体" w:cs="宋体"/>
          <w:color w:val="000000" w:themeColor="text1"/>
          <w:sz w:val="22"/>
          <w:szCs w:val="22"/>
          <w:highlight w:val="none"/>
          <w:lang w:bidi="ar"/>
        </w:rPr>
        <w:t xml:space="preserve">025-89668043</w:t>
      </w:r>
      <w:r>
        <w:rPr>
          <w:color w:val="000000" w:themeColor="text1"/>
        </w:rPr>
      </w:r>
      <w:r/>
    </w:p>
    <w:p>
      <w:pPr>
        <w:pStyle w:val="1256"/>
        <w:ind w:firstLine="442"/>
        <w:jc w:val="left"/>
        <w:spacing w:line="324" w:lineRule="auto"/>
        <w:rPr>
          <w:rFonts w:ascii="宋体" w:hAnsi="宋体" w:cs="宋体"/>
          <w:b/>
          <w:color w:val="000000" w:themeColor="text1"/>
          <w:sz w:val="22"/>
          <w:szCs w:val="22"/>
          <w:highlight w:val="none"/>
        </w:rPr>
        <w:outlineLvl w:val="2"/>
      </w:pPr>
      <w:r>
        <w:rPr>
          <w:rFonts w:hint="eastAsia" w:ascii="宋体" w:hAnsi="宋体" w:cs="宋体"/>
          <w:b/>
          <w:color w:val="000000" w:themeColor="text1"/>
          <w:sz w:val="22"/>
          <w:szCs w:val="22"/>
          <w:highlight w:val="none"/>
        </w:rPr>
        <w:t xml:space="preserve">2.采购代理机构信息</w:t>
      </w:r>
      <w:bookmarkEnd w:id="43"/>
      <w:r>
        <w:rPr>
          <w:color w:val="000000" w:themeColor="text1"/>
        </w:rPr>
      </w:r>
      <w:bookmarkEnd w:id="44"/>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名 称：南京江城工程项目管理有限公司</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　址：南京市建邺区云龙山路89号龙湖时代上城写字楼1栋高区29楼</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联系方式：</w:t>
      </w:r>
      <w:bookmarkStart w:id="45" w:name="_Toc28359010"/>
      <w:r>
        <w:rPr>
          <w:color w:val="000000" w:themeColor="text1"/>
        </w:rPr>
      </w:r>
      <w:bookmarkStart w:id="46" w:name="_Toc28359087"/>
      <w:r>
        <w:rPr>
          <w:rFonts w:hint="eastAsia" w:ascii="宋体" w:hAnsi="宋体" w:cs="宋体"/>
          <w:color w:val="000000" w:themeColor="text1"/>
          <w:sz w:val="22"/>
          <w:szCs w:val="22"/>
          <w:highlight w:val="none"/>
        </w:rPr>
        <w:t xml:space="preserve"> 025-58835827-8017</w:t>
      </w:r>
      <w:r>
        <w:rPr>
          <w:color w:val="000000" w:themeColor="text1"/>
        </w:rPr>
      </w:r>
      <w:r/>
    </w:p>
    <w:p>
      <w:pPr>
        <w:pStyle w:val="1256"/>
        <w:ind w:firstLine="442"/>
        <w:jc w:val="left"/>
        <w:spacing w:line="324" w:lineRule="auto"/>
        <w:rPr>
          <w:rFonts w:ascii="宋体" w:hAnsi="宋体" w:cs="宋体"/>
          <w:b/>
          <w:color w:val="000000" w:themeColor="text1"/>
          <w:sz w:val="22"/>
          <w:szCs w:val="22"/>
          <w:highlight w:val="none"/>
        </w:rPr>
        <w:outlineLvl w:val="2"/>
      </w:pPr>
      <w:r>
        <w:rPr>
          <w:rFonts w:hint="eastAsia" w:ascii="宋体" w:hAnsi="宋体" w:cs="宋体"/>
          <w:b/>
          <w:color w:val="000000" w:themeColor="text1"/>
          <w:sz w:val="22"/>
          <w:szCs w:val="22"/>
          <w:highlight w:val="none"/>
        </w:rPr>
        <w:t xml:space="preserve">3.项目联系方式</w:t>
      </w:r>
      <w:bookmarkEnd w:id="45"/>
      <w:r>
        <w:rPr>
          <w:color w:val="000000" w:themeColor="text1"/>
        </w:rPr>
      </w:r>
      <w:bookmarkEnd w:id="46"/>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项目联系人：高婷</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　话：025-58835827-8017</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pStyle w:val="1279"/>
        <w:rPr>
          <w:rFonts w:hint="eastAsia"/>
          <w:color w:val="000000" w:themeColor="text1"/>
          <w:highlight w:val="none"/>
        </w:rPr>
      </w:pPr>
      <w:r>
        <w:rPr>
          <w:rFonts w:hint="eastAsia"/>
          <w:color w:val="000000" w:themeColor="text1"/>
          <w:highlight w:val="none"/>
        </w:rPr>
      </w:r>
      <w:r>
        <w:rPr>
          <w:color w:val="000000" w:themeColor="text1"/>
        </w:rPr>
      </w:r>
      <w:r/>
    </w:p>
    <w:p>
      <w:pPr>
        <w:pStyle w:val="1279"/>
        <w:rPr>
          <w:rFonts w:hint="eastAsia"/>
          <w:color w:val="000000" w:themeColor="text1"/>
          <w:highlight w:val="none"/>
        </w:rPr>
      </w:pPr>
      <w:r>
        <w:rPr>
          <w:rFonts w:hint="eastAsia"/>
          <w:color w:val="000000" w:themeColor="text1"/>
          <w:highlight w:val="none"/>
        </w:rPr>
      </w:r>
      <w:r>
        <w:rPr>
          <w:color w:val="000000" w:themeColor="text1"/>
        </w:rPr>
      </w:r>
      <w:r/>
    </w:p>
    <w:p>
      <w:pPr>
        <w:pStyle w:val="1279"/>
        <w:rPr>
          <w:rFonts w:hint="eastAsia"/>
          <w:color w:val="000000" w:themeColor="text1"/>
          <w:highlight w:val="none"/>
        </w:rPr>
      </w:pPr>
      <w:r>
        <w:rPr>
          <w:rFonts w:hint="eastAsia"/>
          <w:color w:val="000000" w:themeColor="text1"/>
          <w:highlight w:val="none"/>
        </w:rPr>
      </w:r>
      <w:r>
        <w:rPr>
          <w:color w:val="000000" w:themeColor="text1"/>
        </w:rPr>
      </w:r>
      <w:r/>
    </w:p>
    <w:p>
      <w:pPr>
        <w:pStyle w:val="1279"/>
        <w:rPr>
          <w:rFonts w:hint="eastAsia"/>
          <w:color w:val="000000" w:themeColor="text1"/>
          <w:highlight w:val="none"/>
        </w:rPr>
      </w:pPr>
      <w:r>
        <w:rPr>
          <w:rFonts w:hint="eastAsia"/>
          <w:color w:val="000000" w:themeColor="text1"/>
          <w:highlight w:val="none"/>
        </w:rPr>
      </w:r>
      <w:r>
        <w:rPr>
          <w:color w:val="000000" w:themeColor="text1"/>
        </w:rPr>
      </w:r>
      <w:r/>
    </w:p>
    <w:p>
      <w:pPr>
        <w:pStyle w:val="1279"/>
        <w:rPr>
          <w:rFonts w:hint="eastAsia"/>
          <w:color w:val="000000" w:themeColor="text1"/>
          <w:highlight w:val="none"/>
        </w:rPr>
      </w:pPr>
      <w:r>
        <w:rPr>
          <w:rFonts w:hint="eastAsia"/>
          <w:color w:val="000000" w:themeColor="text1"/>
          <w:highlight w:val="none"/>
        </w:rPr>
      </w:r>
      <w:r>
        <w:rPr>
          <w:color w:val="000000" w:themeColor="text1"/>
        </w:rPr>
      </w:r>
      <w:r/>
    </w:p>
    <w:p>
      <w:pPr>
        <w:pStyle w:val="1279"/>
        <w:rPr>
          <w:rFonts w:hint="eastAsia"/>
          <w:color w:val="000000" w:themeColor="text1"/>
          <w:highlight w:val="none"/>
        </w:rPr>
      </w:pPr>
      <w:r>
        <w:rPr>
          <w:rFonts w:hint="eastAsia"/>
          <w:color w:val="000000" w:themeColor="text1"/>
          <w:highlight w:val="none"/>
        </w:rPr>
      </w:r>
      <w:r>
        <w:rPr>
          <w:color w:val="000000" w:themeColor="text1"/>
        </w:rPr>
      </w:r>
      <w:r/>
    </w:p>
    <w:p>
      <w:pPr>
        <w:pStyle w:val="1279"/>
        <w:rPr>
          <w:rFonts w:hint="eastAsia"/>
          <w:color w:val="000000" w:themeColor="text1"/>
          <w:highlight w:val="none"/>
        </w:rPr>
      </w:pPr>
      <w:r>
        <w:rPr>
          <w:rFonts w:hint="eastAsia"/>
          <w:color w:val="000000" w:themeColor="text1"/>
          <w:highlight w:val="none"/>
        </w:rPr>
      </w:r>
      <w:r>
        <w:rPr>
          <w:color w:val="000000" w:themeColor="text1"/>
        </w:rPr>
      </w:r>
      <w:r/>
    </w:p>
    <w:p>
      <w:pPr>
        <w:pStyle w:val="1256"/>
        <w:jc w:val="center"/>
        <w:rPr>
          <w:rStyle w:val="1270"/>
          <w:rFonts w:hint="eastAsia"/>
          <w:color w:val="000000" w:themeColor="text1"/>
          <w:highlight w:val="none"/>
        </w:rPr>
        <w:outlineLvl w:val="0"/>
      </w:pPr>
      <w:r>
        <w:rPr>
          <w:color w:val="000000" w:themeColor="text1"/>
        </w:rPr>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bookmarkStart w:id="47" w:name="_Toc11451"/>
      <w:r>
        <w:rPr>
          <w:rStyle w:val="1270"/>
          <w:rFonts w:hint="eastAsia"/>
          <w:color w:val="000000" w:themeColor="text1"/>
          <w:highlight w:val="none"/>
        </w:rPr>
        <w:t xml:space="preserve">第二章  </w:t>
      </w:r>
      <w:bookmarkStart w:id="48" w:name="_Toc452625218"/>
      <w:r>
        <w:rPr>
          <w:rStyle w:val="1270"/>
          <w:rFonts w:hint="eastAsia"/>
          <w:color w:val="000000" w:themeColor="text1"/>
          <w:highlight w:val="none"/>
        </w:rPr>
        <w:t xml:space="preserve">投标供应商须知</w:t>
      </w:r>
      <w:bookmarkEnd w:id="47"/>
      <w:r>
        <w:rPr>
          <w:color w:val="000000" w:themeColor="text1"/>
        </w:rPr>
      </w:r>
      <w:bookmarkEnd w:id="48"/>
      <w:r>
        <w:rPr>
          <w:color w:val="000000" w:themeColor="text1"/>
        </w:rPr>
      </w:r>
      <w:r/>
    </w:p>
    <w:p>
      <w:pPr>
        <w:pStyle w:val="1256"/>
        <w:jc w:val="center"/>
        <w:spacing w:line="324" w:lineRule="auto"/>
        <w:shd w:val="clear" w:color="auto" w:fill="ffffff"/>
        <w:rPr>
          <w:rFonts w:ascii="宋体" w:hAnsi="宋体"/>
          <w:b/>
          <w:bCs/>
          <w:color w:val="000000" w:themeColor="text1"/>
          <w:sz w:val="22"/>
          <w:szCs w:val="22"/>
          <w:highlight w:val="none"/>
        </w:rPr>
      </w:pPr>
      <w:r>
        <w:rPr>
          <w:rFonts w:hint="eastAsia" w:ascii="宋体" w:hAnsi="宋体"/>
          <w:b/>
          <w:bCs/>
          <w:color w:val="000000" w:themeColor="text1"/>
          <w:sz w:val="22"/>
          <w:szCs w:val="22"/>
          <w:highlight w:val="none"/>
        </w:rPr>
        <w:t xml:space="preserve">供应商须知前附表</w:t>
      </w:r>
      <w:r>
        <w:rPr>
          <w:color w:val="000000" w:themeColor="text1"/>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tc>
          <w:tcPr>
            <w:tcW w:w="720" w:type="dxa"/>
            <w:vAlign w:val="center"/>
            <w:textDirection w:val="lrTb"/>
            <w:noWrap/>
          </w:tcPr>
          <w:p>
            <w:pPr>
              <w:pStyle w:val="1256"/>
              <w:jc w:val="center"/>
              <w:spacing w:line="324" w:lineRule="auto"/>
              <w:rPr>
                <w:rFonts w:ascii="宋体" w:hAnsi="宋体"/>
                <w:b/>
                <w:color w:val="000000" w:themeColor="text1"/>
                <w:sz w:val="22"/>
                <w:szCs w:val="22"/>
                <w:highlight w:val="none"/>
              </w:rPr>
            </w:pPr>
            <w:r>
              <w:rPr>
                <w:rFonts w:hint="eastAsia" w:ascii="宋体" w:hAnsi="宋体"/>
                <w:b/>
                <w:color w:val="000000" w:themeColor="text1"/>
                <w:sz w:val="22"/>
                <w:szCs w:val="22"/>
                <w:highlight w:val="none"/>
              </w:rPr>
              <w:t xml:space="preserve">序号</w:t>
            </w:r>
            <w:r>
              <w:rPr>
                <w:color w:val="000000" w:themeColor="text1"/>
              </w:rPr>
            </w:r>
            <w:r/>
          </w:p>
        </w:tc>
        <w:tc>
          <w:tcPr>
            <w:tcW w:w="2042" w:type="dxa"/>
            <w:vAlign w:val="center"/>
            <w:textDirection w:val="lrTb"/>
            <w:noWrap/>
          </w:tcPr>
          <w:p>
            <w:pPr>
              <w:pStyle w:val="1256"/>
              <w:jc w:val="center"/>
              <w:spacing w:line="324" w:lineRule="auto"/>
              <w:rPr>
                <w:rFonts w:ascii="宋体" w:hAnsi="宋体"/>
                <w:b/>
                <w:color w:val="000000" w:themeColor="text1"/>
                <w:sz w:val="22"/>
                <w:szCs w:val="22"/>
                <w:highlight w:val="none"/>
              </w:rPr>
            </w:pPr>
            <w:r>
              <w:rPr>
                <w:rFonts w:hint="eastAsia" w:ascii="宋体" w:hAnsi="宋体"/>
                <w:b/>
                <w:color w:val="000000" w:themeColor="text1"/>
                <w:sz w:val="22"/>
                <w:szCs w:val="22"/>
                <w:highlight w:val="none"/>
              </w:rPr>
              <w:t xml:space="preserve">名称</w:t>
            </w:r>
            <w:r>
              <w:rPr>
                <w:color w:val="000000" w:themeColor="text1"/>
              </w:rPr>
            </w:r>
            <w:r/>
          </w:p>
        </w:tc>
        <w:tc>
          <w:tcPr>
            <w:tcW w:w="7069" w:type="dxa"/>
            <w:vAlign w:val="center"/>
            <w:textDirection w:val="lrTb"/>
            <w:noWrap/>
          </w:tcPr>
          <w:p>
            <w:pPr>
              <w:pStyle w:val="1256"/>
              <w:jc w:val="center"/>
              <w:spacing w:line="324" w:lineRule="auto"/>
              <w:rPr>
                <w:rFonts w:ascii="宋体" w:hAnsi="宋体"/>
                <w:b/>
                <w:color w:val="000000" w:themeColor="text1"/>
                <w:sz w:val="22"/>
                <w:szCs w:val="22"/>
                <w:highlight w:val="none"/>
              </w:rPr>
            </w:pPr>
            <w:r>
              <w:rPr>
                <w:rFonts w:hint="eastAsia" w:ascii="宋体" w:hAnsi="宋体"/>
                <w:b/>
                <w:color w:val="000000" w:themeColor="text1"/>
                <w:sz w:val="22"/>
                <w:szCs w:val="22"/>
                <w:highlight w:val="none"/>
              </w:rPr>
              <w:t xml:space="preserve">内容</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w:t>
            </w:r>
            <w:r>
              <w:rPr>
                <w:color w:val="000000" w:themeColor="text1"/>
              </w:rPr>
            </w:r>
            <w:r/>
          </w:p>
        </w:tc>
        <w:tc>
          <w:tcPr>
            <w:tcW w:w="2042" w:type="dxa"/>
            <w:vAlign w:val="center"/>
            <w:textDirection w:val="lrTb"/>
            <w:noWrap/>
          </w:tcPr>
          <w:p>
            <w:pPr>
              <w:pStyle w:val="1256"/>
              <w:jc w:val="center"/>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招标人</w:t>
            </w:r>
            <w:r>
              <w:rPr>
                <w:color w:val="000000" w:themeColor="text1"/>
              </w:rPr>
            </w:r>
            <w:r/>
          </w:p>
        </w:tc>
        <w:tc>
          <w:tcPr>
            <w:tcW w:w="7069" w:type="dxa"/>
            <w:vAlign w:val="top"/>
            <w:textDirection w:val="lrTb"/>
            <w:noWrap/>
          </w:tcPr>
          <w:p>
            <w:pPr>
              <w:pStyle w:val="1256"/>
              <w:jc w:val="left"/>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名 称：南京特殊教育师范学院　　</w:t>
            </w:r>
            <w:r>
              <w:rPr>
                <w:color w:val="000000" w:themeColor="text1"/>
              </w:rPr>
            </w:r>
            <w:r/>
          </w:p>
          <w:p>
            <w:pPr>
              <w:pStyle w:val="1256"/>
              <w:jc w:val="left"/>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地  址：南京市栖霞区神农路1号</w:t>
            </w:r>
            <w:r>
              <w:rPr>
                <w:color w:val="000000" w:themeColor="text1"/>
              </w:rPr>
            </w:r>
            <w:r/>
          </w:p>
          <w:p>
            <w:pPr>
              <w:pStyle w:val="1256"/>
              <w:jc w:val="left"/>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联系人：严老师  </w:t>
            </w:r>
            <w:r>
              <w:rPr>
                <w:color w:val="000000" w:themeColor="text1"/>
              </w:rPr>
            </w:r>
            <w:r/>
          </w:p>
          <w:p>
            <w:pPr>
              <w:pStyle w:val="1256"/>
              <w:jc w:val="left"/>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电话：025-89668043</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2</w:t>
            </w:r>
            <w:r>
              <w:rPr>
                <w:color w:val="000000" w:themeColor="text1"/>
              </w:rPr>
            </w:r>
            <w:r/>
          </w:p>
        </w:tc>
        <w:tc>
          <w:tcPr>
            <w:tcW w:w="2042"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采购代理机构</w:t>
            </w:r>
            <w:r>
              <w:rPr>
                <w:color w:val="000000" w:themeColor="text1"/>
              </w:rPr>
            </w:r>
            <w:r/>
          </w:p>
        </w:tc>
        <w:tc>
          <w:tcPr>
            <w:tcW w:w="7069" w:type="dxa"/>
            <w:vAlign w:val="center"/>
            <w:textDirection w:val="lrTb"/>
            <w:noWrap/>
          </w:tcPr>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名称：南京江城工程项目管理有限公司</w:t>
            </w:r>
            <w:r>
              <w:rPr>
                <w:color w:val="000000" w:themeColor="text1"/>
              </w:rPr>
            </w:r>
            <w:r/>
          </w:p>
          <w:p>
            <w:pPr>
              <w:pStyle w:val="1256"/>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地址：南京市建邺区云龙山路89号龙湖时代上城写字楼1栋29楼</w:t>
            </w:r>
            <w:r>
              <w:rPr>
                <w:color w:val="000000" w:themeColor="text1"/>
              </w:rPr>
            </w:r>
            <w:r/>
          </w:p>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联系人：高婷</w:t>
            </w:r>
            <w:r>
              <w:rPr>
                <w:color w:val="000000" w:themeColor="text1"/>
              </w:rPr>
            </w:r>
            <w:r/>
          </w:p>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联系方式：025-58835827-8016</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3</w:t>
            </w:r>
            <w:r>
              <w:rPr>
                <w:color w:val="000000" w:themeColor="text1"/>
              </w:rPr>
            </w:r>
            <w:r/>
          </w:p>
        </w:tc>
        <w:tc>
          <w:tcPr>
            <w:tcW w:w="2042"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采购项目名称</w:t>
            </w:r>
            <w:r>
              <w:rPr>
                <w:color w:val="000000" w:themeColor="text1"/>
              </w:rPr>
            </w:r>
            <w:r/>
          </w:p>
        </w:tc>
        <w:tc>
          <w:tcPr>
            <w:tcW w:w="7069" w:type="dxa"/>
            <w:vAlign w:val="center"/>
            <w:textDirection w:val="lrTb"/>
            <w:noWrap/>
          </w:tcPr>
          <w:p>
            <w:pPr>
              <w:pStyle w:val="1256"/>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南京特殊教育师范学院人工智能+软件工程专业特色实验室项目</w:t>
            </w:r>
            <w:r>
              <w:rPr>
                <w:color w:val="000000" w:themeColor="text1"/>
              </w:rPr>
            </w:r>
            <w:r/>
          </w:p>
        </w:tc>
      </w:tr>
      <w:tr>
        <w:trPr/>
        <w:tc>
          <w:tcPr>
            <w:tcW w:w="720" w:type="dxa"/>
            <w:vAlign w:val="center"/>
            <w:textDirection w:val="lrTb"/>
            <w:noWrap/>
          </w:tcPr>
          <w:p>
            <w:pPr>
              <w:pStyle w:val="1256"/>
              <w:jc w:val="center"/>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4</w:t>
            </w:r>
            <w:r>
              <w:rPr>
                <w:color w:val="000000" w:themeColor="text1"/>
              </w:rPr>
            </w:r>
            <w:r/>
          </w:p>
        </w:tc>
        <w:tc>
          <w:tcPr>
            <w:tcW w:w="2042"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项目概况</w:t>
            </w:r>
            <w:r>
              <w:rPr>
                <w:color w:val="000000" w:themeColor="text1"/>
              </w:rPr>
            </w:r>
            <w:r/>
          </w:p>
        </w:tc>
        <w:tc>
          <w:tcPr>
            <w:tcW w:w="7069" w:type="dxa"/>
            <w:vAlign w:val="center"/>
            <w:textDirection w:val="lrTb"/>
            <w:noWrap/>
          </w:tcPr>
          <w:p>
            <w:pPr>
              <w:pStyle w:val="1256"/>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南京特殊教育师范学院人工智能+软件工程专业特色实验室项目，具体详见招标文件第四章。</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5</w:t>
            </w:r>
            <w:r>
              <w:rPr>
                <w:color w:val="000000" w:themeColor="text1"/>
              </w:rPr>
            </w:r>
            <w:r/>
          </w:p>
        </w:tc>
        <w:tc>
          <w:tcPr>
            <w:tcW w:w="2042"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项目实施地点</w:t>
            </w:r>
            <w:r>
              <w:rPr>
                <w:color w:val="000000" w:themeColor="text1"/>
              </w:rPr>
            </w:r>
            <w:r/>
          </w:p>
        </w:tc>
        <w:tc>
          <w:tcPr>
            <w:tcW w:w="7069" w:type="dxa"/>
            <w:vAlign w:val="center"/>
            <w:textDirection w:val="lrTb"/>
            <w:noWrap/>
          </w:tcPr>
          <w:p>
            <w:pPr>
              <w:pStyle w:val="1256"/>
              <w:spacing w:line="324" w:lineRule="auto"/>
              <w:rPr>
                <w:rFonts w:ascii="宋体" w:hAnsi="宋体"/>
                <w:b/>
                <w:color w:val="000000" w:themeColor="text1"/>
                <w:sz w:val="22"/>
                <w:szCs w:val="22"/>
                <w:highlight w:val="none"/>
              </w:rPr>
            </w:pPr>
            <w:r>
              <w:rPr>
                <w:rFonts w:hint="eastAsia" w:ascii="宋体" w:hAnsi="宋体"/>
                <w:color w:val="000000" w:themeColor="text1"/>
                <w:sz w:val="22"/>
                <w:szCs w:val="22"/>
                <w:highlight w:val="none"/>
              </w:rPr>
              <w:t xml:space="preserve">江苏省南京市</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6</w:t>
            </w:r>
            <w:r>
              <w:rPr>
                <w:color w:val="000000" w:themeColor="text1"/>
              </w:rPr>
            </w:r>
            <w:r/>
          </w:p>
        </w:tc>
        <w:tc>
          <w:tcPr>
            <w:tcW w:w="2042"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资金来源</w:t>
            </w:r>
            <w:r>
              <w:rPr>
                <w:color w:val="000000" w:themeColor="text1"/>
              </w:rPr>
            </w:r>
            <w:r/>
          </w:p>
        </w:tc>
        <w:tc>
          <w:tcPr>
            <w:tcW w:w="7069" w:type="dxa"/>
            <w:vAlign w:val="center"/>
            <w:textDirection w:val="lrTb"/>
            <w:noWrap/>
          </w:tcPr>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财政资金</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7</w:t>
            </w:r>
            <w:r>
              <w:rPr>
                <w:color w:val="000000" w:themeColor="text1"/>
              </w:rPr>
            </w:r>
            <w:r/>
          </w:p>
        </w:tc>
        <w:tc>
          <w:tcPr>
            <w:tcW w:w="2042"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评审方法</w:t>
            </w:r>
            <w:r>
              <w:rPr>
                <w:color w:val="000000" w:themeColor="text1"/>
              </w:rPr>
            </w:r>
            <w:r/>
          </w:p>
        </w:tc>
        <w:tc>
          <w:tcPr>
            <w:tcW w:w="7069" w:type="dxa"/>
            <w:vAlign w:val="center"/>
            <w:textDirection w:val="lrTb"/>
            <w:noWrap/>
          </w:tcPr>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综合评分法</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8</w:t>
            </w:r>
            <w:r>
              <w:rPr>
                <w:color w:val="000000" w:themeColor="text1"/>
              </w:rPr>
            </w:r>
            <w:r/>
          </w:p>
        </w:tc>
        <w:tc>
          <w:tcPr>
            <w:tcW w:w="2042"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投标有效期</w:t>
            </w:r>
            <w:r>
              <w:rPr>
                <w:color w:val="000000" w:themeColor="text1"/>
              </w:rPr>
            </w:r>
            <w:r/>
          </w:p>
        </w:tc>
        <w:tc>
          <w:tcPr>
            <w:tcW w:w="7069" w:type="dxa"/>
            <w:vAlign w:val="center"/>
            <w:textDirection w:val="lrTb"/>
            <w:noWrap/>
          </w:tcPr>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提交投标文件截止之日起90日</w:t>
            </w:r>
            <w:r>
              <w:rPr>
                <w:color w:val="000000" w:themeColor="text1"/>
              </w:rPr>
            </w:r>
            <w:r/>
          </w:p>
        </w:tc>
      </w:tr>
      <w:tr>
        <w:trPr/>
        <w:tc>
          <w:tcPr>
            <w:tcW w:w="720" w:type="dxa"/>
            <w:vAlign w:val="center"/>
            <w:textDirection w:val="lrTb"/>
            <w:noWrap/>
          </w:tcPr>
          <w:p>
            <w:pPr>
              <w:pStyle w:val="1256"/>
              <w:jc w:val="center"/>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9</w:t>
            </w:r>
            <w:r>
              <w:rPr>
                <w:color w:val="000000" w:themeColor="text1"/>
              </w:rPr>
            </w:r>
            <w:r/>
          </w:p>
        </w:tc>
        <w:tc>
          <w:tcPr>
            <w:tcW w:w="2042" w:type="dxa"/>
            <w:vAlign w:val="center"/>
            <w:textDirection w:val="lrTb"/>
            <w:noWrap/>
          </w:tcPr>
          <w:p>
            <w:pPr>
              <w:pStyle w:val="1256"/>
              <w:jc w:val="center"/>
              <w:spacing w:line="324" w:lineRule="auto"/>
              <w:rPr>
                <w:rFonts w:hint="eastAsia" w:ascii="宋体" w:hAnsi="宋体"/>
                <w:color w:val="000000" w:themeColor="text1"/>
                <w:sz w:val="22"/>
                <w:szCs w:val="22"/>
                <w:highlight w:val="none"/>
              </w:rPr>
            </w:pPr>
            <w:r>
              <w:rPr>
                <w:rFonts w:hint="eastAsia" w:hAnsi="宋体" w:cs="宋体"/>
                <w:color w:val="000000" w:themeColor="text1"/>
                <w:sz w:val="22"/>
                <w:szCs w:val="22"/>
                <w:highlight w:val="none"/>
              </w:rPr>
              <w:t xml:space="preserve">投标供应商企业信用信息</w:t>
            </w:r>
            <w:r>
              <w:rPr>
                <w:color w:val="000000" w:themeColor="text1"/>
              </w:rPr>
            </w:r>
            <w:r/>
          </w:p>
        </w:tc>
        <w:tc>
          <w:tcPr>
            <w:tcW w:w="7069" w:type="dxa"/>
            <w:vAlign w:val="center"/>
            <w:textDirection w:val="lrTb"/>
            <w:noWrap/>
          </w:tcPr>
          <w:p>
            <w:pPr>
              <w:pStyle w:val="1256"/>
              <w:spacing w:line="324" w:lineRule="auto"/>
              <w:rPr>
                <w:color w:val="000000" w:themeColor="text1"/>
                <w:sz w:val="22"/>
                <w:szCs w:val="22"/>
                <w:highlight w:val="none"/>
              </w:rPr>
            </w:pPr>
            <w:r>
              <w:rPr>
                <w:rFonts w:hint="eastAsia"/>
                <w:color w:val="000000" w:themeColor="text1"/>
                <w:sz w:val="22"/>
                <w:szCs w:val="22"/>
                <w:highlight w:val="none"/>
              </w:rPr>
              <w:t xml:space="preserve">(1)查询人：招标人或招标代理机构；</w:t>
            </w:r>
            <w:r>
              <w:rPr>
                <w:color w:val="000000" w:themeColor="text1"/>
              </w:rPr>
            </w:r>
            <w:r/>
          </w:p>
          <w:p>
            <w:pPr>
              <w:pStyle w:val="1256"/>
              <w:spacing w:line="324" w:lineRule="auto"/>
              <w:rPr>
                <w:color w:val="000000" w:themeColor="text1"/>
                <w:sz w:val="22"/>
                <w:szCs w:val="22"/>
                <w:highlight w:val="none"/>
              </w:rPr>
            </w:pPr>
            <w:r>
              <w:rPr>
                <w:rFonts w:hint="eastAsia"/>
                <w:color w:val="000000" w:themeColor="text1"/>
                <w:sz w:val="22"/>
                <w:szCs w:val="22"/>
                <w:highlight w:val="none"/>
              </w:rPr>
              <w:t xml:space="preserve">(2)查询渠道：“信用中国”网站(www.creditchina.gov.cn)、“中国政府采购网”网站(www.ccgp.gov.cn)；</w:t>
            </w:r>
            <w:r>
              <w:rPr>
                <w:color w:val="000000" w:themeColor="text1"/>
              </w:rPr>
            </w:r>
            <w:r/>
          </w:p>
          <w:p>
            <w:pPr>
              <w:pStyle w:val="1256"/>
              <w:spacing w:line="324" w:lineRule="auto"/>
              <w:rPr>
                <w:color w:val="000000" w:themeColor="text1"/>
                <w:sz w:val="22"/>
                <w:szCs w:val="22"/>
                <w:highlight w:val="none"/>
              </w:rPr>
            </w:pPr>
            <w:r>
              <w:rPr>
                <w:rFonts w:hint="eastAsia"/>
                <w:color w:val="000000" w:themeColor="text1"/>
                <w:sz w:val="22"/>
                <w:szCs w:val="22"/>
                <w:highlight w:val="none"/>
              </w:rPr>
              <w:t xml:space="preserve">(3)查询时间：资格审查时；</w:t>
            </w:r>
            <w:r>
              <w:rPr>
                <w:color w:val="000000" w:themeColor="text1"/>
              </w:rPr>
            </w:r>
            <w:r/>
          </w:p>
          <w:p>
            <w:pPr>
              <w:pStyle w:val="1256"/>
              <w:spacing w:line="324" w:lineRule="auto"/>
              <w:rPr>
                <w:color w:val="000000" w:themeColor="text1"/>
                <w:sz w:val="22"/>
                <w:szCs w:val="22"/>
                <w:highlight w:val="none"/>
              </w:rPr>
            </w:pPr>
            <w:r>
              <w:rPr>
                <w:rFonts w:hint="eastAsia"/>
                <w:color w:val="000000" w:themeColor="text1"/>
                <w:sz w:val="22"/>
                <w:szCs w:val="22"/>
                <w:highlight w:val="none"/>
              </w:rPr>
              <w:t xml:space="preserve">(4)查询记录留存方式：由招标代理机构负责将投标供应商各网站信用记录截图保存；</w:t>
            </w:r>
            <w:r>
              <w:rPr>
                <w:color w:val="000000" w:themeColor="text1"/>
              </w:rPr>
            </w:r>
            <w:r/>
          </w:p>
          <w:p>
            <w:pPr>
              <w:pStyle w:val="1256"/>
              <w:spacing w:line="324" w:lineRule="auto"/>
              <w:rPr>
                <w:rFonts w:hint="eastAsia" w:ascii="宋体" w:hAnsi="宋体"/>
                <w:color w:val="000000" w:themeColor="text1"/>
                <w:sz w:val="22"/>
                <w:szCs w:val="22"/>
                <w:highlight w:val="none"/>
              </w:rPr>
            </w:pPr>
            <w:r>
              <w:rPr>
                <w:rFonts w:hint="eastAsia"/>
                <w:color w:val="000000" w:themeColor="text1"/>
                <w:sz w:val="22"/>
                <w:szCs w:val="22"/>
                <w:highlight w:val="none"/>
              </w:rPr>
              <w:t xml:space="preserve">(5)查询结果处理：对具有违法失信记录的投标供应商作无效投标处理。</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10</w:t>
            </w:r>
            <w:r>
              <w:rPr>
                <w:color w:val="000000" w:themeColor="text1"/>
              </w:rPr>
            </w:r>
            <w:r/>
          </w:p>
        </w:tc>
        <w:tc>
          <w:tcPr>
            <w:tcW w:w="2042" w:type="dxa"/>
            <w:vAlign w:val="center"/>
            <w:textDirection w:val="lrTb"/>
            <w:noWrap/>
          </w:tcPr>
          <w:p>
            <w:pPr>
              <w:pStyle w:val="1256"/>
              <w:jc w:val="center"/>
              <w:spacing w:line="324" w:lineRule="auto"/>
              <w:rPr>
                <w:rFonts w:hint="eastAsia" w:hAnsi="宋体" w:cs="宋体"/>
                <w:color w:val="000000" w:themeColor="text1"/>
                <w:sz w:val="22"/>
                <w:szCs w:val="22"/>
                <w:highlight w:val="none"/>
              </w:rPr>
            </w:pPr>
            <w:r>
              <w:rPr>
                <w:rFonts w:hint="eastAsia" w:ascii="宋体" w:hAnsi="宋体"/>
                <w:color w:val="000000" w:themeColor="text1"/>
                <w:sz w:val="22"/>
                <w:szCs w:val="22"/>
                <w:highlight w:val="none"/>
              </w:rPr>
              <w:t xml:space="preserve">核心产品</w:t>
            </w:r>
            <w:r>
              <w:rPr>
                <w:color w:val="000000" w:themeColor="text1"/>
              </w:rPr>
            </w:r>
            <w:r/>
          </w:p>
        </w:tc>
        <w:tc>
          <w:tcPr>
            <w:tcW w:w="7069" w:type="dxa"/>
            <w:vAlign w:val="center"/>
            <w:textDirection w:val="lrTb"/>
            <w:noWrap/>
          </w:tcPr>
          <w:p>
            <w:pPr>
              <w:pStyle w:val="1256"/>
              <w:spacing w:line="324" w:lineRule="auto"/>
              <w:rPr>
                <w:rFonts w:hint="eastAsia"/>
                <w:color w:val="000000" w:themeColor="text1"/>
                <w:sz w:val="22"/>
                <w:szCs w:val="22"/>
                <w:highlight w:val="none"/>
              </w:rPr>
            </w:pPr>
            <w:r>
              <w:rPr>
                <w:rFonts w:hint="eastAsia" w:ascii="宋体" w:hAnsi="宋体" w:cs="宋体"/>
                <w:b/>
                <w:bCs/>
                <w:color w:val="000000" w:themeColor="text1"/>
                <w:sz w:val="22"/>
                <w:szCs w:val="22"/>
                <w:highlight w:val="none"/>
              </w:rPr>
              <w:t xml:space="preserve">人工智能综合实训箱</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11</w:t>
            </w:r>
            <w:r>
              <w:rPr>
                <w:color w:val="000000" w:themeColor="text1"/>
              </w:rPr>
            </w:r>
            <w:r/>
          </w:p>
        </w:tc>
        <w:tc>
          <w:tcPr>
            <w:tcW w:w="2042"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相同品牌产品</w:t>
            </w:r>
            <w:r>
              <w:rPr>
                <w:color w:val="000000" w:themeColor="text1"/>
              </w:rPr>
            </w:r>
            <w:r/>
          </w:p>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投标要求</w:t>
            </w:r>
            <w:r>
              <w:rPr>
                <w:color w:val="000000" w:themeColor="text1"/>
              </w:rPr>
            </w:r>
            <w:r/>
          </w:p>
        </w:tc>
        <w:tc>
          <w:tcPr>
            <w:tcW w:w="7069" w:type="dxa"/>
            <w:vAlign w:val="center"/>
            <w:textDirection w:val="lrTb"/>
            <w:noWrap/>
          </w:tcPr>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color w:val="000000" w:themeColor="text1"/>
              </w:rPr>
            </w:r>
            <w:r/>
          </w:p>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（2）非单一产品采购项目，以提供的核心产品品牌为准。多家供应商提供的核心产品品牌相同的，按前一条规定处理；</w:t>
            </w:r>
            <w:r>
              <w:rPr>
                <w:color w:val="000000" w:themeColor="text1"/>
              </w:rPr>
            </w:r>
            <w:r/>
          </w:p>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color w:val="000000" w:themeColor="text1"/>
              </w:rPr>
            </w:r>
            <w:r/>
          </w:p>
        </w:tc>
      </w:tr>
      <w:tr>
        <w:trPr/>
        <w:tc>
          <w:tcPr>
            <w:tcW w:w="720"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12</w:t>
            </w:r>
            <w:r>
              <w:rPr>
                <w:color w:val="000000" w:themeColor="text1"/>
              </w:rPr>
            </w:r>
            <w:r/>
          </w:p>
        </w:tc>
        <w:tc>
          <w:tcPr>
            <w:tcW w:w="2042" w:type="dxa"/>
            <w:vAlign w:val="center"/>
            <w:textDirection w:val="lrTb"/>
            <w:noWrap/>
          </w:tcPr>
          <w:p>
            <w:pPr>
              <w:pStyle w:val="1256"/>
              <w:jc w:val="center"/>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加盖电子公章要求</w:t>
            </w:r>
            <w:r>
              <w:rPr>
                <w:color w:val="000000" w:themeColor="text1"/>
              </w:rPr>
            </w:r>
            <w:r/>
          </w:p>
        </w:tc>
        <w:tc>
          <w:tcPr>
            <w:tcW w:w="7069" w:type="dxa"/>
            <w:vAlign w:val="center"/>
            <w:textDirection w:val="lrTb"/>
            <w:noWrap/>
          </w:tcPr>
          <w:p>
            <w:pPr>
              <w:pStyle w:val="1256"/>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供应商投标文件中加盖的公章仅能使用与投标供应商名称一致的标准公章，不得使用其他形式（如带有“专用章”、“合同章”、“财务章”、“业务章”等字样）的印章；否则，按无效投标处理。</w:t>
            </w:r>
            <w:r>
              <w:rPr>
                <w:color w:val="000000" w:themeColor="text1"/>
              </w:rPr>
            </w:r>
            <w:r/>
          </w:p>
        </w:tc>
      </w:tr>
    </w:tbl>
    <w:p>
      <w:pPr>
        <w:pStyle w:val="1256"/>
        <w:ind w:firstLine="442"/>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一、总 则</w:t>
      </w:r>
      <w:r>
        <w:rPr>
          <w:color w:val="000000" w:themeColor="text1"/>
        </w:rPr>
      </w:r>
      <w:r/>
    </w:p>
    <w:p>
      <w:pPr>
        <w:pStyle w:val="1256"/>
        <w:ind w:firstLine="442"/>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1、适用法律</w:t>
      </w:r>
      <w:r>
        <w:rPr>
          <w:color w:val="000000" w:themeColor="text1"/>
        </w:rPr>
      </w:r>
      <w:r/>
    </w:p>
    <w:p>
      <w:pPr>
        <w:pStyle w:val="1256"/>
        <w:ind w:firstLine="440"/>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1.1参照执行《中华人民共和国政府采购法》、《政府采购货物和服务招标投标管理办法》等有关法律、规章和规定等。</w:t>
      </w:r>
      <w:r>
        <w:rPr>
          <w:color w:val="000000" w:themeColor="text1"/>
        </w:rPr>
      </w:r>
      <w:r/>
    </w:p>
    <w:p>
      <w:pPr>
        <w:pStyle w:val="1256"/>
        <w:ind w:firstLine="442"/>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2、供应商定义</w:t>
      </w:r>
      <w:r>
        <w:rPr>
          <w:color w:val="000000" w:themeColor="text1"/>
        </w:rPr>
      </w:r>
      <w:r/>
    </w:p>
    <w:p>
      <w:pPr>
        <w:pStyle w:val="1256"/>
        <w:ind w:firstLine="440"/>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2.1 “供应商”是指参加投标竞争，并符合招标文件规定资格条件的法人、其他组织或者自然人。</w:t>
      </w:r>
      <w:r>
        <w:rPr>
          <w:color w:val="000000" w:themeColor="text1"/>
        </w:rPr>
      </w:r>
      <w:r/>
    </w:p>
    <w:p>
      <w:pPr>
        <w:pStyle w:val="1256"/>
        <w:ind w:firstLine="442"/>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3、货物和服务、用户或使用单位定义</w:t>
      </w:r>
      <w:r>
        <w:rPr>
          <w:color w:val="000000" w:themeColor="text1"/>
        </w:rPr>
      </w:r>
      <w:r/>
    </w:p>
    <w:p>
      <w:pPr>
        <w:pStyle w:val="1256"/>
        <w:ind w:firstLine="440"/>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3.1“货物和服务”指本招标文件中所述产品及相关服务。</w:t>
      </w:r>
      <w:r>
        <w:rPr>
          <w:color w:val="000000" w:themeColor="text1"/>
        </w:rPr>
      </w:r>
      <w:r/>
    </w:p>
    <w:p>
      <w:pPr>
        <w:pStyle w:val="1256"/>
        <w:ind w:firstLine="440"/>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3.2“用户或使用单位”是指使用货物及接受服务的单位。</w:t>
      </w:r>
      <w:r>
        <w:rPr>
          <w:color w:val="000000" w:themeColor="text1"/>
        </w:rPr>
      </w:r>
      <w:r/>
    </w:p>
    <w:p>
      <w:pPr>
        <w:pStyle w:val="1256"/>
        <w:ind w:firstLine="442"/>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4、政策功能</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4.1 中小企业政策</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（2）本项目非专门面向中小企业或小型、微型企业的项目，对符合规定的小微企业报价给予10%的扣除，用扣除后的价格参加评审。</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（6）参加政府采购活动的中小企业应当按“关于印发《政府采购促进中小企业发展管理办法》的通知[财库〔2020〕46号]” 规定提供《中小企业声明函》，未提供上述资料的报价，其价格不予扣除。</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4.2 </w:t>
      </w:r>
      <w:r>
        <w:rPr>
          <w:rFonts w:hint="eastAsia" w:ascii="宋体" w:hAnsi="宋体" w:cs="宋体"/>
          <w:color w:val="000000" w:themeColor="text1"/>
          <w:sz w:val="22"/>
          <w:szCs w:val="22"/>
          <w:highlight w:val="none"/>
          <w:lang w:val="zh-CN"/>
        </w:rPr>
        <w:t xml:space="preserve">节能产品政策</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zh-CN"/>
        </w:rPr>
        <w:t xml:space="preserve">（2）招标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cs="宋体"/>
          <w:color w:val="000000" w:themeColor="text1"/>
          <w:sz w:val="22"/>
          <w:szCs w:val="22"/>
          <w:highlight w:val="none"/>
        </w:rPr>
        <w:t xml:space="preserve">评标标准</w:t>
      </w:r>
      <w:r>
        <w:rPr>
          <w:rFonts w:hint="eastAsia" w:ascii="宋体" w:hAnsi="宋体" w:cs="宋体"/>
          <w:color w:val="000000" w:themeColor="text1"/>
          <w:sz w:val="22"/>
          <w:szCs w:val="22"/>
          <w:highlight w:val="none"/>
          <w:lang w:val="zh-CN"/>
        </w:rPr>
        <w:t xml:space="preserve">。</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zh-CN"/>
        </w:rPr>
        <w:t xml:space="preserve">（4）招标人拟采购的产品属于《节能产品政府采购品目清单》所列政府强制采购产品的，供应商提供的产品则必须为列入《节能产品政府采购品目清单》的政府强制采购产品，实行强制采购，否则投标无效。</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4.3 </w:t>
      </w:r>
      <w:r>
        <w:rPr>
          <w:rFonts w:hint="eastAsia" w:ascii="宋体" w:hAnsi="宋体" w:cs="宋体"/>
          <w:b/>
          <w:bCs/>
          <w:color w:val="000000" w:themeColor="text1"/>
          <w:sz w:val="22"/>
          <w:szCs w:val="22"/>
          <w:highlight w:val="none"/>
          <w:lang w:val="zh-CN"/>
        </w:rPr>
        <w:t xml:space="preserve">环境标志产品政策</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zh-CN"/>
        </w:rPr>
        <w:t xml:space="preserve">（2）招标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cs="宋体"/>
          <w:color w:val="000000" w:themeColor="text1"/>
          <w:sz w:val="22"/>
          <w:szCs w:val="22"/>
          <w:highlight w:val="none"/>
        </w:rPr>
        <w:t xml:space="preserve">评标标准</w:t>
      </w:r>
      <w:r>
        <w:rPr>
          <w:rFonts w:hint="eastAsia" w:ascii="宋体" w:hAnsi="宋体" w:cs="宋体"/>
          <w:color w:val="000000" w:themeColor="text1"/>
          <w:sz w:val="22"/>
          <w:szCs w:val="22"/>
          <w:highlight w:val="none"/>
          <w:lang w:val="zh-CN"/>
        </w:rPr>
        <w:t xml:space="preserve">。</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4.4 进口产品政策</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（1）除招标文件另有规定外，不允许进口产品参加。进口产品认定依照《财政部关于政府采购进口产品管理有关问题的通知》（财办库〔2008〕248号）的规定。</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（2）允许进口产品参加的，满足需求的国内产品可以参加。</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（3）允许进口产品参加的，优先采购向我国企业转让技术、与我国企业签订消化吸收再创新方案的供应商的进口产品。</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4.5 采购本国产品的支持政策</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具体内容如下：</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pStyle w:val="1256"/>
        <w:ind w:firstLine="480"/>
        <w:spacing w:line="324" w:lineRule="auto"/>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（5）评标过程中，如发现供应商在《声明函》内容含义不明确、同类事项与</w:t>
      </w:r>
      <w:r>
        <w:rPr>
          <w:rFonts w:hint="eastAsia" w:ascii="宋体" w:hAnsi="宋体" w:cs="宋体"/>
          <w:color w:val="000000" w:themeColor="text1"/>
          <w:sz w:val="22"/>
          <w:szCs w:val="22"/>
          <w:highlight w:val="none"/>
          <w:lang w:eastAsia="zh-CN"/>
        </w:rPr>
        <w:t xml:space="preserve">投标</w:t>
      </w:r>
      <w:r>
        <w:rPr>
          <w:rFonts w:hint="eastAsia" w:ascii="宋体" w:hAnsi="宋体" w:cs="宋体"/>
          <w:color w:val="000000" w:themeColor="text1"/>
          <w:sz w:val="22"/>
          <w:szCs w:val="22"/>
          <w:highlight w:val="none"/>
        </w:rPr>
        <w:t xml:space="preserve">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pStyle w:val="1256"/>
        <w:ind w:firstLine="442"/>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二、招标文件构成</w:t>
      </w:r>
      <w:r>
        <w:rPr>
          <w:color w:val="000000" w:themeColor="text1"/>
        </w:rPr>
      </w:r>
      <w:r/>
    </w:p>
    <w:p>
      <w:pPr>
        <w:pStyle w:val="1256"/>
        <w:ind w:firstLine="442"/>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5、招标文件组成</w:t>
      </w:r>
      <w:r>
        <w:rPr>
          <w:color w:val="000000" w:themeColor="text1"/>
        </w:rPr>
      </w:r>
      <w:r/>
    </w:p>
    <w:p>
      <w:pPr>
        <w:pStyle w:val="1256"/>
        <w:ind w:firstLine="440"/>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 招标文件组成：投标邀请、投标供应商须知、投标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color w:val="000000" w:themeColor="text1"/>
        </w:rPr>
      </w:r>
      <w:r/>
    </w:p>
    <w:p>
      <w:pPr>
        <w:pStyle w:val="1256"/>
        <w:ind w:firstLine="440"/>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5.2 招标的最小单位是包。招标货物数量及技术要求中未分包的，投标供应商对要求提供的货物和服务不得部分投标；招标货物数量及技术要求中已经分包的，可以以包为单位投标。</w:t>
      </w:r>
      <w:r>
        <w:rPr>
          <w:color w:val="000000" w:themeColor="text1"/>
        </w:rPr>
      </w:r>
      <w:r/>
    </w:p>
    <w:p>
      <w:pPr>
        <w:pStyle w:val="1256"/>
        <w:ind w:firstLine="440"/>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5.3 代理机构如果要求投标供应商按照招标文件规定提交备选投标方案的，投标供应商可以提交备选方案；否则，备选方案将被拒绝。</w:t>
      </w:r>
      <w:r>
        <w:rPr>
          <w:color w:val="000000" w:themeColor="text1"/>
        </w:rPr>
      </w:r>
      <w:r/>
    </w:p>
    <w:p>
      <w:pPr>
        <w:pStyle w:val="1256"/>
        <w:ind w:firstLine="442"/>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6、招标文件的澄清、补充或修改</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6.1 代理机构对已发出的招标文件进行必要澄清、补充或者修改的，将在招标文件要求提交投标文件截止时间</w:t>
      </w:r>
      <w:r>
        <w:rPr>
          <w:rFonts w:hint="eastAsia" w:ascii="宋体" w:hAnsi="宋体" w:cs="宋体"/>
          <w:b/>
          <w:bCs/>
          <w:color w:val="000000" w:themeColor="text1"/>
          <w:sz w:val="22"/>
          <w:szCs w:val="22"/>
          <w:highlight w:val="none"/>
          <w:lang w:val="zh-CN"/>
        </w:rPr>
        <w:t xml:space="preserve">十五日</w:t>
      </w:r>
      <w:r>
        <w:rPr>
          <w:rFonts w:hint="eastAsia" w:ascii="宋体" w:hAnsi="宋体" w:cs="宋体"/>
          <w:color w:val="000000" w:themeColor="text1"/>
          <w:sz w:val="22"/>
          <w:szCs w:val="22"/>
          <w:highlight w:val="none"/>
          <w:lang w:val="zh-CN"/>
        </w:rPr>
        <w:t xml:space="preserve">前，在原招标公告媒体发布更正公告，该澄清、补充或者修改的内容为招标文件的组成部分。</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6.2 代理机构在招标文件要求提交投标文件截止时间三日前，有权决定延长投标截止时间和开标时间，并在原采购信息发布媒体上发布变更公告。</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6.3 </w:t>
      </w:r>
      <w:r>
        <w:rPr>
          <w:rFonts w:hint="eastAsia" w:ascii="宋体" w:hAnsi="宋体" w:cs="宋体"/>
          <w:color w:val="000000" w:themeColor="text1"/>
          <w:sz w:val="22"/>
          <w:szCs w:val="22"/>
          <w:highlight w:val="none"/>
        </w:rPr>
        <w:t xml:space="preserve">为使投标供应商在准备投标时，有合理的时间考虑招标文件的补充或修改，招标代理机构将视</w:t>
      </w:r>
      <w:r>
        <w:rPr>
          <w:rFonts w:hint="eastAsia" w:ascii="宋体" w:hAnsi="宋体" w:cs="宋体"/>
          <w:color w:val="000000" w:themeColor="text1"/>
          <w:sz w:val="22"/>
          <w:szCs w:val="22"/>
          <w:highlight w:val="none"/>
          <w:lang w:val="zh-CN"/>
        </w:rPr>
        <w:t xml:space="preserve">情况可能推迟投标截止时间和开标时间，并将此变更以书面形式通知所有的投标供应商。</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三、投标文件的编制</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7、投标文件的语言、计量单位、货币和编制</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7.1 投标供应商提交的投标文件、技术文件和资料，包括图纸中的说明，以及投标供应商与代理机构就有关投标的所有来往函电均应使用中文。投标文件中若有英文或其他语言文字的资料，应提供相应的中文翻译资料。对不同文本投标文件的解释发生异议的，以中文文本为准。</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7.2 投标供应商所使用的计量单位应为国家法定计量单位。</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7.3 投标供应商应用人民币报价。</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7.4 投标文件应字迹清楚、内容齐全、不得涂改。如有修改，修改处须有投标供应商公章或投标专用章和法定代表人或其授权的投标供应商代表签字。</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7.5 投标文件应按照招标文件规定的顺序，统一用A4规格幅面打印、装订成册并编制目录，由于编排混乱导致投标文件被误读或查找不到，责任由投标供应商承担。</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7.6 投标供应商应在投标文件中写清相应的项目编号、项目名称（含包号名称）、投标供应商全称、地</w:t>
      </w:r>
      <w:r>
        <w:rPr>
          <w:rFonts w:hint="eastAsia" w:ascii="宋体" w:hAnsi="宋体" w:cs="宋体"/>
          <w:color w:val="000000" w:themeColor="text1"/>
          <w:sz w:val="22"/>
          <w:szCs w:val="22"/>
          <w:highlight w:val="none"/>
        </w:rPr>
        <w:t xml:space="preserve">址、电话、传真等。</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7.7 投标供应商根据招标文件载明的标的采购项目实际情况，拟在中标后将中标项目的非主体、非关键性工作交由他人完成的，应当在投标文件中载明。</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8、投标文件的组成</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8.1 供应商应当根据招标文件要求编制投标文件，投标文件应对招标文件提出的要求和条件作出实质性响应，并在《商务条款偏离表》和《技术条款偏离表》等处逐条标明满足与否。</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8.2 投标文件由商务部分、技术部分、价格部分以及其他部分组成。</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9、投标文件的商务部分</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9.1 商务部分是证明投标供应商有资格参加投标和中标后有能力履行合同的文件，这些文件应能满足招标的要求，包括但不限于下列文件，其中加“★”项目不得有缺失或无效：</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（1）★投标函（投标申请及声明）；</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（2）★法定代表人授权委托书及委托代理人的身份证明文件的扫描件；</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（3）★第一章投标邀请书中 《中华人民共和国政府采购法》规定的资格条件证明文件；</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（4）★第一章投标邀请书中 招标人根据采购项目的特殊要求规定的特定条件证明文件（如有）；</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CN"/>
        </w:rPr>
        <w:t xml:space="preserve">）★开标一览表</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6</w:t>
      </w:r>
      <w:r>
        <w:rPr>
          <w:rFonts w:hint="eastAsia" w:ascii="宋体" w:hAnsi="宋体" w:cs="宋体"/>
          <w:color w:val="000000" w:themeColor="text1"/>
          <w:sz w:val="22"/>
          <w:szCs w:val="22"/>
          <w:highlight w:val="none"/>
          <w:lang w:val="zh-CN"/>
        </w:rPr>
        <w:t xml:space="preserve">）《分项报价表》</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7</w:t>
      </w:r>
      <w:r>
        <w:rPr>
          <w:rFonts w:hint="eastAsia" w:ascii="宋体" w:hAnsi="宋体" w:cs="宋体"/>
          <w:color w:val="000000" w:themeColor="text1"/>
          <w:sz w:val="22"/>
          <w:szCs w:val="22"/>
          <w:highlight w:val="none"/>
          <w:lang w:val="zh-CN"/>
        </w:rPr>
        <w:t xml:space="preserve">）★《商务条款偏离表》</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8</w:t>
      </w:r>
      <w:r>
        <w:rPr>
          <w:rFonts w:hint="eastAsia" w:ascii="宋体" w:hAnsi="宋体" w:cs="宋体"/>
          <w:color w:val="000000" w:themeColor="text1"/>
          <w:sz w:val="22"/>
          <w:szCs w:val="22"/>
          <w:highlight w:val="none"/>
          <w:lang w:val="zh-CN"/>
        </w:rPr>
        <w:t xml:space="preserve">）供应商认为需要提供的其他资格证明文件和商务资料。</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10、投标文件的技术部分</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技术部分是证明</w:t>
      </w:r>
      <w:r>
        <w:rPr>
          <w:rFonts w:hint="eastAsia" w:ascii="宋体" w:hAnsi="宋体" w:cs="宋体"/>
          <w:color w:val="000000" w:themeColor="text1"/>
          <w:sz w:val="22"/>
          <w:szCs w:val="22"/>
          <w:highlight w:val="none"/>
        </w:rPr>
        <w:t xml:space="preserve">供应商提供的货物或服务是合格的、并符合招标文件要求的证明文件，以及</w:t>
      </w:r>
      <w:r>
        <w:rPr>
          <w:rFonts w:hint="eastAsia" w:ascii="宋体" w:hAnsi="宋体" w:cs="宋体"/>
          <w:color w:val="000000" w:themeColor="text1"/>
          <w:sz w:val="22"/>
          <w:szCs w:val="22"/>
          <w:highlight w:val="none"/>
          <w:lang w:val="zh-CN"/>
        </w:rPr>
        <w:t xml:space="preserve">对服务的详细说明，这些文件可以是文字资料、图纸和数据等。提供的货物和服务如与招标文件要求有不符之处，应说明其差别之所在。包括但不限于下列文件，其中加“★”项目不得有缺失或无效：</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 （</w:t>
      </w:r>
      <w:r>
        <w:rPr>
          <w:rFonts w:hint="eastAsia" w:ascii="宋体" w:hAnsi="宋体" w:cs="宋体"/>
          <w:color w:val="000000" w:themeColor="text1"/>
          <w:sz w:val="22"/>
          <w:szCs w:val="22"/>
          <w:highlight w:val="none"/>
        </w:rPr>
        <w:t xml:space="preserve">1</w:t>
      </w:r>
      <w:r>
        <w:rPr>
          <w:rFonts w:hint="eastAsia" w:ascii="宋体" w:hAnsi="宋体" w:cs="宋体"/>
          <w:color w:val="000000" w:themeColor="text1"/>
          <w:sz w:val="22"/>
          <w:szCs w:val="22"/>
          <w:highlight w:val="none"/>
          <w:lang w:val="zh-CN"/>
        </w:rPr>
        <w:t xml:space="preserve">）★《技术条款偏离表》；</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 （</w:t>
      </w:r>
      <w:r>
        <w:rPr>
          <w:rFonts w:hint="eastAsia" w:ascii="宋体" w:hAnsi="宋体" w:cs="宋体"/>
          <w:color w:val="000000" w:themeColor="text1"/>
          <w:sz w:val="22"/>
          <w:szCs w:val="22"/>
          <w:highlight w:val="none"/>
        </w:rPr>
        <w:t xml:space="preserve">2</w:t>
      </w:r>
      <w:r>
        <w:rPr>
          <w:rFonts w:hint="eastAsia" w:ascii="宋体" w:hAnsi="宋体" w:cs="宋体"/>
          <w:color w:val="000000" w:themeColor="text1"/>
          <w:sz w:val="22"/>
          <w:szCs w:val="22"/>
          <w:highlight w:val="none"/>
          <w:lang w:val="zh-CN"/>
        </w:rPr>
        <w:t xml:space="preserve">）服务</w:t>
      </w:r>
      <w:r>
        <w:rPr>
          <w:rFonts w:hint="eastAsia" w:ascii="宋体" w:hAnsi="宋体" w:cs="宋体"/>
          <w:color w:val="000000" w:themeColor="text1"/>
          <w:sz w:val="22"/>
          <w:szCs w:val="22"/>
          <w:highlight w:val="none"/>
        </w:rPr>
        <w:t xml:space="preserve">方案</w:t>
      </w:r>
      <w:r>
        <w:rPr>
          <w:rFonts w:hint="eastAsia" w:ascii="宋体" w:hAnsi="宋体" w:cs="宋体"/>
          <w:color w:val="000000" w:themeColor="text1"/>
          <w:sz w:val="22"/>
          <w:szCs w:val="22"/>
          <w:highlight w:val="none"/>
          <w:lang w:val="zh-CN"/>
        </w:rPr>
        <w:t xml:space="preserve">；</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 （</w:t>
      </w: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sz w:val="22"/>
          <w:szCs w:val="22"/>
          <w:highlight w:val="none"/>
          <w:lang w:val="zh-CN"/>
        </w:rPr>
        <w:t xml:space="preserve">）供应商认为需要提供的其他技术资料。</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11、投标文件的价格部分</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11.1价格部分是对货物和服务价格构成的说明，招标文件如没有特别说明的话，对每一项货物和服务仅接受一个价格。</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11.2投标总报价应包括人工费、材料设备费（含损耗）、机械使用费、安装费、措施费、企业管理费、规费、利润、税金、材料检验试验费、设备检验调试费、检测费、成品保护费、运输保险直至办理验收并取得验收合格证明文件并移交给业主等完成本项目发生的所有费用，以及政策性文件规定的各项应有费用及</w:t>
      </w:r>
      <w:r>
        <w:rPr>
          <w:rFonts w:hint="eastAsia" w:ascii="宋体" w:hAnsi="宋体" w:cs="宋体"/>
          <w:b/>
          <w:bCs/>
          <w:color w:val="000000" w:themeColor="text1"/>
          <w:sz w:val="22"/>
          <w:szCs w:val="22"/>
          <w:highlight w:val="none"/>
          <w:lang w:val="zh-CN"/>
        </w:rPr>
        <w:t xml:space="preserve">招标文件未列明而投标供应商认为必需的费用也需列入报价</w:t>
      </w:r>
      <w:r>
        <w:rPr>
          <w:rFonts w:hint="eastAsia" w:ascii="宋体" w:hAnsi="宋体" w:cs="宋体"/>
          <w:b/>
          <w:bCs/>
          <w:color w:val="000000" w:themeColor="text1"/>
          <w:sz w:val="22"/>
          <w:szCs w:val="22"/>
          <w:highlight w:val="none"/>
        </w:rPr>
        <w:t xml:space="preserve">，合同期内不做任何调整。</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11.3投标供应商的任何错漏、优惠、竞争性报价不得作为减轻责任、减少货物和服务、增加收费、降低质量的理由。</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11.4 投标供应商应在《开标一览表》、《投标分项报价》等标明投标货物或服务的单价、总价以及分项报价。投标供应商系</w:t>
      </w:r>
      <w:r>
        <w:rPr>
          <w:rFonts w:hint="eastAsia" w:ascii="宋体" w:hAnsi="宋体" w:cs="宋体"/>
          <w:b/>
          <w:bCs/>
          <w:color w:val="000000" w:themeColor="text1"/>
          <w:sz w:val="22"/>
          <w:szCs w:val="22"/>
          <w:highlight w:val="none"/>
          <w:lang w:val="zh-CN"/>
        </w:rPr>
        <w:t xml:space="preserve">中小企业（含中型、小型、微型企业），并提供本企业制造的货物、承担的工程或者服务</w:t>
      </w:r>
      <w:r>
        <w:rPr>
          <w:rFonts w:hint="eastAsia" w:ascii="宋体" w:hAnsi="宋体" w:cs="宋体"/>
          <w:color w:val="000000" w:themeColor="text1"/>
          <w:sz w:val="22"/>
          <w:szCs w:val="22"/>
          <w:highlight w:val="none"/>
          <w:lang w:val="zh-CN"/>
        </w:rPr>
        <w:t xml:space="preserve">，或者提供其他中小企业制造的货物，须在《开标一览表》、《投标分项报价》中注明。</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11.</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CN"/>
        </w:rPr>
        <w:t xml:space="preserve">本项目预算详见招标公告，投标供应商的投标报价不得超过预算。超过预算的投标文件，按无效投标处理。</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12、投标文件的其他部分</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12.1 其他部分由投标供应商根据编制投标文件需要提供的其他相关文件。</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13、投标有效期</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13.1 自开标之日起90天内投标有效。</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14、投标文件签署</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14.1 投标文件的正本和副本均由投标供应商法人代表或经正式授权并对投标供应商有约束力的委托代理人签字。</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15、投标费用</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15.1 投标供应商应承担所有与准备和参加投标有关的费用，无论采购结果如何，代理机构和招标人在任何情况下均无义务和责任承担这些费用。</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15.2 </w:t>
      </w:r>
      <w:r>
        <w:rPr>
          <w:rFonts w:hint="eastAsia" w:ascii="宋体" w:hAnsi="宋体" w:cs="宋体"/>
          <w:b/>
          <w:bCs/>
          <w:color w:val="000000" w:themeColor="text1"/>
          <w:sz w:val="22"/>
          <w:szCs w:val="22"/>
          <w:highlight w:val="none"/>
          <w:lang w:val="zh-CN" w:eastAsia="zh-TW"/>
        </w:rPr>
        <w:t xml:space="preserve">本项目招标代理服务费由中标人在领取中标通知书前一次性向招标代理机构支付。招标代理服务费按《招标代理服务收费管理暂行办法》（国家发展计划委员会计价格[2002]1980号）代理服务招标收费标准的</w:t>
      </w:r>
      <w:r>
        <w:rPr>
          <w:rFonts w:hint="eastAsia" w:ascii="宋体" w:hAnsi="宋体" w:cs="宋体"/>
          <w:b/>
          <w:bCs/>
          <w:color w:val="000000" w:themeColor="text1"/>
          <w:sz w:val="22"/>
          <w:szCs w:val="22"/>
          <w:highlight w:val="none"/>
          <w:lang w:val="en-US" w:eastAsia="zh-CN"/>
        </w:rPr>
        <w:t xml:space="preserve">6</w:t>
      </w:r>
      <w:r>
        <w:rPr>
          <w:rFonts w:hint="eastAsia" w:ascii="宋体" w:hAnsi="宋体" w:cs="宋体"/>
          <w:b/>
          <w:bCs/>
          <w:color w:val="000000" w:themeColor="text1"/>
          <w:sz w:val="22"/>
          <w:szCs w:val="22"/>
          <w:highlight w:val="none"/>
          <w:lang w:val="zh-CN" w:eastAsia="zh-TW"/>
        </w:rPr>
        <w:t xml:space="preserve">0%计取，计算基准值为中标价，不足</w:t>
      </w:r>
      <w:r>
        <w:rPr>
          <w:rFonts w:hint="eastAsia" w:ascii="宋体" w:hAnsi="宋体" w:cs="宋体"/>
          <w:b/>
          <w:bCs/>
          <w:color w:val="000000" w:themeColor="text1"/>
          <w:sz w:val="22"/>
          <w:szCs w:val="22"/>
          <w:highlight w:val="none"/>
          <w:lang w:val="en-US" w:eastAsia="zh-CN"/>
        </w:rPr>
        <w:t xml:space="preserve">4</w:t>
      </w:r>
      <w:r>
        <w:rPr>
          <w:rFonts w:hint="eastAsia" w:ascii="宋体" w:hAnsi="宋体" w:cs="宋体"/>
          <w:b/>
          <w:bCs/>
          <w:color w:val="000000" w:themeColor="text1"/>
          <w:sz w:val="22"/>
          <w:szCs w:val="22"/>
          <w:highlight w:val="none"/>
          <w:lang w:val="en-US" w:eastAsia="zh-CN"/>
        </w:rPr>
        <w:t xml:space="preserve">0</w:t>
      </w:r>
      <w:r>
        <w:rPr>
          <w:rFonts w:hint="eastAsia" w:ascii="宋体" w:hAnsi="宋体" w:cs="宋体"/>
          <w:b/>
          <w:bCs/>
          <w:color w:val="000000" w:themeColor="text1"/>
          <w:sz w:val="22"/>
          <w:szCs w:val="22"/>
          <w:highlight w:val="none"/>
          <w:lang w:val="zh-CN" w:eastAsia="zh-TW"/>
        </w:rPr>
        <w:t xml:space="preserve">00元按</w:t>
      </w:r>
      <w:r>
        <w:rPr>
          <w:rFonts w:hint="eastAsia" w:ascii="宋体" w:hAnsi="宋体" w:cs="宋体"/>
          <w:b/>
          <w:bCs/>
          <w:color w:val="000000" w:themeColor="text1"/>
          <w:sz w:val="22"/>
          <w:szCs w:val="22"/>
          <w:highlight w:val="none"/>
          <w:lang w:val="en-US" w:eastAsia="zh-CN"/>
        </w:rPr>
        <w:t xml:space="preserve">4</w:t>
      </w:r>
      <w:r>
        <w:rPr>
          <w:rFonts w:hint="eastAsia" w:ascii="宋体" w:hAnsi="宋体" w:cs="宋体"/>
          <w:b/>
          <w:bCs/>
          <w:color w:val="000000" w:themeColor="text1"/>
          <w:sz w:val="22"/>
          <w:szCs w:val="22"/>
          <w:highlight w:val="none"/>
          <w:lang w:val="en-US" w:eastAsia="zh-CN"/>
        </w:rPr>
        <w:t xml:space="preserve">0</w:t>
      </w:r>
      <w:r>
        <w:rPr>
          <w:rFonts w:hint="eastAsia" w:ascii="宋体" w:hAnsi="宋体" w:cs="宋体"/>
          <w:b/>
          <w:bCs/>
          <w:color w:val="000000" w:themeColor="text1"/>
          <w:sz w:val="22"/>
          <w:szCs w:val="22"/>
          <w:highlight w:val="none"/>
          <w:lang w:val="zh-CN" w:eastAsia="zh-TW"/>
        </w:rPr>
        <w:t xml:space="preserve">00元计取。此费用已含在投标报价中，结算时不予另计。本项费用已综合包含在投标人</w:t>
      </w:r>
      <w:r>
        <w:rPr>
          <w:rFonts w:hint="eastAsia" w:ascii="宋体" w:hAnsi="宋体" w:cs="宋体"/>
          <w:b/>
          <w:bCs/>
          <w:color w:val="000000" w:themeColor="text1"/>
          <w:sz w:val="22"/>
          <w:szCs w:val="22"/>
          <w:highlight w:val="none"/>
          <w:lang w:val="en-US" w:eastAsia="zh-CN"/>
        </w:rPr>
        <w:t xml:space="preserve">投标</w:t>
      </w:r>
      <w:r>
        <w:rPr>
          <w:rFonts w:hint="eastAsia" w:ascii="宋体" w:hAnsi="宋体" w:cs="宋体"/>
          <w:b/>
          <w:bCs/>
          <w:color w:val="000000" w:themeColor="text1"/>
          <w:sz w:val="22"/>
          <w:szCs w:val="22"/>
          <w:highlight w:val="none"/>
          <w:lang w:val="zh-CN" w:eastAsia="zh-TW"/>
        </w:rPr>
        <w:t xml:space="preserve">报价内，不单独列项、不另行结算。各投标人在编制报价文件时，须足额测算、统筹将该项代理费纳入成本综合考量，因未合理预估该项费用所产生的损失与风险，均由投标人自行承担。</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四、投标文件的递交</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16、投标文件的递交</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16.1 电子投标文件的递交：</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投标供应商应当按照《操作手册》规定，在投标截止时间前制作并上传电子投标文件。</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16.2 投标文件的解密：</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开标当天各供应商及时登录不见面开标大厅，投标文件递交截止时间后，招标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ascii="宋体" w:hAnsi="宋体" w:cs="宋体"/>
          <w:color w:val="000000" w:themeColor="text1"/>
          <w:sz w:val="22"/>
          <w:szCs w:val="22"/>
          <w:highlight w:val="none"/>
          <w:lang w:eastAsia="zh-CN"/>
        </w:rPr>
        <w:t xml:space="preserve">投标文件</w:t>
      </w:r>
      <w:r>
        <w:rPr>
          <w:rFonts w:hint="eastAsia" w:ascii="宋体" w:hAnsi="宋体" w:cs="宋体"/>
          <w:color w:val="000000" w:themeColor="text1"/>
          <w:sz w:val="22"/>
          <w:szCs w:val="22"/>
          <w:highlight w:val="none"/>
        </w:rPr>
        <w:t xml:space="preserve">在规定时间内未能解密、解密失败或解密超时，视为投标供应商撤销其</w:t>
      </w:r>
      <w:r>
        <w:rPr>
          <w:rFonts w:hint="eastAsia" w:ascii="宋体" w:hAnsi="宋体" w:cs="宋体"/>
          <w:color w:val="000000" w:themeColor="text1"/>
          <w:sz w:val="22"/>
          <w:szCs w:val="22"/>
          <w:highlight w:val="none"/>
          <w:lang w:eastAsia="zh-CN"/>
        </w:rPr>
        <w:t xml:space="preserve">投标文件</w:t>
      </w:r>
      <w:r>
        <w:rPr>
          <w:rFonts w:hint="eastAsia" w:ascii="宋体" w:hAnsi="宋体" w:cs="宋体"/>
          <w:color w:val="000000" w:themeColor="text1"/>
          <w:sz w:val="22"/>
          <w:szCs w:val="22"/>
          <w:highlight w:val="none"/>
        </w:rPr>
        <w:t xml:space="preserve">，系统内投标文件将被退回；因招标人（或采购代理机构）原因或网上招投标平台发生故障，导致无法按时完成投标文件解密或开、评标工作无法进行的，可根据实际情况相应延迟解密时间或调整开、评标时间。</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17、有下列情形的投标文件将拒收：</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17.1 招标人（代理机构）拒绝接收在其规定的投标截止时间后上传的任何投标文件。</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18、投标文件的修改和撤回</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18.1 投标文件的撤回</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18.1.1 电子投标文件的撤回</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投标供应商可在投标截止时间前，撤回其电子投标文件，具体操作方法见《操作手册》。</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18.1.2 投标供应商撤回电子投标文件，则认为其不再参与本项目投标活动。</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18.2 投标文件的修改</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18.2.1投标供应商可在投标截止时间前，对其电子投标文件进行修改，具体操作方法见《操作手册》。</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18.2.2 在投标截止时间之后，投标供应商不得对其电子投标文件作任何修改。</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18.3 在投标截止时间至招标文件中规定的投标有效期满之间的这段时间内，投标供应商不得撤回其投标文件。</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五、开标、评标与定标</w:t>
      </w:r>
      <w:r>
        <w:rPr>
          <w:color w:val="000000" w:themeColor="text1"/>
        </w:rPr>
      </w:r>
      <w:r/>
    </w:p>
    <w:p>
      <w:pPr>
        <w:pStyle w:val="1256"/>
        <w:ind w:firstLine="480"/>
        <w:spacing w:line="324" w:lineRule="auto"/>
        <w:rPr>
          <w:rFonts w:hint="eastAsia" w:ascii="宋体" w:hAnsi="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rPr>
        <w:t xml:space="preserve">19、开标</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19.1 代理机构将在招标公告中规定的时间和地点组织公开开标。投标供应商应当按照《操作手册》规定，参加开标活动和在苏采云系统规定的时间内对投标文件进行解密。</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19.2 开标仪式由代理机构组织。苏采云系统将自动对项目进行开标，并宣布各投标供应商名称和投标价格。</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19.3投标供应商在开标过程中涉及到的投标文件解密、开标结果确认等工作，应按照《操作手册》规定执行。</w:t>
      </w:r>
      <w:r>
        <w:rPr>
          <w:color w:val="000000" w:themeColor="text1"/>
        </w:rPr>
      </w:r>
      <w:r/>
    </w:p>
    <w:p>
      <w:pPr>
        <w:pStyle w:val="1256"/>
        <w:ind w:firstLine="480"/>
        <w:spacing w:line="324" w:lineRule="auto"/>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19.4投标供应商如果对开标过程和开标记录有疑义，应当根据《操作手册》规定提出，如在苏采云系统《开标记录表》宣布后5分钟内未提出的，视同认可开标结果。</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19.</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CN"/>
        </w:rPr>
        <w:t xml:space="preserve"> 投标截止后供应商不足3家的不得开标，通过资格性审查或符合性审查的供应商不足3家的，除采购任务取消情形外，按照以下方式处理： </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（1）招标文件存在不合理条款或者招标程序不符合规定的，招标人、采购代理机构改正后依法 重新招标； </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（2）招标文件没有不合理条款、招标程序符合规定，需要采用其他采购方式采购的，招标人依 法报财政部门或主管部门批准，经批准后，可变更为其他采购方式采购。本次招标文件中对供应商资格条件要求、技术要求和商务要求等，将作为其他采购方式采购的基本要求和谈判依据。</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sz w:val="22"/>
          <w:szCs w:val="22"/>
          <w:highlight w:val="none"/>
          <w:lang w:val="zh-CN"/>
        </w:rPr>
        <w:t xml:space="preserve">）苏教法[2017]14号 江苏省深化高等教育领域简政放权放管结合优化服务改革实施办法，第四条完善高校经费和资产使用管理制度（十三）优化高校办学设备招标采购流程。急需设备首次招标如不足3家供应商的，可依据专家评委意见，并经得招标人同意，现场采用竞争性谈判或单一来源采购方式。简化科研仪器设备采购管理，高校对集中采购目录内的项目可自行采购和选择评审专家。对进口仪器设备实行备案制。</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20、评标</w:t>
      </w:r>
      <w:r>
        <w:rPr>
          <w:color w:val="000000" w:themeColor="text1"/>
        </w:rPr>
      </w:r>
      <w:r/>
    </w:p>
    <w:p>
      <w:pPr>
        <w:pStyle w:val="1256"/>
        <w:ind w:firstLine="442"/>
        <w:jc w:val="left"/>
        <w:spacing w:line="324"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20.1 评标组织</w:t>
      </w:r>
      <w:r>
        <w:rPr>
          <w:color w:val="000000" w:themeColor="text1"/>
        </w:rPr>
      </w:r>
      <w:r/>
    </w:p>
    <w:p>
      <w:pPr>
        <w:pStyle w:val="1256"/>
        <w:ind w:firstLine="442"/>
        <w:jc w:val="left"/>
        <w:spacing w:line="324" w:lineRule="auto"/>
        <w:rPr>
          <w:rFonts w:hint="eastAsia"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20.1.1 </w:t>
      </w:r>
      <w:r>
        <w:rPr>
          <w:rFonts w:hint="eastAsia" w:ascii="宋体" w:hAnsi="宋体" w:cs="宋体"/>
          <w:color w:val="000000" w:themeColor="text1"/>
          <w:sz w:val="22"/>
          <w:szCs w:val="22"/>
          <w:highlight w:val="none"/>
          <w:lang w:val="zh-CN"/>
        </w:rPr>
        <w:t xml:space="preserve">评标工作由代理机构负责组织，具体评标事务由依法组建的评标委员会负责，并独立履行下列职责：</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（1）审查投标文件是否符合招标文件要求，并作出评价；</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（2）要求投标供应商对投标文件有关事项作出解释或者澄清；</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（3）推荐中标候选供应商名单，或者按照招标文件规定直接确定中标供应商；</w:t>
      </w:r>
      <w:r>
        <w:rPr>
          <w:color w:val="000000" w:themeColor="text1"/>
        </w:rPr>
      </w:r>
      <w:r/>
    </w:p>
    <w:p>
      <w:pPr>
        <w:pStyle w:val="1256"/>
        <w:ind w:firstLine="440"/>
        <w:jc w:val="left"/>
        <w:spacing w:line="324"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（4）向代理机构或者有关部门报告非法干预评标工作的行为。</w:t>
      </w:r>
      <w:r>
        <w:rPr>
          <w:color w:val="000000" w:themeColor="text1"/>
        </w:rPr>
      </w:r>
      <w:r/>
    </w:p>
    <w:p>
      <w:pPr>
        <w:pStyle w:val="1256"/>
        <w:ind w:firstLine="442"/>
        <w:jc w:val="left"/>
        <w:spacing w:line="324" w:lineRule="auto"/>
        <w:rPr>
          <w:rFonts w:hint="eastAsia"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20.1.2 </w:t>
      </w:r>
      <w:r>
        <w:rPr>
          <w:rFonts w:hint="eastAsia" w:ascii="宋体" w:hAnsi="宋体" w:cs="宋体"/>
          <w:color w:val="000000" w:themeColor="text1"/>
          <w:sz w:val="22"/>
          <w:szCs w:val="22"/>
          <w:highlight w:val="none"/>
          <w:lang w:val="zh-CN"/>
        </w:rPr>
        <w:t xml:space="preserve">评标委员会由招标人代表和有关技术、经济等方面的专家组成，独立开展评审工作。</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2</w:t>
      </w:r>
      <w:r>
        <w:rPr>
          <w:rFonts w:hint="eastAsia" w:ascii="宋体" w:hAnsi="宋体" w:cs="宋体"/>
          <w:b/>
          <w:bCs/>
          <w:color w:val="000000" w:themeColor="text1"/>
          <w:sz w:val="22"/>
          <w:szCs w:val="22"/>
          <w:highlight w:val="none"/>
        </w:rPr>
        <w:t xml:space="preserve">0</w:t>
      </w:r>
      <w:r>
        <w:rPr>
          <w:rFonts w:hint="eastAsia" w:ascii="宋体" w:hAnsi="宋体" w:cs="宋体"/>
          <w:b/>
          <w:bCs/>
          <w:color w:val="000000" w:themeColor="text1"/>
          <w:sz w:val="22"/>
          <w:szCs w:val="22"/>
          <w:highlight w:val="none"/>
          <w:lang w:val="zh-TW" w:eastAsia="zh-TW"/>
        </w:rPr>
        <w:t xml:space="preserve">.2 评标程序</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w:t>
      </w:r>
      <w:r>
        <w:rPr>
          <w:rFonts w:hint="eastAsia" w:ascii="宋体" w:hAnsi="宋体" w:cs="宋体"/>
          <w:color w:val="000000" w:themeColor="text1"/>
          <w:sz w:val="22"/>
          <w:szCs w:val="22"/>
          <w:highlight w:val="none"/>
          <w:lang w:val="zh-TW" w:eastAsia="zh-TW"/>
        </w:rPr>
        <w:t xml:space="preserve">.</w:t>
      </w:r>
      <w:r>
        <w:rPr>
          <w:rFonts w:hint="eastAsia" w:ascii="宋体" w:hAnsi="宋体" w:cs="宋体"/>
          <w:color w:val="000000" w:themeColor="text1"/>
          <w:sz w:val="22"/>
          <w:szCs w:val="22"/>
          <w:highlight w:val="none"/>
        </w:rPr>
        <w:t xml:space="preserve">2</w:t>
      </w:r>
      <w:r>
        <w:rPr>
          <w:rFonts w:hint="eastAsia" w:ascii="宋体" w:hAnsi="宋体" w:cs="宋体"/>
          <w:color w:val="000000" w:themeColor="text1"/>
          <w:sz w:val="22"/>
          <w:szCs w:val="22"/>
          <w:highlight w:val="none"/>
          <w:lang w:val="zh-TW" w:eastAsia="zh-TW"/>
        </w:rPr>
        <w:t xml:space="preserve">.1 资格审查：依据法律法规和招标文件的规定，由</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对投标文件中的资格证明文件进行审查。资格审查的结论，</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以书面形式向</w:t>
      </w:r>
      <w:r>
        <w:rPr>
          <w:rFonts w:hint="eastAsia" w:ascii="宋体" w:hAnsi="宋体" w:cs="宋体"/>
          <w:color w:val="000000" w:themeColor="text1"/>
          <w:sz w:val="22"/>
          <w:szCs w:val="22"/>
          <w:highlight w:val="none"/>
          <w:lang w:val="zh-TW"/>
        </w:rPr>
        <w:t xml:space="preserve">评标委员会</w:t>
      </w:r>
      <w:r>
        <w:rPr>
          <w:rFonts w:hint="eastAsia" w:ascii="宋体" w:hAnsi="宋体" w:cs="宋体"/>
          <w:color w:val="000000" w:themeColor="text1"/>
          <w:sz w:val="22"/>
          <w:szCs w:val="22"/>
          <w:highlight w:val="none"/>
          <w:lang w:val="zh-TW" w:eastAsia="zh-TW"/>
        </w:rPr>
        <w:t xml:space="preserve">进行反馈。</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招标人在进行资格性审查的同时，将在“信用中国”网站（www.creditchina.gov.cn）查询投标人的信用记录，以确定投标人是否具备投标资格,查询结果留存并归档。</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接受联合体的项目，两个以上的自然人、法人或者其他组织组成一个联合体，以一个</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的身份共同参加政府采购活动的,联合体成员中任何一方存在不良信用记录的，视同联合体存在不良应用记录。</w:t>
      </w:r>
      <w:r>
        <w:rPr>
          <w:color w:val="000000" w:themeColor="text1"/>
        </w:rPr>
      </w:r>
      <w:r/>
    </w:p>
    <w:p>
      <w:pPr>
        <w:pStyle w:val="1427"/>
        <w:ind w:firstLine="440"/>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0</w:t>
      </w:r>
      <w:r>
        <w:rPr>
          <w:rFonts w:hint="eastAsia" w:ascii="宋体" w:hAnsi="宋体" w:cs="宋体"/>
          <w:color w:val="000000" w:themeColor="text1"/>
          <w:sz w:val="22"/>
          <w:szCs w:val="22"/>
          <w:highlight w:val="none"/>
          <w:lang w:val="zh-TW" w:eastAsia="zh-TW"/>
        </w:rPr>
        <w:t xml:space="preserve">.</w:t>
      </w:r>
      <w:r>
        <w:rPr>
          <w:rFonts w:hint="eastAsia" w:ascii="宋体" w:hAnsi="宋体" w:cs="宋体"/>
          <w:color w:val="000000" w:themeColor="text1"/>
          <w:sz w:val="22"/>
          <w:szCs w:val="22"/>
          <w:highlight w:val="none"/>
        </w:rPr>
        <w:t xml:space="preserve">2.2</w:t>
      </w:r>
      <w:r>
        <w:rPr>
          <w:rFonts w:hint="eastAsia" w:ascii="宋体" w:hAnsi="宋体" w:cs="宋体"/>
          <w:color w:val="000000" w:themeColor="text1"/>
          <w:sz w:val="22"/>
          <w:szCs w:val="22"/>
          <w:highlight w:val="none"/>
          <w:lang w:val="zh-TW" w:eastAsia="zh-TW"/>
        </w:rPr>
        <w:t xml:space="preserve"> 符合性审查：依据招标文件的规定，由</w:t>
      </w:r>
      <w:r>
        <w:rPr>
          <w:rFonts w:hint="eastAsia" w:ascii="宋体" w:hAnsi="宋体" w:cs="宋体"/>
          <w:color w:val="000000" w:themeColor="text1"/>
          <w:sz w:val="22"/>
          <w:szCs w:val="22"/>
          <w:highlight w:val="none"/>
          <w:lang w:val="zh-TW"/>
        </w:rPr>
        <w:t xml:space="preserve">评标委员会</w:t>
      </w:r>
      <w:r>
        <w:rPr>
          <w:rFonts w:hint="eastAsia" w:ascii="宋体" w:hAnsi="宋体" w:cs="宋体"/>
          <w:color w:val="000000" w:themeColor="text1"/>
          <w:sz w:val="22"/>
          <w:szCs w:val="22"/>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themeColor="text1"/>
          <w:sz w:val="22"/>
          <w:szCs w:val="22"/>
          <w:highlight w:val="none"/>
          <w:lang w:val="zh-TW" w:eastAsia="zh-TW"/>
        </w:rPr>
        <w:t xml:space="preserve">投标文件有下列情况之一的，在符合性检查时按照无效投标处理：</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（1）同一投标人提交两个（含两个）以上不同的投标报价的；</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（2）投标文件未按照招标文件要求加盖电子公章的或者签字；</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（3）报价超过招标文件中规定的预算金额或者最高限价的；</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（4）投标文件含有</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不能接受的附加条件的；</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（5）投标文件内容不全或不符合招标文件中规定的其他实质性要求的；</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6</w:t>
      </w:r>
      <w:r>
        <w:rPr>
          <w:rFonts w:hint="eastAsia" w:ascii="宋体" w:hAnsi="宋体" w:cs="宋体"/>
          <w:color w:val="000000" w:themeColor="text1"/>
          <w:sz w:val="22"/>
          <w:szCs w:val="22"/>
          <w:highlight w:val="none"/>
          <w:lang w:val="zh-CN"/>
        </w:rPr>
        <w:t xml:space="preserve">）投标文件载明的采购项目完成期限超过招标文件规定的期限；</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w:t>
      </w:r>
      <w:r>
        <w:rPr>
          <w:rFonts w:hint="eastAsia" w:ascii="宋体" w:hAnsi="宋体" w:cs="宋体"/>
          <w:color w:val="000000" w:themeColor="text1"/>
          <w:sz w:val="22"/>
          <w:szCs w:val="22"/>
          <w:highlight w:val="none"/>
        </w:rPr>
        <w:t xml:space="preserve">7</w:t>
      </w:r>
      <w:r>
        <w:rPr>
          <w:rFonts w:hint="eastAsia" w:ascii="宋体" w:hAnsi="宋体" w:cs="宋体"/>
          <w:color w:val="000000" w:themeColor="text1"/>
          <w:sz w:val="22"/>
          <w:szCs w:val="22"/>
          <w:highlight w:val="none"/>
          <w:lang w:val="zh-TW" w:eastAsia="zh-TW"/>
        </w:rPr>
        <w:t xml:space="preserve">）现行法律、法规、规章和招标文件规定的其他无效情形。</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0</w:t>
      </w:r>
      <w:r>
        <w:rPr>
          <w:rFonts w:hint="eastAsia" w:ascii="宋体" w:hAnsi="宋体" w:cs="宋体"/>
          <w:color w:val="000000" w:themeColor="text1"/>
          <w:sz w:val="22"/>
          <w:szCs w:val="22"/>
          <w:highlight w:val="none"/>
          <w:lang w:val="zh-TW" w:eastAsia="zh-TW"/>
        </w:rPr>
        <w:t xml:space="preserve">.</w:t>
      </w:r>
      <w:r>
        <w:rPr>
          <w:rFonts w:hint="eastAsia" w:ascii="宋体" w:hAnsi="宋体" w:cs="宋体"/>
          <w:color w:val="000000" w:themeColor="text1"/>
          <w:sz w:val="22"/>
          <w:szCs w:val="22"/>
          <w:highlight w:val="none"/>
        </w:rPr>
        <w:t xml:space="preserve">2.3</w:t>
      </w:r>
      <w:r>
        <w:rPr>
          <w:rFonts w:hint="eastAsia" w:ascii="宋体" w:hAnsi="宋体" w:cs="宋体"/>
          <w:color w:val="000000" w:themeColor="text1"/>
          <w:sz w:val="22"/>
          <w:szCs w:val="22"/>
          <w:highlight w:val="none"/>
          <w:lang w:val="zh-TW" w:eastAsia="zh-TW"/>
        </w:rPr>
        <w:t xml:space="preserve"> 未通过资格审查或符合性审查的投标人，</w:t>
      </w:r>
      <w:r>
        <w:rPr>
          <w:rFonts w:hint="eastAsia" w:ascii="宋体" w:hAnsi="宋体" w:cs="宋体"/>
          <w:color w:val="000000" w:themeColor="text1"/>
          <w:sz w:val="22"/>
          <w:szCs w:val="22"/>
          <w:highlight w:val="none"/>
        </w:rPr>
        <w:t xml:space="preserve">代理机构</w:t>
      </w:r>
      <w:r>
        <w:rPr>
          <w:rFonts w:hint="eastAsia" w:ascii="宋体" w:hAnsi="宋体" w:cs="宋体"/>
          <w:color w:val="000000" w:themeColor="text1"/>
          <w:sz w:val="22"/>
          <w:szCs w:val="22"/>
          <w:highlight w:val="none"/>
          <w:lang w:val="zh-TW" w:eastAsia="zh-TW"/>
        </w:rPr>
        <w:t xml:space="preserve">将在苏采云系统中告知未通过资格审查或符合性审查的原因，</w:t>
      </w:r>
      <w:r>
        <w:rPr>
          <w:rFonts w:hint="eastAsia" w:ascii="宋体" w:hAnsi="宋体" w:cs="宋体"/>
          <w:color w:val="000000" w:themeColor="text1"/>
          <w:sz w:val="22"/>
          <w:szCs w:val="22"/>
          <w:highlight w:val="none"/>
          <w:lang w:val="zh-TW"/>
        </w:rPr>
        <w:t xml:space="preserve">评标</w:t>
      </w:r>
      <w:r>
        <w:rPr>
          <w:rFonts w:hint="eastAsia" w:ascii="宋体" w:hAnsi="宋体" w:cs="宋体"/>
          <w:color w:val="000000" w:themeColor="text1"/>
          <w:sz w:val="22"/>
          <w:szCs w:val="22"/>
          <w:highlight w:val="none"/>
          <w:lang w:val="zh-TW" w:eastAsia="zh-TW"/>
        </w:rPr>
        <w:t xml:space="preserve">结束后，</w:t>
      </w:r>
      <w:r>
        <w:rPr>
          <w:rFonts w:hint="eastAsia" w:ascii="宋体" w:hAnsi="宋体" w:cs="宋体"/>
          <w:color w:val="000000" w:themeColor="text1"/>
          <w:sz w:val="22"/>
          <w:szCs w:val="22"/>
          <w:highlight w:val="none"/>
        </w:rPr>
        <w:t xml:space="preserve">招标代理</w:t>
      </w:r>
      <w:r>
        <w:rPr>
          <w:rFonts w:hint="eastAsia" w:ascii="宋体" w:hAnsi="宋体" w:cs="宋体"/>
          <w:color w:val="000000" w:themeColor="text1"/>
          <w:sz w:val="22"/>
          <w:szCs w:val="22"/>
          <w:highlight w:val="none"/>
          <w:lang w:val="zh-TW" w:eastAsia="zh-TW"/>
        </w:rPr>
        <w:t xml:space="preserve">将不再告知未通过资格审查或符合性审查的原因。</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0</w:t>
      </w: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zh-TW" w:eastAsia="zh-TW"/>
        </w:rPr>
        <w:t xml:space="preserve">在详细评标之前，</w:t>
      </w:r>
      <w:r>
        <w:rPr>
          <w:rFonts w:hint="eastAsia" w:ascii="宋体" w:hAnsi="宋体" w:cs="宋体"/>
          <w:color w:val="000000" w:themeColor="text1"/>
          <w:sz w:val="22"/>
          <w:szCs w:val="22"/>
          <w:highlight w:val="none"/>
          <w:lang w:val="zh-TW"/>
        </w:rPr>
        <w:t xml:space="preserve">评标委员会</w:t>
      </w:r>
      <w:r>
        <w:rPr>
          <w:rFonts w:hint="eastAsia" w:ascii="宋体" w:hAnsi="宋体" w:cs="宋体"/>
          <w:color w:val="000000" w:themeColor="text1"/>
          <w:sz w:val="22"/>
          <w:szCs w:val="22"/>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000000" w:themeColor="text1"/>
          <w:sz w:val="22"/>
          <w:szCs w:val="22"/>
          <w:highlight w:val="none"/>
          <w:lang w:val="zh-TW"/>
        </w:rPr>
        <w:t xml:space="preserve">评标委员会</w:t>
      </w:r>
      <w:r>
        <w:rPr>
          <w:rFonts w:hint="eastAsia" w:ascii="宋体" w:hAnsi="宋体" w:cs="宋体"/>
          <w:color w:val="000000" w:themeColor="text1"/>
          <w:sz w:val="22"/>
          <w:szCs w:val="22"/>
          <w:highlight w:val="none"/>
          <w:lang w:val="zh-TW" w:eastAsia="zh-TW"/>
        </w:rPr>
        <w:t xml:space="preserve">以少数服从多数的原则作出结论。评委决定投标文件的响应性只根据投标文件本身的内容，而不寻求外部的证据。</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20.2.5</w:t>
      </w:r>
      <w:r>
        <w:rPr>
          <w:rFonts w:hint="eastAsia" w:ascii="宋体" w:hAnsi="宋体" w:cs="宋体"/>
          <w:color w:val="000000" w:themeColor="text1"/>
          <w:sz w:val="22"/>
          <w:szCs w:val="22"/>
          <w:highlight w:val="none"/>
          <w:lang w:val="zh-TW" w:eastAsia="zh-TW"/>
        </w:rPr>
        <w:t xml:space="preserve">如果投标文件实质上没有响应招标文件的要求，</w:t>
      </w:r>
      <w:r>
        <w:rPr>
          <w:rFonts w:hint="eastAsia" w:ascii="宋体" w:hAnsi="宋体" w:cs="宋体"/>
          <w:color w:val="000000" w:themeColor="text1"/>
          <w:sz w:val="22"/>
          <w:szCs w:val="22"/>
          <w:highlight w:val="none"/>
          <w:lang w:val="zh-TW"/>
        </w:rPr>
        <w:t xml:space="preserve">评标委员会</w:t>
      </w:r>
      <w:r>
        <w:rPr>
          <w:rFonts w:hint="eastAsia" w:ascii="宋体" w:hAnsi="宋体" w:cs="宋体"/>
          <w:color w:val="000000" w:themeColor="text1"/>
          <w:sz w:val="22"/>
          <w:szCs w:val="22"/>
          <w:highlight w:val="none"/>
          <w:lang w:val="zh-TW" w:eastAsia="zh-TW"/>
        </w:rPr>
        <w:t xml:space="preserve">将予以拒绝，投标人不得通过修改或撤销不合要求的偏离或保留而使其投标成为实质性响应的投标。</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20.2.6</w:t>
      </w:r>
      <w:r>
        <w:rPr>
          <w:rFonts w:hint="eastAsia" w:ascii="宋体" w:hAnsi="宋体" w:cs="宋体"/>
          <w:b/>
          <w:bCs/>
          <w:color w:val="000000" w:themeColor="text1"/>
          <w:sz w:val="22"/>
          <w:szCs w:val="22"/>
          <w:highlight w:val="none"/>
          <w:lang w:val="zh-TW"/>
        </w:rPr>
        <w:t xml:space="preserve">评标委员会</w:t>
      </w:r>
      <w:r>
        <w:rPr>
          <w:rFonts w:hint="eastAsia" w:ascii="宋体" w:hAnsi="宋体" w:cs="宋体"/>
          <w:b/>
          <w:bCs/>
          <w:color w:val="000000" w:themeColor="text1"/>
          <w:sz w:val="22"/>
          <w:szCs w:val="22"/>
          <w:highlight w:val="none"/>
          <w:lang w:val="zh-TW" w:eastAsia="zh-TW"/>
        </w:rPr>
        <w:t xml:space="preserve">将对确定为实质性响应的投标进行进一步审核，看其是否有计算上或累加上的算术错误，修正错误的原则如下：</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（1）投标文件中开标一览表内容与投标文件中相应内容不一致的，以开标一览表为准。</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（2）大写金额和小写金额不一致的，以大写金额为准。</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（3）单价金额小数点或者百分比有明显错位的，以开标一览表的总价为准，并修改单价。</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（4）总价金额与按单价汇总金额不一致的，以单价金额计算结果为准。</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同时出现两种以上错误的，按照前款规定的顺序修正。</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20.2.7</w:t>
      </w:r>
      <w:r>
        <w:rPr>
          <w:rFonts w:hint="eastAsia" w:ascii="宋体" w:hAnsi="宋体" w:cs="宋体"/>
          <w:color w:val="000000" w:themeColor="text1"/>
          <w:sz w:val="22"/>
          <w:szCs w:val="22"/>
          <w:highlight w:val="none"/>
          <w:lang w:val="zh-TW"/>
        </w:rPr>
        <w:t xml:space="preserve">评标委员会</w:t>
      </w:r>
      <w:r>
        <w:rPr>
          <w:rFonts w:hint="eastAsia" w:ascii="宋体" w:hAnsi="宋体" w:cs="宋体"/>
          <w:color w:val="000000" w:themeColor="text1"/>
          <w:sz w:val="22"/>
          <w:szCs w:val="22"/>
          <w:highlight w:val="none"/>
          <w:lang w:val="zh-TW" w:eastAsia="zh-TW"/>
        </w:rPr>
        <w:t xml:space="preserve">将按上述修正错误的方法调整投标文件中的投标报价，并通过苏采云系统告知投标人，调整后的价格应对投标人具有约束力。如果投标人不接受修正后的价格，则其投标将被拒绝。</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20.2.8</w:t>
      </w:r>
      <w:r>
        <w:rPr>
          <w:rFonts w:hint="eastAsia" w:ascii="宋体" w:hAnsi="宋体" w:cs="宋体"/>
          <w:b/>
          <w:bCs/>
          <w:color w:val="000000" w:themeColor="text1"/>
          <w:sz w:val="22"/>
          <w:szCs w:val="22"/>
          <w:highlight w:val="none"/>
          <w:lang w:val="zh-TW" w:eastAsia="zh-TW"/>
        </w:rPr>
        <w:t xml:space="preserve">澄清有关问题</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20.2.8.1</w:t>
      </w:r>
      <w:r>
        <w:rPr>
          <w:rFonts w:hint="eastAsia" w:ascii="宋体" w:hAnsi="宋体" w:cs="宋体"/>
          <w:color w:val="000000" w:themeColor="text1"/>
          <w:sz w:val="22"/>
          <w:szCs w:val="22"/>
          <w:highlight w:val="none"/>
          <w:lang w:val="zh-TW" w:eastAsia="zh-TW"/>
        </w:rPr>
        <w:t xml:space="preserve"> 评标期间，评委会对投标文件中含义不明确、同类问题表述不一致或者有明显文字和计算错误的内容，有权要求投标人作出必要的澄清、说明或者补正。</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投标人的澄清、说明或者补正不得超出投标文件的范围或者改变投标文件的实质性内容。</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评委会并非对每个投标人都做澄清要求。</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20.2.8.2</w:t>
      </w:r>
      <w:r>
        <w:rPr>
          <w:rFonts w:hint="eastAsia" w:ascii="宋体" w:hAnsi="宋体" w:cs="宋体"/>
          <w:color w:val="000000" w:themeColor="text1"/>
          <w:sz w:val="22"/>
          <w:szCs w:val="22"/>
          <w:highlight w:val="none"/>
          <w:lang w:val="zh-TW" w:eastAsia="zh-TW"/>
        </w:rPr>
        <w:t xml:space="preserve"> 需要</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20.2.8.3</w:t>
      </w:r>
      <w:r>
        <w:rPr>
          <w:rFonts w:hint="eastAsia" w:ascii="宋体" w:hAnsi="宋体" w:cs="宋体"/>
          <w:color w:val="000000" w:themeColor="text1"/>
          <w:sz w:val="22"/>
          <w:szCs w:val="22"/>
          <w:highlight w:val="none"/>
          <w:lang w:val="zh-TW" w:eastAsia="zh-TW"/>
        </w:rPr>
        <w:t xml:space="preserve">接到评委会澄清、说明和补正要求的，投标人如未按规定作出澄清、说明和补正，其风险由投标人自行承担。</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20.2.9</w:t>
      </w:r>
      <w:r>
        <w:rPr>
          <w:rFonts w:hint="eastAsia" w:ascii="宋体" w:hAnsi="宋体" w:cs="宋体"/>
          <w:b/>
          <w:bCs/>
          <w:color w:val="000000" w:themeColor="text1"/>
          <w:sz w:val="22"/>
          <w:szCs w:val="22"/>
          <w:highlight w:val="none"/>
          <w:lang w:val="zh-TW" w:eastAsia="zh-TW"/>
        </w:rPr>
        <w:t xml:space="preserve">投标人在开、评标全过程中应保持通讯畅通，及时登录苏采云系统查阅、答复相关信息，并安排专人与</w:t>
      </w:r>
      <w:r>
        <w:rPr>
          <w:rFonts w:hint="eastAsia" w:ascii="宋体" w:hAnsi="宋体" w:cs="宋体"/>
          <w:b/>
          <w:bCs/>
          <w:color w:val="000000" w:themeColor="text1"/>
          <w:sz w:val="22"/>
          <w:szCs w:val="22"/>
          <w:highlight w:val="none"/>
        </w:rPr>
        <w:t xml:space="preserve">代理机构</w:t>
      </w:r>
      <w:r>
        <w:rPr>
          <w:rFonts w:hint="eastAsia" w:ascii="宋体" w:hAnsi="宋体" w:cs="宋体"/>
          <w:b/>
          <w:bCs/>
          <w:color w:val="000000" w:themeColor="text1"/>
          <w:sz w:val="22"/>
          <w:szCs w:val="22"/>
          <w:highlight w:val="none"/>
          <w:lang w:val="zh-TW" w:eastAsia="zh-TW"/>
        </w:rPr>
        <w:t xml:space="preserve">及评标委员会联系。</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20.2.10</w:t>
      </w:r>
      <w:r>
        <w:rPr>
          <w:rFonts w:hint="eastAsia" w:ascii="宋体" w:hAnsi="宋体" w:cs="宋体"/>
          <w:b/>
          <w:bCs/>
          <w:color w:val="000000" w:themeColor="text1"/>
          <w:sz w:val="22"/>
          <w:szCs w:val="22"/>
          <w:highlight w:val="none"/>
          <w:lang w:val="zh-TW" w:eastAsia="zh-TW"/>
        </w:rPr>
        <w:t xml:space="preserve"> 异常低价投标审查</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评标过程中出现下列情形之一的，评标委员会应当启动异常低价投标审查程序：</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（1）投标报价低于全部通过符合性审查</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投标报价平均值</w:t>
      </w:r>
      <w:r>
        <w:rPr>
          <w:rFonts w:hint="eastAsia" w:ascii="宋体" w:hAnsi="宋体" w:cs="宋体"/>
          <w:color w:val="000000" w:themeColor="text1"/>
          <w:sz w:val="22"/>
          <w:szCs w:val="22"/>
          <w:highlight w:val="none"/>
        </w:rPr>
        <w:t xml:space="preserve">50</w:t>
      </w:r>
      <w:r>
        <w:rPr>
          <w:rFonts w:hint="eastAsia" w:ascii="宋体" w:hAnsi="宋体" w:cs="宋体"/>
          <w:color w:val="000000" w:themeColor="text1"/>
          <w:sz w:val="22"/>
          <w:szCs w:val="22"/>
          <w:highlight w:val="none"/>
          <w:lang w:val="zh-TW" w:eastAsia="zh-TW"/>
        </w:rPr>
        <w:t xml:space="preserve">%的，即投标报价&lt;全部通过符合性审查</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投标报价平均值</w:t>
      </w:r>
      <w:r>
        <w:rPr>
          <w:rFonts w:hint="eastAsia" w:ascii="宋体" w:hAnsi="宋体" w:cs="宋体"/>
          <w:color w:val="000000" w:themeColor="text1"/>
          <w:sz w:val="22"/>
          <w:szCs w:val="22"/>
          <w:highlight w:val="none"/>
        </w:rPr>
        <w:t xml:space="preserve">50</w:t>
      </w:r>
      <w:r>
        <w:rPr>
          <w:rFonts w:hint="eastAsia" w:ascii="宋体" w:hAnsi="宋体" w:cs="宋体"/>
          <w:color w:val="000000" w:themeColor="text1"/>
          <w:sz w:val="22"/>
          <w:szCs w:val="22"/>
          <w:highlight w:val="none"/>
          <w:lang w:val="zh-TW" w:eastAsia="zh-TW"/>
        </w:rPr>
        <w:t xml:space="preserve">%；</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（2）投标报价低于通过符合性审查的次低报价</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投标报价</w:t>
      </w:r>
      <w:r>
        <w:rPr>
          <w:rFonts w:hint="eastAsia" w:ascii="宋体" w:hAnsi="宋体" w:cs="宋体"/>
          <w:color w:val="000000" w:themeColor="text1"/>
          <w:sz w:val="22"/>
          <w:szCs w:val="22"/>
          <w:highlight w:val="none"/>
        </w:rPr>
        <w:t xml:space="preserve">50</w:t>
      </w:r>
      <w:r>
        <w:rPr>
          <w:rFonts w:hint="eastAsia" w:ascii="宋体" w:hAnsi="宋体" w:cs="宋体"/>
          <w:color w:val="000000" w:themeColor="text1"/>
          <w:sz w:val="22"/>
          <w:szCs w:val="22"/>
          <w:highlight w:val="none"/>
          <w:lang w:val="zh-TW" w:eastAsia="zh-TW"/>
        </w:rPr>
        <w:t xml:space="preserve">%的，即投标报价&lt;通过符合性审查的次低报价</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投标报价</w:t>
      </w:r>
      <w:r>
        <w:rPr>
          <w:rFonts w:hint="eastAsia" w:ascii="宋体" w:hAnsi="宋体" w:cs="宋体"/>
          <w:color w:val="000000" w:themeColor="text1"/>
          <w:sz w:val="22"/>
          <w:szCs w:val="22"/>
          <w:highlight w:val="none"/>
        </w:rPr>
        <w:t xml:space="preserve">50</w:t>
      </w:r>
      <w:r>
        <w:rPr>
          <w:rFonts w:hint="eastAsia" w:ascii="宋体" w:hAnsi="宋体" w:cs="宋体"/>
          <w:color w:val="000000" w:themeColor="text1"/>
          <w:sz w:val="22"/>
          <w:szCs w:val="22"/>
          <w:highlight w:val="none"/>
          <w:lang w:val="zh-TW" w:eastAsia="zh-TW"/>
        </w:rPr>
        <w:t xml:space="preserve">%；</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sz w:val="22"/>
          <w:szCs w:val="22"/>
          <w:highlight w:val="none"/>
          <w:lang w:val="zh-TW"/>
        </w:rPr>
        <w:t xml:space="preserve">）投标报价低于采购项目最高限价</w:t>
      </w:r>
      <w:r>
        <w:rPr>
          <w:rFonts w:hint="eastAsia" w:ascii="宋体" w:hAnsi="宋体" w:cs="宋体"/>
          <w:color w:val="000000" w:themeColor="text1"/>
          <w:sz w:val="22"/>
          <w:szCs w:val="22"/>
          <w:highlight w:val="none"/>
        </w:rPr>
        <w:t xml:space="preserve">45</w:t>
      </w:r>
      <w:r>
        <w:rPr>
          <w:rFonts w:hint="eastAsia" w:ascii="宋体" w:hAnsi="宋体" w:cs="宋体"/>
          <w:color w:val="000000" w:themeColor="text1"/>
          <w:sz w:val="22"/>
          <w:szCs w:val="22"/>
          <w:highlight w:val="none"/>
          <w:lang w:val="zh-TW"/>
        </w:rPr>
        <w:t xml:space="preserve">%的，即投标报价&lt;采购项目最高限价</w:t>
      </w:r>
      <w:r>
        <w:rPr>
          <w:rFonts w:hint="eastAsia" w:ascii="宋体" w:hAnsi="宋体" w:cs="宋体"/>
          <w:color w:val="000000" w:themeColor="text1"/>
          <w:sz w:val="22"/>
          <w:szCs w:val="22"/>
          <w:highlight w:val="none"/>
        </w:rPr>
        <w:t xml:space="preserve">45</w:t>
      </w:r>
      <w:r>
        <w:rPr>
          <w:rFonts w:hint="eastAsia" w:ascii="宋体" w:hAnsi="宋体" w:cs="宋体"/>
          <w:color w:val="000000" w:themeColor="text1"/>
          <w:sz w:val="22"/>
          <w:szCs w:val="22"/>
          <w:highlight w:val="none"/>
          <w:lang w:val="zh-TW"/>
        </w:rPr>
        <w:t xml:space="preserve">%；</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w:t>
      </w:r>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zh-TW" w:eastAsia="zh-TW"/>
        </w:rPr>
        <w:t xml:space="preserve">）</w:t>
      </w:r>
      <w:r>
        <w:rPr>
          <w:rFonts w:hint="eastAsia" w:ascii="宋体" w:hAnsi="宋体" w:cs="宋体"/>
          <w:color w:val="000000" w:themeColor="text1"/>
          <w:sz w:val="22"/>
          <w:szCs w:val="22"/>
          <w:highlight w:val="none"/>
          <w:lang w:val="zh-TW"/>
        </w:rPr>
        <w:t xml:space="preserve">评标</w:t>
      </w:r>
      <w:r>
        <w:rPr>
          <w:rFonts w:hint="eastAsia" w:ascii="宋体" w:hAnsi="宋体" w:cs="宋体"/>
          <w:color w:val="000000" w:themeColor="text1"/>
          <w:sz w:val="22"/>
          <w:szCs w:val="22"/>
          <w:highlight w:val="none"/>
          <w:lang w:val="zh-TW" w:eastAsia="zh-TW"/>
        </w:rPr>
        <w:t xml:space="preserve">委员会基于专业判断，认为</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报价过低，有可能影响产品质量或者不能诚信履约的其他情形。</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 异常低价响应审查的启动原因、审查意见和审查结果应当在</w:t>
      </w:r>
      <w:r>
        <w:rPr>
          <w:rFonts w:hint="eastAsia" w:ascii="宋体" w:hAnsi="宋体" w:cs="宋体"/>
          <w:color w:val="000000" w:themeColor="text1"/>
          <w:sz w:val="22"/>
          <w:szCs w:val="22"/>
          <w:highlight w:val="none"/>
          <w:lang w:val="zh-TW"/>
        </w:rPr>
        <w:t xml:space="preserve">评标</w:t>
      </w:r>
      <w:r>
        <w:rPr>
          <w:rFonts w:hint="eastAsia" w:ascii="宋体" w:hAnsi="宋体" w:cs="宋体"/>
          <w:color w:val="000000" w:themeColor="text1"/>
          <w:sz w:val="22"/>
          <w:szCs w:val="22"/>
          <w:highlight w:val="none"/>
          <w:lang w:val="zh-TW" w:eastAsia="zh-TW"/>
        </w:rPr>
        <w:t xml:space="preserve">报告中记录，并随</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提供的相关书面说明及证明材料，以及评标委员会有关互联网浏览、查询历史一并归档。</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20.2.11</w:t>
      </w:r>
      <w:r>
        <w:rPr>
          <w:rFonts w:hint="eastAsia" w:ascii="宋体" w:hAnsi="宋体" w:cs="宋体"/>
          <w:color w:val="000000" w:themeColor="text1"/>
          <w:sz w:val="22"/>
          <w:szCs w:val="22"/>
          <w:highlight w:val="none"/>
          <w:lang w:val="zh-TW" w:eastAsia="zh-TW"/>
        </w:rPr>
        <w:t xml:space="preserve">比较与评价。评标委员会应当按照招标文件中规定的评标方法和标准，对符合性审查合格的投标文件进行商务和技术评估，综合比较与评价。</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20.2.12</w:t>
      </w:r>
      <w:r>
        <w:rPr>
          <w:rFonts w:hint="eastAsia" w:ascii="宋体" w:hAnsi="宋体" w:cs="宋体"/>
          <w:b/>
          <w:bCs/>
          <w:color w:val="000000" w:themeColor="text1"/>
          <w:sz w:val="22"/>
          <w:szCs w:val="22"/>
          <w:highlight w:val="none"/>
          <w:lang w:val="zh-TW" w:eastAsia="zh-TW"/>
        </w:rPr>
        <w:t xml:space="preserve">相同品牌产品的投标</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非单一产品采购项目，确定核心产品的方法在招标文件技术需求中载明。多家投标人提供的核心产品品牌相同的，按前两款规定处理。</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20.2.13</w:t>
      </w:r>
      <w:r>
        <w:rPr>
          <w:rFonts w:hint="eastAsia" w:ascii="宋体" w:hAnsi="宋体" w:cs="宋体"/>
          <w:b/>
          <w:bCs/>
          <w:color w:val="000000" w:themeColor="text1"/>
          <w:sz w:val="22"/>
          <w:szCs w:val="22"/>
          <w:highlight w:val="none"/>
          <w:lang w:val="zh-TW" w:eastAsia="zh-TW"/>
        </w:rPr>
        <w:t xml:space="preserve">有下列情形之一的予以废标：</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（1）符合专业条件的投标人或者对招标文件作实质性响应的投标人不足三家的；</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（2）出现影响采购公正的违法、违规行为的；</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（3）投标人的报价均超过了采购预算，</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不能支付的；</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（4）因苏采云系统故障造成开标不成功的；</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（5）因重大变故，采购任务取消的。</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（6）投标人以明显低于其他通过符合性审查投标人的报价，有可能影响产品质量或者不能诚信履约的，且不能证明其报价合理性的。</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2</w:t>
      </w:r>
      <w:r>
        <w:rPr>
          <w:rFonts w:hint="eastAsia" w:ascii="宋体" w:hAnsi="宋体" w:cs="宋体"/>
          <w:b/>
          <w:bCs/>
          <w:color w:val="000000" w:themeColor="text1"/>
          <w:sz w:val="22"/>
          <w:szCs w:val="22"/>
          <w:highlight w:val="none"/>
        </w:rPr>
        <w:t xml:space="preserve">0</w:t>
      </w:r>
      <w:r>
        <w:rPr>
          <w:rFonts w:hint="eastAsia" w:ascii="宋体" w:hAnsi="宋体" w:cs="宋体"/>
          <w:b/>
          <w:bCs/>
          <w:color w:val="000000" w:themeColor="text1"/>
          <w:sz w:val="22"/>
          <w:szCs w:val="22"/>
          <w:highlight w:val="none"/>
          <w:lang w:val="zh-TW" w:eastAsia="zh-TW"/>
        </w:rPr>
        <w:t xml:space="preserve">.3 评标方法和标准</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0</w:t>
      </w:r>
      <w:r>
        <w:rPr>
          <w:rFonts w:hint="eastAsia" w:ascii="宋体" w:hAnsi="宋体" w:cs="宋体"/>
          <w:color w:val="000000" w:themeColor="text1"/>
          <w:sz w:val="22"/>
          <w:szCs w:val="22"/>
          <w:highlight w:val="none"/>
          <w:lang w:val="zh-TW" w:eastAsia="zh-TW"/>
        </w:rPr>
        <w:t xml:space="preserve">.3 采用综合评分法的，评标结果按</w:t>
      </w:r>
      <w:r>
        <w:rPr>
          <w:rFonts w:hint="eastAsia" w:ascii="宋体" w:hAnsi="宋体" w:cs="宋体"/>
          <w:color w:val="000000" w:themeColor="text1"/>
          <w:sz w:val="22"/>
          <w:szCs w:val="22"/>
          <w:highlight w:val="none"/>
          <w:lang w:val="zh-TW"/>
        </w:rPr>
        <w:t xml:space="preserve">评标</w:t>
      </w:r>
      <w:r>
        <w:rPr>
          <w:rFonts w:hint="eastAsia" w:ascii="宋体" w:hAnsi="宋体" w:cs="宋体"/>
          <w:color w:val="000000" w:themeColor="text1"/>
          <w:sz w:val="22"/>
          <w:szCs w:val="22"/>
          <w:highlight w:val="none"/>
          <w:lang w:val="zh-TW" w:eastAsia="zh-TW"/>
        </w:rPr>
        <w:t xml:space="preserve">后最终得分由高到低进行排名，得分相同的，按投标报价由低到高顺序排列。得分且投标报价相同的，按技术部分方案优劣顺序排列。</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2</w:t>
      </w:r>
      <w:r>
        <w:rPr>
          <w:rFonts w:hint="eastAsia" w:ascii="宋体" w:hAnsi="宋体" w:cs="宋体"/>
          <w:b/>
          <w:bCs/>
          <w:color w:val="000000" w:themeColor="text1"/>
          <w:sz w:val="22"/>
          <w:szCs w:val="22"/>
          <w:highlight w:val="none"/>
        </w:rPr>
        <w:t xml:space="preserve">1</w:t>
      </w:r>
      <w:r>
        <w:rPr>
          <w:rFonts w:hint="eastAsia" w:ascii="宋体" w:hAnsi="宋体" w:cs="宋体"/>
          <w:b/>
          <w:bCs/>
          <w:color w:val="000000" w:themeColor="text1"/>
          <w:sz w:val="22"/>
          <w:szCs w:val="22"/>
          <w:highlight w:val="none"/>
          <w:lang w:val="zh-TW" w:eastAsia="zh-TW"/>
        </w:rPr>
        <w:t xml:space="preserve">、确定中标人</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1</w:t>
      </w:r>
      <w:r>
        <w:rPr>
          <w:rFonts w:hint="eastAsia" w:ascii="宋体" w:hAnsi="宋体" w:cs="宋体"/>
          <w:color w:val="000000" w:themeColor="text1"/>
          <w:sz w:val="22"/>
          <w:szCs w:val="22"/>
          <w:highlight w:val="none"/>
          <w:lang w:val="zh-TW" w:eastAsia="zh-TW"/>
        </w:rPr>
        <w:t xml:space="preserve">.1 </w:t>
      </w:r>
      <w:r>
        <w:rPr>
          <w:rFonts w:hint="eastAsia" w:ascii="宋体" w:hAnsi="宋体" w:cs="宋体"/>
          <w:color w:val="000000" w:themeColor="text1"/>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1</w:t>
      </w:r>
      <w:r>
        <w:rPr>
          <w:rFonts w:hint="eastAsia" w:ascii="宋体" w:hAnsi="宋体" w:cs="宋体"/>
          <w:color w:val="000000" w:themeColor="text1"/>
          <w:sz w:val="22"/>
          <w:szCs w:val="22"/>
          <w:highlight w:val="none"/>
          <w:lang w:val="zh-TW" w:eastAsia="zh-TW"/>
        </w:rPr>
        <w:t xml:space="preserve">.2 按以下第（</w:t>
      </w:r>
      <w:r>
        <w:rPr>
          <w:rFonts w:hint="eastAsia" w:ascii="宋体" w:hAnsi="宋体" w:cs="宋体"/>
          <w:color w:val="000000" w:themeColor="text1"/>
          <w:sz w:val="22"/>
          <w:szCs w:val="22"/>
          <w:highlight w:val="none"/>
          <w:lang w:val="zh-TW"/>
        </w:rPr>
        <w:t xml:space="preserve">2</w:t>
      </w:r>
      <w:r>
        <w:rPr>
          <w:rFonts w:hint="eastAsia" w:ascii="宋体" w:hAnsi="宋体" w:cs="宋体"/>
          <w:color w:val="000000" w:themeColor="text1"/>
          <w:sz w:val="22"/>
          <w:szCs w:val="22"/>
          <w:highlight w:val="none"/>
          <w:lang w:val="zh-TW" w:eastAsia="zh-TW"/>
        </w:rPr>
        <w:t xml:space="preserve">）种方式确定中标人：</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（1）评委会直接确定排名第一的中标候选人为中标人；</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在评委会推荐的中标候选人中按顺序确定中标人。</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按第二种方式确定中标人的，招标代理机构自</w:t>
      </w:r>
      <w:r>
        <w:rPr>
          <w:rFonts w:hint="eastAsia" w:ascii="宋体" w:hAnsi="宋体" w:cs="宋体"/>
          <w:color w:val="000000" w:themeColor="text1"/>
          <w:sz w:val="22"/>
          <w:szCs w:val="22"/>
          <w:highlight w:val="none"/>
          <w:lang w:val="zh-TW"/>
        </w:rPr>
        <w:t xml:space="preserve">评标</w:t>
      </w:r>
      <w:r>
        <w:rPr>
          <w:rFonts w:hint="eastAsia" w:ascii="宋体" w:hAnsi="宋体" w:cs="宋体"/>
          <w:color w:val="000000" w:themeColor="text1"/>
          <w:sz w:val="22"/>
          <w:szCs w:val="22"/>
          <w:highlight w:val="none"/>
          <w:lang w:val="zh-TW" w:eastAsia="zh-TW"/>
        </w:rPr>
        <w:t xml:space="preserve">结束之日起两个工作日内将</w:t>
      </w:r>
      <w:r>
        <w:rPr>
          <w:rFonts w:hint="eastAsia" w:ascii="宋体" w:hAnsi="宋体" w:cs="宋体"/>
          <w:color w:val="000000" w:themeColor="text1"/>
          <w:sz w:val="22"/>
          <w:szCs w:val="22"/>
          <w:highlight w:val="none"/>
          <w:lang w:val="zh-TW"/>
        </w:rPr>
        <w:t xml:space="preserve">评标</w:t>
      </w:r>
      <w:r>
        <w:rPr>
          <w:rFonts w:hint="eastAsia" w:ascii="宋体" w:hAnsi="宋体" w:cs="宋体"/>
          <w:color w:val="000000" w:themeColor="text1"/>
          <w:sz w:val="22"/>
          <w:szCs w:val="22"/>
          <w:highlight w:val="none"/>
          <w:lang w:val="zh-TW" w:eastAsia="zh-TW"/>
        </w:rPr>
        <w:t xml:space="preserve">报告送达</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自收到</w:t>
      </w:r>
      <w:r>
        <w:rPr>
          <w:rFonts w:hint="eastAsia" w:ascii="宋体" w:hAnsi="宋体" w:cs="宋体"/>
          <w:color w:val="000000" w:themeColor="text1"/>
          <w:sz w:val="22"/>
          <w:szCs w:val="22"/>
          <w:highlight w:val="none"/>
          <w:lang w:val="zh-TW"/>
        </w:rPr>
        <w:t xml:space="preserve">评标</w:t>
      </w:r>
      <w:r>
        <w:rPr>
          <w:rFonts w:hint="eastAsia" w:ascii="宋体" w:hAnsi="宋体" w:cs="宋体"/>
          <w:color w:val="000000" w:themeColor="text1"/>
          <w:sz w:val="22"/>
          <w:szCs w:val="22"/>
          <w:highlight w:val="none"/>
          <w:lang w:val="zh-TW" w:eastAsia="zh-TW"/>
        </w:rPr>
        <w:t xml:space="preserve">报告之日起五个工作日内，在</w:t>
      </w:r>
      <w:r>
        <w:rPr>
          <w:rFonts w:hint="eastAsia" w:ascii="宋体" w:hAnsi="宋体" w:cs="宋体"/>
          <w:color w:val="000000" w:themeColor="text1"/>
          <w:sz w:val="22"/>
          <w:szCs w:val="22"/>
          <w:highlight w:val="none"/>
          <w:lang w:val="zh-TW"/>
        </w:rPr>
        <w:t xml:space="preserve">评标</w:t>
      </w:r>
      <w:r>
        <w:rPr>
          <w:rFonts w:hint="eastAsia" w:ascii="宋体" w:hAnsi="宋体" w:cs="宋体"/>
          <w:color w:val="000000" w:themeColor="text1"/>
          <w:sz w:val="22"/>
          <w:szCs w:val="22"/>
          <w:highlight w:val="none"/>
          <w:lang w:val="zh-TW" w:eastAsia="zh-TW"/>
        </w:rPr>
        <w:t xml:space="preserve">报告推荐的中标候选人中按顺序确定中标人。</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1</w:t>
      </w:r>
      <w:r>
        <w:rPr>
          <w:rFonts w:hint="eastAsia" w:ascii="宋体" w:hAnsi="宋体" w:cs="宋体"/>
          <w:color w:val="000000" w:themeColor="text1"/>
          <w:sz w:val="22"/>
          <w:szCs w:val="22"/>
          <w:highlight w:val="none"/>
          <w:lang w:val="zh-TW" w:eastAsia="zh-TW"/>
        </w:rPr>
        <w:t xml:space="preserve">.3 中标人确定后，将在“江苏政府采购网”发布中标公告，公告期限为1个工作日。</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2</w:t>
      </w:r>
      <w:r>
        <w:rPr>
          <w:rFonts w:hint="eastAsia" w:ascii="宋体" w:hAnsi="宋体" w:cs="宋体"/>
          <w:b/>
          <w:bCs/>
          <w:color w:val="000000" w:themeColor="text1"/>
          <w:sz w:val="22"/>
          <w:szCs w:val="22"/>
          <w:highlight w:val="none"/>
        </w:rPr>
        <w:t xml:space="preserve">2</w:t>
      </w:r>
      <w:r>
        <w:rPr>
          <w:rFonts w:hint="eastAsia" w:ascii="宋体" w:hAnsi="宋体" w:cs="宋体"/>
          <w:b/>
          <w:bCs/>
          <w:color w:val="000000" w:themeColor="text1"/>
          <w:sz w:val="22"/>
          <w:szCs w:val="22"/>
          <w:highlight w:val="none"/>
          <w:lang w:val="zh-TW" w:eastAsia="zh-TW"/>
        </w:rPr>
        <w:t xml:space="preserve">、中标通知书</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2</w:t>
      </w:r>
      <w:r>
        <w:rPr>
          <w:rFonts w:hint="eastAsia" w:ascii="宋体" w:hAnsi="宋体" w:cs="宋体"/>
          <w:color w:val="000000" w:themeColor="text1"/>
          <w:sz w:val="22"/>
          <w:szCs w:val="22"/>
          <w:highlight w:val="none"/>
          <w:lang w:val="zh-TW" w:eastAsia="zh-TW"/>
        </w:rPr>
        <w:t xml:space="preserve">.1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2</w:t>
      </w:r>
      <w:r>
        <w:rPr>
          <w:rFonts w:hint="eastAsia" w:ascii="宋体" w:hAnsi="宋体" w:cs="宋体"/>
          <w:color w:val="000000" w:themeColor="text1"/>
          <w:sz w:val="22"/>
          <w:szCs w:val="22"/>
          <w:highlight w:val="none"/>
          <w:lang w:val="zh-TW" w:eastAsia="zh-TW"/>
        </w:rPr>
        <w:t xml:space="preserve">.2 《中标通知书》是合同的一个组成部分，对</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和中标人均具有法律效力。《中标通知书》发出后，</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改变中标结果或者中标人放弃中标项目的，应当依法承担法律责任。</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2</w:t>
      </w:r>
      <w:r>
        <w:rPr>
          <w:rFonts w:hint="eastAsia" w:ascii="宋体" w:hAnsi="宋体" w:cs="宋体"/>
          <w:b/>
          <w:bCs/>
          <w:color w:val="000000" w:themeColor="text1"/>
          <w:sz w:val="22"/>
          <w:szCs w:val="22"/>
          <w:highlight w:val="none"/>
        </w:rPr>
        <w:t xml:space="preserve">3</w:t>
      </w:r>
      <w:r>
        <w:rPr>
          <w:rFonts w:hint="eastAsia" w:ascii="宋体" w:hAnsi="宋体" w:cs="宋体"/>
          <w:b/>
          <w:bCs/>
          <w:color w:val="000000" w:themeColor="text1"/>
          <w:sz w:val="22"/>
          <w:szCs w:val="22"/>
          <w:highlight w:val="none"/>
          <w:lang w:val="zh-TW" w:eastAsia="zh-TW"/>
        </w:rPr>
        <w:t xml:space="preserve">、评标过程的保密性</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sz w:val="22"/>
          <w:szCs w:val="22"/>
          <w:highlight w:val="none"/>
          <w:lang w:val="zh-TW" w:eastAsia="zh-TW"/>
        </w:rPr>
        <w:t xml:space="preserve">.1 凡是与审查、澄清、评价和比较投标的有关资料以及投标建议等，</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、评委、均不得向投标人或与评标无关的其他人员透露。</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sz w:val="22"/>
          <w:szCs w:val="22"/>
          <w:highlight w:val="none"/>
          <w:lang w:val="zh-TW" w:eastAsia="zh-TW"/>
        </w:rPr>
        <w:t xml:space="preserve">.2 投标人不得以任何方式影响评标，否则其投标文件将被作为无效投标文件。</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23</w:t>
      </w:r>
      <w:r>
        <w:rPr>
          <w:rFonts w:hint="eastAsia" w:ascii="宋体" w:hAnsi="宋体" w:cs="宋体"/>
          <w:color w:val="000000" w:themeColor="text1"/>
          <w:sz w:val="22"/>
          <w:szCs w:val="22"/>
          <w:highlight w:val="none"/>
          <w:lang w:val="zh-TW" w:eastAsia="zh-TW"/>
        </w:rPr>
        <w:t xml:space="preserve">.3 招标人和评委会不向未中标的投标人解释未中标原因，也不公布评标过程中的相关细节。</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sz w:val="22"/>
          <w:szCs w:val="22"/>
          <w:highlight w:val="none"/>
          <w:lang w:val="zh-TW" w:eastAsia="zh-TW"/>
        </w:rPr>
        <w:t xml:space="preserve">.4 采用综合评分法的项目，未中标的投标人可于中标结果公告期限届满之日起通过苏采云系统查看本单位的</w:t>
      </w:r>
      <w:r>
        <w:rPr>
          <w:rFonts w:hint="eastAsia" w:ascii="宋体" w:hAnsi="宋体" w:cs="宋体"/>
          <w:color w:val="000000" w:themeColor="text1"/>
          <w:sz w:val="22"/>
          <w:szCs w:val="22"/>
          <w:highlight w:val="none"/>
          <w:lang w:val="zh-TW"/>
        </w:rPr>
        <w:t xml:space="preserve">评标</w:t>
      </w:r>
      <w:r>
        <w:rPr>
          <w:rFonts w:hint="eastAsia" w:ascii="宋体" w:hAnsi="宋体" w:cs="宋体"/>
          <w:color w:val="000000" w:themeColor="text1"/>
          <w:sz w:val="22"/>
          <w:szCs w:val="22"/>
          <w:highlight w:val="none"/>
          <w:lang w:val="zh-TW" w:eastAsia="zh-TW"/>
        </w:rPr>
        <w:t xml:space="preserve">得分及排名情况。</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五、签订合同</w:t>
      </w:r>
      <w:r>
        <w:rPr>
          <w:color w:val="000000" w:themeColor="text1"/>
        </w:rPr>
      </w:r>
      <w:r/>
    </w:p>
    <w:p>
      <w:pPr>
        <w:pStyle w:val="1427"/>
        <w:ind w:firstLine="442"/>
        <w:spacing w:line="360" w:lineRule="auto"/>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2</w:t>
      </w:r>
      <w:r>
        <w:rPr>
          <w:rFonts w:hint="eastAsia" w:ascii="宋体" w:hAnsi="宋体" w:cs="宋体"/>
          <w:b/>
          <w:bCs/>
          <w:color w:val="000000" w:themeColor="text1"/>
          <w:sz w:val="22"/>
          <w:szCs w:val="22"/>
          <w:highlight w:val="none"/>
        </w:rPr>
        <w:t xml:space="preserve">4</w:t>
      </w:r>
      <w:r>
        <w:rPr>
          <w:rFonts w:hint="eastAsia" w:ascii="宋体" w:hAnsi="宋体" w:cs="宋体"/>
          <w:b/>
          <w:bCs/>
          <w:color w:val="000000" w:themeColor="text1"/>
          <w:sz w:val="22"/>
          <w:szCs w:val="22"/>
          <w:highlight w:val="none"/>
          <w:lang w:val="zh-TW" w:eastAsia="zh-TW"/>
        </w:rPr>
        <w:t xml:space="preserve">、签订合同</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zh-TW" w:eastAsia="zh-TW"/>
        </w:rPr>
        <w:t xml:space="preserve">.1 中标</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应当自中标通知书发出之日起三十日内，按照招标文件和中标</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投标文件的约定与</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签订政府采购合同，所签订的合同不得对招标文件和中标</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投标文件作实质性修改。</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zh-TW" w:eastAsia="zh-TW"/>
        </w:rPr>
        <w:t xml:space="preserve">.2 </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不得向中标</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提出任何不合理的要求作为签订合同的条件，不得与中标</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私下订立背离合同实质性内容的协议。</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zh-TW" w:eastAsia="zh-TW"/>
        </w:rPr>
        <w:t xml:space="preserve">.3 中标</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因不可抗力或者自身原因不能履行政府采购合同的，</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可以视情与排位在中标</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之后第一位的中标候选</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签订政府采购合同，以此类推。</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zh-TW" w:eastAsia="zh-TW"/>
        </w:rPr>
        <w:t xml:space="preserve">.4 政府采购合同履行中，</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需追加与合同标的相同的货物的，在不改变合同其他条款的前提下，可以与</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协商签订补充合同，但所有补充合同的采购金额不得超过原合同采购金额的百分之十</w:t>
      </w:r>
      <w:r>
        <w:rPr>
          <w:color w:val="000000" w:themeColor="text1"/>
        </w:rPr>
      </w:r>
      <w:r/>
    </w:p>
    <w:p>
      <w:pPr>
        <w:pStyle w:val="1427"/>
        <w:ind w:firstLine="442"/>
        <w:spacing w:line="360" w:lineRule="auto"/>
        <w:widowControl w:val="off"/>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七、质疑和投诉</w:t>
      </w:r>
      <w:r>
        <w:rPr>
          <w:color w:val="000000" w:themeColor="text1"/>
        </w:rPr>
      </w:r>
      <w:r/>
    </w:p>
    <w:p>
      <w:pPr>
        <w:pStyle w:val="1427"/>
        <w:ind w:firstLine="442"/>
        <w:spacing w:line="360" w:lineRule="auto"/>
        <w:widowControl w:val="off"/>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2</w:t>
      </w:r>
      <w:r>
        <w:rPr>
          <w:rFonts w:hint="eastAsia" w:ascii="宋体" w:hAnsi="宋体" w:cs="宋体"/>
          <w:b/>
          <w:bCs/>
          <w:color w:val="000000" w:themeColor="text1"/>
          <w:sz w:val="22"/>
          <w:szCs w:val="22"/>
          <w:highlight w:val="none"/>
        </w:rPr>
        <w:t xml:space="preserve">5</w:t>
      </w:r>
      <w:r>
        <w:rPr>
          <w:rFonts w:hint="eastAsia" w:ascii="宋体" w:hAnsi="宋体" w:cs="宋体"/>
          <w:b/>
          <w:bCs/>
          <w:color w:val="000000" w:themeColor="text1"/>
          <w:sz w:val="22"/>
          <w:szCs w:val="22"/>
          <w:highlight w:val="none"/>
          <w:lang w:val="zh-TW" w:eastAsia="zh-TW"/>
        </w:rPr>
        <w:t xml:space="preserve">、质疑</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.1 </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对采购活动事项有疑问的，可以向代理机构提出询问，代理机构将依法作出答复，但答复的内容不涉及商业秘密。</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.2 </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认为</w:t>
      </w:r>
      <w:r>
        <w:rPr>
          <w:rFonts w:hint="eastAsia" w:ascii="宋体" w:hAnsi="宋体" w:cs="宋体"/>
          <w:color w:val="000000" w:themeColor="text1"/>
          <w:sz w:val="22"/>
          <w:szCs w:val="22"/>
          <w:highlight w:val="none"/>
          <w:lang w:val="zh-TW"/>
        </w:rPr>
        <w:t xml:space="preserve">招标文件</w:t>
      </w:r>
      <w:r>
        <w:rPr>
          <w:rFonts w:hint="eastAsia" w:ascii="宋体" w:hAnsi="宋体" w:cs="宋体"/>
          <w:color w:val="000000" w:themeColor="text1"/>
          <w:sz w:val="22"/>
          <w:szCs w:val="22"/>
          <w:highlight w:val="none"/>
          <w:lang w:val="zh-TW" w:eastAsia="zh-TW"/>
        </w:rPr>
        <w:t xml:space="preserve">、采购过程和成交结果使自己的合法权益受到损害的，可以在知道或者应当知道其权益受到损害之日起七个工作日内，将质疑文件原件送达代理机构。</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.3 质疑文件应包括以下主要内容，并按照“谁主张、谁举证”的原则，附上相关证明材料。否则，代理机构不予受理：</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（1）质疑项目名称、</w:t>
      </w:r>
      <w:r>
        <w:rPr>
          <w:rFonts w:hint="eastAsia" w:ascii="宋体" w:hAnsi="宋体" w:cs="宋体"/>
          <w:color w:val="000000" w:themeColor="text1"/>
          <w:sz w:val="22"/>
          <w:szCs w:val="22"/>
          <w:highlight w:val="none"/>
          <w:lang w:val="zh-TW"/>
        </w:rPr>
        <w:t xml:space="preserve">项目编号</w:t>
      </w:r>
      <w:r>
        <w:rPr>
          <w:rFonts w:hint="eastAsia" w:ascii="宋体" w:hAnsi="宋体" w:cs="宋体"/>
          <w:color w:val="000000" w:themeColor="text1"/>
          <w:sz w:val="22"/>
          <w:szCs w:val="22"/>
          <w:highlight w:val="none"/>
          <w:lang w:val="zh-TW" w:eastAsia="zh-TW"/>
        </w:rPr>
        <w:t xml:space="preserve">、招标公告发布时间、开标时间；</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（2）具体的质疑事项及法律依据（具体条款）；</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全部产品线中没有满足技术需求要求的产品才可以对采购产品提出质疑，并提出修改理由和修改建议）；</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（4）质疑</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名称、地址、联系方式（包括手机、传真号码）；</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（5）法定代表人签署本人姓名或印盖本人姓名章并加盖单位公章，或法定代表人授权委托代理人加盖单位公章，并由参加</w:t>
      </w:r>
      <w:r>
        <w:rPr>
          <w:rFonts w:hint="eastAsia" w:ascii="宋体" w:hAnsi="宋体" w:cs="宋体"/>
          <w:color w:val="000000" w:themeColor="text1"/>
          <w:sz w:val="22"/>
          <w:szCs w:val="22"/>
          <w:highlight w:val="none"/>
          <w:lang w:val="zh-TW"/>
        </w:rPr>
        <w:t xml:space="preserve">招标项目</w:t>
      </w:r>
      <w:r>
        <w:rPr>
          <w:rFonts w:hint="eastAsia" w:ascii="宋体" w:hAnsi="宋体" w:cs="宋体"/>
          <w:color w:val="000000" w:themeColor="text1"/>
          <w:sz w:val="22"/>
          <w:szCs w:val="22"/>
          <w:highlight w:val="none"/>
          <w:lang w:val="zh-TW" w:eastAsia="zh-TW"/>
        </w:rPr>
        <w:t xml:space="preserve">的授权委托代理人签署本人姓名或印盖本人姓名章等。</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.4质疑</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是指直接参加本项目采购活动的</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；对</w:t>
      </w:r>
      <w:r>
        <w:rPr>
          <w:rFonts w:hint="eastAsia" w:ascii="宋体" w:hAnsi="宋体" w:cs="宋体"/>
          <w:color w:val="000000" w:themeColor="text1"/>
          <w:sz w:val="22"/>
          <w:szCs w:val="22"/>
          <w:highlight w:val="none"/>
          <w:lang w:val="zh-TW"/>
        </w:rPr>
        <w:t xml:space="preserve">招标文件</w:t>
      </w:r>
      <w:r>
        <w:rPr>
          <w:rFonts w:hint="eastAsia" w:ascii="宋体" w:hAnsi="宋体" w:cs="宋体"/>
          <w:color w:val="000000" w:themeColor="text1"/>
          <w:sz w:val="22"/>
          <w:szCs w:val="22"/>
          <w:highlight w:val="none"/>
          <w:lang w:val="zh-TW" w:eastAsia="zh-TW"/>
        </w:rPr>
        <w:t xml:space="preserve">提出质疑的，应自</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获得</w:t>
      </w:r>
      <w:r>
        <w:rPr>
          <w:rFonts w:hint="eastAsia" w:ascii="宋体" w:hAnsi="宋体" w:cs="宋体"/>
          <w:color w:val="000000" w:themeColor="text1"/>
          <w:sz w:val="22"/>
          <w:szCs w:val="22"/>
          <w:highlight w:val="none"/>
          <w:lang w:val="zh-TW"/>
        </w:rPr>
        <w:t xml:space="preserve">招标文件</w:t>
      </w:r>
      <w:r>
        <w:rPr>
          <w:rFonts w:hint="eastAsia" w:ascii="宋体" w:hAnsi="宋体" w:cs="宋体"/>
          <w:color w:val="000000" w:themeColor="text1"/>
          <w:sz w:val="22"/>
          <w:szCs w:val="22"/>
          <w:highlight w:val="none"/>
          <w:lang w:val="zh-TW" w:eastAsia="zh-TW"/>
        </w:rPr>
        <w:t xml:space="preserve">之日起计算，且应当在递交</w:t>
      </w:r>
      <w:r>
        <w:rPr>
          <w:rFonts w:hint="eastAsia" w:ascii="宋体" w:hAnsi="宋体" w:cs="宋体"/>
          <w:color w:val="000000" w:themeColor="text1"/>
          <w:sz w:val="22"/>
          <w:szCs w:val="22"/>
          <w:highlight w:val="none"/>
          <w:lang w:val="zh-TW"/>
        </w:rPr>
        <w:t xml:space="preserve">投标文件</w:t>
      </w:r>
      <w:r>
        <w:rPr>
          <w:rFonts w:hint="eastAsia" w:ascii="宋体" w:hAnsi="宋体" w:cs="宋体"/>
          <w:color w:val="000000" w:themeColor="text1"/>
          <w:sz w:val="22"/>
          <w:szCs w:val="22"/>
          <w:highlight w:val="none"/>
          <w:lang w:val="zh-TW" w:eastAsia="zh-TW"/>
        </w:rPr>
        <w:t xml:space="preserve">截止之日前提出；对采购过程提出质疑的，自采购程序环节结束之日起计算；对成交结果提出质疑的，自成交结果公告之日起计算。</w:t>
      </w:r>
      <w:r>
        <w:rPr>
          <w:color w:val="000000" w:themeColor="text1"/>
        </w:rPr>
      </w:r>
      <w:r/>
    </w:p>
    <w:p>
      <w:pPr>
        <w:pStyle w:val="1427"/>
        <w:ind w:firstLine="44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.5 </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不得虚假质疑和恶意质疑，并对质疑内容的真实性承担责任。</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.6 代理机构在收到</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和其他有关</w:t>
      </w:r>
      <w:r>
        <w:rPr>
          <w:rFonts w:hint="eastAsia" w:ascii="宋体" w:hAnsi="宋体" w:cs="宋体"/>
          <w:color w:val="000000" w:themeColor="text1"/>
          <w:sz w:val="22"/>
          <w:szCs w:val="22"/>
          <w:highlight w:val="none"/>
          <w:lang w:val="zh-TW"/>
        </w:rPr>
        <w:t xml:space="preserve">投标人</w:t>
      </w:r>
      <w:r>
        <w:rPr>
          <w:rFonts w:hint="eastAsia" w:ascii="宋体" w:hAnsi="宋体" w:cs="宋体"/>
          <w:color w:val="000000" w:themeColor="text1"/>
          <w:sz w:val="22"/>
          <w:szCs w:val="22"/>
          <w:highlight w:val="none"/>
          <w:lang w:val="zh-TW" w:eastAsia="zh-TW"/>
        </w:rPr>
        <w:t xml:space="preserve">，答复的内容不涉及商业秘密。遵循“谁过错谁负担”的原则，有过错的一方承担调查论证费用。</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25.7 质疑文件接收信息：</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（1）接收单位：招标代理机构</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（2）联系人：高婷</w:t>
      </w:r>
      <w:r>
        <w:rPr>
          <w:color w:val="000000" w:themeColor="text1"/>
        </w:rPr>
      </w:r>
      <w:r/>
    </w:p>
    <w:p>
      <w:pPr>
        <w:pStyle w:val="1256"/>
        <w:ind w:firstLine="44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（3）联系电话：</w:t>
      </w:r>
      <w:r>
        <w:rPr>
          <w:rFonts w:ascii="宋体" w:hAnsi="宋体" w:cs="宋体"/>
          <w:color w:val="000000" w:themeColor="text1"/>
          <w:sz w:val="22"/>
          <w:szCs w:val="22"/>
          <w:highlight w:val="none"/>
        </w:rPr>
        <w:t xml:space="preserve">025-58835827-</w:t>
      </w:r>
      <w:r>
        <w:rPr>
          <w:rFonts w:hint="eastAsia" w:ascii="宋体" w:hAnsi="宋体" w:cs="宋体"/>
          <w:color w:val="000000" w:themeColor="text1"/>
          <w:sz w:val="22"/>
          <w:szCs w:val="22"/>
          <w:highlight w:val="none"/>
        </w:rPr>
        <w:t xml:space="preserve">8017</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（4）联系邮箱：669293283@qq.com</w:t>
      </w:r>
      <w:r>
        <w:rPr>
          <w:color w:val="000000" w:themeColor="text1"/>
        </w:rPr>
      </w:r>
      <w:r/>
    </w:p>
    <w:p>
      <w:pPr>
        <w:pStyle w:val="1256"/>
        <w:ind w:firstLine="44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（5）接收地址：南京市建邺区云龙山路89号龙湖时代上城写字楼1栋29楼（高区3号电梯厅进入）</w:t>
      </w:r>
      <w:r>
        <w:rPr>
          <w:color w:val="000000" w:themeColor="text1"/>
        </w:rPr>
      </w:r>
      <w:r/>
    </w:p>
    <w:p>
      <w:pPr>
        <w:pStyle w:val="1427"/>
        <w:ind w:firstLine="442"/>
        <w:spacing w:line="360" w:lineRule="auto"/>
        <w:widowControl w:val="off"/>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TW" w:eastAsia="zh-TW"/>
        </w:rPr>
        <w:t xml:space="preserve">2</w:t>
      </w:r>
      <w:r>
        <w:rPr>
          <w:rFonts w:hint="eastAsia" w:ascii="宋体" w:hAnsi="宋体" w:cs="宋体"/>
          <w:b/>
          <w:bCs/>
          <w:color w:val="000000" w:themeColor="text1"/>
          <w:sz w:val="22"/>
          <w:szCs w:val="22"/>
          <w:highlight w:val="none"/>
        </w:rPr>
        <w:t xml:space="preserve">6</w:t>
      </w:r>
      <w:r>
        <w:rPr>
          <w:rFonts w:hint="eastAsia" w:ascii="宋体" w:hAnsi="宋体" w:cs="宋体"/>
          <w:b/>
          <w:bCs/>
          <w:color w:val="000000" w:themeColor="text1"/>
          <w:sz w:val="22"/>
          <w:szCs w:val="22"/>
          <w:highlight w:val="none"/>
          <w:lang w:val="zh-TW" w:eastAsia="zh-TW"/>
        </w:rPr>
        <w:t xml:space="preserve">、投诉</w:t>
      </w:r>
      <w:r>
        <w:rPr>
          <w:color w:val="000000" w:themeColor="text1"/>
        </w:rPr>
      </w:r>
      <w:r/>
    </w:p>
    <w:p>
      <w:pPr>
        <w:pStyle w:val="1427"/>
        <w:ind w:firstLine="44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2</w:t>
      </w:r>
      <w:r>
        <w:rPr>
          <w:rFonts w:hint="eastAsia" w:ascii="宋体" w:hAnsi="宋体" w:cs="宋体"/>
          <w:color w:val="000000" w:themeColor="text1"/>
          <w:sz w:val="22"/>
          <w:szCs w:val="22"/>
          <w:highlight w:val="none"/>
        </w:rPr>
        <w:t xml:space="preserve">6</w:t>
      </w:r>
      <w:r>
        <w:rPr>
          <w:rFonts w:hint="eastAsia" w:ascii="宋体" w:hAnsi="宋体" w:cs="宋体"/>
          <w:color w:val="000000" w:themeColor="text1"/>
          <w:sz w:val="22"/>
          <w:szCs w:val="22"/>
          <w:highlight w:val="none"/>
          <w:lang w:val="zh-TW" w:eastAsia="zh-TW"/>
        </w:rPr>
        <w:t xml:space="preserve">.1 质疑投标人对代理机构的答复不满意，或代理机构未在规定的时间内作出答复的，可以在答复期满后十五个工作日内向</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同级财政部门投诉。</w:t>
      </w:r>
      <w:r>
        <w:rPr>
          <w:color w:val="000000" w:themeColor="text1"/>
        </w:rPr>
      </w:r>
      <w:r/>
    </w:p>
    <w:p>
      <w:pPr>
        <w:pStyle w:val="1256"/>
        <w:ind w:firstLine="442"/>
        <w:spacing w:line="360" w:lineRule="auto"/>
        <w:rPr>
          <w:rFonts w:hint="eastAsia"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27</w:t>
      </w:r>
      <w:r>
        <w:rPr>
          <w:rFonts w:hint="eastAsia" w:ascii="宋体" w:hAnsi="宋体" w:cs="宋体"/>
          <w:b/>
          <w:color w:val="000000" w:themeColor="text1"/>
          <w:sz w:val="22"/>
          <w:szCs w:val="22"/>
          <w:highlight w:val="none"/>
          <w:lang w:val="zh-CN"/>
        </w:rPr>
        <w:t xml:space="preserve">、诚实信用</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27</w:t>
      </w:r>
      <w:r>
        <w:rPr>
          <w:rFonts w:hint="eastAsia" w:ascii="宋体" w:hAnsi="宋体" w:cs="宋体"/>
          <w:color w:val="000000" w:themeColor="text1"/>
          <w:sz w:val="22"/>
          <w:szCs w:val="22"/>
          <w:highlight w:val="none"/>
          <w:lang w:val="zh-CN"/>
        </w:rPr>
        <w:t xml:space="preserve">.1 投标人之间不得相互串通投标报价，不得妨碍其他投标人的公平竞争，不得损害招标人和其他投标人的合法权益。</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27</w:t>
      </w:r>
      <w:r>
        <w:rPr>
          <w:rFonts w:hint="eastAsia" w:ascii="宋体" w:hAnsi="宋体" w:cs="宋体"/>
          <w:color w:val="000000" w:themeColor="text1"/>
          <w:sz w:val="22"/>
          <w:szCs w:val="22"/>
          <w:highlight w:val="none"/>
          <w:lang w:val="zh-CN"/>
        </w:rPr>
        <w:t xml:space="preserve">.2 投标人不得以向代理机构工作人员、评标委员会成员行贿或者采取其他不正当手段谋取中标。经查实投标人有此行为的，</w:t>
      </w:r>
      <w:r>
        <w:rPr>
          <w:rFonts w:hint="eastAsia" w:ascii="宋体" w:hAnsi="宋体" w:cs="宋体"/>
          <w:color w:val="000000" w:themeColor="text1"/>
          <w:sz w:val="22"/>
          <w:szCs w:val="22"/>
          <w:highlight w:val="none"/>
        </w:rPr>
        <w:t xml:space="preserve">政府采购管理部门将投标人列入不良行为记录名单，按照《政府采购法》有关规定处理。</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27</w:t>
      </w:r>
      <w:r>
        <w:rPr>
          <w:rFonts w:hint="eastAsia" w:ascii="宋体" w:hAnsi="宋体" w:cs="宋体"/>
          <w:color w:val="000000" w:themeColor="text1"/>
          <w:sz w:val="22"/>
          <w:szCs w:val="22"/>
          <w:highlight w:val="none"/>
          <w:lang w:val="zh-CN"/>
        </w:rPr>
        <w:t xml:space="preserve">.3 投标人不得虚假质疑和恶意质疑，并对质疑内容的真实性承担责任。</w:t>
      </w:r>
      <w:r>
        <w:rPr>
          <w:rFonts w:hint="eastAsia" w:ascii="宋体" w:hAnsi="宋体" w:cs="宋体"/>
          <w:color w:val="000000" w:themeColor="text1"/>
          <w:sz w:val="22"/>
          <w:szCs w:val="22"/>
          <w:highlight w:val="none"/>
        </w:rPr>
        <w:t xml:space="preserve">投标人或者其他利害关系人通过捏造事实、伪造证明材料等方式提出异议或投诉，阻碍招投标活动正常进行的，属于严重不良行为，代理机构将提请财政部门将其列入不良行为记录名单，并依法予以处罚。</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27</w:t>
      </w:r>
      <w:r>
        <w:rPr>
          <w:rFonts w:hint="eastAsia" w:ascii="宋体" w:hAnsi="宋体" w:cs="宋体"/>
          <w:color w:val="000000" w:themeColor="text1"/>
          <w:sz w:val="22"/>
          <w:szCs w:val="22"/>
          <w:highlight w:val="none"/>
          <w:lang w:val="zh-CN"/>
        </w:rPr>
        <w:t xml:space="preserve">.4 投标人不得虚假承诺，否则，按照提供虚假材料谋取中标成交处理。</w:t>
      </w:r>
      <w:r>
        <w:rPr>
          <w:color w:val="000000" w:themeColor="text1"/>
        </w:rPr>
      </w:r>
      <w:r/>
    </w:p>
    <w:p>
      <w:pPr>
        <w:pStyle w:val="1256"/>
        <w:ind w:firstLine="440"/>
        <w:spacing w:line="360" w:lineRule="auto"/>
        <w:rPr>
          <w:rFonts w:hint="eastAsia" w:ascii="宋体" w:hAnsi="宋体" w:cs="宋体"/>
          <w:color w:val="000000" w:themeColor="text1"/>
          <w:sz w:val="24"/>
          <w:highlight w:val="none"/>
        </w:rPr>
        <w:sectPr>
          <w:headerReference w:type="default" r:id="rId11"/>
          <w:headerReference w:type="first" r:id="rId12"/>
          <w:footerReference w:type="default" r:id="rId18"/>
          <w:footnotePr/>
          <w:endnotePr/>
          <w:type w:val="nextPage"/>
          <w:pgSz w:w="11900" w:h="16840" w:orient="portrait"/>
          <w:pgMar w:top="1123" w:right="1179" w:bottom="1123" w:left="1179" w:header="794" w:footer="794" w:gutter="0"/>
          <w:pgNumType w:start="1"/>
          <w:cols w:num="1" w:sep="0" w:space="1701" w:equalWidth="1"/>
          <w:docGrid w:linePitch="360"/>
        </w:sectPr>
      </w:pPr>
      <w:r>
        <w:rPr>
          <w:rFonts w:hint="eastAsia" w:ascii="宋体" w:hAnsi="宋体" w:cs="宋体"/>
          <w:color w:val="000000" w:themeColor="text1"/>
          <w:sz w:val="22"/>
          <w:szCs w:val="22"/>
          <w:highlight w:val="none"/>
        </w:rPr>
        <w:t xml:space="preserve">27</w:t>
      </w:r>
      <w:r>
        <w:rPr>
          <w:rFonts w:hint="eastAsia" w:ascii="宋体" w:hAnsi="宋体" w:cs="宋体"/>
          <w:color w:val="000000" w:themeColor="text1"/>
          <w:sz w:val="22"/>
          <w:szCs w:val="22"/>
          <w:highlight w:val="none"/>
          <w:lang w:val="zh-CN"/>
        </w:rPr>
        <w:t xml:space="preserve">.5 投标人应自觉遵守开标、评标纪律，扰乱开标评标现场秩序的，属于失信行为，根据《江苏省政府采购投标人监督管理暂行办法》，失信行为将被记入投标人诚信档案。</w:t>
      </w:r>
      <w:r>
        <w:rPr>
          <w:color w:val="000000" w:themeColor="text1"/>
        </w:rPr>
      </w:r>
      <w:r/>
    </w:p>
    <w:p>
      <w:pPr>
        <w:pStyle w:val="1256"/>
        <w:jc w:val="center"/>
        <w:spacing w:line="360" w:lineRule="auto"/>
        <w:shd w:val="clear" w:color="auto" w:fill="ffffff"/>
        <w:widowControl/>
        <w:rPr>
          <w:rStyle w:val="1270"/>
          <w:rFonts w:hint="eastAsia"/>
          <w:color w:val="000000" w:themeColor="text1"/>
          <w:highlight w:val="none"/>
        </w:rPr>
        <w:outlineLvl w:val="0"/>
      </w:pPr>
      <w:r>
        <w:rPr>
          <w:color w:val="000000" w:themeColor="text1"/>
        </w:rPr>
      </w:r>
      <w:bookmarkStart w:id="49" w:name="_Hlk65763946"/>
      <w:r>
        <w:rPr>
          <w:color w:val="000000" w:themeColor="text1"/>
        </w:rPr>
      </w:r>
      <w:bookmarkStart w:id="50" w:name="_Toc15912"/>
      <w:r>
        <w:rPr>
          <w:rStyle w:val="1270"/>
          <w:rFonts w:hint="eastAsia"/>
          <w:color w:val="000000" w:themeColor="text1"/>
          <w:highlight w:val="none"/>
        </w:rPr>
        <w:t xml:space="preserve">第三章 </w:t>
      </w:r>
      <w:bookmarkStart w:id="51" w:name="_Toc452625219"/>
      <w:r>
        <w:rPr>
          <w:rStyle w:val="1270"/>
          <w:rFonts w:hint="eastAsia"/>
          <w:color w:val="000000" w:themeColor="text1"/>
          <w:highlight w:val="none"/>
        </w:rPr>
        <w:t xml:space="preserve">评标标准</w:t>
      </w:r>
      <w:bookmarkEnd w:id="49"/>
      <w:r>
        <w:rPr>
          <w:color w:val="000000" w:themeColor="text1"/>
        </w:rPr>
      </w:r>
      <w:bookmarkEnd w:id="50"/>
      <w:r>
        <w:rPr>
          <w:color w:val="000000" w:themeColor="text1"/>
        </w:rPr>
      </w:r>
      <w:bookmarkEnd w:id="51"/>
      <w:r>
        <w:rPr>
          <w:color w:val="000000" w:themeColor="text1"/>
        </w:rPr>
      </w:r>
      <w:r/>
    </w:p>
    <w:p>
      <w:pPr>
        <w:pStyle w:val="1315"/>
        <w:ind w:firstLine="480"/>
        <w:jc w:val="both"/>
        <w:spacing w:before="0" w:beforeAutospacing="0" w:after="0" w:afterAutospacing="0" w:line="324" w:lineRule="auto"/>
        <w:widowControl w:val="off"/>
        <w:rPr>
          <w:rFonts w:hint="eastAsia"/>
          <w:color w:val="000000" w:themeColor="text1"/>
          <w:sz w:val="22"/>
          <w:szCs w:val="22"/>
          <w:highlight w:val="none"/>
        </w:rPr>
      </w:pPr>
      <w:r>
        <w:rPr>
          <w:rFonts w:hint="eastAsia"/>
          <w:color w:val="000000" w:themeColor="text1"/>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color w:val="000000" w:themeColor="text1"/>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555"/>
        <w:gridCol w:w="1507"/>
        <w:gridCol w:w="7229"/>
        <w:gridCol w:w="470"/>
      </w:tblGrid>
      <w:tr>
        <w:trPr>
          <w:trHeight w:val="27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256"/>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评标项目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1256"/>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评标分项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1256"/>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评标分项及分值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256"/>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满分</w:t>
            </w:r>
            <w:r>
              <w:rPr>
                <w:color w:val="000000" w:themeColor="text1"/>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9761" w:type="dxa"/>
            <w:vAlign w:val="center"/>
            <w:textDirection w:val="lrTb"/>
            <w:noWrap w:val="false"/>
          </w:tcPr>
          <w:p>
            <w:pPr>
              <w:pStyle w:val="1256"/>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一、价格部分（满分30分）</w:t>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25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价格部分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125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价格分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1256"/>
              <w:jc w:val="left"/>
              <w:spacing w:line="40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rPr>
              <w:t xml:space="preserve">采用低价优先法计算，即满足</w:t>
            </w:r>
            <w:r>
              <w:rPr>
                <w:rFonts w:hint="eastAsia" w:ascii="宋体" w:hAnsi="宋体" w:cs="宋体"/>
                <w:color w:val="000000" w:themeColor="text1"/>
                <w:sz w:val="22"/>
                <w:szCs w:val="22"/>
                <w:highlight w:val="none"/>
              </w:rPr>
              <w:t xml:space="preserve">招标</w:t>
            </w:r>
            <w:r>
              <w:rPr>
                <w:rFonts w:hint="eastAsia" w:ascii="宋体" w:hAnsi="宋体" w:cs="宋体"/>
                <w:color w:val="000000" w:themeColor="text1"/>
                <w:sz w:val="22"/>
                <w:szCs w:val="22"/>
                <w:highlight w:val="none"/>
                <w:lang w:val="zh-TW"/>
              </w:rPr>
              <w:t xml:space="preserve">文件要求且评审报价最低的报价为评审基准价，其价格分为满分。</w:t>
            </w:r>
            <w:r>
              <w:rPr>
                <w:color w:val="000000" w:themeColor="text1"/>
              </w:rPr>
            </w:r>
            <w:r/>
          </w:p>
          <w:p>
            <w:pPr>
              <w:pStyle w:val="1256"/>
              <w:jc w:val="left"/>
              <w:spacing w:line="40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rPr>
              <w:t xml:space="preserve">其他供应商的价格分统一按照下列公式计算:</w:t>
            </w:r>
            <w:r>
              <w:rPr>
                <w:color w:val="000000" w:themeColor="text1"/>
              </w:rPr>
            </w:r>
            <w:r/>
          </w:p>
          <w:p>
            <w:pPr>
              <w:pStyle w:val="1256"/>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22"/>
                <w:szCs w:val="22"/>
                <w:highlight w:val="none"/>
                <w:lang w:val="zh-TW"/>
              </w:rPr>
              <w:t xml:space="preserve">报价得分=(评审基准价/</w:t>
            </w:r>
            <w:r>
              <w:rPr>
                <w:rFonts w:hint="eastAsia" w:ascii="宋体" w:hAnsi="宋体" w:cs="宋体"/>
                <w:color w:val="000000" w:themeColor="text1"/>
                <w:sz w:val="22"/>
                <w:szCs w:val="22"/>
                <w:highlight w:val="none"/>
              </w:rPr>
              <w:t xml:space="preserve">投标</w:t>
            </w:r>
            <w:r>
              <w:rPr>
                <w:rFonts w:hint="eastAsia" w:ascii="宋体" w:hAnsi="宋体" w:cs="宋体"/>
                <w:color w:val="000000" w:themeColor="text1"/>
                <w:sz w:val="22"/>
                <w:szCs w:val="22"/>
                <w:highlight w:val="none"/>
                <w:lang w:val="zh-TW"/>
              </w:rPr>
              <w:t xml:space="preserve">报价)×30（计算结果小数点保留两位）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25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30</w:t>
            </w:r>
            <w:r>
              <w:rPr>
                <w:color w:val="000000" w:themeColor="text1"/>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9761" w:type="dxa"/>
            <w:vAlign w:val="center"/>
            <w:textDirection w:val="lrTb"/>
            <w:noWrap w:val="false"/>
          </w:tcPr>
          <w:p>
            <w:pPr>
              <w:pStyle w:val="1256"/>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二、商务部分（满分1</w:t>
            </w:r>
            <w:r>
              <w:rPr>
                <w:rFonts w:hint="eastAsia" w:ascii="宋体" w:hAnsi="宋体" w:cs="宋体"/>
                <w:b/>
                <w:bCs/>
                <w:color w:val="000000" w:themeColor="text1"/>
                <w:szCs w:val="21"/>
                <w:highlight w:val="none"/>
                <w:lang w:val="en-US" w:eastAsia="zh-CN" w:bidi="ar"/>
              </w:rPr>
              <w:t xml:space="preserve">5</w:t>
            </w:r>
            <w:r>
              <w:rPr>
                <w:rFonts w:hint="eastAsia" w:ascii="宋体" w:hAnsi="宋体" w:cs="宋体"/>
                <w:b/>
                <w:bCs/>
                <w:color w:val="000000" w:themeColor="text1"/>
                <w:szCs w:val="21"/>
                <w:highlight w:val="none"/>
                <w:lang w:bidi="ar"/>
              </w:rPr>
              <w:t xml:space="preserve">分）</w:t>
            </w:r>
            <w:r>
              <w:rPr>
                <w:color w:val="000000" w:themeColor="text1"/>
              </w:rPr>
            </w:r>
            <w:r/>
          </w:p>
        </w:tc>
      </w:tr>
      <w:tr>
        <w:trPr>
          <w:trHeight w:val="1275"/>
        </w:trPr>
        <w:tc>
          <w:tcPr>
            <w:tcBorders>
              <w:top w:val="single" w:color="000000" w:sz="4" w:space="0"/>
              <w:left w:val="single" w:color="000000" w:sz="4" w:space="0"/>
              <w:bottom w:val="none" w:color="000000" w:sz="0" w:space="0"/>
              <w:right w:val="single" w:color="000000" w:sz="4" w:space="0"/>
            </w:tcBorders>
            <w:tcW w:w="555" w:type="dxa"/>
            <w:vAlign w:val="center"/>
            <w:vMerge w:val="restart"/>
            <w:textDirection w:val="lrTb"/>
            <w:noWrap w:val="false"/>
          </w:tcPr>
          <w:p>
            <w:pPr>
              <w:pStyle w:val="125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商务部分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125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综合实力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256"/>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（1）投标供应商具有有效的信息安全管理体系认证证书、信息技术服务管理体系认证证书。每具有一个得1分，最高得2分。</w:t>
            </w:r>
            <w:r>
              <w:rPr>
                <w:rFonts w:hint="eastAsia" w:ascii="宋体" w:hAnsi="宋体" w:cs="宋体"/>
                <w:b/>
                <w:bCs/>
                <w:color w:val="000000" w:themeColor="text1"/>
                <w:szCs w:val="21"/>
                <w:highlight w:val="none"/>
                <w:lang w:bidi="ar"/>
              </w:rPr>
              <w:t xml:space="preserve">（提供有效期内证书扫描件及全国认证认可信息公共服务平台官网证书信息查询截图并加盖公章。证书状态为“有效”）</w:t>
            </w:r>
            <w:r>
              <w:rPr>
                <w:rFonts w:hint="eastAsia" w:ascii="宋体" w:hAnsi="宋体" w:cs="宋体"/>
                <w:b/>
                <w:bCs/>
                <w:color w:val="000000" w:themeColor="text1"/>
                <w:szCs w:val="21"/>
                <w:highlight w:val="none"/>
                <w:lang w:bidi="ar"/>
              </w:rPr>
              <w:br w:type="textWrapping" w:clear="all"/>
            </w:r>
            <w:r>
              <w:rPr>
                <w:rFonts w:hint="eastAsia" w:ascii="宋体" w:hAnsi="宋体" w:cs="宋体"/>
                <w:color w:val="000000" w:themeColor="text1"/>
                <w:szCs w:val="21"/>
                <w:highlight w:val="none"/>
                <w:lang w:bidi="ar"/>
              </w:rPr>
              <w:t xml:space="preserve">（2）投标供应商具有有效的【ITSS】信息技术服务标准符合性证书运行维护三级及以上认证证书的得2分，四级得1分，未提供的不得分。</w:t>
            </w:r>
            <w:r>
              <w:rPr>
                <w:rFonts w:hint="eastAsia" w:ascii="宋体" w:hAnsi="宋体" w:cs="宋体"/>
                <w:b/>
                <w:bCs/>
                <w:color w:val="000000" w:themeColor="text1"/>
                <w:szCs w:val="21"/>
                <w:highlight w:val="none"/>
                <w:lang w:bidi="ar"/>
              </w:rPr>
              <w:t xml:space="preserve">（提供有效期内证书扫描件并加盖公章）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25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r>
      <w:tr>
        <w:trPr>
          <w:trHeight w:val="1020"/>
        </w:trPr>
        <w:tc>
          <w:tcPr>
            <w:tcBorders>
              <w:top w:val="none" w:color="000000" w:sz="0" w:space="0"/>
              <w:left w:val="single" w:color="000000" w:sz="4" w:space="0"/>
              <w:bottom w:val="none" w:color="000000" w:sz="0" w:space="0"/>
              <w:right w:val="single" w:color="000000" w:sz="4" w:space="0"/>
            </w:tcBorders>
            <w:tcW w:w="555" w:type="dxa"/>
            <w:vAlign w:val="center"/>
            <w:vMerge w:val="continue"/>
            <w:textDirection w:val="lrTb"/>
            <w:noWrap w:val="false"/>
          </w:tcPr>
          <w:p>
            <w:pPr>
              <w:pStyle w:val="125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1256"/>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类似业绩</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256"/>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投标供应商或所投产品制造商自2023年1月1日（含）以来具有同类项目（至少包括核心产品）业绩的，每有一个得 2分，满分6分（提供中标/成交通知书、合同协议书，合同或供货清单中须反映设备产品内容等信息，否则不得分。业绩时间以合同签订时间为准）。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256"/>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rPr>
            </w:r>
            <w:r/>
          </w:p>
        </w:tc>
      </w:tr>
      <w:tr>
        <w:trPr>
          <w:trHeight w:val="1020"/>
        </w:trPr>
        <w:tc>
          <w:tcPr>
            <w:tcBorders>
              <w:top w:val="none" w:color="000000" w:sz="0"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25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1256"/>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服务培训方案</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256"/>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对投标供应商提供的售后服务及培训方案进行打分：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设备维修维护方式先进、上门服务时间及时、故障排除措施切实可行、有充足备品备件的供应保障，有质保期外优惠服务、培训安排合理的方案， 得5分；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设备维修维护方式、上门服务响应时间、故障排除时限、有备品备件的供应，有质保期外服务、有培训安排的方案，基本合理得3分；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内容粗略，没有体现重点，得0分。</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25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9761" w:type="dxa"/>
            <w:vAlign w:val="center"/>
            <w:textDirection w:val="lrTb"/>
            <w:noWrap w:val="false"/>
          </w:tcPr>
          <w:p>
            <w:pPr>
              <w:pStyle w:val="125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三、技术部分（满分</w:t>
            </w:r>
            <w:r>
              <w:rPr>
                <w:rFonts w:hint="eastAsia" w:ascii="宋体" w:hAnsi="宋体" w:cs="宋体"/>
                <w:b/>
                <w:bCs/>
                <w:color w:val="000000"/>
                <w:szCs w:val="21"/>
                <w:highlight w:val="none"/>
                <w:lang w:val="en-US" w:eastAsia="zh-CN" w:bidi="ar"/>
              </w:rPr>
              <w:t xml:space="preserve">5</w:t>
            </w:r>
            <w:r>
              <w:rPr>
                <w:rFonts w:hint="eastAsia" w:ascii="宋体" w:hAnsi="宋体" w:cs="宋体"/>
                <w:b/>
                <w:bCs/>
                <w:color w:val="000000"/>
                <w:szCs w:val="21"/>
                <w:highlight w:val="none"/>
                <w:lang w:val="en-US" w:eastAsia="zh-CN" w:bidi="ar"/>
              </w:rPr>
              <w:t xml:space="preserve">5</w:t>
            </w:r>
            <w:r>
              <w:rPr>
                <w:rFonts w:hint="eastAsia" w:ascii="宋体" w:hAnsi="宋体" w:cs="宋体"/>
                <w:b/>
                <w:bCs/>
                <w:color w:val="000000"/>
                <w:szCs w:val="21"/>
                <w:highlight w:val="none"/>
                <w:lang w:bidi="ar"/>
              </w:rPr>
              <w:t xml:space="preserve">分）</w:t>
            </w:r>
            <w:r>
              <w:rPr>
                <w:rFonts w:hint="eastAsia" w:ascii="宋体" w:hAnsi="宋体" w:cs="宋体"/>
                <w:b/>
                <w:bCs/>
                <w:color w:val="000000"/>
                <w:szCs w:val="21"/>
                <w:highlight w:val="none"/>
              </w:rPr>
            </w:r>
            <w:r/>
          </w:p>
        </w:tc>
      </w:tr>
      <w:tr>
        <w:trPr>
          <w:trHeight w:val="915"/>
        </w:trPr>
        <w:tc>
          <w:tcPr>
            <w:tcBorders>
              <w:top w:val="single" w:color="000000" w:sz="4" w:space="0"/>
              <w:left w:val="single" w:color="000000" w:sz="4" w:space="0"/>
              <w:bottom w:val="none" w:color="000000" w:sz="0" w:space="0"/>
              <w:right w:val="single" w:color="000000" w:sz="4" w:space="0"/>
            </w:tcBorders>
            <w:tcW w:w="555" w:type="dxa"/>
            <w:vAlign w:val="center"/>
            <w:vMerge w:val="restart"/>
            <w:textDirection w:val="lrTb"/>
            <w:noWrap w:val="false"/>
          </w:tcPr>
          <w:p>
            <w:pPr>
              <w:pStyle w:val="125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技术部分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125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技术参数响应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1256"/>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评标委员会将综合考虑各投标方对所投产品的说明情况，以及对投标文件响应情况等方面。由评委对投标文件中的技术要求进行比较， 对投标设备的参数（演示项除外）是否满足招标要求做出评价：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带“★”技术参数为核心指标，共2项，为实质性响应条款，若不满足废标处理；带“▲”技术参数为重要指标，有一项不满足扣1分；其他技术参数为一般性指标，有一项不满足扣0.1分；扣完为止。</w:t>
            </w:r>
            <w:r>
              <w:rPr>
                <w:rFonts w:hint="eastAsia" w:ascii="宋体" w:hAnsi="宋体" w:cs="宋体"/>
                <w:color w:val="000000"/>
                <w:szCs w:val="21"/>
                <w:highlight w:val="none"/>
                <w:lang w:bidi="ar"/>
              </w:rPr>
            </w:r>
            <w:r/>
          </w:p>
          <w:p>
            <w:pPr>
              <w:pStyle w:val="1256"/>
              <w:widowControl/>
              <w:rPr>
                <w:rFonts w:hint="eastAsia" w:ascii="宋体" w:hAnsi="宋体" w:cs="宋体"/>
                <w:color w:val="000000"/>
                <w:szCs w:val="21"/>
                <w:highlight w:val="none"/>
                <w:lang w:bidi="ar"/>
              </w:rPr>
            </w:pPr>
            <w:r>
              <w:rPr>
                <w:rFonts w:hint="eastAsia" w:ascii="宋体" w:hAnsi="宋体" w:cs="宋体"/>
                <w:color w:val="000000"/>
                <w:sz w:val="22"/>
                <w:szCs w:val="22"/>
                <w:highlight w:val="none"/>
              </w:rPr>
              <w:t xml:space="preserve">注：（1）投标供应商须在技术条款偏离表中逐条进行应答，列明所投产品详细技术特性，并说明偏离情况。（2）带“▲”的技术参数未按要求提供证明材料的，视为负偏离；其他技术参数未在技术条款偏离表中响应的，视为负偏离。</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25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rPr>
            </w:r>
            <w:r/>
          </w:p>
        </w:tc>
      </w:tr>
      <w:tr>
        <w:trPr>
          <w:trHeight w:val="4080"/>
        </w:trPr>
        <w:tc>
          <w:tcPr>
            <w:tcBorders>
              <w:top w:val="none" w:color="000000" w:sz="0" w:space="0"/>
              <w:left w:val="single" w:color="000000" w:sz="4" w:space="0"/>
              <w:bottom w:val="none" w:color="000000" w:sz="0" w:space="0"/>
              <w:right w:val="single" w:color="000000" w:sz="4" w:space="0"/>
            </w:tcBorders>
            <w:tcW w:w="555" w:type="dxa"/>
            <w:vAlign w:val="center"/>
            <w:vMerge w:val="continue"/>
            <w:textDirection w:val="lrTb"/>
            <w:noWrap w:val="false"/>
          </w:tcPr>
          <w:p>
            <w:pPr>
              <w:pStyle w:val="125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125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视频演示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1256"/>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技术指标项5-25、5-32、5-33、5-34、6-3，共5项需要按要求提供视频演示。视频总时长不超过10分钟，每演示1项得2分，合计10分，不演示或演示内容不符合要求不得分。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（1）指标项5-25，支持通过语音方式与大模型互动并通过扬声器组件反馈推理结果；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（2）指标项5-32，设备预置计算机视觉算法应用，至少包含AI图片分类、目标检测、图像分割等应用，支持对输入的图像及视频内容进行识别。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（3）指标项5-33，设备提供黑白图像上色体验应用，支持使用相关图像上色模型对输入的黑白图片进行上色推理。提供雨天图像增强体验应用，可将雨天的图像清晰化处理。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（4）指标项5-34，设备提供图像风格迁移体验应用，支持使用相关图像卡通化模型对输入图片进行卡通化处理。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（5）指标项 6-3，物联网模块：支持搭积木方式的拼接，使用磁吸插槽，各个模块之间可以进行磁吸联接，同时提供多个香蕉头，方便接线形式进行实验，并加入防短路设计。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25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1785"/>
        </w:trPr>
        <w:tc>
          <w:tcPr>
            <w:tcBorders>
              <w:top w:val="none" w:color="000000" w:sz="0" w:space="0"/>
              <w:left w:val="single" w:color="000000" w:sz="4" w:space="0"/>
              <w:bottom w:val="none" w:color="000000" w:sz="0" w:space="0"/>
              <w:right w:val="single" w:color="000000" w:sz="4" w:space="0"/>
            </w:tcBorders>
            <w:tcW w:w="555" w:type="dxa"/>
            <w:vAlign w:val="center"/>
            <w:vMerge w:val="continue"/>
            <w:textDirection w:val="lrTb"/>
            <w:noWrap w:val="false"/>
          </w:tcPr>
          <w:p>
            <w:pPr>
              <w:pStyle w:val="125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125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技术方案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125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对投标供应商提供的技术方案进行打分，包含拟投设备的可靠性、实用性、兼容性等内容：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对本项目充分了解，且项目总体技术设计方案优秀，实用性强、兼容性强的得5分；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对本项目了解，且项目总体设计方案良好，实用性一般、兼容性一般的得3分；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不提供方案或可行性较差的得0分。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25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r>
      <w:tr>
        <w:trPr>
          <w:trHeight w:val="661"/>
        </w:trPr>
        <w:tc>
          <w:tcPr>
            <w:tcBorders>
              <w:top w:val="none" w:color="000000" w:sz="0" w:space="0"/>
              <w:left w:val="single" w:color="000000" w:sz="4" w:space="0"/>
              <w:bottom w:val="none" w:color="000000" w:sz="0" w:space="0"/>
              <w:right w:val="single" w:color="000000" w:sz="4" w:space="0"/>
            </w:tcBorders>
            <w:tcW w:w="555" w:type="dxa"/>
            <w:vAlign w:val="center"/>
            <w:vMerge w:val="continue"/>
            <w:textDirection w:val="lrTb"/>
            <w:noWrap w:val="false"/>
          </w:tcPr>
          <w:p>
            <w:pPr>
              <w:pStyle w:val="125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125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实施方案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25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对投标供应商提供的项目实施方案进行打分，包含实施方案的详实性、人力投入情况及计划的可操作性、进度安排的合理性、质量保证措施等：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方案实施可行性高，投入配置完善的得5分；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方案实施可行性较高，投入配置较完善的得3分；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不提供方案或可行性较差的得0分。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25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r>
    </w:tbl>
    <w:p>
      <w:pPr>
        <w:pStyle w:val="1256"/>
        <w:spacing w:line="324" w:lineRule="auto"/>
        <w:rPr>
          <w:rFonts w:ascii="宋体"/>
          <w:b/>
          <w:color w:val="000000"/>
          <w:sz w:val="22"/>
          <w:szCs w:val="22"/>
          <w:highlight w:val="none"/>
        </w:rPr>
      </w:pPr>
      <w:r>
        <w:rPr>
          <w:rFonts w:hint="eastAsia" w:ascii="宋体"/>
          <w:b/>
          <w:color w:val="000000"/>
          <w:sz w:val="22"/>
          <w:szCs w:val="22"/>
          <w:highlight w:val="none"/>
        </w:rPr>
        <w:t xml:space="preserve">说明：</w:t>
      </w:r>
      <w:r>
        <w:rPr>
          <w:rFonts w:ascii="宋体"/>
          <w:b/>
          <w:color w:val="000000"/>
          <w:sz w:val="22"/>
          <w:szCs w:val="22"/>
          <w:highlight w:val="none"/>
        </w:rPr>
      </w:r>
      <w:r/>
    </w:p>
    <w:p>
      <w:pPr>
        <w:pStyle w:val="1256"/>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一）对国家认定的节能产品和环保产品分别给予投标价的5%、5%价格扣除，用扣除后的价格参与评审（特别说明：节能、环保产品必须纳入“中国政府采购网http://www.ccgp.gov.cn”等官方网站“节能、环保产品查询系统”，且以提供的证书扫描件为准）。</w:t>
      </w:r>
      <w:r>
        <w:rPr>
          <w:rFonts w:hint="eastAsia"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（二）小微型企业价格扣除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（1）如供应商拟为本项目对提供的货物全部由符合政策要求的小型和微型企业产品制 造，提供的服务全部由符合政策要求的小型和微型企业承接的，则给予 10%的扣除价格，用 扣除后的价格参与评审。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（2）供应商需按照招标文件的要求提供相应的《中小企业声明函》。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（3）企业标准请参照《关于印发中小企业划型标准规定的通知》（工信部联企业[2011]300 号）文件规定自行填写。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（三）残疾人福利单位价格扣除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（1）本项目对残疾人福利性单位视同小型、微型企业，给予 10%的价格扣除，用扣除 后的价格参与评审。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（2）残疾人福利单位需按照招标文件的要求提供《残疾人福利性单位声明函》。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（3）残疾人福利单位标准请参照《关于促进残疾人就业政府采购政策的通知》（财库〔2017〕141 号）。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（四）监狱和戒毒企业价格扣除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（1）本项目对监狱和戒毒企业（简称监狱企业）视同小型、微型企业，给予 10%的价格扣除，用扣除后的价格参与评审。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（2）监狱企业参加政府采购活动时，需提供由省级以上监狱管理局、戒毒管理局(含 新疆生产建设兵团)出具的属于监狱企业的证明文件。供应商如不提供上述证明文件，价格 将不做相应扣除。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（3）监狱企业标准请参照《关于政府采购支持监狱企业发展有关问题的通知》（财库[2014]68 号）。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（五）残疾人福利单位、监狱企业属于小型、微型企业的，不重复享受政策。 </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（六）小企业（含小型、微型企业）应当同时符合以下条件：</w:t>
      </w:r>
      <w:r>
        <w:rPr>
          <w:rFonts w:ascii="宋体" w:cs="宋体"/>
          <w:color w:val="000000"/>
          <w:sz w:val="22"/>
          <w:szCs w:val="22"/>
          <w:highlight w:val="none"/>
        </w:rPr>
      </w:r>
      <w:r/>
    </w:p>
    <w:p>
      <w:pPr>
        <w:pStyle w:val="1256"/>
        <w:ind w:firstLine="440"/>
        <w:spacing w:line="324" w:lineRule="auto"/>
        <w:rPr>
          <w:rFonts w:ascii="宋体" w:cs="宋体"/>
          <w:color w:val="000000"/>
          <w:sz w:val="22"/>
          <w:szCs w:val="22"/>
          <w:highlight w:val="none"/>
        </w:rPr>
      </w:pPr>
      <w:r>
        <w:rPr>
          <w:rFonts w:hint="eastAsia" w:ascii="宋体" w:cs="宋体"/>
          <w:color w:val="000000"/>
          <w:sz w:val="22"/>
          <w:szCs w:val="22"/>
          <w:highlight w:val="none"/>
        </w:rPr>
        <w:t xml:space="preserve">（1）供应商为小企业，且符合中小企业划分标准；</w:t>
      </w:r>
      <w:r>
        <w:rPr>
          <w:rFonts w:ascii="宋体" w:cs="宋体"/>
          <w:color w:val="000000"/>
          <w:sz w:val="22"/>
          <w:szCs w:val="22"/>
          <w:highlight w:val="none"/>
        </w:rPr>
      </w:r>
      <w:r/>
    </w:p>
    <w:p>
      <w:pPr>
        <w:pStyle w:val="1256"/>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（2）提供本企业制造的货物、承担的工程或者服务，或者提供其他小企业制造的货物。如果提供的货物为大中型企业注册商标的货物，视同大中型企业。</w:t>
      </w:r>
      <w:r>
        <w:rPr>
          <w:rFonts w:hint="eastAsia" w:ascii="宋体" w:cs="宋体"/>
          <w:color w:val="000000"/>
          <w:sz w:val="22"/>
          <w:szCs w:val="22"/>
          <w:highlight w:val="none"/>
        </w:rPr>
      </w:r>
      <w:r/>
    </w:p>
    <w:p>
      <w:pPr>
        <w:pStyle w:val="1256"/>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（七）采购本国产品的支持政策</w:t>
      </w:r>
      <w:r>
        <w:rPr>
          <w:rFonts w:hint="eastAsia" w:ascii="宋体" w:cs="宋体"/>
          <w:color w:val="000000"/>
          <w:sz w:val="22"/>
          <w:szCs w:val="22"/>
          <w:highlight w:val="none"/>
        </w:rPr>
      </w:r>
      <w:r/>
    </w:p>
    <w:p>
      <w:pPr>
        <w:pStyle w:val="1256"/>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cs="宋体"/>
          <w:color w:val="000000"/>
          <w:sz w:val="22"/>
          <w:szCs w:val="22"/>
          <w:highlight w:val="none"/>
        </w:rPr>
      </w:r>
      <w:r/>
    </w:p>
    <w:p>
      <w:pPr>
        <w:pStyle w:val="1256"/>
        <w:ind w:firstLine="440"/>
        <w:spacing w:line="324" w:lineRule="auto"/>
        <w:rPr>
          <w:rFonts w:hint="eastAsia" w:ascii="宋体" w:cs="宋体"/>
          <w:color w:val="000000"/>
          <w:sz w:val="22"/>
          <w:szCs w:val="22"/>
          <w:highlight w:val="none"/>
        </w:rPr>
      </w:pPr>
      <w:r>
        <w:rPr>
          <w:rFonts w:hint="eastAsia" w:ascii="宋体" w:cs="宋体"/>
          <w:color w:val="000000"/>
          <w:sz w:val="22"/>
          <w:szCs w:val="22"/>
          <w:highlight w:val="none"/>
        </w:rPr>
        <w:t xml:space="preserve">（2）具体内容详见招标文件第二章“4.5”款相关规定。</w:t>
      </w:r>
      <w:r>
        <w:rPr>
          <w:rFonts w:hint="eastAsia" w:ascii="宋体" w:cs="宋体"/>
          <w:color w:val="000000"/>
          <w:sz w:val="22"/>
          <w:szCs w:val="22"/>
          <w:highlight w:val="none"/>
        </w:rPr>
      </w:r>
      <w:r/>
    </w:p>
    <w:p>
      <w:pPr>
        <w:pStyle w:val="1256"/>
        <w:ind w:firstLine="440"/>
        <w:spacing w:line="324" w:lineRule="auto"/>
        <w:rPr>
          <w:rFonts w:ascii="宋体" w:hAnsi="宋体"/>
          <w:color w:val="000000"/>
          <w:sz w:val="22"/>
          <w:szCs w:val="22"/>
          <w:highlight w:val="none"/>
        </w:rPr>
      </w:pPr>
      <w:r>
        <w:rPr>
          <w:rFonts w:hint="eastAsia" w:ascii="宋体"/>
          <w:bCs/>
          <w:color w:val="000000"/>
          <w:sz w:val="22"/>
          <w:szCs w:val="22"/>
          <w:highlight w:val="none"/>
        </w:rPr>
        <w:t xml:space="preserve">（八）</w:t>
      </w:r>
      <w:r>
        <w:rPr>
          <w:rFonts w:hint="eastAsia" w:ascii="宋体" w:hAnsi="宋体"/>
          <w:bCs/>
          <w:color w:val="000000"/>
          <w:sz w:val="22"/>
          <w:szCs w:val="22"/>
          <w:highlight w:val="none"/>
        </w:rPr>
        <w:t xml:space="preserve">所有认证、证明和业绩除上表要求外均须提供有效的证明材料扫描件加盖公章</w:t>
      </w:r>
      <w:r>
        <w:rPr>
          <w:rFonts w:hint="eastAsia" w:ascii="宋体" w:hAnsi="宋体"/>
          <w:b/>
          <w:color w:val="000000"/>
          <w:sz w:val="22"/>
          <w:szCs w:val="22"/>
          <w:highlight w:val="none"/>
        </w:rPr>
        <w:t xml:space="preserve">。</w:t>
      </w:r>
      <w:r>
        <w:rPr>
          <w:rFonts w:ascii="宋体" w:hAnsi="宋体"/>
          <w:color w:val="000000"/>
          <w:sz w:val="22"/>
          <w:szCs w:val="22"/>
          <w:highlight w:val="none"/>
        </w:rPr>
      </w:r>
      <w:r/>
    </w:p>
    <w:p>
      <w:pPr>
        <w:pStyle w:val="1256"/>
        <w:ind w:firstLine="440"/>
        <w:spacing w:line="324" w:lineRule="auto"/>
        <w:rPr>
          <w:rFonts w:hint="eastAsia" w:ascii="宋体" w:cs="宋体"/>
          <w:b/>
          <w:bCs/>
          <w:color w:val="000000"/>
          <w:sz w:val="22"/>
          <w:szCs w:val="22"/>
          <w:highlight w:val="none"/>
        </w:rPr>
      </w:pPr>
      <w:r>
        <w:rPr>
          <w:rFonts w:hint="eastAsia" w:ascii="宋体" w:hAnsi="宋体" w:cs="宋体"/>
          <w:color w:val="000000"/>
          <w:sz w:val="22"/>
          <w:szCs w:val="22"/>
          <w:highlight w:val="none"/>
          <w:lang w:val="zh-TW" w:eastAsia="zh-CN"/>
        </w:rPr>
        <w:t xml:space="preserve">（</w:t>
      </w:r>
      <w:r>
        <w:rPr>
          <w:rFonts w:hint="eastAsia" w:ascii="宋体" w:hAnsi="宋体" w:cs="宋体"/>
          <w:color w:val="000000"/>
          <w:sz w:val="22"/>
          <w:szCs w:val="22"/>
          <w:highlight w:val="none"/>
          <w:lang w:val="en-US" w:eastAsia="zh-CN"/>
        </w:rPr>
        <w:t xml:space="preserve">九</w:t>
      </w:r>
      <w:r>
        <w:rPr>
          <w:rFonts w:hint="eastAsia" w:ascii="宋体" w:hAnsi="宋体" w:cs="宋体"/>
          <w:color w:val="000000"/>
          <w:sz w:val="22"/>
          <w:szCs w:val="22"/>
          <w:highlight w:val="none"/>
          <w:lang w:val="zh-TW" w:eastAsia="zh-CN"/>
        </w:rPr>
        <w:t xml:space="preserve">）</w:t>
      </w:r>
      <w:r>
        <w:rPr>
          <w:rFonts w:hint="eastAsia" w:ascii="宋体" w:hAnsi="宋体" w:cs="宋体"/>
          <w:color w:val="000000"/>
          <w:sz w:val="22"/>
          <w:szCs w:val="22"/>
          <w:highlight w:val="none"/>
        </w:rPr>
        <w:t xml:space="preserve">根据财库[2026]2号文《关于推动解决政府采购异常低价问题的通知规定》出现异常低价情形的（详见招标文件第二章第20.2.</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条），评审委员会应当启动异常低价</w:t>
      </w:r>
      <w:r>
        <w:rPr>
          <w:rFonts w:hint="eastAsia" w:ascii="宋体" w:hAnsi="宋体" w:cs="宋体"/>
          <w:color w:val="000000"/>
          <w:sz w:val="22"/>
          <w:szCs w:val="22"/>
          <w:highlight w:val="none"/>
          <w:lang w:eastAsia="zh-CN"/>
        </w:rPr>
        <w:t xml:space="preserve">投标</w:t>
      </w:r>
      <w:r>
        <w:rPr>
          <w:rFonts w:hint="eastAsia" w:ascii="宋体" w:hAnsi="宋体" w:cs="宋体"/>
          <w:color w:val="000000"/>
          <w:sz w:val="22"/>
          <w:szCs w:val="22"/>
          <w:highlight w:val="none"/>
        </w:rPr>
        <w:t xml:space="preserve">审查</w:t>
      </w:r>
      <w:r>
        <w:rPr>
          <w:rFonts w:hint="eastAsia" w:ascii="宋体" w:hAnsi="宋体" w:cs="宋体"/>
          <w:color w:val="000000"/>
          <w:sz w:val="22"/>
          <w:szCs w:val="22"/>
          <w:highlight w:val="none"/>
          <w:lang w:val="zh-TW"/>
        </w:rPr>
        <w:t xml:space="preserve">，要求相关供应商在评审现场</w:t>
      </w:r>
      <w:r>
        <w:rPr>
          <w:rFonts w:hint="eastAsia" w:ascii="宋体" w:hAnsi="宋体" w:cs="宋体"/>
          <w:color w:val="000000"/>
          <w:sz w:val="22"/>
          <w:szCs w:val="22"/>
          <w:highlight w:val="none"/>
        </w:rPr>
        <w:t xml:space="preserve">30分钟</w:t>
      </w:r>
      <w:r>
        <w:rPr>
          <w:rFonts w:hint="eastAsia" w:ascii="宋体" w:hAnsi="宋体" w:cs="宋体"/>
          <w:color w:val="000000"/>
          <w:sz w:val="22"/>
          <w:szCs w:val="22"/>
          <w:highlight w:val="none"/>
          <w:lang w:val="zh-TW"/>
        </w:rPr>
        <w:t xml:space="preserve">内对</w:t>
      </w:r>
      <w:r>
        <w:rPr>
          <w:rFonts w:hint="eastAsia" w:ascii="宋体" w:hAnsi="宋体" w:cs="宋体"/>
          <w:color w:val="000000"/>
          <w:sz w:val="22"/>
          <w:szCs w:val="22"/>
          <w:highlight w:val="none"/>
          <w:lang w:val="zh-TW" w:eastAsia="zh-CN"/>
        </w:rPr>
        <w:t xml:space="preserve">投标</w:t>
      </w:r>
      <w:r>
        <w:rPr>
          <w:rFonts w:hint="eastAsia" w:ascii="宋体" w:hAnsi="宋体" w:cs="宋体"/>
          <w:color w:val="000000"/>
          <w:sz w:val="22"/>
          <w:szCs w:val="22"/>
          <w:highlight w:val="none"/>
          <w:lang w:val="zh-TW"/>
        </w:rPr>
        <w:t xml:space="preserve">价格作出解释，提供项目具体成本测算等与报价合理性相关的书面说明及必要的证明材料，包括但不限于原材料成本、人工成本、制造费用等。投标报价低于采购项目最高限价</w:t>
      </w:r>
      <w:r>
        <w:rPr>
          <w:rFonts w:hint="eastAsia" w:ascii="宋体" w:hAnsi="宋体" w:cs="宋体"/>
          <w:color w:val="000000"/>
          <w:sz w:val="22"/>
          <w:szCs w:val="22"/>
          <w:highlight w:val="none"/>
        </w:rPr>
        <w:t xml:space="preserve">45%的供应商已随</w:t>
      </w:r>
      <w:r>
        <w:rPr>
          <w:rFonts w:hint="eastAsia" w:ascii="宋体" w:hAnsi="宋体" w:cs="宋体"/>
          <w:color w:val="000000"/>
          <w:sz w:val="22"/>
          <w:szCs w:val="22"/>
          <w:highlight w:val="none"/>
          <w:lang w:eastAsia="zh-CN"/>
        </w:rPr>
        <w:t xml:space="preserve">投标</w:t>
      </w:r>
      <w:r>
        <w:rPr>
          <w:rFonts w:hint="eastAsia" w:ascii="宋体" w:hAnsi="宋体" w:cs="宋体"/>
          <w:color w:val="000000"/>
          <w:sz w:val="22"/>
          <w:szCs w:val="22"/>
          <w:highlight w:val="none"/>
        </w:rPr>
        <w:t xml:space="preserve">文件一并提交相关书面说明及必要的证明材料的，在评审现场可不重复提交。</w:t>
      </w:r>
      <w:r>
        <w:rPr>
          <w:rFonts w:hint="eastAsia" w:ascii="宋体" w:hAnsi="宋体" w:cs="宋体"/>
          <w:color w:val="000000"/>
          <w:sz w:val="22"/>
          <w:szCs w:val="22"/>
          <w:highlight w:val="none"/>
          <w:lang w:val="zh-TW"/>
        </w:rPr>
        <w:t xml:space="preserve">投标供应商不能提供书面说明、证明材料，或者提供的书面说明、证明材料不能证明其报价合理性的，评审委员会应当将其作为无效投标处理。</w:t>
      </w:r>
      <w:r>
        <w:rPr>
          <w:rFonts w:hint="eastAsia" w:ascii="宋体" w:cs="宋体"/>
          <w:b/>
          <w:bCs/>
          <w:color w:val="000000"/>
          <w:sz w:val="22"/>
          <w:szCs w:val="22"/>
          <w:highlight w:val="none"/>
        </w:rPr>
      </w:r>
      <w:r/>
    </w:p>
    <w:p>
      <w:pPr>
        <w:pStyle w:val="1256"/>
        <w:ind w:firstLine="482"/>
        <w:spacing w:line="324" w:lineRule="auto"/>
        <w:rPr>
          <w:rFonts w:hint="eastAsia" w:ascii="宋体" w:cs="宋体"/>
          <w:b/>
          <w:bCs/>
          <w:color w:val="000000"/>
          <w:sz w:val="24"/>
          <w:highlight w:val="none"/>
        </w:rPr>
      </w:pPr>
      <w:r>
        <w:rPr>
          <w:rFonts w:hint="eastAsia" w:ascii="宋体" w:cs="宋体"/>
          <w:b/>
          <w:bCs/>
          <w:color w:val="000000"/>
          <w:sz w:val="24"/>
          <w:highlight w:val="none"/>
        </w:rPr>
      </w:r>
      <w:r/>
    </w:p>
    <w:p>
      <w:pPr>
        <w:pStyle w:val="1256"/>
        <w:ind w:firstLine="482"/>
        <w:spacing w:line="324" w:lineRule="auto"/>
        <w:rPr>
          <w:rFonts w:hint="eastAsia" w:ascii="宋体" w:cs="宋体"/>
          <w:b/>
          <w:bCs/>
          <w:color w:val="000000"/>
          <w:sz w:val="24"/>
          <w:highlight w:val="none"/>
        </w:rPr>
      </w:pPr>
      <w:r>
        <w:rPr>
          <w:rFonts w:hint="eastAsia" w:ascii="宋体" w:cs="宋体"/>
          <w:b/>
          <w:bCs/>
          <w:color w:val="000000"/>
          <w:sz w:val="24"/>
          <w:highlight w:val="none"/>
        </w:rPr>
      </w:r>
      <w:r/>
    </w:p>
    <w:p>
      <w:pPr>
        <w:pStyle w:val="1257"/>
        <w:numPr>
          <w:ilvl w:val="0"/>
          <w:numId w:val="0"/>
        </w:numPr>
        <w:spacing w:before="100" w:after="100" w:line="360" w:lineRule="auto"/>
        <w:rPr>
          <w:rFonts w:hint="eastAsia" w:ascii="宋体" w:hAnsi="宋体" w:cs="宋体"/>
          <w:color w:val="000000"/>
          <w:szCs w:val="32"/>
          <w:highlight w:val="none"/>
          <w:shd w:val="clear" w:color="auto" w:fill="ffffff"/>
        </w:rPr>
      </w:pPr>
      <w:r/>
      <w:bookmarkStart w:id="52" w:name="_Toc18457"/>
      <w:r>
        <w:rPr>
          <w:rFonts w:hint="eastAsia" w:ascii="宋体" w:hAnsi="宋体" w:cs="宋体"/>
          <w:color w:val="000000"/>
          <w:szCs w:val="32"/>
          <w:highlight w:val="none"/>
          <w:shd w:val="clear" w:color="auto" w:fill="ffffff"/>
        </w:rPr>
        <w:t xml:space="preserve">第四章 </w:t>
      </w:r>
      <w:bookmarkStart w:id="53" w:name="_Toc452625220"/>
      <w:r>
        <w:rPr>
          <w:rFonts w:hint="eastAsia" w:ascii="宋体" w:hAnsi="宋体" w:cs="宋体"/>
          <w:color w:val="000000"/>
          <w:szCs w:val="32"/>
          <w:highlight w:val="none"/>
          <w:shd w:val="clear" w:color="auto" w:fill="ffffff"/>
        </w:rPr>
        <w:t xml:space="preserve">招标项目的服务内容及要求等</w:t>
      </w:r>
      <w:bookmarkEnd w:id="52"/>
      <w:r/>
      <w:bookmarkEnd w:id="53"/>
      <w:r>
        <w:rPr>
          <w:rFonts w:hint="eastAsia" w:ascii="宋体" w:hAnsi="宋体" w:cs="宋体"/>
          <w:color w:val="000000"/>
          <w:szCs w:val="32"/>
          <w:highlight w:val="none"/>
          <w:shd w:val="clear" w:color="auto" w:fill="ffffff"/>
        </w:rPr>
      </w:r>
      <w:r/>
    </w:p>
    <w:p>
      <w:pPr>
        <w:pStyle w:val="1256"/>
        <w:ind w:firstLine="442"/>
        <w:spacing w:before="156" w:after="156" w:line="360" w:lineRule="auto"/>
        <w:rPr>
          <w:rFonts w:hint="eastAsia"/>
          <w:b/>
          <w:bCs/>
          <w:color w:val="000000"/>
          <w:sz w:val="22"/>
          <w:szCs w:val="22"/>
          <w:highlight w:val="none"/>
        </w:rPr>
      </w:pPr>
      <w:r/>
      <w:bookmarkStart w:id="54" w:name="_Toc452625221"/>
      <w:r/>
      <w:bookmarkStart w:id="55" w:name="_Toc22410"/>
      <w:r>
        <w:rPr>
          <w:rFonts w:hint="eastAsia"/>
          <w:b/>
          <w:bCs/>
          <w:color w:val="000000"/>
          <w:sz w:val="22"/>
          <w:szCs w:val="22"/>
          <w:highlight w:val="none"/>
        </w:rPr>
        <w:t xml:space="preserve">一、项目概况</w:t>
      </w:r>
      <w:r>
        <w:rPr>
          <w:rFonts w:hint="eastAsia"/>
          <w:b/>
          <w:bCs/>
          <w:color w:val="000000"/>
          <w:sz w:val="22"/>
          <w:szCs w:val="22"/>
          <w:highlight w:val="none"/>
        </w:rPr>
      </w:r>
      <w:r/>
    </w:p>
    <w:p>
      <w:pPr>
        <w:pStyle w:val="1256"/>
        <w:ind w:firstLine="440"/>
        <w:rPr>
          <w:rFonts w:hint="eastAsia" w:ascii="宋体" w:hAnsi="宋体" w:cs="宋体"/>
          <w:color w:val="000000"/>
          <w:sz w:val="22"/>
          <w:szCs w:val="22"/>
          <w:highlight w:val="none"/>
        </w:rPr>
      </w:pPr>
      <w:r>
        <w:rPr>
          <w:rFonts w:hint="eastAsia"/>
          <w:color w:val="000000"/>
          <w:sz w:val="22"/>
          <w:szCs w:val="22"/>
          <w:highlight w:val="none"/>
        </w:rPr>
        <w:t xml:space="preserve">项目名称：</w:t>
      </w:r>
      <w:r>
        <w:rPr>
          <w:rFonts w:hint="eastAsia" w:ascii="宋体" w:hAnsi="宋体" w:cs="宋体"/>
          <w:color w:val="000000"/>
          <w:sz w:val="22"/>
          <w:szCs w:val="22"/>
          <w:highlight w:val="none"/>
        </w:rPr>
        <w:t xml:space="preserve">南京特殊教育师范学院人工智能+软件工程专业特色实验室项目</w:t>
      </w:r>
      <w:r>
        <w:rPr>
          <w:rFonts w:hint="eastAsia" w:ascii="宋体" w:hAnsi="宋体" w:cs="宋体"/>
          <w:color w:val="000000"/>
          <w:sz w:val="22"/>
          <w:szCs w:val="22"/>
          <w:highlight w:val="none"/>
        </w:rPr>
      </w:r>
      <w:r/>
    </w:p>
    <w:p>
      <w:pPr>
        <w:pStyle w:val="1256"/>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预算：198.31万元</w:t>
      </w:r>
      <w:r>
        <w:rPr>
          <w:rFonts w:hint="eastAsia" w:ascii="宋体" w:hAnsi="宋体" w:cs="宋体"/>
          <w:color w:val="000000"/>
          <w:sz w:val="22"/>
          <w:szCs w:val="22"/>
          <w:highlight w:val="none"/>
        </w:rPr>
      </w:r>
      <w:r/>
    </w:p>
    <w:p>
      <w:pPr>
        <w:pStyle w:val="1256"/>
        <w:ind w:firstLine="442"/>
        <w:spacing w:before="156" w:after="156" w:line="360" w:lineRule="auto"/>
        <w:rPr>
          <w:b/>
          <w:bCs/>
          <w:color w:val="000000"/>
          <w:sz w:val="22"/>
          <w:szCs w:val="22"/>
          <w:highlight w:val="none"/>
        </w:rPr>
      </w:pPr>
      <w:r>
        <w:rPr>
          <w:rFonts w:hint="eastAsia"/>
          <w:b/>
          <w:bCs/>
          <w:color w:val="000000"/>
          <w:sz w:val="22"/>
          <w:szCs w:val="22"/>
          <w:highlight w:val="none"/>
        </w:rPr>
        <w:t xml:space="preserve">二、采购清单</w:t>
      </w:r>
      <w:r>
        <w:rPr>
          <w:b/>
          <w:bCs/>
          <w:color w:val="000000"/>
          <w:sz w:val="22"/>
          <w:szCs w:val="22"/>
          <w:highlight w:val="none"/>
        </w:rPr>
      </w:r>
      <w:r/>
    </w:p>
    <w:tbl>
      <w:tblPr>
        <w:tblW w:w="5076" w:type="pct"/>
        <w:tblInd w:w="-108" w:type="dxa"/>
        <w:tblLayout w:type="autofit"/>
        <w:tblCellMar>
          <w:left w:w="108" w:type="dxa"/>
          <w:top w:w="0" w:type="dxa"/>
          <w:right w:w="108" w:type="dxa"/>
          <w:bottom w:w="0" w:type="dxa"/>
        </w:tblCellMar>
        <w:tblLook w:val="04A0" w:firstRow="1" w:lastRow="0" w:firstColumn="1" w:lastColumn="0" w:noHBand="0" w:noVBand="1"/>
      </w:tblPr>
      <w:tblGrid>
        <w:gridCol w:w="1027"/>
        <w:gridCol w:w="2426"/>
        <w:gridCol w:w="1293"/>
        <w:gridCol w:w="1083"/>
        <w:gridCol w:w="1083"/>
        <w:gridCol w:w="1500"/>
        <w:gridCol w:w="1500"/>
      </w:tblGrid>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进口/国产</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单位</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数量</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是否为核心产品</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行业</w:t>
            </w:r>
            <w:r>
              <w:rPr>
                <w:rFonts w:ascii="宋体" w:hAnsi="宋体" w:cs="宋体"/>
                <w:b/>
                <w:bCs/>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人工智能教学实验综合平台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基础技能教学实验资源包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核心技能教学实验资源包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拓展技能教学实验资源包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人工智能综合实训箱</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南北向开源系统实验平台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CPU设计与体系结构教学实验平台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管理资源池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平台资源池</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视障辅助设备-盲用辅具</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多模态感知的智能通用灵巧手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智能心理监测系统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智能心理监护系统采集设备</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基于脑机接口社交沟通训练系统的智能脑环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外骨骼数据采集系统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特需儿童AI康复教育智能体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软件和信息技术服务业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开源具身智能实验练习平台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实验室环境信息发布终端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组网交换机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学生桌椅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教师座椅</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智能电动升降讲台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智能教学集成书写终端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实验室门禁设备</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套</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否</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1256"/>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工业</w:t>
            </w:r>
            <w:r>
              <w:rPr>
                <w:rFonts w:hint="eastAsia" w:ascii="宋体" w:hAnsi="宋体" w:cs="宋体"/>
                <w:color w:val="000000"/>
                <w:sz w:val="22"/>
                <w:szCs w:val="22"/>
                <w:highlight w:val="none"/>
                <w:lang w:bidi="ar"/>
              </w:rPr>
            </w:r>
            <w:r/>
          </w:p>
        </w:tc>
      </w:tr>
    </w:tbl>
    <w:p>
      <w:pPr>
        <w:pStyle w:val="1256"/>
        <w:ind w:firstLine="442"/>
        <w:spacing w:before="156" w:after="156" w:line="360" w:lineRule="auto"/>
        <w:rPr>
          <w:rFonts w:hint="eastAsia"/>
          <w:b/>
          <w:bCs/>
          <w:color w:val="000000"/>
          <w:sz w:val="22"/>
          <w:szCs w:val="22"/>
          <w:highlight w:val="none"/>
        </w:rPr>
      </w:pPr>
      <w:r>
        <w:rPr>
          <w:rFonts w:hint="eastAsia"/>
          <w:b/>
          <w:bCs/>
          <w:color w:val="000000"/>
          <w:sz w:val="22"/>
          <w:szCs w:val="22"/>
          <w:highlight w:val="none"/>
        </w:rPr>
        <w:t xml:space="preserve">三、技术要求</w:t>
      </w:r>
      <w:r>
        <w:rPr>
          <w:rFonts w:hint="eastAsia"/>
          <w:b/>
          <w:bCs/>
          <w:color w:val="000000"/>
          <w:sz w:val="22"/>
          <w:szCs w:val="22"/>
          <w:highlight w:val="none"/>
        </w:rPr>
      </w:r>
      <w:r/>
    </w:p>
    <w:p>
      <w:pPr>
        <w:pStyle w:val="1256"/>
        <w:ind w:firstLine="442"/>
        <w:spacing w:line="360" w:lineRule="auto"/>
        <w:rPr>
          <w:rFonts w:ascii="宋体" w:hAnsi="宋体"/>
          <w:b/>
          <w:iCs/>
          <w:color w:val="000000"/>
          <w:sz w:val="22"/>
          <w:szCs w:val="22"/>
          <w:highlight w:val="none"/>
          <w:u w:val="single"/>
        </w:rPr>
        <w:outlineLvl w:val="1"/>
      </w:pPr>
      <w:r>
        <w:rPr>
          <w:rFonts w:hint="eastAsia" w:ascii="宋体" w:hAnsi="宋体"/>
          <w:b/>
          <w:iCs/>
          <w:color w:val="000000"/>
          <w:sz w:val="22"/>
          <w:szCs w:val="22"/>
          <w:highlight w:val="none"/>
          <w:u w:val="single"/>
        </w:rPr>
        <w:t xml:space="preserve">（一）人工智能教学实验综合平台（数量1套）</w:t>
      </w:r>
      <w:r>
        <w:rPr>
          <w:rFonts w:ascii="宋体" w:hAnsi="宋体"/>
          <w:b/>
          <w:iCs/>
          <w:color w:val="000000"/>
          <w:sz w:val="22"/>
          <w:szCs w:val="22"/>
          <w:highlight w:val="none"/>
          <w:u w:val="single"/>
        </w:rPr>
      </w:r>
      <w:r/>
    </w:p>
    <w:p>
      <w:pPr>
        <w:pStyle w:val="1256"/>
        <w:ind w:firstLine="440"/>
        <w:jc w:val="left"/>
        <w:spacing w:line="360" w:lineRule="auto"/>
        <w:shd w:val="clear" w:color="auto" w:fill="ffffff"/>
        <w:rPr>
          <w:rFonts w:ascii="宋体" w:hAnsi="宋体" w:cs="Arial"/>
          <w:color w:val="000000"/>
          <w:sz w:val="22"/>
          <w:szCs w:val="22"/>
          <w:highlight w:val="none"/>
        </w:rPr>
        <w:outlineLvl w:val="2"/>
      </w:pPr>
      <w:r>
        <w:rPr>
          <w:rFonts w:hint="eastAsia" w:ascii="宋体" w:hAnsi="宋体" w:cs="Arial"/>
          <w:color w:val="000000"/>
          <w:sz w:val="22"/>
          <w:szCs w:val="22"/>
          <w:highlight w:val="none"/>
        </w:rPr>
        <w:t xml:space="preserve">1</w:t>
      </w:r>
      <w:r>
        <w:rPr>
          <w:rFonts w:ascii="宋体" w:hAnsi="宋体" w:cs="Arial"/>
          <w:color w:val="000000"/>
          <w:sz w:val="22"/>
          <w:szCs w:val="22"/>
          <w:highlight w:val="none"/>
        </w:rPr>
        <w:t xml:space="preserve">.</w:t>
      </w:r>
      <w:r>
        <w:rPr>
          <w:rFonts w:hint="eastAsia" w:ascii="宋体" w:hAnsi="宋体" w:cs="Arial"/>
          <w:color w:val="000000"/>
          <w:sz w:val="22"/>
          <w:szCs w:val="22"/>
          <w:highlight w:val="none"/>
        </w:rPr>
        <w:t xml:space="preserve">功能要求</w:t>
      </w:r>
      <w:r>
        <w:rPr>
          <w:rFonts w:ascii="宋体" w:hAnsi="宋体" w:cs="Arial"/>
          <w:color w:val="000000"/>
          <w:sz w:val="22"/>
          <w:szCs w:val="22"/>
          <w:highlight w:val="none"/>
        </w:rPr>
      </w:r>
      <w:r/>
    </w:p>
    <w:p>
      <w:pPr>
        <w:pStyle w:val="1256"/>
        <w:ind w:firstLine="440"/>
        <w:jc w:val="left"/>
        <w:spacing w:line="360" w:lineRule="auto"/>
        <w:shd w:val="clear" w:color="auto" w:fill="ffffff"/>
        <w:rPr>
          <w:rFonts w:ascii="宋体" w:hAnsi="宋体" w:cs="Arial"/>
          <w:color w:val="000000"/>
          <w:sz w:val="22"/>
          <w:szCs w:val="22"/>
          <w:highlight w:val="none"/>
        </w:rPr>
      </w:pPr>
      <w:r>
        <w:rPr>
          <w:rFonts w:hint="eastAsia" w:ascii="宋体" w:hAnsi="宋体" w:cs="Arial"/>
          <w:color w:val="000000"/>
          <w:sz w:val="22"/>
          <w:szCs w:val="22"/>
          <w:highlight w:val="none"/>
        </w:rPr>
        <w:t xml:space="preserve">人工智能教学实验综合平台是一款辅助教学工具平台，提供专业的教学资源支持与平台提供的人工智能实验环境，包括虚拟机实验环境、容器化实验环境、Jupyter实验环境等联动使用授课，旨在减轻教师教学工作量，提升师生互动体验性与上课效率。产品主打以理论教学为辅，学生动手实践为主导的教学理念，构建一体化的备、教、学、测、评、管服务体系，实现教学中的“教学评测练问答”教学闭环。</w:t>
      </w:r>
      <w:r>
        <w:rPr>
          <w:rFonts w:ascii="宋体" w:hAnsi="宋体" w:cs="Arial"/>
          <w:color w:val="000000"/>
          <w:sz w:val="22"/>
          <w:szCs w:val="22"/>
          <w:highlight w:val="none"/>
        </w:rPr>
      </w:r>
      <w:r/>
    </w:p>
    <w:p>
      <w:pPr>
        <w:pStyle w:val="1256"/>
        <w:ind w:firstLine="440"/>
        <w:jc w:val="left"/>
        <w:spacing w:line="360" w:lineRule="auto"/>
        <w:shd w:val="clear" w:color="auto" w:fill="ffffff"/>
        <w:rPr>
          <w:rFonts w:ascii="宋体" w:hAnsi="宋体"/>
          <w:color w:val="000000"/>
          <w:sz w:val="22"/>
          <w:szCs w:val="22"/>
          <w:highlight w:val="none"/>
        </w:rPr>
        <w:outlineLvl w:val="2"/>
      </w:pPr>
      <w:r>
        <w:rPr>
          <w:rFonts w:hint="eastAsia" w:ascii="宋体" w:hAnsi="宋体"/>
          <w:color w:val="000000"/>
          <w:sz w:val="22"/>
          <w:szCs w:val="22"/>
          <w:highlight w:val="none"/>
        </w:rPr>
        <w:t xml:space="preserve">2</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应遵循的相关国家标准、行业标准、地方标准等标准、规范</w:t>
      </w:r>
      <w:r>
        <w:rPr>
          <w:rFonts w:ascii="宋体" w:hAnsi="宋体"/>
          <w:color w:val="000000"/>
          <w:sz w:val="22"/>
          <w:szCs w:val="22"/>
          <w:highlight w:val="none"/>
        </w:rPr>
      </w:r>
      <w:r/>
    </w:p>
    <w:p>
      <w:pPr>
        <w:pStyle w:val="1256"/>
        <w:ind w:firstLine="440"/>
        <w:jc w:val="left"/>
        <w:spacing w:line="360" w:lineRule="auto"/>
        <w:shd w:val="clear" w:color="auto" w:fill="ffffff"/>
        <w:rPr>
          <w:rFonts w:hint="eastAsia" w:ascii="宋体" w:hAnsi="宋体" w:cs="Arial"/>
          <w:color w:val="000000"/>
          <w:sz w:val="22"/>
          <w:szCs w:val="22"/>
          <w:highlight w:val="none"/>
        </w:rPr>
      </w:pPr>
      <w:r>
        <w:rPr>
          <w:rFonts w:hint="eastAsia" w:ascii="宋体" w:hAnsi="宋体" w:cs="Arial"/>
          <w:color w:val="000000"/>
          <w:sz w:val="22"/>
          <w:szCs w:val="22"/>
          <w:highlight w:val="none"/>
        </w:rPr>
        <w:t xml:space="preserve">GB/T 19001-2016《质量管理体系要求》：规范项目全生命周期的质量管控，涵盖平台开发、资源建设、服务交付等环节</w:t>
      </w:r>
      <w:r>
        <w:rPr>
          <w:rFonts w:hint="eastAsia" w:ascii="宋体" w:hAnsi="宋体" w:cs="Arial"/>
          <w:color w:val="000000"/>
          <w:sz w:val="22"/>
          <w:szCs w:val="22"/>
          <w:highlight w:val="none"/>
        </w:rPr>
      </w:r>
      <w:r/>
    </w:p>
    <w:p>
      <w:pPr>
        <w:pStyle w:val="1256"/>
        <w:ind w:firstLine="440"/>
        <w:jc w:val="left"/>
        <w:spacing w:line="360" w:lineRule="auto"/>
        <w:shd w:val="clear" w:color="auto" w:fill="ffffff"/>
        <w:rPr>
          <w:rFonts w:ascii="宋体" w:hAnsi="宋体"/>
          <w:color w:val="000000"/>
          <w:sz w:val="22"/>
          <w:szCs w:val="22"/>
          <w:highlight w:val="none"/>
        </w:rPr>
        <w:outlineLvl w:val="2"/>
      </w:pPr>
      <w:r>
        <w:rPr>
          <w:rFonts w:hint="eastAsia" w:ascii="宋体" w:hAnsi="宋体"/>
          <w:color w:val="000000"/>
          <w:sz w:val="22"/>
          <w:szCs w:val="22"/>
          <w:highlight w:val="none"/>
        </w:rPr>
        <w:t xml:space="preserve">3.各项指标要求</w:t>
      </w:r>
      <w:r>
        <w:rPr>
          <w:rFonts w:ascii="宋体" w:hAnsi="宋体"/>
          <w:color w:val="000000"/>
          <w:sz w:val="22"/>
          <w:szCs w:val="22"/>
          <w:highlight w:val="none"/>
        </w:rPr>
      </w:r>
      <w:r/>
    </w:p>
    <w:tbl>
      <w:tblPr>
        <w:tblW w:w="5130" w:type="pct"/>
        <w:tblInd w:w="-108" w:type="dxa"/>
        <w:tblLayout w:type="fixed"/>
        <w:tblCellMar>
          <w:left w:w="108" w:type="dxa"/>
          <w:top w:w="0" w:type="dxa"/>
          <w:right w:w="108" w:type="dxa"/>
          <w:bottom w:w="0" w:type="dxa"/>
        </w:tblCellMar>
        <w:tblLook w:val="04A0" w:firstRow="1" w:lastRow="0" w:firstColumn="1" w:lastColumn="0" w:noHBand="0" w:noVBand="1"/>
      </w:tblPr>
      <w:tblGrid>
        <w:gridCol w:w="843"/>
        <w:gridCol w:w="820"/>
        <w:gridCol w:w="972"/>
        <w:gridCol w:w="5440"/>
        <w:gridCol w:w="1943"/>
      </w:tblGrid>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指标重要性</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指标要求</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需要提供的证明材料</w:t>
            </w:r>
            <w:r>
              <w:rPr>
                <w:rFonts w:hint="eastAsia" w:ascii="宋体" w:hAnsi="宋体" w:cs="宋体"/>
                <w:b/>
                <w:bCs/>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restart"/>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技术参数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Style w:val="1405"/>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Style w:val="1405"/>
                <w:color w:val="000000"/>
                <w:sz w:val="22"/>
                <w:szCs w:val="22"/>
                <w:highlight w:val="none"/>
                <w:lang w:bidi="ar"/>
              </w:rPr>
              <w:t xml:space="preserve">系统支持教师用户自定义首页默认布局设置。支持一键恢复首页默认布局。教师用户首页支持全局模式、教学模式、备课模式和考试模式4种内置首页布局模式。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系统支持自定义排课功能，包含课程信息、上课班级、授课老师、上课地点、上课时间等信息。</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Style w:val="1405"/>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Style w:val="1405"/>
                <w:color w:val="000000"/>
                <w:sz w:val="22"/>
                <w:szCs w:val="22"/>
                <w:highlight w:val="none"/>
                <w:lang w:bidi="ar"/>
              </w:rPr>
              <w:t xml:space="preserve">系统支持用户在线制作实验环境，满足不同的教学场景需求。支持生成Docker容器，Linux环境下多种操作系统,并且支持单机和集群两种模式,可以自定义每一个虚机或容器的物理配置。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系统支持镜像管理功能，系统内置镜像≥200个,支持对镜像自定义标签，支持查询和复用。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系统支持对图像分类、目标检测、机器学习所需的数据集进行管理，支持数据集的导入功能。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Style w:val="1405"/>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Style w:val="1405"/>
                <w:color w:val="000000"/>
                <w:sz w:val="22"/>
                <w:szCs w:val="22"/>
                <w:highlight w:val="none"/>
                <w:lang w:bidi="ar"/>
              </w:rPr>
              <w:t xml:space="preserve">系统支持内置录屏功能，提供容器、Jupyter录屏环境。支持对屏幕录像和文档素材进行管理，文档素材支持word、ppt和excel格式。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系统支持实验报告模板管理，内置文档编辑器，支持在线编辑模板。</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系统支持课程管理功能，包含系统内置课程和教师自建课程。可按照课程标签快速筛选课程。支持对系统内置课程复用，方便快速创建课程。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查看课程详情，包括上课时间、该课程累计上课次数、系统和自建标签以及学习路径和班级信息展示。支持编辑所在院系、所学专业、所在班级，支持自定义课程名称、课程封面图片。支持课程发布、学生申请、课程共享功能的一键开关。</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系统支持课程编辑，需包括课程介绍、课程大纲、课程目录、实验报告、提问记录、分组记录等模块。支持内置文档编辑工具，支持本地上传文档。</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系统支持课程目录编辑。支持对章节内容的编辑，可以添加实验，添加视频、课件。支持选择实验运行系统；支持从系统导入或自主上传实验手册、报告模板、视频、课件等素材；支持手动排序功能。</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系统支持对班级成员进行分组，支持手动和随机分组，可支持组长设置。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系统支持学生查看每个实验章节详情，包括本节视频、实验环境描述等信息，支持查看实验环境的节点数量、配置以及组网情况。支持查看节点IP地址。</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学生在线实验，支持删除实验、保存实验、临时关闭、共享桌面、上传文件、下载文件、全屏操作、剪切板等8项基本环境操作功能。学生实验时在未完成当前实验的情况下，不依赖于当前章节编辑顺序，可随意跳转并完成实验。支持一键重置实验。支持小窗口播放教学视频。</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系统支持学生笔记功能，学生可按章节记录课堂笔记，并对自己的笔记进行管理，支持笔记导出。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sz w:val="22"/>
                <w:szCs w:val="22"/>
                <w:highlight w:val="none"/>
              </w:rPr>
            </w:pPr>
            <w:r>
              <w:rPr>
                <w:rStyle w:val="1405"/>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sz w:val="22"/>
                <w:szCs w:val="22"/>
                <w:highlight w:val="none"/>
              </w:rPr>
            </w:pPr>
            <w:r>
              <w:rPr>
                <w:rStyle w:val="1405"/>
                <w:color w:val="000000"/>
                <w:sz w:val="22"/>
                <w:szCs w:val="22"/>
                <w:highlight w:val="none"/>
                <w:lang w:bidi="ar"/>
              </w:rPr>
              <w:t xml:space="preserve">系统支持在线课堂功能，提供在线电子白板和在线讨论功能。支持在线录屏、签到、随机提问、实验监控等功能。支持在线同步共享实验环境界面让学生观看与学习。课堂中的主持和演示权限设置，可设置其他演示者与主持人权限。</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提供产品彩页或软件功能截图或带有CMA标识的第三方检测报告证明材料扫描件并加盖投标供应商公章</w:t>
            </w:r>
            <w:r>
              <w:rPr>
                <w:rFonts w:hint="eastAsia" w:ascii="宋体" w:hAnsi="宋体" w:cs="宋体"/>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在线课堂支持在线发起签到功能，支持设置学生签到时间，支持每个班级的签到记录情况查询，支持手动补签操作。支持以EXCL表格形式导出相关签到数据。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否</w:t>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在线课堂支持互动电子白板功能，可支持多种批注工具（图形、文字、手写等），支持实时批注与多用户实时批注功能。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在线课堂支持教学资源播放功能，支持教学视频，PPT教学资源的同步播放。支持上传外部演示文件（PPT、Word、Excl等多种格式文件），支持分享外部视频以供学生同步观看。支持在线课程录制，支持对录制的视频进行查看、下载、以及删除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在线课堂支持在线学习的用户设置上课状态，包含离开、举手、未决定、困惑、悲伤、高兴、鼓掌、点赞、拍砖等，支持在线课堂中的主持和演示权限设置，可设置其他演示者与主持人权限。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在线课堂支持课堂讨论模块，教师用户拥有开放讨论和清空讨论权限，支持发送内置互动表情。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在线课堂支持在线随机点名提问功能，支持对学生回答打分。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在线课堂支持实验监控功能，支持查询学生在线实验情况，支持一键提醒学生录屏，支持远程协助功能，可对学生主机进行操作指导。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系统支持教师在统一入口创建多种教学工具：容器演示环境、Jupyter演示环境、图像分类演示环境、目标检测演示环境、机器学习演示环境。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器学习演示环境：支持通过鼠标拖拽算法的方式快速生成机器学习训练模型，支持查看关键算法代码和算法说明，支持手动调参优化模型；支持查看模型训练历史版本；系统支持用户查看模型训练样本的模型评估报告，支持查看当前版本的模型训练的基本属性、机器学习算法、算法属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器学习演示环境：支持类型转换、添加序号列、拆分、缺失值填充、归一化、标准化、随机采样、系统采样、分层采样、去重、两表连接等11种数据预处理方法；支持特征尺度变换、特征离散、主成分分析、过滤式选择、随机森林特征等5种特征工程；支持分类算法、聚类算法、回归算法、关联规则、文本分析等5大类共计17种机器学习算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深度学习目标检测演示环境：支持用户完成目标检测模型训练，支持选择不同的数据集进行循环多次训练，支持分配数据集训练、验证与测试的数据比例；支持设置模型训练参数，包含优化器、模型迭代次数、Batch-size及学习率；支持设置神经网络框架与算法以及计算资源环境等参数；支持对模型效果进行测试；支持展示模型应用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深度学习目标检测演示环境：支持训练监控功能，支持随时读取当前训练信息与训练任务进度信息，查看训练数据信息，支持以TensorBoard方式实时监控目标检测训练过程。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深度学习目标检测演示环境：支持自动生成评估报告，评估报告包含mAP、mAP@.50IOU、mAP@.75IOU、mAP (small)、mAP (medium))、mAP(large)等6个mAP值的相关数据，支持以列表方式呈现模型训练效果。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33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深度学习图像分类演示环境支持配置单点计算模式或分布式计算模式；支持配置深度学习神经网络；支持配置底层计算框架，包含Keras（vgg16、restnet50、alex、squeezenet、mobilenet、lenet、alexfcn、xception、inception-v1、vgg19、vggfcn等共计11种）；支持CPU、GPU的单机或集群环境，支持单GPU卡或多GPU卡方式进行计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深度学习图像分类演示环境:支持随时读取当前训练信息与训练任务进度信息，支持查看训练数据信息，支持以TensorBoard方式实时监控图像分类训练过程;支持对模型效果进行测试；支持展示模型应用效果。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深度学习图像分类演示环境:支持自动生成评估报告，评估报告包含训练集、验证集、测试集的精确率、精准率、召回率、F1-score等4个指标的图表结果展示；系统自动计算出top1-top5的准确率；并展示训练结果的混淆矩阵等指标结果信息;支持呈现模型训练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系统支持学员管理，支持查看班级成员、查看课程申请和添加重修学员，支持学员密码重置。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系统支持课堂管理功能,支持查看学生在线或离线情况、实验报告提交情况，支持通过远程协助进入学生正在试验的环境；支持快照管理，可查看和删除学生虚机快照。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系统支持虚机管理，可查看和关闭学生虚机。提供平台小助手模块，可随时管理虚机，支持设置平台小助手的透明度。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系统支持教师编辑不同课程章节的课堂备注信息，并支持批量删除及导出。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系统支持课件、视频、手册、图片、软件、数据及其他资源的上传、下载、共享及删除等文件管理功能。支持提供个人网盘功能。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系统支持通过仪表盘展示Docker容器资源使用情况，包含CPU、内存使用比。支持对教师和学生的虚机进行查询、删除等操作。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系统支持用户在保存实验时一键生成快照，支持对所有快照进行查询、管理、删除等操作。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系统支持任务调度功能，支持对正在运行的测试或训练任务进行暂停、终止操作，支持对已完成的任务进行筛选、查看、删除等操作。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79"/>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系统支持在线考试功能，支持自定义系统内所有试题的难度系数和权重。支持对试题来源、所属科目和试题题型等进行编辑和修改；支持单选题、多选题、判断题、简答题、填空题及实验题等题型；考试题支持在线编辑添加和word文件导入添加两种操作方式，系统内置word试题模板；支持通过图形显示不同题型分配比例和数量统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在线考试支持编辑添加实验题，实验题支持容器、Jupyter多种运行环境，支持单机、集群两种环境类别，支持设置主、从节点的参数。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43、在线考试支持自动组卷和手动组卷两种方式添加试卷。通过对不同题型所属的试题科目进行题目总数设定，支持自动计算总分数。完成快速自动组卷。系统支持将任意已发布的试卷自动设为模板，支持对模板试卷的复用功能。支持试卷以word格式批量导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在线考试支持查看试卷满分、最高分、最低分、平均分、及格率、已提交人数等考试信息。支持查看学生的考试时间、答题时长、成绩、及格状态等数据。支持以excel格式导出学生成绩。支持考试分析功能，展示错题率统计图和成绩排名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系统支持自定义学习路径功能，支持对课程的学科分类、学科内容及学科适用职业进行定位，支持对学习路径新增分类、新增路径小类、新增岗位。支持学习路径的可视化分析，展示岗位能力达成图、技术能力分布图、学习路径课程分布图。支持通过课程、班级以及姓名筛选查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教师查看班级的实验报告分析，展示报告满分、最高分、最低分、平均分和已提交人数等数据，展示整个班级成绩排名图和实验分析图。支持学生查看个人实验报告分析，展示完成率、提交报告次数和报告成绩分析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42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人脸表情识别功能。支持dlib库和训练好的人脸特征点模型，系统内置68模型（shape_predictor_68_face_landmarks.dat），支持使用OpenCV对图片进行操作，支持对识别出的人脸标注出特征点。支持用户从本地上传图片，或使用系统内置图片，或使用摄像头捕获图片上传至平台，本地上传图片类型支持jpg、png格式。系统通过计算，以可视化的方式展示当前模型使用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71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系统支持图片风格迁移功能。支持tensorflow实现图像风格迁移，支持把一张图片的内容和一张图片的风格结合在一起，使内容图片的风格变成风格图片的风格样式。支持不少于7种风格图片模型，输入一张内容图片，支持随机输出一张改变风格后的图片。支持用户从本地上传图片，或使用系统内置图片，或使用摄像头捕获图片上传至平台，本地上传图片类型支持jpg、png格式。系统通过计算，以可视化的方式展示当前模型使用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91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看图说话功能。支持tensorflow实现Google的image-to-text模型，支持把图像转换成文字。支持根据输入的图片，把图片内容描述以字符串的形式输出。支持用户从本地上传图片，或使用系统内置图片，或使用摄像头捕获图片上传至平台，本地上传图片类型支持jpg、png格式。系统通过计算，以可视化的方式展示当前模型使用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42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系统支持YOLO目标检测功能。支持使用Keras实现YOLOv3模型进行目标检测，支持输入多张图片，并对图片中的物体检测标注，然后输出标注好后的图片。支持用户从本地上传图片，或使用系统内置图片，或使用摄像头捕获图片上传至平台，本地上传图片类型支持jpg、png格式。系统通过计算，以可视化的方式展示当前模型使用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142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识别人体关键点功能。支持使用TensorFlow实现OpenPose模型，能够识别出人体的骨骼关键点，通过人体的关键点检测，可以辨别出人体的姿态，通过人体的姿态可在一些场景下做出判断并提醒。输入图片，然后通过处理，输出标注好人体关键点的图片。支持用户从本地上传图片，或使用系统内置图片，或使用摄像头捕获图片上传至平台，本地上传图片类型支持jpg、png格式。系统通过计算，以可视化的方式展示当前模型使用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42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性别年龄识别功能。支持使用tensorflow实现用于人的年龄和性别的估算。支持用户从本地上传图片，或使用系统内置图片，或使用摄像头捕获图片上传至平台，本地上传图片类型支持jpg、png格式。系统通过计算，以可视化的方式展示当前模型使用效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系统支持磁盘管理功能，支持自动或手动清理磁盘。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系统支持组织管理、班级管理和用户管理。支持对系统账户进行编辑、重置密码、禁用和删除操作。支持从回收站还原账户。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系统支持在线用户管理功能，支持查看系统当前在线用户的会话编号、姓名、浏览器、操作系统、登录时间、登录IP、登录地点等信息，支持对系统当前在线用户进行强退及批量强退操作。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系统支持登录日志管理功能，支持查看登录用户的姓名、账号、浏览器、操作系统、登录IP、登录地点、登录状态、错误信息、操作耗时、登录时间的信息，支持批量删除及导出操作。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系统支持操作日志管理功能，支持查看用户操作的姓名、操作模块、错误信息、操作方法、请求参数、操作IP、操作时间、账号、操作状态、操作耗时、操作内容、返回参数、操作地点等信息，支持删除操作。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系统支持安全管理功能，支持对当前数据库进行备份，支持按时间段查询所有备份的数据库信息、支持备份的恢复与删除。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系统支持系统信息设置功能，支持自定义系统名称、技术支持的名称、系统说明、系统LOGO等信息。支持一键还原初始设置。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405"/>
                <w:color w:val="000000" w:themeColor="text1"/>
                <w:sz w:val="22"/>
                <w:szCs w:val="22"/>
                <w:highlight w:val="none"/>
                <w:lang w:bidi="ar"/>
              </w:rPr>
              <w:t xml:space="preserve">系统支持添加、导入及批量删除敏感词，支持对已有敏感词状态进行开启或关闭操作，支持对所选敏感词进行编辑及删除操作。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提供产品彩页或软件功能截图或带有CMA标识的第三方检测报告证明材料扫描件并加盖投标供应商公章</w:t>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系统支持通知管理功能，支持对系统通知进行查看、撤销及删除操作。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ind w:firstLine="440"/>
        <w:jc w:val="left"/>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lang w:val="zh-CN"/>
        </w:rPr>
      </w:r>
      <w:r>
        <w:rPr>
          <w:color w:val="000000" w:themeColor="text1"/>
        </w:rPr>
      </w:r>
      <w:r/>
    </w:p>
    <w:p>
      <w:pPr>
        <w:pStyle w:val="1256"/>
        <w:ind w:firstLine="420"/>
        <w:rPr>
          <w:rFonts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（二）基础技能教学实验资源包（数量1套）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u w:val="single"/>
        </w:rPr>
      </w:pPr>
      <w:r>
        <w:rPr>
          <w:rFonts w:hint="eastAsia" w:ascii="宋体" w:hAnsi="宋体"/>
          <w:color w:val="000000" w:themeColor="text1"/>
          <w:sz w:val="22"/>
          <w:szCs w:val="22"/>
          <w:highlight w:val="none"/>
          <w:u w:val="single"/>
        </w:rPr>
        <w:t xml:space="preserve">基础技能教学实验资源包共3门课程：《人工智能概论》、《自然语言处理》、《知识表示与处理》，部署在人工智能教学实验综合平台里。</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3</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各项指标要求</w:t>
      </w:r>
      <w:r>
        <w:rPr>
          <w:color w:val="000000" w:themeColor="text1"/>
        </w:rPr>
      </w:r>
      <w:r/>
    </w:p>
    <w:tbl>
      <w:tblPr>
        <w:tblW w:w="5085" w:type="pct"/>
        <w:tblInd w:w="-108" w:type="dxa"/>
        <w:tblLayout w:type="autofit"/>
        <w:tblCellMar>
          <w:left w:w="108" w:type="dxa"/>
          <w:top w:w="0" w:type="dxa"/>
          <w:right w:w="108" w:type="dxa"/>
          <w:bottom w:w="0" w:type="dxa"/>
        </w:tblCellMar>
        <w:tblLook w:val="04A0" w:firstRow="1" w:lastRow="0" w:firstColumn="1" w:lastColumn="0" w:noHBand="0" w:noVBand="1"/>
      </w:tblPr>
      <w:tblGrid>
        <w:gridCol w:w="890"/>
        <w:gridCol w:w="864"/>
        <w:gridCol w:w="1027"/>
        <w:gridCol w:w="5774"/>
        <w:gridCol w:w="1375"/>
      </w:tblGrid>
      <w:tr>
        <w:trPr>
          <w:trHeight w:val="824"/>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256"/>
              <w:jc w:val="center"/>
              <w:widowControl/>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1367"/>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技术指标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人工智能概论》资源构成：不少于10个实验手册及配套实验环境。内容范围：包括不限于人工智能应用算法实验环境搭建、决策树与可视化、K近邻分类、线性回归、模糊推理系统、深度神经网络、图像识别与分割等核心实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638"/>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自然语言处理》资源构成：不少于16个实验手册及配套实验环境。内容范围：包括不限于相似度模型、词云制作、NLTK工具包使用、中文文本分类与聚类、Word2Vec应用、SVM分类垃圾短信、简易与DeepQA聊天机器人、LSTM情感分析与文本生成、CNN/RNN中文文本分类、中英文翻译、语音识别、个性化推荐系统等实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75"/>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0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知识表示与处理》资源构成：不少于18个实验手册及配套实验环境。内容范围：包括不限于开发与逻辑编程环境搭建、经典问题求解（如梵塔、农夫过河）、A*寻路、二叉树遍历、路径搜索、专家系统构建、聚类算法比较、高斯混合模型、中文分词与最大匹配算法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93"/>
        <w:ind w:left="1470" w:right="1470"/>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（三）核心技能教学实验资源包（数量1套）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核心技能教学实验资源包共10门课程：《Python 程序设计》、《Linux 操作系统》、《机器学习》、《嵌入式系统及应用》、《神经网络与深度学习》《大数据实时计算 Spark》、《网络爬虫》、《数据可视化》、《数据分析 (基于机器学习)》、《软件测试》</w:t>
      </w:r>
      <w:r>
        <w:rPr>
          <w:rFonts w:hint="eastAsia"/>
          <w:color w:val="000000" w:themeColor="text1"/>
          <w:highlight w:val="none"/>
          <w:u w:val="single"/>
        </w:rPr>
        <w:t xml:space="preserve">，部署在人工智能教学实验综合平台里（其中《嵌入式系统及应用》《机器学习》是实验箱硬件相关配套实验，以U盘形式提供）。</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3</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各项指标要求</w:t>
      </w:r>
      <w:r>
        <w:rPr>
          <w:color w:val="000000" w:themeColor="text1"/>
        </w:rPr>
      </w:r>
      <w:r/>
    </w:p>
    <w:tbl>
      <w:tblPr>
        <w:tblW w:w="5050" w:type="pct"/>
        <w:tblInd w:w="-108" w:type="dxa"/>
        <w:tblLayout w:type="autofit"/>
        <w:tblCellMar>
          <w:left w:w="108" w:type="dxa"/>
          <w:top w:w="0" w:type="dxa"/>
          <w:right w:w="108" w:type="dxa"/>
          <w:bottom w:w="0" w:type="dxa"/>
        </w:tblCellMar>
        <w:tblLook w:val="04A0" w:firstRow="1" w:lastRow="0" w:firstColumn="1" w:lastColumn="0" w:noHBand="0" w:noVBand="1"/>
      </w:tblPr>
      <w:tblGrid>
        <w:gridCol w:w="826"/>
        <w:gridCol w:w="835"/>
        <w:gridCol w:w="969"/>
        <w:gridCol w:w="5878"/>
        <w:gridCol w:w="1354"/>
      </w:tblGrid>
      <w:tr>
        <w:trPr>
          <w:trHeight w:val="57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《Python程序设计》资源构成：不少于12个实验手册及配套实验环境。内容范围：包括Python编程基础、流程控制、函数与模块、文件操作、面向对象编程、数据分析与可视化、网络爬虫、Django框架、数据库操作等。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《Linux 操作系统》资源构成：不少于9个实验手册及配套实验环境。内容范围：涵盖Linux命令基础练习、用户和权限管理、软件包安装、启动流程和服务管理、进程管理和计划任务、系统监控和日志管理、Apache服务、使用ssh远程管理、mysql数据库管理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9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器学习-基础》资源构成：不少于11个教学视频（总时长≥300分钟）及11个实验手册，每个实验手册配有对应的操作讲解视频。内容范围：涵盖线性回归、逻辑回归、最大期望算法、主题模型、聚类算法、支持向量机、决策树与随机森林、隐马尔科夫模型、Mahout安装部署与算法应用等。</w:t>
            </w:r>
            <w:r>
              <w:rPr>
                <w:color w:val="000000" w:themeColor="text1"/>
              </w:rPr>
            </w:r>
            <w:r/>
          </w:p>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《机器学习-中级》资源构成：不少于11个教学视频（总时长≥600分钟）及11个实验手册，每个实验手册配有对应的操作讲解视频。内容范围：包括图像识别、手写数字识别、Spark MLlib库使用、鸢尾花分类、棋类游戏智能体、文章摘要提取、监督学习、非监督学习、自编码器、气象数据分析、体育数据聚类分析等。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69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《嵌入式系统及应用》课程资源：包含4个实验手册及其配套实验环境等教学内容，包含01 嵌入式开发环境创建、02 STM32定时器的使用、03 STM32 UART的使用、04 嵌入式操作系统的使用。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28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神经网络与深度学习-算法基础》资源构成：不少于16个实验手册。内容范围：包括开发环境配置、数据拟合与广义线性回归、SMO算法、BP神经网络搭建、神经网络优化（如Dropout、梯度下降）、Mnist手写识别、RNN、彩票预测、PCA、图像去噪、自编码器等核心算法实践。</w:t>
            </w:r>
            <w:r>
              <w:rPr>
                <w:color w:val="000000" w:themeColor="text1"/>
              </w:rPr>
            </w:r>
            <w:r/>
          </w:p>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神经网络与深度学习-主流框架》资源构成：不少于8个实验手册。内容范围：涵盖Theano、TensorFlow、Keras、Caffe等主流深度学习框架的安装、基础应用，以及基于这些框架完成手写字体识别、图片分类、影评分类等典型任务。</w:t>
            </w:r>
            <w:r>
              <w:rPr>
                <w:color w:val="000000" w:themeColor="text1"/>
              </w:rPr>
            </w:r>
            <w:r/>
          </w:p>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神经网络与深度学习-典型实例》资源构成：不少于8个实验手册。内容范围：包括使用Python和Caffe框架实现深度神经网络、图片分类、风格迁移、自联想存储器、BP手写识别、自编码器降维与人脸识别等综合性实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《大数据实时计算 Spark-基础》资源构成：不少于39个教学视频及13个实验手册，视频总时长400分钟以上，配套一主两从真分布式集群实验环境。每个实验手册有对应的操作讲解视频。内容范围：涵盖Spark的部署模式、编程工具使用、Spark Core（单词计数等）、Spark SQL（命令方式与编程）、Spark Streaming实时计算（网络、HDFS、Flume、Kafka数据源）及结果存储。</w:t>
            </w:r>
            <w:r>
              <w:rPr>
                <w:color w:val="000000" w:themeColor="text1"/>
              </w:rPr>
            </w:r>
            <w:r/>
          </w:p>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《大数据实时计算 Spark-中级》资源构成：不少于13个实验手册及配套实验环境。内容范围：涵盖Spark Core（RDD编程、词频统计、日志分析）、Spark SQL编程、Spark Streaming实时计算、Spark MLlib机器学习、Spark GraphX图计算、SparkR、Alluxio、KeystoneML、BlinkDB等的安装部署与编程实践。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42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网络爬虫》资源构成：不少于14个实验手册及配套实验环境。内容范围：涵盖Python爬虫开发环境搭建、网页信息提取、Scrapy采集框架的安装与使用、Selenium应用等，并包括对微信公众号文章、新闻、股票信息、企业信息、图书、古诗文、天气数据等多种目标的爬取实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《数据可</w:t>
            </w:r>
            <w:r>
              <w:rPr>
                <w:rFonts w:hint="eastAsia" w:ascii="宋体" w:hAnsi="宋体" w:cs="宋体"/>
                <w:color w:val="000000" w:themeColor="text1"/>
                <w:sz w:val="22"/>
                <w:szCs w:val="22"/>
                <w:highlight w:val="none"/>
                <w:lang w:bidi="ar"/>
              </w:rPr>
              <w:t xml:space="preserve">视化》资源构成：不少于14个教学视频（总时长≥600分钟）及14个实验手册。每个实验手册有对应的操作讲解视频。内容范围：包括Superset、Zeppelin的安装部署与数据可视化、Anaconda可视化、Matplotlib可视化、k-Nearest Neighbor、Linear Regression、Support Vector Machine、Decision Tree、Random Forest等模型的可视化、模型优化、Pandas可视化、数据降维可视化、Cluster Analysis可视化等。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《数据分析 (基于机器学习)》资源构成：提供实际项目数据、《实验手册》和《系统安装部署文档》、项目代码及注释。内容范围：通过图像处理与分析实现服饰分类识别，涵盖数据预处理、训练集与测试集拆分、数据建模、模型评估、模型优化与模型应用等完整机器学习流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1256"/>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5" w:type="dxa"/>
            <w:vAlign w:val="top"/>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软件测试》资源构成：不少于16个实验手册及配套实验环境。内容范围：包括软件工程导论、需求分析、软件设计、软件编码、软件测试、软件维护、软件项目管理、软件工具和环境、软件质量、面向对象软件工程、敏捷开发、课程实战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r>
            <w:r>
              <w:rPr>
                <w:color w:val="000000" w:themeColor="text1"/>
              </w:rPr>
            </w:r>
            <w:r/>
          </w:p>
        </w:tc>
      </w:tr>
    </w:tbl>
    <w:p>
      <w:pPr>
        <w:pStyle w:val="1293"/>
        <w:ind w:left="0" w:right="1470"/>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93"/>
        <w:ind w:left="1470" w:right="1470"/>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（四）拓展技能教学实验资源包（数量1套）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b/>
          <w:iCs/>
          <w:color w:val="000000" w:themeColor="text1"/>
          <w:sz w:val="22"/>
          <w:szCs w:val="22"/>
          <w:highlight w:val="none"/>
          <w:u w:val="single"/>
        </w:rPr>
        <w:t xml:space="preserve">拓展技能教学实验资源包</w:t>
      </w:r>
      <w:r>
        <w:rPr>
          <w:rFonts w:hint="eastAsia" w:ascii="宋体" w:hAnsi="宋体" w:cs="Arial"/>
          <w:color w:val="000000" w:themeColor="text1"/>
          <w:sz w:val="22"/>
          <w:szCs w:val="22"/>
          <w:highlight w:val="none"/>
          <w:u w:val="single"/>
        </w:rPr>
        <w:t xml:space="preserve">共3门课程：《深度学习应用与实践》、《计算机视觉》、《人工智能专业实训》</w:t>
      </w:r>
      <w:r>
        <w:rPr>
          <w:rFonts w:hint="eastAsia"/>
          <w:color w:val="000000" w:themeColor="text1"/>
          <w:highlight w:val="none"/>
        </w:rPr>
        <w:t xml:space="preserve">，</w:t>
      </w:r>
      <w:r>
        <w:rPr>
          <w:rFonts w:hint="eastAsia"/>
          <w:color w:val="000000" w:themeColor="text1"/>
          <w:highlight w:val="none"/>
          <w:u w:val="single"/>
        </w:rPr>
        <w:t xml:space="preserve">《深度学习应用与实践》、《人工智能专业实训》是实验课程，配套实验箱硬件使用提供实训U盘资料，《计算机视觉》部署在人工智能教学实验综合平台上。</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3</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各项指标要求</w:t>
      </w:r>
      <w:r>
        <w:rPr>
          <w:color w:val="000000" w:themeColor="text1"/>
        </w:rPr>
      </w:r>
      <w:r/>
    </w:p>
    <w:tbl>
      <w:tblPr>
        <w:tblW w:w="5085" w:type="pct"/>
        <w:tblInd w:w="-108" w:type="dxa"/>
        <w:tblLayout w:type="autofit"/>
        <w:tblCellMar>
          <w:left w:w="108" w:type="dxa"/>
          <w:top w:w="0" w:type="dxa"/>
          <w:right w:w="108" w:type="dxa"/>
          <w:bottom w:w="0" w:type="dxa"/>
        </w:tblCellMar>
        <w:tblLook w:val="04A0" w:firstRow="1" w:lastRow="0" w:firstColumn="1" w:lastColumn="0" w:noHBand="0" w:noVBand="1"/>
      </w:tblPr>
      <w:tblGrid>
        <w:gridCol w:w="849"/>
        <w:gridCol w:w="894"/>
        <w:gridCol w:w="1003"/>
        <w:gridCol w:w="5760"/>
        <w:gridCol w:w="1424"/>
      </w:tblGrid>
      <w:tr>
        <w:trPr>
          <w:trHeight w:val="191"/>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254"/>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《深度学习应用与实践》资源构成：不少于8个实验手册。内容范围：包括使用Python和Caffe框架实现深度神经网络、图片分类、风格迁移、自联想存储器、BP手写识别、自编码器降维与人脸识别等综合性实例。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80"/>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计算机视觉》资源构成：不少于14个实验手册及配套实验环境。内容范围：涵盖人脸数据采集处理、交通监控图像处理、角点特征侦测与匹配、人脸特征点检测、图像分割、目标侦测与区域搜索、YOLO目标侦测、交通标志识别、垃圾识别、用户自定义模型训练、车牌识别等应用实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34"/>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1256"/>
              <w:jc w:val="left"/>
              <w:keepLines w:val="0"/>
              <w:keepNext w:val="0"/>
              <w:widowControl/>
              <w:rPr>
                <w:rFonts w:hint="eastAsia" w:ascii="宋体" w:hAnsi="宋体" w:cs="宋体"/>
                <w:color w:val="000000" w:themeColor="text1"/>
                <w:sz w:val="22"/>
                <w:szCs w:val="22"/>
                <w:highlight w:val="none"/>
              </w:rPr>
              <w:suppressLineNumbers w:val="0"/>
            </w:pPr>
            <w:r>
              <w:rPr>
                <w:rFonts w:hint="eastAsia" w:ascii="宋体" w:hAnsi="宋体" w:cs="宋体"/>
                <w:color w:val="000000" w:themeColor="text1"/>
                <w:sz w:val="22"/>
                <w:szCs w:val="22"/>
                <w:highlight w:val="none"/>
                <w:lang w:bidi="ar"/>
              </w:rPr>
              <w:t xml:space="preserve">《人工智能专业实训》</w:t>
            </w:r>
            <w:r>
              <w:rPr>
                <w:rFonts w:hint="eastAsia" w:ascii="宋体" w:hAnsi="宋体"/>
                <w:color w:val="000000" w:themeColor="text1"/>
                <w:sz w:val="22"/>
                <w:szCs w:val="22"/>
                <w:highlight w:val="none"/>
              </w:rPr>
              <w:t xml:space="preserve">资源构成（配套人工智能综合实训箱使用）：不少于20个教学实验案例。内容范围：涵盖基于特征识别的实验室综合系统管理案例、基于MediaPipe的中学生体育考试系统案例案例、基于深度学习AlexNet的林场害虫检测系统案例、基于Yolov5的智慧工地安全领域检测系统案例、</w:t>
            </w:r>
            <w:r>
              <w:rPr>
                <w:rFonts w:ascii="宋体" w:hAnsi="宋体" w:eastAsia="宋体" w:cs="宋体"/>
                <w:color w:val="000000" w:themeColor="text1"/>
                <w:sz w:val="22"/>
                <w:szCs w:val="22"/>
                <w:highlight w:val="none"/>
                <w:lang w:val="en-US" w:eastAsia="zh-CN" w:bidi="ar"/>
              </w:rPr>
              <w:t xml:space="preserve">允许使用其他具备同等功能的 OCR 框架，允许使用其他具备同等功能的目标检测模型</w:t>
            </w:r>
            <w:r>
              <w:rPr>
                <w:rFonts w:hint="eastAsia" w:ascii="宋体" w:hAnsi="宋体" w:eastAsia="宋体" w:cs="宋体"/>
                <w:color w:val="000000" w:themeColor="text1"/>
                <w:sz w:val="22"/>
                <w:szCs w:val="22"/>
                <w:highlight w:val="none"/>
                <w:lang w:val="en-US" w:eastAsia="zh-CN" w:bidi="ar"/>
              </w:rPr>
              <w:t xml:space="preserve">，</w:t>
            </w:r>
            <w:r>
              <w:rPr>
                <w:rFonts w:ascii="宋体" w:hAnsi="宋体" w:eastAsia="宋体" w:cs="宋体"/>
                <w:color w:val="000000" w:themeColor="text1"/>
                <w:sz w:val="22"/>
                <w:szCs w:val="22"/>
                <w:highlight w:val="none"/>
                <w:lang w:val="en-US" w:eastAsia="zh-CN" w:bidi="ar"/>
              </w:rPr>
              <w:t xml:space="preserve">并明确技术性能指标而非特定名称</w:t>
            </w:r>
            <w:r>
              <w:rPr>
                <w:rFonts w:hint="eastAsia" w:ascii="宋体" w:hAnsi="宋体"/>
                <w:color w:val="000000" w:themeColor="text1"/>
                <w:sz w:val="22"/>
                <w:szCs w:val="22"/>
                <w:highlight w:val="none"/>
              </w:rPr>
              <w:t xml:space="preserve">、基于语音对接的智能家居综合系统案例、基于运动机器人的PCB故障检测与分拣系统案例、基于深度学习经典分类模型VGG-Resnet人脸情绪识别案例、基于生成对抗网络图片增强去除雨滴系统案例等教学实验案例。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93"/>
        <w:ind w:left="0" w:right="1470"/>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93"/>
        <w:ind w:left="1470" w:right="1470"/>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93"/>
        <w:ind w:left="1470" w:right="1470"/>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（五）人工智能综合实训箱(数量19套)  核心产品</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b/>
          <w:iCs/>
          <w:color w:val="000000" w:themeColor="text1"/>
          <w:sz w:val="22"/>
          <w:szCs w:val="22"/>
          <w:highlight w:val="none"/>
          <w:u w:val="single"/>
        </w:rPr>
        <w:t xml:space="preserve">人工智能综合实训箱</w:t>
      </w:r>
      <w:r>
        <w:rPr>
          <w:rFonts w:hint="eastAsia" w:ascii="宋体" w:hAnsi="宋体" w:cs="Arial"/>
          <w:color w:val="000000" w:themeColor="text1"/>
          <w:sz w:val="22"/>
          <w:szCs w:val="22"/>
          <w:highlight w:val="none"/>
          <w:u w:val="single"/>
        </w:rPr>
        <w:t xml:space="preserve">包括深度视觉结合云台控制、语音识别与传感器集成、深度视觉分析、以及语音通信模块在内的多种组合性实验。</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《智能教育装备评价指南》、</w:t>
      </w:r>
      <w:r>
        <w:rPr>
          <w:rFonts w:hint="eastAsia" w:ascii="宋体" w:hAnsi="宋体" w:cs="Arial"/>
          <w:color w:val="000000" w:themeColor="text1"/>
          <w:sz w:val="24"/>
          <w:highlight w:val="none"/>
          <w:u w:val="single"/>
        </w:rPr>
        <w:t xml:space="preserve">《</w:t>
      </w:r>
      <w:r>
        <w:rPr>
          <w:rFonts w:ascii="宋体" w:hAnsi="宋体" w:cs="Arial"/>
          <w:color w:val="000000" w:themeColor="text1"/>
          <w:sz w:val="24"/>
          <w:highlight w:val="none"/>
          <w:u w:val="single"/>
        </w:rPr>
        <w:t xml:space="preserve">信息技术人工智能深度学习算法评估规范</w:t>
      </w:r>
      <w:r>
        <w:rPr>
          <w:rFonts w:hint="eastAsia" w:ascii="宋体" w:hAnsi="宋体" w:cs="Arial"/>
          <w:color w:val="000000" w:themeColor="text1"/>
          <w:sz w:val="24"/>
          <w:highlight w:val="none"/>
          <w:u w:val="single"/>
        </w:rPr>
        <w:t xml:space="preserve">》、《</w:t>
      </w:r>
      <w:r>
        <w:rPr>
          <w:rFonts w:ascii="宋体" w:hAnsi="宋体" w:cs="Arial"/>
          <w:color w:val="000000" w:themeColor="text1"/>
          <w:sz w:val="24"/>
          <w:highlight w:val="none"/>
          <w:u w:val="single"/>
        </w:rPr>
        <w:t xml:space="preserve">信息安全技术机器学习算法安全评估规范</w:t>
      </w:r>
      <w:r>
        <w:rPr>
          <w:rFonts w:hint="eastAsia" w:ascii="宋体" w:hAnsi="宋体" w:cs="Arial"/>
          <w:color w:val="000000" w:themeColor="text1"/>
          <w:sz w:val="24"/>
          <w:highlight w:val="none"/>
          <w:u w:val="single"/>
        </w:rPr>
        <w:t xml:space="preserve">》、《</w:t>
      </w:r>
      <w:r>
        <w:rPr>
          <w:rFonts w:ascii="宋体" w:hAnsi="宋体" w:cs="Arial"/>
          <w:color w:val="000000" w:themeColor="text1"/>
          <w:sz w:val="24"/>
          <w:highlight w:val="none"/>
          <w:u w:val="single"/>
        </w:rPr>
        <w:t xml:space="preserve">物联网术语</w:t>
      </w:r>
      <w:r>
        <w:rPr>
          <w:rFonts w:hint="eastAsia" w:ascii="宋体" w:hAnsi="宋体" w:cs="Arial"/>
          <w:color w:val="000000" w:themeColor="text1"/>
          <w:sz w:val="24"/>
          <w:highlight w:val="none"/>
          <w:u w:val="single"/>
        </w:rPr>
        <w:t xml:space="preserve">》、《</w:t>
      </w:r>
      <w:r>
        <w:rPr>
          <w:rFonts w:ascii="宋体" w:hAnsi="宋体" w:cs="Arial"/>
          <w:color w:val="000000" w:themeColor="text1"/>
          <w:sz w:val="24"/>
          <w:highlight w:val="none"/>
          <w:u w:val="single"/>
        </w:rPr>
        <w:t xml:space="preserve">物联网感知控制设备接入 第1部分：总体要求</w:t>
      </w:r>
      <w:r>
        <w:rPr>
          <w:rFonts w:hint="eastAsia" w:ascii="宋体" w:hAnsi="宋体" w:cs="Arial"/>
          <w:color w:val="000000" w:themeColor="text1"/>
          <w:sz w:val="24"/>
          <w:highlight w:val="none"/>
          <w:u w:val="single"/>
        </w:rPr>
        <w:t xml:space="preserve">》、《</w:t>
      </w:r>
      <w:r>
        <w:rPr>
          <w:rFonts w:ascii="宋体" w:hAnsi="宋体" w:cs="Arial"/>
          <w:color w:val="000000" w:themeColor="text1"/>
          <w:sz w:val="24"/>
          <w:highlight w:val="none"/>
          <w:u w:val="single"/>
        </w:rPr>
        <w:t xml:space="preserve">信息技术边缘计算参考架构</w:t>
      </w:r>
      <w:r>
        <w:rPr>
          <w:rFonts w:hint="eastAsia" w:ascii="宋体" w:hAnsi="宋体" w:cs="Arial"/>
          <w:color w:val="000000" w:themeColor="text1"/>
          <w:sz w:val="24"/>
          <w:highlight w:val="none"/>
          <w:u w:val="single"/>
        </w:rPr>
        <w:t xml:space="preserve">》、《</w:t>
      </w:r>
      <w:r>
        <w:rPr>
          <w:rFonts w:ascii="宋体" w:hAnsi="宋体" w:cs="Arial"/>
          <w:color w:val="000000" w:themeColor="text1"/>
          <w:sz w:val="24"/>
          <w:highlight w:val="none"/>
          <w:u w:val="single"/>
        </w:rPr>
        <w:t xml:space="preserve">信息安全技术个人信息安全规范</w:t>
      </w:r>
      <w:r>
        <w:rPr>
          <w:rFonts w:hint="eastAsia" w:ascii="宋体" w:hAnsi="宋体" w:cs="Arial"/>
          <w:color w:val="000000" w:themeColor="text1"/>
          <w:sz w:val="24"/>
          <w:highlight w:val="none"/>
          <w:u w:val="single"/>
        </w:rPr>
        <w:t xml:space="preserve">》、《</w:t>
      </w:r>
      <w:r>
        <w:rPr>
          <w:rFonts w:ascii="宋体" w:hAnsi="宋体" w:cs="Arial"/>
          <w:color w:val="000000" w:themeColor="text1"/>
          <w:sz w:val="24"/>
          <w:highlight w:val="none"/>
          <w:u w:val="single"/>
        </w:rPr>
        <w:t xml:space="preserve">信息安全技术大数据服务安全能力要求</w:t>
      </w:r>
      <w:r>
        <w:rPr>
          <w:rFonts w:hint="eastAsia" w:ascii="宋体" w:hAnsi="宋体" w:cs="Arial"/>
          <w:color w:val="000000" w:themeColor="text1"/>
          <w:sz w:val="24"/>
          <w:highlight w:val="none"/>
          <w:u w:val="single"/>
        </w:rPr>
        <w:t xml:space="preserve">》</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3</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各项指标要求</w:t>
      </w:r>
      <w:r>
        <w:rPr>
          <w:color w:val="000000" w:themeColor="text1"/>
        </w:rPr>
      </w:r>
      <w:r/>
    </w:p>
    <w:tbl>
      <w:tblPr>
        <w:tblW w:w="5138" w:type="pct"/>
        <w:tblInd w:w="-108" w:type="dxa"/>
        <w:tblLayout w:type="autofit"/>
        <w:tblCellMar>
          <w:left w:w="108" w:type="dxa"/>
          <w:top w:w="0" w:type="dxa"/>
          <w:right w:w="108" w:type="dxa"/>
          <w:bottom w:w="0" w:type="dxa"/>
        </w:tblCellMar>
        <w:tblLook w:val="04A0" w:firstRow="1" w:lastRow="0" w:firstColumn="1" w:lastColumn="0" w:noHBand="0" w:noVBand="1"/>
      </w:tblPr>
      <w:tblGrid>
        <w:gridCol w:w="897"/>
        <w:gridCol w:w="872"/>
        <w:gridCol w:w="1020"/>
        <w:gridCol w:w="5876"/>
        <w:gridCol w:w="1368"/>
      </w:tblGrid>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技术参数（规格要求）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361"/>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361"/>
                <w:rFonts w:hint="eastAsia"/>
                <w:color w:val="000000" w:themeColor="text1"/>
                <w:sz w:val="22"/>
                <w:szCs w:val="22"/>
                <w:highlight w:val="none"/>
                <w:lang w:bidi="ar"/>
              </w:rPr>
              <w:t xml:space="preserve">实训箱须采用可封闭的箱式结构设计，配备屏幕尺寸≥17.3寸，具有≥1920X1080高清分辨率，支持触摸操作，接口包括USB、HDMI、电源，为用户提供清晰便捷的可视化操作界面</w:t>
            </w:r>
            <w:r>
              <w:rPr>
                <w:rStyle w:val="1361"/>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w:t>
            </w:r>
            <w:r>
              <w:rPr>
                <w:color w:val="000000" w:themeColor="text1"/>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Style w:val="1361"/>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Style w:val="1361"/>
                <w:color w:val="000000" w:themeColor="text1"/>
                <w:sz w:val="22"/>
                <w:szCs w:val="22"/>
                <w:highlight w:val="none"/>
                <w:lang w:bidi="ar"/>
              </w:rPr>
              <w:t xml:space="preserve">为满足教学实训使用与收纳需求，需采用便携的箱式结构，长≤430mm*宽≤300mm*高≤70mm；上盖可自由旋停;需配套提供键盘、鼠标、电源适配器和实验教具，上电即用；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提供产品彩页或官方宣传图片，且证明材料中能同时清晰展示产品外观及主要结构</w:t>
            </w:r>
            <w:r>
              <w:rPr>
                <w:color w:val="000000" w:themeColor="text1"/>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实训箱须至少配套：机械手臂、2D视觉系统、深度视觉系统、语音模块、嵌入式传感器等组件，满足多门课程的教学要求；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提供产品彩页或官方宣传图片，且证明材料中能同时清晰展示产品外观及主要结构</w:t>
            </w:r>
            <w:r>
              <w:rPr>
                <w:color w:val="000000" w:themeColor="text1"/>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配套机械手臂：有效抓取范围 半径≥40cm；不少于6自由度加夹持臂；末端夹具为两指夹爪，机械臂上需携带高清USB相机，满足视觉识别夹取要求；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提供产品彩页或官方宣传图片，且证明材料中能同时清晰展示产品外观及主要结构</w:t>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配套地图：用于搭配机械手臂实现场景化教学。地图的直径须不小于500mm；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提供产品彩页或官方宣传图片，且证明材料中能同时清晰展示产品外观及主要结构</w:t>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配套2D视觉系统：像素≥1600万，需带LED补光灯，OCR文字识别；支持磁吸式安装；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9"/>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配套深度视觉系统：</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配备深度摄像头≥1，支持实时物体跟踪，姿态估计，虚拟现实，增强现实、三维环境重建等应用；</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深度范围：0.6~8m；</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深度精度：±3mm(1m)；</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深度流输出分辨率：≥640×480；</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深度流输出帧速率：≥30fps；</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RGB传感器分辨率：≥1920×1080；</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RGB传感器帧速率：≥30fps；</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支持磁吸式安装；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提供产品彩页或官方宣传图片，且证明材料中能同时清晰展示产品外观及主要位置</w:t>
            </w:r>
            <w:r>
              <w:rPr>
                <w:color w:val="000000" w:themeColor="text1"/>
              </w:rPr>
            </w:r>
            <w:r/>
          </w:p>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配套传感器：温湿度传感器、大气压传感器、光照传感器、人体感应雷达、血氧心率传感器、超声波传感器、霍尔传感器、二氧化碳传感器等；并配备至少1个GNSS定位模组；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提供产品彩页或官方宣传图片，且证明材料中能同时清晰展示产品外观及主要位置</w:t>
            </w:r>
            <w:r>
              <w:rPr>
                <w:color w:val="000000" w:themeColor="text1"/>
              </w:rPr>
            </w:r>
            <w:r/>
          </w:p>
        </w:tc>
      </w:tr>
      <w:tr>
        <w:trPr>
          <w:trHeight w:val="202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边缘计算终端：</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CPU：≥4核A76+4核A55；</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内置NPU，支持INT4/INT8/INT16/FP16算法，最大算力6TOPs；</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内存：≥8G；</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硬盘：≥64G，支持可扩展M.2 SATA接口硬盘接口≥1；</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GPU：内置3D GPU，支持openGLES 1.1,2.0,3.2和OpenCL 2.2及Vulkan1.2；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269"/>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训箱须内置四通道eDP接口≥1，用于连接实训箱显示屏或者扩展其他显示屏，内置显示屏背光接口x1；mipi输入接口≥1，可接外部mipi摄像头，进行相关实验实训；mipi输出接口≥2，可外接mipi扩展屏幕，进行相关实验实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实训箱须配备HDMI in ≥1，HDMI out ≥1，用于连接外部显示器，或用于接入HDMI的图像流，进行图像分析实验实训；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84"/>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提供产品彩页或官方宣传图片，且证明材料中能同时清晰展示产品外观，并标注各接口的位置</w:t>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实训箱的上盖须内置扬声器≥2个；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提供产品彩页或官方宣传图片，且证明材料中能同时清晰展示产品外观，并标注各接口的位置</w:t>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实训箱须配备侧插RJ45接口≥4，竖插RJ45接口≥1，速率≥1000Mbps；</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提供产品彩页或官方宣传图片，且证明材料中能同时清晰展示产品外观，并标注各接口的位置，性能指标数据需要有对应的指标测试证明材料</w:t>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实训箱须支持2.4G/5G双频双流WIFI、蓝牙5.0、4G/5G、星闪通讯协议；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实训箱须配备竖插USB2.0 TypeA ≥1；USB3.0 TypeA ≥4；Type C接口≥1；recovery按键≥1，用于外接设备接入；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提供产品彩页或官方宣传图片，且证明材料中能同时清晰展示产品外观，并标注各接口的位置</w:t>
            </w:r>
            <w:r>
              <w:rPr>
                <w:color w:val="000000" w:themeColor="text1"/>
              </w:rPr>
            </w:r>
            <w:r/>
          </w:p>
        </w:tc>
      </w:tr>
      <w:tr>
        <w:trPr>
          <w:trHeight w:val="26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实训箱须内置PH2.0x4形态USB2.0接口≥2；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实训箱须支持RS232扩展通道≥1；RS485扩展通道≥1；振弦接口扩展通道≥1；4-20mA接口扩展通道≥1等扩展接口，用于为实验预留接口。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提供产品彩页或官方宣传图片，且证明材料中能同时清晰展示产品外观，并标注各接口的位置</w:t>
            </w:r>
            <w:r>
              <w:rPr>
                <w:color w:val="000000" w:themeColor="text1"/>
              </w:rPr>
            </w:r>
            <w:r/>
          </w:p>
        </w:tc>
      </w:tr>
      <w:tr>
        <w:trPr>
          <w:trHeight w:val="26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技术参数（软件功能）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支持内置WEB配置页面，支持传感器配置页面；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配套提供cmake、uci、ubus、uloop、mysql开发案例；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开放全部软件框架和算法级源代码，支持二次开发，交付时提供完善的实验指导书和技术文档；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内置Python3.5以上版本的运行环境，且实验代码须在JupyterNotebook环境下进行，方便教师开展教学；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内置的AI算法库至少须包括：物体分类识别、目标检测、人脸识别、语音处理，满足基础应用与开发教学；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7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部署基于YOLOV5、YOLOV8、YOLOV10目标检测和实例分割等模型；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支持大模型图片分析能力：可在本地部署 DeepSeek-R1、Qwen2-VL等多模态大模型，部署方式为 Docker 容器或裸金属推理服务。可提供命令行工具，支持以本地图片文件路径作为输入参数，调用已部署的多模态大模型对图片进行分析。分析任务至少覆盖：图片内容描述、关键信息提取；输出结果为结构化 JSON 格式。交付完整可运行的应用源码，并在目标实物设备上通过命令行实际执行。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支持通过语音方式与大模型互动并通过扬声器组件反馈推理结果；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提供视频演示</w:t>
            </w:r>
            <w:r>
              <w:rPr>
                <w:color w:val="000000" w:themeColor="text1"/>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提供至少3个基于QT的应用案例可视化界面，便于学生体验学习，包括基于体测系统的人体骨骼点检测、基于人脸检测的实验室综合管理系统、基于OCR的文字识别；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提供可视化案例系统截图</w:t>
            </w:r>
            <w:r>
              <w:rPr>
                <w:color w:val="000000" w:themeColor="text1"/>
              </w:rPr>
            </w:r>
            <w:r/>
          </w:p>
        </w:tc>
      </w:tr>
      <w:tr>
        <w:trPr>
          <w:trHeight w:val="152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5-27</w:t>
            </w:r>
            <w:r>
              <w:rPr>
                <w:color w:val="000000" w:themeColor="text1"/>
              </w:rPr>
            </w:r>
            <w:r/>
          </w:p>
        </w:tc>
        <w:tc>
          <w:tcPr>
            <w:tcBorders>
              <w:top w:val="single" w:color="000000" w:sz="4" w:space="0"/>
              <w:left w:val="single" w:color="000000" w:sz="4" w:space="0"/>
              <w:bottom w:val="none" w:color="000000" w:sz="0" w:space="0"/>
              <w:right w:val="single" w:color="000000" w:sz="4" w:space="0"/>
            </w:tcBorders>
            <w:tcW w:w="872"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技术参数（配套资源）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AI+机器人：</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支持机械臂认知、运动控制、视觉标定以及基于视觉的目标分类、物体码垛、AR标签识别等操作，支持图像处理，支持节点通信、TF变换、Gazebo仿真、相机标定、目标检测、AR应用等实验。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52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5-28</w:t>
            </w:r>
            <w:r>
              <w:rPr>
                <w:color w:val="000000" w:themeColor="text1"/>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AI+机器视觉方向：</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支持工件产品智能检测、水果识别、包装OCR字符识别以及物品目标识别；支持从图像读写、像素操作等基础内容到图像变换、边缘检测、特征提取等实验。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269"/>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5-29</w:t>
            </w:r>
            <w:r>
              <w:rPr>
                <w:color w:val="000000" w:themeColor="text1"/>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AI+3D深度视觉方向：</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支持人脸检测与测距、识别以及口罩检测、动态行人检测、体育运动考试等功能；支持手势识别、姿态估计等交互式视觉应用开发等实验。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5-30</w:t>
            </w:r>
            <w:r>
              <w:rPr>
                <w:color w:val="000000" w:themeColor="text1"/>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AI+语音处理方向：</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支持语音处理模块认知、语音控制灯光、语音识别与应答。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52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5-31</w:t>
            </w:r>
            <w:r>
              <w:rPr>
                <w:color w:val="000000" w:themeColor="text1"/>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AI+大模型应用：</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支持基于DeepSeek大模型的智能问答和推理展示能力，能够理解用户问题并提供精准答案，同时支持对话和逻辑推理，并支持Qwen2-VL大模型的图片识别并转文字。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提供AI+大模型应用案例操作手册目录及前三章节的内容</w:t>
            </w:r>
            <w:r>
              <w:rPr>
                <w:color w:val="000000" w:themeColor="text1"/>
              </w:rPr>
            </w:r>
            <w:r/>
          </w:p>
        </w:tc>
      </w:tr>
      <w:tr>
        <w:trPr>
          <w:trHeight w:val="929"/>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5-32</w:t>
            </w:r>
            <w:r>
              <w:rPr>
                <w:color w:val="000000" w:themeColor="text1"/>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设备预置计算机视觉算法应用，至少包含AI图片分类、目标检测、图像分割等应用，支持对输入的图像及视频内容进行识别。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提供视频演示</w:t>
            </w:r>
            <w:r>
              <w:rPr>
                <w:color w:val="000000" w:themeColor="text1"/>
              </w:rPr>
            </w:r>
            <w:r/>
          </w:p>
        </w:tc>
      </w:tr>
      <w:tr>
        <w:trPr>
          <w:trHeight w:val="101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5-33</w:t>
            </w:r>
            <w:r>
              <w:rPr>
                <w:color w:val="000000" w:themeColor="text1"/>
              </w:rPr>
            </w:r>
            <w:r/>
          </w:p>
        </w:tc>
        <w:tc>
          <w:tcPr>
            <w:tcBorders>
              <w:top w:val="none" w:color="000000" w:sz="0" w:space="0"/>
              <w:left w:val="single" w:color="000000" w:sz="4" w:space="0"/>
              <w:bottom w:val="none" w:color="000000" w:sz="0"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设备提供黑白图像上色体验应用，支持使用相关图像上色模型对输入的黑白图片进行上色推理。提供雨天图像增强体验应用，可将雨天的图像清晰化处理。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提供视频演示</w:t>
            </w:r>
            <w:r>
              <w:rPr>
                <w:color w:val="000000" w:themeColor="text1"/>
              </w:rPr>
            </w:r>
            <w:r/>
          </w:p>
        </w:tc>
      </w:tr>
      <w:tr>
        <w:trPr>
          <w:trHeight w:val="937"/>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1256"/>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5-34</w:t>
            </w:r>
            <w:r>
              <w:rPr>
                <w:color w:val="000000" w:themeColor="text1"/>
              </w:rPr>
            </w:r>
            <w:r/>
          </w:p>
        </w:tc>
        <w:tc>
          <w:tcPr>
            <w:tcBorders>
              <w:top w:val="none" w:color="000000" w:sz="0" w:space="0"/>
              <w:left w:val="single" w:color="000000" w:sz="4" w:space="0"/>
              <w:bottom w:val="single" w:color="000000" w:sz="4" w:space="0"/>
              <w:right w:val="single" w:color="000000" w:sz="4" w:space="0"/>
            </w:tcBorders>
            <w:tcW w:w="87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256"/>
              <w:jc w:val="lef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设备提供图像风格迁移体验应用，支持使用相关图像卡通化模型对输入图片进行卡通化处理。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提供视频演示</w:t>
            </w:r>
            <w:r>
              <w:rPr>
                <w:color w:val="000000" w:themeColor="text1"/>
              </w:rPr>
            </w:r>
            <w:r/>
          </w:p>
        </w:tc>
      </w:tr>
    </w:tbl>
    <w:p>
      <w:pPr>
        <w:pStyle w:val="1293"/>
        <w:ind w:left="1470" w:right="1470"/>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color w:val="000000" w:themeColor="text1"/>
          <w:sz w:val="22"/>
          <w:szCs w:val="22"/>
          <w:highlight w:val="none"/>
        </w:rPr>
      </w:pPr>
      <w:r>
        <w:rPr>
          <w:rFonts w:hint="eastAsia" w:ascii="宋体" w:hAnsi="宋体"/>
          <w:b/>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（六）南北向开源系统实验平台(数量8套)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基于OpenHarmony 的全场景开发实验箱是一款面向计算机、物联网等多个专业的综合性开发平台，旨在提供 OpenHarmony 系统开发实践环境。该实验箱采用多内核架构设计，集成多个 OpenHarmony 轻量系统核心</w:t>
      </w:r>
      <w:r>
        <w:rPr>
          <w:rFonts w:hint="eastAsia" w:ascii="宋体" w:hAnsi="宋体" w:cs="Arial"/>
          <w:color w:val="000000" w:themeColor="text1"/>
          <w:sz w:val="22"/>
          <w:szCs w:val="22"/>
          <w:highlight w:val="none"/>
          <w:u w:val="single"/>
        </w:rPr>
        <w:t xml:space="preserve">板与标准系统核心板，可满足不同复杂度的系统开发需求。 硬件层面，实验箱配备1个OpenHarmony标准系统开发平台，3个OpenHarmony轻量系统开发板，17+物联网传感器与执行器模块，覆盖环境感知、数据采集、设备控制等多种功能。在通信协议支持方面，其集成 MQTT、TCP/UDP 协议栈，能够适配智能家居、智慧医疗项目实战等多样化应用场景的通信需求。 本课程围绕家庭健康数据管理平台、健康打卡平台、手指屈伸复健系统三大应用场景展开综合实训。同时基于真实真实家用健康检测设备，开发一个医疗随诊箱产品案例。</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outlineLvl w:val="2"/>
      </w:pPr>
      <w:r>
        <w:rPr>
          <w:rFonts w:hint="eastAsia" w:ascii="宋体" w:hAnsi="宋体" w:cs="Arial"/>
          <w:color w:val="000000" w:themeColor="text1"/>
          <w:sz w:val="22"/>
          <w:szCs w:val="22"/>
          <w:highlight w:val="none"/>
          <w:u w:val="single"/>
        </w:rPr>
        <w:t xml:space="preserve">开放原子开源基金会《OpenHarmony 生态产品兼容性测试规范》</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3</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各项指标要求</w:t>
      </w:r>
      <w:r>
        <w:rPr>
          <w:color w:val="000000" w:themeColor="text1"/>
        </w:rPr>
      </w:r>
      <w:r/>
    </w:p>
    <w:tbl>
      <w:tblPr>
        <w:tblW w:w="5059" w:type="pct"/>
        <w:tblInd w:w="-108" w:type="dxa"/>
        <w:tblLayout w:type="autofit"/>
        <w:tblCellMar>
          <w:left w:w="108" w:type="dxa"/>
          <w:top w:w="0" w:type="dxa"/>
          <w:right w:w="108" w:type="dxa"/>
          <w:bottom w:w="0" w:type="dxa"/>
        </w:tblCellMar>
        <w:tblLook w:val="04A0" w:firstRow="1" w:lastRow="0" w:firstColumn="1" w:lastColumn="0" w:noHBand="0" w:noVBand="1"/>
      </w:tblPr>
      <w:tblGrid>
        <w:gridCol w:w="892"/>
        <w:gridCol w:w="866"/>
        <w:gridCol w:w="943"/>
        <w:gridCol w:w="5837"/>
        <w:gridCol w:w="1341"/>
      </w:tblGrid>
      <w:tr>
        <w:trPr>
          <w:trHeight w:val="76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83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基于多内核设计的全场景分布式国产操作系统的IOT实验箱：</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（1）包含≥3个轻量级国产操作系统的瘦设备核心板；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（2）≥1个国产操作系统的标准富设备核心板；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（3）≥17个物联网传感器/执行器模块。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实验箱支持技术：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包括不限于OpenHarmony的应用开发以及设备开发，ArkTS、ArkUI，Socket（TCP，UDP），MQTT，HTTP。</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6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none" w:color="000000" w:sz="4" w:space="0"/>
              <w:left w:val="none" w:color="000000" w:sz="4" w:space="0"/>
              <w:bottom w:val="singl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物联网模块：支持搭积木方式的拼接，使用磁吸插槽，各个模块之间可以进行磁吸联接，同时提供多个香蕉头，方便接线形式进行实验，并加入防短路设计。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提供磁吸联接和短接后自动断电防短路的视频演示</w:t>
            </w:r>
            <w:r>
              <w:rPr>
                <w:color w:val="000000" w:themeColor="text1"/>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瘦设备核心板：主控芯片≥160MHz、≥280K RAM、≥2MB Flash、支持WiFi</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ARM架构标准富设备核心板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提供产品照片或产品彩页截图或带有CMA标识的第三方检测报告证明材料扫描件</w:t>
            </w:r>
            <w:r>
              <w:rPr>
                <w:color w:val="000000" w:themeColor="text1"/>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（1）内置国产处理器，使用ARM架构；支持国产标准操作系统，支持多系统；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（2）核心≥4核、最大工作频率≥1600MHz、内存≥2GB、存储空间≥32GB；</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（3）算力：≥1Tops；</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66"/>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（4）USB2.0 Host≥1个；USB3.0 Host≥1个；USB3.0OTG≥1个；HDMI≥1个；eDP≥1个；以太网接口≥2个；支持WiFi和蓝牙。</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AIoT母板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提供产品彩页或图片或官网截图，或第三方CMA检测机构出具的检测报告证明材料，并加盖投标供应商公章</w:t>
            </w:r>
            <w:r>
              <w:rPr>
                <w:color w:val="000000" w:themeColor="text1"/>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（1）主板插槽≥3 个，提供5V 供电接口、J-link 下载接口、CC-debug 下载接口；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（2）提供静电保护芯片，防止静电击穿，提供防短路、过流保护；配有TX、RX 通信指示灯；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（3）总输出、输入口为TYPE-B 型接口；配有1 根USB线，主要用于通信和供电；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（4）配有串口切换键，可实现不同插槽的串口切换需求；配有电源开关键，实现整体的电源供电管理。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传感器/执行器模块：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（1）交通灯板：≥1个，包含 LED灯≥3个，按键≥1个；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（2）OLED显示板：≥1个，显示屏尺寸≥0.96英寸，按键≥2个；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（3）炫彩灯板：≥1块，包含三色LED≥1颗，红外传感器≥1个，光敏电阻≥1个；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（4）环境检测板：≥1块，包含温湿度传感器≥1个，蜂鸣器≥1个，可燃气体传感器≥1个；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（5）水位传感器：≥1个；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（6）火焰传感器：≥1个；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（7）门锁执行器：≥1个；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（8）窗帘执行器：≥1个；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（9）风扇执行器：≥1个；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（10）语音控制板：≥1个；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（11）水温传感器：≥1个；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（12）PM2.5传感器：≥1个；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（13）土壤湿度传感器：≥1个；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（14）PH值传感器：≥1个；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（15）风速采集传感器：≥1个；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（16）雨雪传感器：≥1个；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1"/>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non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（17）水泵执行器：≥1个；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9"/>
        </w:trPr>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5838"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（18）迷你交换机：≥1个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256"/>
        <w:spacing w:line="360" w:lineRule="auto"/>
        <w:rPr>
          <w:rFonts w:ascii="宋体" w:hAnsi="宋体"/>
          <w:i/>
          <w:iCs/>
          <w:color w:val="000000" w:themeColor="text1"/>
          <w:sz w:val="22"/>
          <w:szCs w:val="22"/>
          <w:highlight w:val="none"/>
        </w:rPr>
      </w:pPr>
      <w:r>
        <w:rPr>
          <w:rFonts w:ascii="宋体" w:hAnsi="宋体"/>
          <w:i/>
          <w:iCs/>
          <w:color w:val="000000" w:themeColor="text1"/>
          <w:sz w:val="22"/>
          <w:szCs w:val="22"/>
          <w:highlight w:val="none"/>
        </w:rPr>
      </w:r>
      <w:r>
        <w:rPr>
          <w:color w:val="000000" w:themeColor="text1"/>
        </w:rPr>
      </w:r>
      <w:r/>
    </w:p>
    <w:p>
      <w:pPr>
        <w:pStyle w:val="1256"/>
        <w:ind w:firstLine="420"/>
        <w:rPr>
          <w:rFonts w:hint="eastAsia" w:ascii="宋体" w:hAnsi="宋体"/>
          <w:b/>
          <w:color w:val="000000" w:themeColor="text1"/>
          <w:sz w:val="22"/>
          <w:szCs w:val="22"/>
          <w:highlight w:val="none"/>
          <w:u w:val="single"/>
        </w:rPr>
        <w:outlineLvl w:val="1"/>
      </w:pPr>
      <w:r>
        <w:rPr>
          <w:rFonts w:hint="eastAsia" w:ascii="宋体" w:hAnsi="宋体"/>
          <w:b/>
          <w:color w:val="000000" w:themeColor="text1"/>
          <w:sz w:val="22"/>
          <w:szCs w:val="22"/>
          <w:highlight w:val="none"/>
          <w:u w:val="single"/>
        </w:rPr>
        <w:t xml:space="preserve">（七）CPU设计与体系结构教学实验平台(数量8套)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u w:val="single"/>
        </w:rPr>
      </w:pPr>
      <w:r>
        <w:rPr>
          <w:rFonts w:ascii="宋体" w:hAnsi="宋体" w:cs="Arial"/>
          <w:color w:val="000000" w:themeColor="text1"/>
          <w:sz w:val="22"/>
          <w:szCs w:val="22"/>
          <w:highlight w:val="none"/>
          <w:u w:val="single"/>
        </w:rPr>
        <w:t xml:space="preserve">CPU设计与体系结构教学实验平台是根据高等院校计算机专业本科生及研究生相关专业开设的《数字逻辑》、《计算机组成原理》、《计算机体系结构》、《操作系统》等计算机基础软硬件课程的实验教学需要，自主研发，具有自主知识产权的集成实验设计、开发与教学平台。该实验平台围绕计算机系统的基础软硬件专业能力培养，可以满足不同层次院校开设上述课程实验的验证型、综合型、创新型实验教学要求。</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《智能教育装备评价指南》  </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3</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各项指标要求</w:t>
      </w:r>
      <w:r>
        <w:rPr>
          <w:color w:val="000000" w:themeColor="text1"/>
        </w:rPr>
      </w:r>
      <w:r/>
    </w:p>
    <w:tbl>
      <w:tblPr>
        <w:tblW w:w="5037" w:type="pct"/>
        <w:tblInd w:w="-108" w:type="dxa"/>
        <w:tblLayout w:type="autofit"/>
        <w:tblCellMar>
          <w:left w:w="108" w:type="dxa"/>
          <w:top w:w="0" w:type="dxa"/>
          <w:right w:w="108" w:type="dxa"/>
          <w:bottom w:w="0" w:type="dxa"/>
        </w:tblCellMar>
        <w:tblLook w:val="04A0" w:firstRow="1" w:lastRow="0" w:firstColumn="1" w:lastColumn="0" w:noHBand="0" w:noVBand="1"/>
      </w:tblPr>
      <w:tblGrid>
        <w:gridCol w:w="923"/>
        <w:gridCol w:w="866"/>
        <w:gridCol w:w="932"/>
        <w:gridCol w:w="5954"/>
        <w:gridCol w:w="1161"/>
      </w:tblGrid>
      <w:tr>
        <w:trPr>
          <w:trHeight w:val="809"/>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955"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809"/>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工作条件：</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工作温度：≤-10℃～≥＋40℃；</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电源要求：220V，50Hz；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13"/>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重要技术指标：</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（1）采用≥20万门大容量FPGA；</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（2）内存 板载≥1Gb；SRAM≥1Mb；</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（3）存储 NAND存储，≥1Gb；</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（4）启动 SPI FLASH≥128Mb，支持程序固化；</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（5）显示 ≥4.3'电容触摸液晶屏；</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（6）串口 ≥1个DB9接口；</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（7）网口 ≥1个RJ45 接口；</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（8）VGA ≥1个VGA接口；</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（9）USB  ≥1个USB接口；</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（10）PS2  ≥1个PS2接口；</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（11）数显 ≥8个数码管，≥1个 8X8点阵；</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（12）灯≥16个单色LED灯；≥2个双色LED灯；</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（13）键盘 ≥4X4_X1键盘；</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（14）开关 ≥8个拨码开关；</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（15）扩展 ≥2X10_X2_IO扩展；≥2X20_X1_IO扩展；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76"/>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256"/>
              <w:jc w:val="left"/>
              <w:keepLines w:val="0"/>
              <w:keepNext w:val="0"/>
              <w:widowControl/>
              <w:rPr>
                <w:rFonts w:hint="eastAsia" w:ascii="宋体" w:hAnsi="宋体" w:cs="宋体"/>
                <w:color w:val="000000" w:themeColor="text1"/>
                <w:sz w:val="22"/>
                <w:szCs w:val="22"/>
                <w:highlight w:val="none"/>
              </w:rPr>
              <w:suppressLineNumbers w:val="0"/>
            </w:pPr>
            <w:r>
              <w:rPr>
                <w:rFonts w:hint="eastAsia" w:ascii="宋体" w:hAnsi="宋体" w:cs="宋体"/>
                <w:color w:val="000000" w:themeColor="text1"/>
                <w:sz w:val="22"/>
                <w:szCs w:val="22"/>
                <w:highlight w:val="none"/>
                <w:lang w:bidi="ar"/>
              </w:rPr>
              <w:t xml:space="preserve">软件配置：</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（1）CPU参考代码；</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（2）</w:t>
            </w:r>
            <w:r>
              <w:rPr>
                <w:rFonts w:ascii="宋体" w:hAnsi="宋体" w:eastAsia="宋体" w:cs="宋体"/>
                <w:color w:val="000000" w:themeColor="text1"/>
                <w:sz w:val="22"/>
                <w:szCs w:val="22"/>
                <w:highlight w:val="none"/>
                <w:lang w:val="en-US" w:eastAsia="zh-CN" w:bidi="ar"/>
              </w:rPr>
              <w:t xml:space="preserve">支持主流 FPGA 开发工具（如 VIVADO、Quartus 等）的最新版本</w:t>
            </w:r>
            <w:r>
              <w:rPr>
                <w:rFonts w:hint="eastAsia" w:ascii="宋体" w:hAnsi="宋体" w:cs="宋体"/>
                <w:color w:val="000000" w:themeColor="text1"/>
                <w:sz w:val="22"/>
                <w:szCs w:val="22"/>
                <w:highlight w:val="none"/>
                <w:lang w:bidi="ar"/>
              </w:rPr>
              <w:t xml:space="preserve">；</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（3）详细的实验代码；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609"/>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机箱：</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（1）主板配套定制机箱；</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（2）配套下载线，电源适配器（5V/2A），USB转串口线，网线；</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（3）尺寸：不大于380mm*250mm*150mm（有利于桌面教学使用）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4285"/>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5"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课程：</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（1）需满足《计算机组成与系统结构》课程创新实验需求，该课程的重点实验至少包含以下9个实验：《数据运算-加法乘法》、《寄存器堆实现》、《ALU 模块实现》、《主存储器实验》、《单、多周期 CPU 实验》、《静态 5 级流水 CPU 实现》、《完整 CPU 系统实现》、《增加例外和中断支持》、《增加总线接口》；</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（2）需满足《操作系统》课程设计实验需求，该课程的重点实验至少有以下5个实验：《Linux 内核模块编程实验》、《工作队列实验》、《定时器实验》、《Linux 驱动程序实验》、《进程同步实验》；</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3）需满足《数字逻辑系统》课程实验需求，该课程的重点实验至少包括以下5个实验：《基本门电路实验》、《组合逻辑电路实验》、《时序逻辑电路实验》、《锁存器、时钟与触发器电路实验》、《数字逻辑综合实验（数字时钟）》设计实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93"/>
        <w:ind w:left="10" w:right="1470" w:hanging="10"/>
        <w:rPr>
          <w:color w:val="000000" w:themeColor="text1"/>
          <w:sz w:val="22"/>
          <w:szCs w:val="22"/>
          <w:highlight w:val="none"/>
        </w:rPr>
      </w:pPr>
      <w:r>
        <w:rPr>
          <w:color w:val="000000" w:themeColor="text1"/>
          <w:sz w:val="22"/>
          <w:szCs w:val="22"/>
          <w:highlight w:val="none"/>
        </w:rPr>
      </w:r>
      <w:r>
        <w:rPr>
          <w:color w:val="000000" w:themeColor="text1"/>
        </w:rPr>
      </w:r>
      <w:r/>
    </w:p>
    <w:p>
      <w:pPr>
        <w:pStyle w:val="1256"/>
        <w:ind w:firstLine="420"/>
        <w:rPr>
          <w:rFonts w:hint="eastAsia" w:ascii="宋体" w:hAnsi="宋体"/>
          <w:b/>
          <w:i/>
          <w:color w:val="000000" w:themeColor="text1"/>
          <w:sz w:val="22"/>
          <w:szCs w:val="22"/>
          <w:highlight w:val="none"/>
          <w:u w:val="single"/>
        </w:rPr>
      </w:pPr>
      <w:r>
        <w:rPr>
          <w:rFonts w:hint="eastAsia" w:ascii="宋体" w:hAnsi="宋体"/>
          <w:b/>
          <w:i/>
          <w:color w:val="000000" w:themeColor="text1"/>
          <w:sz w:val="22"/>
          <w:szCs w:val="22"/>
          <w:highlight w:val="none"/>
          <w:u w:val="singl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（八）管理资源池(数量1台)</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高性能计算资源，满足人工智能教学实验综合平台、以及各教学实验包部署。</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GB/T 9813.3-2017《计算机通用规范 第3部分：服务器》等</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155" w:type="pct"/>
        <w:tblInd w:w="-108" w:type="dxa"/>
        <w:tblLayout w:type="autofit"/>
        <w:tblCellMar>
          <w:left w:w="108" w:type="dxa"/>
          <w:top w:w="0" w:type="dxa"/>
          <w:right w:w="108" w:type="dxa"/>
          <w:bottom w:w="0" w:type="dxa"/>
        </w:tblCellMar>
        <w:tblLook w:val="04A0" w:firstRow="1" w:lastRow="0" w:firstColumn="1" w:lastColumn="0" w:noHBand="0" w:noVBand="1"/>
      </w:tblPr>
      <w:tblGrid>
        <w:gridCol w:w="934"/>
        <w:gridCol w:w="860"/>
        <w:gridCol w:w="945"/>
        <w:gridCol w:w="5920"/>
        <w:gridCol w:w="1408"/>
      </w:tblGrid>
      <w:tr>
        <w:trPr>
          <w:trHeight w:val="799"/>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92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536"/>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满足人工智能教学实验综合平台、以及各教学实验包部署。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机型：2U机架式；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36"/>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处理器：配置≥2颗处理器，要求单颗CPU核心≥8核，主频≥2.8GHz；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内存：容量须≥64GB，内存频率≥3200MHz；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36"/>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硬盘：配置≥1块4TB 7.2K SATA 3.5英寸企业级硬盘；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阵列卡：独立阵列卡支持RAID 0/1/5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网口：配置≥4个千兆；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256"/>
              <w:jc w:val="center"/>
              <w:rPr>
                <w:rFonts w:hint="eastAsia" w:ascii="宋体" w:hAnsi="宋体" w:cs="宋体"/>
                <w:color w:val="ff0000"/>
                <w:sz w:val="22"/>
                <w:szCs w:val="22"/>
                <w:highlight w:val="none"/>
              </w:rPr>
            </w:pPr>
            <w:r>
              <w:rPr>
                <w:rFonts w:hint="eastAsia" w:ascii="宋体" w:hAnsi="宋体" w:cs="宋体"/>
                <w:color w:val="ff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keepLines w:val="0"/>
              <w:keepNext w:val="0"/>
              <w:widowControl/>
              <w:rPr>
                <w:rFonts w:hint="eastAsia" w:ascii="宋体" w:hAnsi="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bidi="ar"/>
              </w:rPr>
              <w:t xml:space="preserve">显卡：配置≥2块48GB显存的NVIDIA、AMD、华为昇腾架构及以上或同等级别其他品牌显卡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2"/>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电源：冗余电源，不低于1600W*2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1"/>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其他：含安装导轨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rPr>
          <w:rFonts w:hint="eastAsia" w:ascii="宋体" w:hAnsi="宋体"/>
          <w:b/>
          <w:color w:val="000000" w:themeColor="text1"/>
          <w:sz w:val="22"/>
          <w:szCs w:val="22"/>
          <w:highlight w:val="none"/>
        </w:rPr>
      </w:pPr>
      <w:r>
        <w:rPr>
          <w:rFonts w:hint="eastAsia" w:ascii="宋体" w:hAnsi="宋体"/>
          <w:b/>
          <w:color w:val="000000" w:themeColor="text1"/>
          <w:sz w:val="22"/>
          <w:szCs w:val="22"/>
          <w:highlight w:val="none"/>
        </w:rPr>
      </w:r>
      <w:r>
        <w:rPr>
          <w:color w:val="000000" w:themeColor="text1"/>
        </w:rPr>
      </w:r>
      <w:r/>
    </w:p>
    <w:p>
      <w:pPr>
        <w:pStyle w:val="1293"/>
        <w:ind w:left="10" w:right="1470" w:hanging="10"/>
        <w:rPr>
          <w:color w:val="000000" w:themeColor="text1"/>
          <w:sz w:val="22"/>
          <w:szCs w:val="22"/>
          <w:highlight w:val="none"/>
        </w:rPr>
      </w:pPr>
      <w:r>
        <w:rPr>
          <w:color w:val="000000" w:themeColor="text1"/>
          <w:sz w:val="22"/>
          <w:szCs w:val="22"/>
          <w:highlight w:val="none"/>
        </w:rPr>
      </w:r>
      <w:r>
        <w:rPr>
          <w:color w:val="000000" w:themeColor="text1"/>
        </w:rPr>
      </w:r>
      <w:r/>
    </w:p>
    <w:p>
      <w:pPr>
        <w:pStyle w:val="1256"/>
        <w:ind w:firstLine="420"/>
        <w:rPr>
          <w:rFonts w:hint="eastAsia" w:ascii="宋体" w:hAnsi="宋体"/>
          <w:b/>
          <w:i/>
          <w:color w:val="000000" w:themeColor="text1"/>
          <w:sz w:val="22"/>
          <w:szCs w:val="22"/>
          <w:highlight w:val="none"/>
          <w:u w:val="single"/>
        </w:rPr>
      </w:pPr>
      <w:r>
        <w:rPr>
          <w:rFonts w:hint="eastAsia" w:ascii="宋体" w:hAnsi="宋体"/>
          <w:b/>
          <w:i/>
          <w:color w:val="000000" w:themeColor="text1"/>
          <w:sz w:val="22"/>
          <w:szCs w:val="22"/>
          <w:highlight w:val="none"/>
          <w:u w:val="singl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（九）平台资源池(数量1台)</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高性能计算资源，满足人工智能教学实验综合平台、开展教学（50+1并发）。</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2.应遵循的相关国家标准、行业标准、地方标准等标准、规范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GB/T 9813.3-2017《计算机通用规范 第3部分：服务器》等</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098" w:type="pct"/>
        <w:tblInd w:w="-108" w:type="dxa"/>
        <w:tblLayout w:type="autofit"/>
        <w:tblCellMar>
          <w:left w:w="108" w:type="dxa"/>
          <w:top w:w="0" w:type="dxa"/>
          <w:right w:w="108" w:type="dxa"/>
          <w:bottom w:w="0" w:type="dxa"/>
        </w:tblCellMar>
        <w:tblLook w:val="04A0" w:firstRow="1" w:lastRow="0" w:firstColumn="1" w:lastColumn="0" w:noHBand="0" w:noVBand="1"/>
      </w:tblPr>
      <w:tblGrid>
        <w:gridCol w:w="963"/>
        <w:gridCol w:w="888"/>
        <w:gridCol w:w="952"/>
        <w:gridCol w:w="5983"/>
        <w:gridCol w:w="1169"/>
      </w:tblGrid>
      <w:tr>
        <w:trPr>
          <w:trHeight w:val="923"/>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98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6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满足人工智能教学实验综合平台、开展教学（即50个学生端+1个教师端）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机型：2U机架式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处理器：配置≥2颗处理器，要求单颗CPU核心≥28核，主频≥2.2GHz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内存：容量须≥512GB，内存频率≥3200MHz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硬盘：配置≥3块4TB 7.2K SATA 3.5英寸企业级硬盘；配置≥2块480G SSD</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阵列卡：配置≥1个RAID标卡，支持1GB高速缓存，支持RAID0/1/5/6/10/50/60/JBOD</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网口：配置≥4个千兆；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256"/>
              <w:jc w:val="center"/>
              <w:rPr>
                <w:rFonts w:hint="eastAsia" w:ascii="宋体" w:hAnsi="宋体" w:cs="宋体"/>
                <w:color w:val="ff0000"/>
                <w:sz w:val="22"/>
                <w:szCs w:val="22"/>
                <w:highlight w:val="none"/>
              </w:rPr>
            </w:pPr>
            <w:r>
              <w:rPr>
                <w:rFonts w:hint="eastAsia" w:ascii="宋体" w:hAnsi="宋体" w:cs="宋体"/>
                <w:color w:val="ff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keepLines w:val="0"/>
              <w:keepNext w:val="0"/>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bidi="ar"/>
              </w:rPr>
              <w:t xml:space="preserve">显卡：配置≥2块48GB显存的NVIDIA、AMD、华为昇腾架构及以上或同等级别其他品牌显卡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电源：冗余电源，不低于1600W*2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2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84"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其他：含安装导轨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rPr>
          <w:rFonts w:hint="eastAsia" w:ascii="宋体" w:hAnsi="宋体"/>
          <w:b/>
          <w:color w:val="000000" w:themeColor="text1"/>
          <w:sz w:val="22"/>
          <w:szCs w:val="22"/>
          <w:highlight w:val="none"/>
        </w:rPr>
      </w:pPr>
      <w:r>
        <w:rPr>
          <w:rFonts w:hint="eastAsia" w:ascii="宋体" w:hAnsi="宋体"/>
          <w:b/>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（十）视障辅助设备-盲用辅具(数量2套)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pPr>
      <w:r>
        <w:rPr>
          <w:rFonts w:hint="eastAsia" w:ascii="宋体" w:hAnsi="宋体" w:cs="Arial"/>
          <w:color w:val="000000" w:themeColor="text1"/>
          <w:sz w:val="22"/>
          <w:szCs w:val="22"/>
          <w:highlight w:val="none"/>
          <w:u w:val="single"/>
        </w:rPr>
        <w:t xml:space="preserve">提供多根超声波电子导盲杖，该导盲杖可探测距离 3 米内的障碍物，2 米内可进行语音播报。视障人士手持智能盲杖行走时，盲杖能实时探测前方障碍物，并通过语音及时提醒视障人士，帮助他们避开障碍，安全行走。</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pPr>
      <w:r>
        <w:rPr>
          <w:rFonts w:hint="eastAsia" w:ascii="宋体" w:hAnsi="宋体" w:cs="Arial"/>
          <w:color w:val="000000" w:themeColor="text1"/>
          <w:sz w:val="22"/>
          <w:szCs w:val="22"/>
          <w:highlight w:val="none"/>
          <w:u w:val="single"/>
        </w:rPr>
        <w:t xml:space="preserve">《智能教育装备评价指南》</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3</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各项指标要求</w:t>
      </w:r>
      <w:r>
        <w:rPr>
          <w:color w:val="000000" w:themeColor="text1"/>
        </w:rPr>
      </w:r>
      <w:r/>
    </w:p>
    <w:tbl>
      <w:tblPr>
        <w:tblW w:w="9735" w:type="dxa"/>
        <w:tblInd w:w="-15" w:type="dxa"/>
        <w:tblLayout w:type="autofit"/>
        <w:tblCellMar>
          <w:left w:w="108" w:type="dxa"/>
          <w:top w:w="0" w:type="dxa"/>
          <w:right w:w="108" w:type="dxa"/>
          <w:bottom w:w="0" w:type="dxa"/>
        </w:tblCellMar>
        <w:tblLook w:val="04A0" w:firstRow="1" w:lastRow="0" w:firstColumn="1" w:lastColumn="0" w:noHBand="0" w:noVBand="1"/>
      </w:tblPr>
      <w:tblGrid>
        <w:gridCol w:w="810"/>
        <w:gridCol w:w="916"/>
        <w:gridCol w:w="890"/>
        <w:gridCol w:w="5767"/>
        <w:gridCol w:w="1352"/>
      </w:tblGrid>
      <w:tr>
        <w:trPr>
          <w:trHeight w:val="57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76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1717"/>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6"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none" w:color="000000" w:sz="4" w:space="0"/>
            </w:tcBorders>
            <w:tcW w:w="8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智能盲杖：</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（1）长度不小于1.2米；</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（2）重量不大于380g；</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（3）支持超声波探测技术，可探测距离不小于3米；</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（4）支持语音播报的距离不小于2米；</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（5）可支持至少4节折叠</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7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AI助盲眼镜：</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（1）尺寸：不小于15.2cm (长)、不小于14.8cm (宽)</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（2）重量：不低于31克</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（3）材质：ABS</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（4）功能：包括AI 视力帮助（读书看报，食品药品怎么吃，出行主动环境感知，红绿灯识别（内测））、听歌打电话等</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（5）适用人群：初级掌握操作安卓智能手机即可，包含：（先天或者后天）全盲 / 弱视者 / 白内障患者 / 黄斑病变患者 /视力模糊老人 / 不怎么识字的老人 / 想问人工智能药品怎么吃，食物含糖高不高等的老人 / 想做人工智能舌诊、面诊的老人</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88"/>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盲文指示牌：</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用盲文提供景区各处的介绍以及各设备的介绍。</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rPr>
          <w:rFonts w:hint="eastAsia" w:ascii="宋体" w:hAnsi="宋体"/>
          <w:b/>
          <w:color w:val="000000" w:themeColor="text1"/>
          <w:sz w:val="22"/>
          <w:szCs w:val="22"/>
          <w:highlight w:val="none"/>
        </w:rPr>
      </w:pPr>
      <w:r>
        <w:rPr>
          <w:rFonts w:hint="eastAsia" w:ascii="宋体" w:hAnsi="宋体"/>
          <w:b/>
          <w:color w:val="000000" w:themeColor="text1"/>
          <w:sz w:val="22"/>
          <w:szCs w:val="22"/>
          <w:highlight w:val="none"/>
        </w:rPr>
      </w:r>
      <w:r>
        <w:rPr>
          <w:color w:val="000000" w:themeColor="text1"/>
        </w:rPr>
      </w:r>
      <w:r/>
    </w:p>
    <w:p>
      <w:pPr>
        <w:pStyle w:val="1256"/>
        <w:rPr>
          <w:rFonts w:hint="eastAsia" w:ascii="宋体" w:hAnsi="宋体"/>
          <w:b/>
          <w:color w:val="000000" w:themeColor="text1"/>
          <w:sz w:val="22"/>
          <w:szCs w:val="22"/>
          <w:highlight w:val="none"/>
        </w:rPr>
      </w:pPr>
      <w:r>
        <w:rPr>
          <w:rFonts w:hint="eastAsia" w:ascii="宋体" w:hAnsi="宋体"/>
          <w:b/>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（十一）多模态感知的智能通用灵巧手(数量1套)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高自由度多模态感知的智能</w:t>
      </w:r>
      <w:r>
        <w:rPr>
          <w:rFonts w:ascii="宋体" w:hAnsi="宋体" w:cs="Arial"/>
          <w:color w:val="000000" w:themeColor="text1"/>
          <w:sz w:val="22"/>
          <w:szCs w:val="22"/>
          <w:highlight w:val="none"/>
          <w:u w:val="single"/>
        </w:rPr>
        <w:t xml:space="preserve">通用灵巧手</w:t>
      </w:r>
      <w:r>
        <w:rPr>
          <w:rFonts w:hint="eastAsia" w:ascii="宋体" w:hAnsi="宋体" w:cs="Arial"/>
          <w:color w:val="000000" w:themeColor="text1"/>
          <w:sz w:val="22"/>
          <w:szCs w:val="22"/>
          <w:highlight w:val="none"/>
          <w:u w:val="single"/>
        </w:rPr>
        <w:t xml:space="preserve">，具备高可靠性、易维护、低功耗、多模态的特性，集成多种通信接口支持灵</w:t>
      </w:r>
      <w:r>
        <w:rPr>
          <w:rFonts w:ascii="宋体" w:hAnsi="宋体" w:cs="Arial"/>
          <w:color w:val="000000" w:themeColor="text1"/>
          <w:sz w:val="22"/>
          <w:szCs w:val="22"/>
          <w:highlight w:val="none"/>
          <w:u w:val="single"/>
        </w:rPr>
        <w:t xml:space="preserve">巧手触觉算法的二次开发</w:t>
      </w:r>
      <w:r>
        <w:rPr>
          <w:rFonts w:hint="eastAsia" w:ascii="宋体" w:hAnsi="宋体" w:cs="Arial"/>
          <w:color w:val="000000" w:themeColor="text1"/>
          <w:sz w:val="22"/>
          <w:szCs w:val="22"/>
          <w:highlight w:val="none"/>
          <w:u w:val="single"/>
        </w:rPr>
        <w:t xml:space="preserve">，支持主流机器人</w:t>
      </w:r>
      <w:r>
        <w:rPr>
          <w:rFonts w:ascii="宋体" w:hAnsi="宋体" w:cs="Arial"/>
          <w:color w:val="000000" w:themeColor="text1"/>
          <w:sz w:val="22"/>
          <w:szCs w:val="22"/>
          <w:highlight w:val="none"/>
          <w:u w:val="single"/>
        </w:rPr>
        <w:t xml:space="preserve">末端接口和通讯协议</w:t>
      </w:r>
      <w:r>
        <w:rPr>
          <w:rFonts w:hint="eastAsia" w:ascii="宋体" w:hAnsi="宋体" w:cs="Arial"/>
          <w:color w:val="000000" w:themeColor="text1"/>
          <w:sz w:val="22"/>
          <w:szCs w:val="22"/>
          <w:highlight w:val="none"/>
          <w:u w:val="single"/>
        </w:rPr>
        <w:t xml:space="preserve">。</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2.应遵循的相关国家标准、行业标准、地方标准等标准、规范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无 </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10107" w:type="dxa"/>
        <w:tblInd w:w="-95" w:type="dxa"/>
        <w:tblLayout w:type="fixed"/>
        <w:tblCellMar>
          <w:left w:w="108" w:type="dxa"/>
          <w:top w:w="0" w:type="dxa"/>
          <w:right w:w="108" w:type="dxa"/>
          <w:bottom w:w="0" w:type="dxa"/>
        </w:tblCellMar>
        <w:tblLook w:val="04A0" w:firstRow="1" w:lastRow="0" w:firstColumn="1" w:lastColumn="0" w:noHBand="0" w:noVBand="1"/>
      </w:tblPr>
      <w:tblGrid>
        <w:gridCol w:w="1011"/>
        <w:gridCol w:w="876"/>
        <w:gridCol w:w="911"/>
        <w:gridCol w:w="5919"/>
        <w:gridCol w:w="1390"/>
      </w:tblGrid>
      <w:tr>
        <w:trPr>
          <w:trHeight w:val="852"/>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91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自由度：≥19个</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自重：不大于1KG</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驱动方式：电机驱动</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静态电流：不大于0.2A</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最大电流：不小于7.4A</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负载：不小于5KG</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最小开合时间：不大于1.0S</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传动方式：腱绳传动</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触觉传感器：法向力量程20N，接近觉≥1cm，位置、触觉、力觉</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控制模式：位置控制、轨迹控制、力控制</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52"/>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灵巧操作：能力掌内转动魔方、多物体抓取，支持超过15种类人手功能操作，如柱状抓握、球形抓握、多指捏夹等</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二次开发生态：集成多种通信接口，底层开放并支持灵巧手触觉算法的二次开发</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AI能力-仿真环境：灵巧手模型、物理引擎、操作场景、实时可视化</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AI能力-算法工具包：动作映射、遥操作算法、强化学习和模仿学习(含预设场景)</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7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AI能力-交互生态：集成动作捕捉、VR系统(输入/输出)、摄像头手势捕捉</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91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AI能力-开发者支持：开放接口、场景定制、算法扩展、ROS系统集成</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rPr>
          <w:rFonts w:hint="eastAsia" w:ascii="宋体" w:hAnsi="宋体"/>
          <w:b/>
          <w:color w:val="000000" w:themeColor="text1"/>
          <w:sz w:val="22"/>
          <w:szCs w:val="22"/>
          <w:highlight w:val="none"/>
        </w:rPr>
      </w:pPr>
      <w:r>
        <w:rPr>
          <w:rFonts w:hint="eastAsia" w:ascii="宋体" w:hAnsi="宋体"/>
          <w:b/>
          <w:color w:val="000000" w:themeColor="text1"/>
          <w:sz w:val="22"/>
          <w:szCs w:val="22"/>
          <w:highlight w:val="none"/>
        </w:rPr>
      </w:r>
      <w:r>
        <w:rPr>
          <w:color w:val="000000" w:themeColor="text1"/>
        </w:rPr>
      </w:r>
      <w:r/>
    </w:p>
    <w:p>
      <w:pPr>
        <w:pStyle w:val="1256"/>
        <w:ind w:firstLine="420"/>
        <w:rPr>
          <w:rFonts w:hint="eastAsia" w:ascii="宋体" w:hAnsi="宋体"/>
          <w:b/>
          <w:i/>
          <w:color w:val="000000" w:themeColor="text1"/>
          <w:sz w:val="22"/>
          <w:szCs w:val="22"/>
          <w:highlight w:val="none"/>
          <w:u w:val="single"/>
        </w:rPr>
      </w:pPr>
      <w:r>
        <w:rPr>
          <w:rFonts w:hint="eastAsia" w:ascii="宋体" w:hAnsi="宋体"/>
          <w:b/>
          <w:i/>
          <w:color w:val="000000" w:themeColor="text1"/>
          <w:sz w:val="22"/>
          <w:szCs w:val="22"/>
          <w:highlight w:val="none"/>
          <w:u w:val="singl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（十二）智能心理监测系统(1套)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该系统旨在通过摄像头和信息化设备，采集人员日常表情、行为、视线等特征数据，实时地对人员心理状态进行跟踪，通过特定分析，对个体异常状态进行预警，进一步防范心理问题产生</w:t>
      </w:r>
      <w:r>
        <w:rPr>
          <w:rFonts w:hint="eastAsia" w:ascii="宋体" w:hAnsi="宋体" w:cs="Arial"/>
          <w:color w:val="000000" w:themeColor="text1"/>
          <w:sz w:val="22"/>
          <w:szCs w:val="22"/>
          <w:highlight w:val="none"/>
          <w:u w:val="single"/>
          <w:lang w:val="zh-CN"/>
        </w:rPr>
        <w:t xml:space="preserve">。</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pPr>
      <w:r>
        <w:rPr>
          <w:rFonts w:hint="eastAsia" w:ascii="宋体" w:hAnsi="宋体" w:cs="Arial"/>
          <w:color w:val="000000" w:themeColor="text1"/>
          <w:sz w:val="22"/>
          <w:szCs w:val="22"/>
          <w:highlight w:val="none"/>
          <w:u w:val="single"/>
          <w:lang w:val="zh-CN"/>
        </w:rPr>
        <w:t xml:space="preserve">《智能教育装备评价指南》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各项指标要求</w:t>
      </w:r>
      <w:r>
        <w:rPr>
          <w:color w:val="000000" w:themeColor="text1"/>
        </w:rPr>
      </w:r>
      <w:r/>
    </w:p>
    <w:tbl>
      <w:tblPr>
        <w:tblW w:w="5137" w:type="pct"/>
        <w:tblInd w:w="-108" w:type="dxa"/>
        <w:tblLayout w:type="fixed"/>
        <w:tblCellMar>
          <w:left w:w="108" w:type="dxa"/>
          <w:top w:w="0" w:type="dxa"/>
          <w:right w:w="108" w:type="dxa"/>
          <w:bottom w:w="0" w:type="dxa"/>
        </w:tblCellMar>
        <w:tblLook w:val="04A0" w:firstRow="1" w:lastRow="0" w:firstColumn="1" w:lastColumn="0" w:noHBand="0" w:noVBand="1"/>
      </w:tblPr>
      <w:tblGrid>
        <w:gridCol w:w="1007"/>
        <w:gridCol w:w="894"/>
        <w:gridCol w:w="853"/>
        <w:gridCol w:w="5929"/>
        <w:gridCol w:w="1349"/>
      </w:tblGrid>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93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技术参数（功能指标要求）</w:t>
            </w:r>
            <w:r>
              <w:rPr>
                <w:color w:val="000000" w:themeColor="text1"/>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首页：</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首页可展示采集数据（包括总人次、采集率、预警人次、重点关注）、近一周采集趋势（柱状图、曲线图等形式表达）、采集设备在线率、近7日风险提示趋势图；</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40"/>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采集记录：</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支持监控摄像头自动无感采集人员信息，自动识别人员身份，采集信息包括：姓名、编号、部门、入学时间、采集位置、采集批次、开始时间、结束时间、采集记录（条数）、分析状态。支持采集记录导出；</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采集记录：</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支持按照所属单位、姓名、采集位置、入学时间、采集日期等进行模糊查询采集记录；</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采集记录：</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支持无感采集过程展示、可以查看现场图片；</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风险提示：</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支持展示风险人员列表，包括姓名、编号、部门、入学时间、年龄、风险等级、风险提示时间等，可查看风险提示详情，支持导出风险人员列表；</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风险提示：</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支持按照姓名、风险等级、年龄、入学时间、日期查询风险提示信息；</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风险提示：</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支持通过采集数据综合分析获取的基本情绪、步态情绪、关注度等分析结果，并对基本情绪、步态情绪和关注度等3个维度的本次预测值、个体常模、群体常模等数据进行展示；</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风险提示：</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支持对采集数据进行综合研判，可对风险值进行评分，划分风险等级；可对近期风险值进行汇总分析，展示近期风险趋势；</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风险提示：</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结果呈现形式支持包括雷达图、柱状图、曲线图表等多种展现形式；</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预警管理：</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预警管理界面支持展示预警人员列表，支持展示预警人员姓名、编号、部门、入学时间、预警开始时间、预警结束时间、预警状态、预警规则名等；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预警管理：</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可查看预警详情，支持导出预警人员列表；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40"/>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重点关注：</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重点关注人员列表支持展示人员姓名、编号、部门、入学时间、近期风险等级、近期心理风险得分，开始关注日期、结束关注日期、关注方式、干预状态；支持导出重点关注人员列表；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重点关注：</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支持按照人员姓名、入学时间、日期查询列表；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重点关注：</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支持重点关注人员手动添加；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重点关注：</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支持重点关注人员规则配置；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重点关注：</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支持查看重点关注人员心理档案，配置干预方案；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重点关注：</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系统支持查看取消关注人员列表，可按照人员姓名、入学时间、日期查询列表，列表信息包括取消关注时间及原因；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心理档案：</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心理档案包括：基本信息、心理信息、采集信息、量表信息、自建档案、访谈记录等，支持导出个人心理档案；</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心理档案：</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支持导入自建档案、管理人员可在浏览人员心理档案后直接加入重点关注人员列表；</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心理档案：</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心理信息内容包括总体心理状况、情绪状态、步态情绪状态等，系统通过长期监测个体、群体面部表情数据，步态情绪数据，生成个体、群体常模、时间序列特征、情绪变化规律；</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心理档案：</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支持展示个体、群体常模的分布偏离状况；</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心理档案：</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支持总体心理状况评分，并划分为无风险、低风险、中风险和高风险等4个级别；</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心理档案：</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支持展示采集统计信息，包括近7天内采集次数、近7天内风险分布情况、预警数据、事件日志、干预记录；</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干预管理：</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支持按姓名、入学时间查询待干预人员列表；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干预管理：</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支持按姓名、入学时间查询待取消待干预人员列表；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干预管理：</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干预列表包括干预人员姓名、编号、部门、入学时间、干预方案、干预类别、干预时间、干预状态、可查看干预效果；支持导出干预记录；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干预管理：</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支持查看干预效果，系统汇总干预前后一周内的风险次数，以图表等形式展示干预效果；</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干预管理：</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支持按照干预类别，提供针对如愤怒、胆怯、兴奋、厌恶、平静、悲伤、惊讶等七种情绪的干预方案；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干预管理：</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支持针对愤怒、胆怯、兴奋、厌恶等主要情绪推荐具体的干预方案，可查看干预方案具体实施步骤；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08"/>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干预管理：</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支持处置人员管理，列表内容包括姓名、编号、部门、入学时间、创建时间、处置原因、分析状态，支持查看详细的处置流程；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干预管理：</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支持交互式对话聊天，具有文本情感分析功能；</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7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统计管理：</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支持按日期查询部门统计列表，列表内容包括：部门名称、部门人数、已采集人数、未采集人数、采集次数、采集率等信息，支持导出统计列表；</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统计管理：</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支持按日期查询设备统计列表，列表内容包括：位置、采集次数、采集率等信息，支持导出统计列表；</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技术参数（性能指标要求）</w:t>
            </w:r>
            <w:r>
              <w:rPr>
                <w:color w:val="000000" w:themeColor="text1"/>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面部情绪分类不少于6种；步态情绪分类不少于3种；多元融合常模输入通道不少于5个；</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人脸身份识别准确率不低于99%；文本情感分类准确率不低于95%；图片情感分类准确率不低于90%；</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支持最多8路视频数据并发分析，最低分辨率支持1920*1080，支持分析最低帧率不低于15fps；</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技术参数（产品成熟度要求）</w:t>
            </w:r>
            <w:r>
              <w:rPr>
                <w:color w:val="000000" w:themeColor="text1"/>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提供智能心理监护类系统软件著作权证明材料。（证书“ 软件名称” 无需完全一致，但内容（功能）需要相同，如提供的证书“软件名称” 与给定名称不同时，应提供内容（功能）说明及包含的关键信息，相应内容（功能）应符合上述要求）</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提供相关证书扫描件并加盖投标供应商公章</w:t>
            </w:r>
            <w:r>
              <w:rPr>
                <w:color w:val="000000" w:themeColor="text1"/>
              </w:rPr>
            </w:r>
            <w:r/>
          </w:p>
        </w:tc>
      </w:tr>
      <w:tr>
        <w:trPr>
          <w:trHeight w:val="106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提供情绪算法类、心理类、非接触类相关的软著、发明专利。（证书“ 软件名称” 无需完全一致，但内容（功能）需要相同，如提供的证书“软件名称” 与给定名称不同时，应提供内容（功能）说明及包含的关键信息，相应内容（功能）应符合上述要求）</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提供相关证书扫描件并加盖投标供应商公章</w:t>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技术参数（硬件要求）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机型：国产品牌；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处理器：国产处理器,主频≥2.5GHz；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操作系统：国产化操作系统；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内存≥32GB；</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75"/>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硬盘≥2TB；</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网卡：板载≥2个千兆电口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4"/>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4"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30"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电源：支持1+1冗余电源；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（十三）智能心理监护系统采集设备(1套)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配套智能心理监护系统进行数据采集</w:t>
      </w:r>
      <w:r>
        <w:rPr>
          <w:rFonts w:hint="eastAsia" w:ascii="宋体" w:hAnsi="宋体" w:cs="Arial"/>
          <w:color w:val="000000" w:themeColor="text1"/>
          <w:sz w:val="22"/>
          <w:szCs w:val="22"/>
          <w:highlight w:val="none"/>
          <w:u w:val="single"/>
          <w:lang w:val="zh-CN"/>
        </w:rPr>
        <w:t xml:space="preserve">。</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129" w:type="pct"/>
        <w:tblInd w:w="-108" w:type="dxa"/>
        <w:tblLayout w:type="autofit"/>
        <w:tblCellMar>
          <w:left w:w="108" w:type="dxa"/>
          <w:top w:w="0" w:type="dxa"/>
          <w:right w:w="108" w:type="dxa"/>
          <w:bottom w:w="0" w:type="dxa"/>
        </w:tblCellMar>
        <w:tblLook w:val="04A0" w:firstRow="1" w:lastRow="0" w:firstColumn="1" w:lastColumn="0" w:noHBand="0" w:noVBand="1"/>
      </w:tblPr>
      <w:tblGrid>
        <w:gridCol w:w="964"/>
        <w:gridCol w:w="951"/>
        <w:gridCol w:w="847"/>
        <w:gridCol w:w="5872"/>
        <w:gridCol w:w="1382"/>
      </w:tblGrid>
      <w:tr>
        <w:trPr>
          <w:trHeight w:val="93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626"/>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技术参数-400万POE摄像头（6台）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采用单个电动变焦镜头一体化设计，枪型外观，自带补光灯；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采用不低于400万像素1/1.8英寸CMOS图像传感器；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内置GPU芯片，支持深度学习算法；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支持不小于8mm-32mm可变焦距，支持F1.6光圈；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26"/>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内置不少于4颗补光灯，每颗补光灯均有红外灯和暖光灯组成；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165"/>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在环境光照度低于50lx，可对速度不小于40km/h的机动车，速度不大于25km/h的非机动车，速度不大于5km/h的行人三种同时经过画面的目标进行分类曝光，支持抓拍人脸、人体、非机动车和机动车目标，抓拍的人脸和车牌号码图片应清晰可辨，无过曝、欠曝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提供公安部有效检测报告扫描件加盖投标供应商公章</w:t>
            </w:r>
            <w:r>
              <w:rPr>
                <w:color w:val="000000" w:themeColor="text1"/>
              </w:rPr>
            </w:r>
            <w:r/>
          </w:p>
        </w:tc>
      </w:tr>
      <w:tr>
        <w:trPr>
          <w:trHeight w:val="124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补光灯透镜采用微四边形阵列镜面，通过多层透镜组合，可消除监控画面中目标的眩光、杂光和亮点等现象；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提供公安部有效检测报告扫描件加盖投标供应商公章</w:t>
            </w:r>
            <w:r>
              <w:rPr>
                <w:color w:val="000000" w:themeColor="text1"/>
              </w:rPr>
            </w:r>
            <w:r/>
          </w:p>
        </w:tc>
      </w:tr>
      <w:tr>
        <w:trPr>
          <w:trHeight w:val="2165"/>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支持指示灯显示工作状态（上电、联网、故障等状态可区分）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提供公安部有效检测报告扫描件加盖投标供应商公章</w:t>
            </w:r>
            <w:r>
              <w:rPr>
                <w:color w:val="000000" w:themeColor="text1"/>
              </w:rPr>
            </w:r>
            <w:r/>
          </w:p>
        </w:tc>
      </w:tr>
      <w:tr>
        <w:trPr>
          <w:trHeight w:val="93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设备镜头前盖玻璃呈倾斜状，支持改变沿镜头光轴方向入射光束的反射光方向；</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提供公安部有效检测报告扫描件加盖投标供应商公章</w:t>
            </w:r>
            <w:r>
              <w:rPr>
                <w:color w:val="000000" w:themeColor="text1"/>
              </w:rPr>
            </w:r>
            <w:r/>
          </w:p>
        </w:tc>
      </w:tr>
      <w:tr>
        <w:trPr>
          <w:trHeight w:val="626"/>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支持报警3进2出，双MIC，扬声器，音频2进1出，485，BNC，支持不小于512GMicroSD卡；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26"/>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支持DC12V/AC24V/POE三合一供电方式，支持12V电源返送；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支持IP67防护等级；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85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技术参数-8口POE交换机（1台）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总功率≥120W，兼容802.3af/at标准，支持VLAN划分，即插即用；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482"/>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技术参数-其他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7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网线：超五类非屏蔽双绞线；</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支架：国标铝合金摄像头支架；</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电源适配器：国标2A POE分离器；</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PVC管：联塑φ20管；</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工程辅材：扎带、胶布、螺丝等；</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存储设备：4TB监控专用硬盘1块；</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设备安装：6个摄像头安装+调试；</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系统调试：网络配置、录像机设置、移动侦测功能测试；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（十四）基于脑机接口社交沟通训练系统的智能脑环(1套)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outlineLvl w:val="2"/>
      </w:pPr>
      <w:r>
        <w:rPr>
          <w:rFonts w:hint="eastAsia" w:ascii="宋体" w:hAnsi="宋体" w:cs="Arial"/>
          <w:color w:val="000000" w:themeColor="text1"/>
          <w:sz w:val="22"/>
          <w:szCs w:val="22"/>
          <w:highlight w:val="none"/>
          <w:u w:val="single"/>
          <w:lang w:val="zh-CN"/>
        </w:rPr>
        <w:t xml:space="preserve">脑机接口社交沟通训练系统采用可穿戴智能脑机接口技术，结合由BCBA、认知心理学博士等联合开发的专业特教内容，针对孤独症谱系儿童的本源性的脑神经发育障碍进行智能闭环神经反馈训练，由内而外提升社交沟通与行为能力，并帮助提高传统行为训练的效率。</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068" w:type="pct"/>
        <w:tblInd w:w="-108" w:type="dxa"/>
        <w:tblLayout w:type="autofit"/>
        <w:tblCellMar>
          <w:left w:w="108" w:type="dxa"/>
          <w:top w:w="0" w:type="dxa"/>
          <w:right w:w="108" w:type="dxa"/>
          <w:bottom w:w="0" w:type="dxa"/>
        </w:tblCellMar>
        <w:tblLook w:val="04A0" w:firstRow="1" w:lastRow="0" w:firstColumn="1" w:lastColumn="0" w:noHBand="0" w:noVBand="1"/>
      </w:tblPr>
      <w:tblGrid>
        <w:gridCol w:w="976"/>
        <w:gridCol w:w="970"/>
        <w:gridCol w:w="861"/>
        <w:gridCol w:w="5962"/>
        <w:gridCol w:w="1128"/>
      </w:tblGrid>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761"/>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w:t>
            </w:r>
            <w:r>
              <w:rPr>
                <w:color w:val="000000" w:themeColor="text1"/>
              </w:rPr>
            </w:r>
            <w:r/>
          </w:p>
        </w:tc>
        <w:tc>
          <w:tcPr>
            <w:tcBorders>
              <w:top w:val="single" w:color="000000" w:sz="4" w:space="0"/>
              <w:left w:val="single" w:color="000000" w:sz="4" w:space="0"/>
              <w:bottom w:val="none" w:color="000000" w:sz="0" w:space="0"/>
              <w:right w:val="single" w:color="000000" w:sz="4" w:space="0"/>
            </w:tcBorders>
            <w:tcW w:w="970"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技术参数（硬件指标）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重量：≤105g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14-2</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电池容量：≥185毫安时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14-3</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充电时间：≤2小时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14-4</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续航时间：≥8小时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14-5</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休眠时长：≥180天</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14-6</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连接方式：低耗能蓝牙技术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14-7</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充电接口：USB TYPE-C</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106"/>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14-8</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支持嵌入式ARM架构设计，可高度集成多种功能应用，包括但不限于脑电数据采集实时传输、脑电采集实时参数调节、状态灯显示控制、佩戴检测、电量检测报警功能。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14-9</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支持不少于1路128倍可变增益脑电采集系统，支持24位高精度ADC以及 MIT最新神经网络模型，实现精准脑波检测。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14-10</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支持带主动电路的金属电极、高精度硬件电路采集用户脑电波数据。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14-11</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采用带有实时温度保护的充电管理技术，整机电路管理系统包含比通常安规更严格的多重过压/过流/短路保护电路，确保产品安全可靠。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14-12</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采用自适应调节的结构设计，配合固定头带使用，最大限度的满足幼/小/中学生不同头围的需求，满足绝大多数人群的使用。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3"/>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14-13</w:t>
            </w:r>
            <w:r>
              <w:rPr>
                <w:color w:val="000000" w:themeColor="text1"/>
              </w:rPr>
            </w:r>
            <w:r/>
          </w:p>
        </w:tc>
        <w:tc>
          <w:tcPr>
            <w:tcBorders>
              <w:top w:val="none" w:color="000000" w:sz="0" w:space="0"/>
              <w:left w:val="single" w:color="000000" w:sz="4" w:space="0"/>
              <w:bottom w:val="single" w:color="000000" w:sz="4"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产品电极采用自适应弹性伸缩结构设计，佩戴舒适可靠。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32"/>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14-14</w:t>
            </w:r>
            <w:r>
              <w:rPr>
                <w:color w:val="000000" w:themeColor="text1"/>
              </w:rPr>
            </w:r>
            <w:r/>
          </w:p>
        </w:tc>
        <w:tc>
          <w:tcPr>
            <w:tcBorders>
              <w:top w:val="single" w:color="000000" w:sz="4" w:space="0"/>
              <w:left w:val="single" w:color="000000" w:sz="4" w:space="0"/>
              <w:bottom w:val="none" w:color="000000" w:sz="0" w:space="0"/>
              <w:right w:val="single" w:color="000000" w:sz="4" w:space="0"/>
            </w:tcBorders>
            <w:tcW w:w="970"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技术参数（软件指标）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提供的后平台服务系统是一套完整的集训练、反馈和管理的智能化干预训练系统，通过客户端给用户建档、评估、训练及反馈；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8"/>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14-15</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后平台服务系统拥有多级管理权限，从老师-校区管理员-总校管理员；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8"/>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14-16</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用户可以直接通过后平台完成技能评估，系统会结合脑电评估结果智能化推送用户个性化训练；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477"/>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14-17</w:t>
            </w:r>
            <w:r>
              <w:rPr>
                <w:color w:val="000000" w:themeColor="text1"/>
              </w:rPr>
            </w:r>
            <w:r/>
          </w:p>
        </w:tc>
        <w:tc>
          <w:tcPr>
            <w:tcBorders>
              <w:top w:val="none" w:color="000000" w:sz="0" w:space="0"/>
              <w:left w:val="single" w:color="000000" w:sz="4" w:space="0"/>
              <w:bottom w:val="none" w:color="000000" w:sz="0"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后平台服务系统中干预模块主要针对谱系儿童的核心症状来设计，至少包括两大训练（脑机个训和小组课训练）。个训中至少包括五大训练模块，包括但不限于社交脑激活、社交沟通核心技能、脑与行为灵活性、发音与认词以及日常生活与社会适应，提供上传训练模块，让老师上传训练视频。小组训练中最多支持5人同时上课，课程内容包括音乐律动、游戏活动、语言沟通、创意美术、脑机游戏、绘本练习等多个模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89"/>
        </w:trPr>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14-18</w:t>
            </w:r>
            <w:r>
              <w:rPr>
                <w:color w:val="000000" w:themeColor="text1"/>
              </w:rPr>
            </w:r>
            <w:r/>
          </w:p>
        </w:tc>
        <w:tc>
          <w:tcPr>
            <w:tcBorders>
              <w:top w:val="none" w:color="000000" w:sz="0" w:space="0"/>
              <w:left w:val="single" w:color="000000" w:sz="4" w:space="0"/>
              <w:bottom w:val="single" w:color="000000" w:sz="4" w:space="0"/>
              <w:right w:val="single" w:color="000000" w:sz="4" w:space="0"/>
            </w:tcBorders>
            <w:tcW w:w="970" w:type="dxa"/>
            <w:vAlign w:val="center"/>
            <w:vMerge w:val="continue"/>
            <w:textDirection w:val="lrTb"/>
            <w:noWrap w:val="false"/>
          </w:tcPr>
          <w:p>
            <w:pPr>
              <w:pStyle w:val="125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后平台服务系统为用户提供两种训练模式，分别是自由训练模式和智能推课训练模式。自由训练模式下，老师可根据孩子情况自由选择任一训练进行训练；智能推课训练模式根据孩子评估结果智能匹配孩子每日训练内容，并且为老师提供备课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（十五）外骨骼数据采集系统(1套)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lang w:val="zh-CN"/>
        </w:rPr>
        <w:t xml:space="preserve">外骨骼数据采集设备是穿戴式多模态传感系统，核心功能是高精度采集人体运动、力/力矩、姿态与肌电等数据，用于机器人示教、步态评估、康复训练与外骨骼控制优化，具备便携部署、实时传输与数据融合能力，适配科研、工业、医疗等场景。</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068" w:type="pct"/>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967"/>
        <w:gridCol w:w="860"/>
        <w:gridCol w:w="5956"/>
        <w:gridCol w:w="1134"/>
      </w:tblGrid>
      <w:tr>
        <w:trPr>
          <w:trHeight w:val="57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95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技术参数（腰部及上肢）</w:t>
            </w:r>
            <w:r>
              <w:rPr>
                <w:color w:val="000000" w:themeColor="text1"/>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电池：充电宝≥10000maH，≥2A，充电方式支持充电宝充电；</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额定功耗 ：≥2.5W；</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通讯方式：支持USB2.0虚拟串口/2.4G；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可用波特率：自适应；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单独可工作时长：≥10H；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有线响应频率：≥1000Hz；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无线响应频率：≥200Hz；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支持网络的频率：2.4G+5G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关节自由度采集数量：≥23；</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提供产品彩页或官网截图或带有CMA标识的第三方检测报告证明材料扫描件并加盖投标供应商公章</w:t>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角度精度：≤0.1度；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支持二次开发，提供C++及python接口；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技术参数（手部）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电池：≥3000maH，充电方式支持电池充电器/typec充电；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额定功耗：≥1.5 W；</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通讯方式：支持串口(CH340)/2.4G；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单独可工作时长：≥6H；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有线响应频率：≥1000Hz；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无线响应频率：≥200Hz；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支持网络的频率：2.4G+5G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关节自由度采集数量：≥21；</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提供产品彩页或官网截图或带有CMA标识的第三方检测报告证明材料扫描件并加盖投标供应商公章</w:t>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震动电机数量：≥5；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角度精度：≤0.1度；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支持二次开发，提供C++及python接口；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（十六）特需儿童AI康复教育智能体(1套)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具备协助分析康复特教领域不同类型的评估报告，给出个性化专业解读，支持根据学生的评估结果，快速匹配教学计划建议，持汇总和分析每日训练情况等。</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057" w:type="pct"/>
        <w:tblInd w:w="-108" w:type="dxa"/>
        <w:tblLayout w:type="fixed"/>
        <w:tblCellMar>
          <w:left w:w="108" w:type="dxa"/>
          <w:top w:w="0" w:type="dxa"/>
          <w:right w:w="108" w:type="dxa"/>
          <w:bottom w:w="0" w:type="dxa"/>
        </w:tblCellMar>
        <w:tblLook w:val="04A0" w:firstRow="1" w:lastRow="0" w:firstColumn="1" w:lastColumn="0" w:noHBand="0" w:noVBand="1"/>
      </w:tblPr>
      <w:tblGrid>
        <w:gridCol w:w="981"/>
        <w:gridCol w:w="964"/>
        <w:gridCol w:w="847"/>
        <w:gridCol w:w="5955"/>
        <w:gridCol w:w="1128"/>
      </w:tblGrid>
      <w:tr>
        <w:trPr>
          <w:trHeight w:val="929"/>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95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技术参数（软件功能）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支持协助分析康复特教领域不同类型的评估报告，给出个性化专业解读；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支持根据学生的评估结果，快速匹配教学计划建议；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支持结合个性化需求，及时生成可操作性强的教案供用户在不同情景使用；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支持融入学生喜欢的元素，便捷地生成生动趣味的电子图卡、绘本教具，易保存且随时随地取用；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支持快速整理学生的训练记录，高效生成教学反馈供用户参考和使用，减少文案工作压力；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支持结合用户所需关注学生的发展领域、教学方式、以及教学场景，针对性的形成教案；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支持清晰罗列出教学目标、教具准备、操作步骤、教学策略等；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支持汇总和分析每日训练情况；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支持定制阶段性报告（例如日、周、月，或不定期）；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支持根据指定版式进行转录，方便不同使用场景；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技术参数（硬件指标）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屏幕大小：≥11英寸</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运行内存：≥8G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存储容量：≥128GB</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分辨率：≥1920*1200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2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触摸屏，前置摄像头像素≥500W，后置摄像头像素≥800W</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25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CPU：≥8核</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2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8"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val="false"/>
          </w:tcPr>
          <w:p>
            <w:pPr>
              <w:pStyle w:val="125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电池容量：≥7000mAh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ind w:firstLine="420"/>
        <w:rPr>
          <w:rFonts w:hint="eastAsia" w:ascii="宋体" w:hAnsi="宋体"/>
          <w:b/>
          <w:i/>
          <w:color w:val="000000" w:themeColor="text1"/>
          <w:sz w:val="22"/>
          <w:szCs w:val="22"/>
          <w:highlight w:val="none"/>
          <w:u w:val="single"/>
        </w:rPr>
      </w:pPr>
      <w:r>
        <w:rPr>
          <w:rFonts w:hint="eastAsia" w:ascii="宋体" w:hAnsi="宋体"/>
          <w:b/>
          <w:i/>
          <w:color w:val="000000" w:themeColor="text1"/>
          <w:sz w:val="22"/>
          <w:szCs w:val="22"/>
          <w:highlight w:val="none"/>
          <w:u w:val="singl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（十七）开源具身智能实验练习平台(1套)</w:t>
      </w:r>
      <w:r>
        <w:rPr>
          <w:color w:val="000000" w:themeColor="text1"/>
        </w:rPr>
      </w:r>
      <w:r/>
    </w:p>
    <w:p>
      <w:pPr>
        <w:pStyle w:val="1256"/>
        <w:ind w:left="525"/>
        <w:jc w:val="left"/>
        <w:spacing w:line="360" w:lineRule="auto"/>
        <w:shd w:val="clear" w:color="auto" w:fill="ffffff"/>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提供三台机器人，机器人为全国机器人锦标赛指定标准平台，可参加中国机器人及人工智能大赛和国际自主智能机器人大赛。支持与场景可以交互的强化学习算法，支持搭载通用模型进行数字仿生人交互，配套教学资料，提供电子版机器人基础教程，支持机器人功能拓展。含练习道具、教辅资料、编程软件。</w:t>
      </w:r>
      <w:r>
        <w:rPr>
          <w:color w:val="000000" w:themeColor="text1"/>
        </w:rPr>
      </w:r>
      <w:r/>
    </w:p>
    <w:p>
      <w:pPr>
        <w:pStyle w:val="1256"/>
        <w:ind w:left="525"/>
        <w:jc w:val="left"/>
        <w:spacing w:line="360" w:lineRule="auto"/>
        <w:shd w:val="clear" w:color="auto" w:fill="ffffff"/>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rPr>
          <w:rFonts w:hint="eastAsia" w:ascii="宋体" w:hAnsi="宋体" w:cs="Arial"/>
          <w:color w:val="000000" w:themeColor="text1"/>
          <w:sz w:val="22"/>
          <w:szCs w:val="22"/>
          <w:highlight w:val="non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firstLine="440"/>
        <w:jc w:val="left"/>
        <w:spacing w:line="360" w:lineRule="auto"/>
        <w:shd w:val="clear" w:color="auto" w:fill="ffffff"/>
        <w:rPr>
          <w:rFonts w:hint="eastAsia"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p>
      <w:pPr>
        <w:pStyle w:val="1256"/>
        <w:jc w:val="left"/>
        <w:spacing w:line="360" w:lineRule="auto"/>
        <w:shd w:val="clear" w:color="auto" w:fill="ffffff"/>
        <w:rPr>
          <w:rFonts w:hint="eastAsia"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r>
      <w:r>
        <w:rPr>
          <w:color w:val="000000" w:themeColor="text1"/>
        </w:rPr>
      </w:r>
      <w:r/>
    </w:p>
    <w:tbl>
      <w:tblPr>
        <w:tblW w:w="509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7"/>
        <w:gridCol w:w="730"/>
        <w:gridCol w:w="495"/>
        <w:gridCol w:w="7066"/>
        <w:gridCol w:w="882"/>
      </w:tblGrid>
      <w:tr>
        <w:trPr>
          <w:trHeight w:val="57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restart"/>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机器人一参数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产品尺寸≥346mm*224mm*118mm，重量≤1.73KG。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材质：铝合金+PC/ABS塑胶。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控制方式：支持2.4G群控，支持两种步态算法，慢走不高于5厘米/秒，快走不低于15厘米/秒。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控制主板：采用性能不低于STM32核心，板载储存空间不小于128M，可储存多个动作组，开关内置，充电接口内置，带有过载保护，可以同时控制不少于17个数字舵机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开发平台：Raspberry Pi CM4，支持搭载摄像头。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编程平台：兼容PC端Aelos edu（for mac &amp; PC)，Linux，支持ROS和Python编程。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自由度：≥17个自由度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舵机：≥17个强扭矩伺服舵机；运动范围：≥180°；精度：≥1°；速度：≥461°/S；减速齿轮箱结构：4级传动结构，副轴采用了中空嵌套结构，保证转动平稳性的同时，方便走线。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电池：7.4V，容量≥3200mAH。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音频输出：≥1.5W，机体带有MP3模块和扬声器，支持音乐播放。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传感器：内置≥3个传感器，包含地磁传感器、头部摄像头和胸部摄像头，机体前胸自带≥2个磁吸传感器扩展口，≥2个传感器扩展口均可实现传感器数据模拟输入和执行器数据输出；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扩展传感器：机器人功能拓展，不少于10个外置传感器相互配合完成不同的场景任务，2磁铁，3PIN磁吸头。其中输入模块包括火焰传感器、光敏传感器、温度传感器、湿度传感器、气敏传感器、触摸传感器、人体红外传感器、碰撞感应开关；输出模块包含LED灯、风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摄像头：镜头≥60度，≥500万像素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操作手柄：发射控制，2.4G连接；可修改发射频率；≥2个摇杆，≥12个自定义按键，≥3个功能按键；可以切换4种模式，分别为兼容模式、拳击模式、足球模式和表演模式。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配套教学资料，提供电子版机器人基础教程。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restart"/>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机器人二参数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体型参数:≥340mm*220mm*110mm；重量：≤1.8KG。材质：需采用铝合金+PC/ABS塑胶+光敏树脂。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控制方式：需支持2.4G群控，群体控制数量≥50。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步态算法：慢走≥5厘米/秒，快走≥10厘米/秒；需支持翻滚、大鹏展翅等高难度动作，支持舞蹈、足球、拳击等动作。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控制器：需搭载STM32、RK3568双运算系统，板载储存空间≥128M，可储存多个动作组，开关内置，充电接口内置，带有过载保护，可以同时控制≥17个数字舵机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自由度：≥17个自由度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舵机：≥17个强扭矩伺服舵机；尺寸：约40×37×20（mm）；运动范围：不低于180°；精度：不低于1°；速度：不低于461°/S；减速齿轮箱结构：4级传动结构。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电池：7.4V，容量≥3200mAH。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音频输出：不低于1.5W，机体带有MP3模块和扬声器，可以播放音乐。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开发平台：需采用不低于RK3568，实现上位机国产化，支持搭载至少两个摄像头。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开发系统：需要以OpenHarmony为框架开发的KaihongOS，具备分布式任务调度、原子化任务分发、无屏设备有屏控制、一次开发多端部署等功能特性的超级设备管理终端。需适配低代码编程平台与国产化开发者开发工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color w:val="000000" w:themeColor="text1"/>
                <w:highlight w:val="none"/>
              </w:rPr>
              <w:t xml:space="preserve">提供产品彩页或官网截图或权威机构出具的具有CMA标识的第三方检测报告，并加盖投标供应商公章。</w:t>
            </w:r>
            <w:r>
              <w:rPr>
                <w:color w:val="000000" w:themeColor="text1"/>
              </w:rPr>
            </w:r>
            <w:r/>
          </w:p>
        </w:tc>
      </w:tr>
      <w:tr>
        <w:trPr>
          <w:trHeight w:val="10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编程平台：需兼容PC端软件，支持C/C++、Js/ArkTS编程。需支持图形化编程，配备图形化编程界面，支持PC端动作编程；软件内置不少于76个基本动作、不少于14个拳击动作、不少于6个足球动作，可通过软件自定义编辑机器人动作和任务流程图，完成快走、滚翻、单脚站立、倒立、俯卧撑等，支持多台机器人集体表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传感器：内置≥2个传感器，至少包含头部摄像头和胸部摄像头。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配套扩展模块：支持机器人功能拓展，配置≥7个无线连接外置拓展模块通过分布式软总线相互配合完成不同的场景任务。可与机器人本体无线连接，组成超级设备。</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需包含但不限于以下输入模块：</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人体红外传感器：用红外线检测有人经过；</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温湿度传感器：探测环境温度湿度；</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NFC传感器：检测NFC卡；</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血氧心率传感器：检测血氧和心率；</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红外测温传感器：检测温度；</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需包含但不限于以下输出模块：</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LED灯：可实现常亮、闪烁等多种编程；</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OLED屏：在OLED屏幕上显示中文指定短语和英文自定义短语，显示字符小于等于32个字符。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摄像头：镜头60度，≥500万像素。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5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遥控器：</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尺寸：≤160mm*115mm*58mm；</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发射控制：2.4G连接；发射频率可修改；</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按键：≥2个摇杆，10个自定义按键，3个功能按键；</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模式切换：可以切换4种模式，分别为兼容模式、拳击模式、足球模式和表演模式。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17-32</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restart"/>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机器人三参数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体型参数:≥346mm*224mm*118mm；重量：≤1.8KG。材质：需采用铝合金+PC/ABS塑胶。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17-33</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控制方式：需支持2.4G群控。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17-34</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步态算法：支持两种步态算法，慢走≤3厘米/秒，快走≥10厘米/秒。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17-35</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控制器：需搭载STM32、RK3568双运算系统，板载储存空间≥128M，可储存多个动作组，开关内置，充电接口内置，带有过载保护，可以同时控制≥17个数字舵机。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17-36</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自由度：≥17个自由度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17-37</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舵机：≥17个强扭矩伺服舵机；尺寸：约40×37×20（mm）；运动范围：不低于180°；精度：不低于1°；速度：不低于461°/S。</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17-38</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电池：7.4V，容量≥3200mAH。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17-39</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音频输出：不低于1.5W，机体带有MP3模块和扬声器，支持播放音乐。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17-40</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音频输入：需配置无线麦克风，实现精准收音。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17-41</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传感器：内置不少于3个传感器，至少包含地磁传感器、头部摄像头和胸部摄像头。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17-42</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配套拓展模块：支持机器人功能拓展，配置≥10个外置传感器相互配合完成不同的场景任务。</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需包含但不限于以下输入模块：</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火焰传感器：识别火焰；</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光敏传感器：识别环境光源强度；</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温度传感器：探测环境温度；</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湿度传感器：探测环境湿度；</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气敏传感器：检测特定气体；</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触摸传感器：感应人体触摸；</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人体红外传感器：感应人的远近；</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碰撞开关：感应碰撞。</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需包含但不限于以下输出模块：</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LED灯：可实现常亮、闪烁等多种编程；</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风扇：可实现编程控制转动。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17-43</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摄像头：头部摄像头镜头60度，≥500万像素；胸部摄像头镜头160度，≥500万像素；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1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17-44</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keepLines w:val="0"/>
              <w:keepNext w:val="0"/>
              <w:widowControl/>
              <w:rPr>
                <w:rFonts w:hint="eastAsia" w:ascii="宋体" w:hAnsi="宋体" w:cs="宋体"/>
                <w:color w:val="000000" w:themeColor="text1"/>
                <w:sz w:val="22"/>
                <w:szCs w:val="22"/>
                <w:highlight w:val="none"/>
              </w:rPr>
              <w:suppressLineNumbers w:val="0"/>
            </w:pPr>
            <w:r>
              <w:rPr>
                <w:rFonts w:ascii="宋体" w:hAnsi="宋体" w:eastAsia="宋体" w:cs="宋体"/>
                <w:color w:val="000000" w:themeColor="text1"/>
                <w:sz w:val="22"/>
                <w:szCs w:val="22"/>
                <w:highlight w:val="none"/>
                <w:lang w:val="en-US" w:eastAsia="zh-CN" w:bidi="ar"/>
              </w:rPr>
              <w:t xml:space="preserve">需配备支持多样化场景创建、感知模型集成的虚拟仿真开发平台，不限定具体品牌及产品名称</w:t>
            </w:r>
            <w:r>
              <w:rPr>
                <w:rFonts w:hint="eastAsia" w:ascii="宋体" w:hAnsi="宋体" w:eastAsia="宋体" w:cs="宋体"/>
                <w:color w:val="000000" w:themeColor="text1"/>
                <w:sz w:val="22"/>
                <w:szCs w:val="22"/>
                <w:highlight w:val="none"/>
                <w:lang w:val="en-US"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17-45</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内置案例：人形机器人双机智能协作型自主分类与搬运场景，内置物体资产数≥100个，支持与场景可以交互的强化学习算法，支持搭载通用模型进行数字仿生人交互。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5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17-46</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遥控器：</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尺寸：≤160mm*115mm*58mm；</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发射控制：2.4G连接；发射频率可修改；</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按键：≥2个摇杆，10个自定义按键，3个功能按键；</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模式切换：可以切换4种模式，分别为兼容模式、拳击模式、足球模式和表演模式。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17-47</w:t>
            </w:r>
            <w:r>
              <w:rPr>
                <w:color w:val="000000" w:themeColor="text1"/>
              </w:rPr>
            </w:r>
            <w:r/>
          </w:p>
        </w:tc>
        <w:tc>
          <w:tcPr>
            <w:tcBorders>
              <w:top w:val="single" w:color="000000" w:sz="4" w:space="0"/>
              <w:left w:val="single" w:color="000000" w:sz="4" w:space="0"/>
              <w:bottom w:val="non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配套教学资料，提供电子版机器人基础教程。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restart"/>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练习道具参数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比赛场地：刀刮布场地，平滑耐刮，尺寸≥4100mm*2300mm。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障碍墙道具：障碍墙为EVA材质，总共不少于八面障碍墙；障碍墙不少于三种不同规格的尺寸。</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高台道具：高台和台阶均由木板组成，组成台阶的木板尺寸≥400mm*150mm*20mm，组成高台的木板尺寸≥600mm*400mm*30mm。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17-51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资源块道具：资源块至少有两种尺寸。</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187"/>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17-52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教辅资料参数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6"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提供不少于48课时《人形机器人编程与实践》《机器人运动控制》等课程教辅资料，内容包括但不限于以下：1、机器人操作基础：动作编程、机器人行走与移动控制、机器人动作编程实验、使用 Lua 脚本调用自定义动作、树莓派与机器人通讯控制实验等；</w:t>
            </w:r>
            <w:r>
              <w:rPr>
                <w:color w:val="000000" w:themeColor="text1"/>
              </w:rPr>
            </w:r>
            <w:r/>
          </w:p>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2、OpenCV 图像处理： 图像翻转实验、 图像形态学处理、图像颜色空间与转换、 图像腐蚀、膨胀处理、图像开、闭运算、图像轮廓、形状检测、图像滤波处理、图像缩放与旋转变换等；</w:t>
            </w:r>
            <w:r>
              <w:rPr>
                <w:color w:val="000000" w:themeColor="text1"/>
              </w:rPr>
            </w:r>
            <w:r/>
          </w:p>
          <w:p>
            <w:pPr>
              <w:pStyle w:val="1284"/>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3、综合实验： 机器人迷宫实验、报箱子任务挑战等。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256"/>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ind w:firstLine="420"/>
        <w:rPr>
          <w:rFonts w:hint="eastAsia" w:ascii="宋体" w:hAnsi="宋体"/>
          <w:b/>
          <w:i/>
          <w:color w:val="000000" w:themeColor="text1"/>
          <w:sz w:val="22"/>
          <w:szCs w:val="22"/>
          <w:highlight w:val="none"/>
          <w:u w:val="single"/>
        </w:rPr>
      </w:pPr>
      <w:r>
        <w:rPr>
          <w:rFonts w:hint="eastAsia" w:ascii="宋体" w:hAnsi="宋体"/>
          <w:b/>
          <w:i/>
          <w:color w:val="000000" w:themeColor="text1"/>
          <w:sz w:val="22"/>
          <w:szCs w:val="22"/>
          <w:highlight w:val="none"/>
          <w:u w:val="singl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（十八）实验室环境信息发布终端(1套)</w:t>
      </w:r>
      <w:r>
        <w:rPr>
          <w:color w:val="000000" w:themeColor="text1"/>
        </w:rPr>
      </w:r>
      <w:r/>
    </w:p>
    <w:p>
      <w:pPr>
        <w:pStyle w:val="1256"/>
        <w:ind w:left="525"/>
        <w:jc w:val="left"/>
        <w:spacing w:line="360" w:lineRule="auto"/>
        <w:shd w:val="clear" w:color="auto" w:fill="ffffff"/>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满足教学实验场景展现交互功能，支持投屏，支持手写，配套可移动支架</w:t>
      </w:r>
      <w:r>
        <w:rPr>
          <w:rFonts w:hint="eastAsia" w:ascii="宋体" w:hAnsi="宋体" w:cs="Arial"/>
          <w:color w:val="000000" w:themeColor="text1"/>
          <w:sz w:val="22"/>
          <w:szCs w:val="22"/>
          <w:highlight w:val="none"/>
          <w:u w:val="single"/>
          <w:lang w:val="zh-CN"/>
        </w:rPr>
        <w:t xml:space="preserve">。</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129" w:type="pct"/>
        <w:tblInd w:w="-108" w:type="dxa"/>
        <w:tblLayout w:type="autofit"/>
        <w:tblCellMar>
          <w:left w:w="108" w:type="dxa"/>
          <w:top w:w="0" w:type="dxa"/>
          <w:right w:w="108" w:type="dxa"/>
          <w:bottom w:w="0" w:type="dxa"/>
        </w:tblCellMar>
        <w:tblLook w:val="04A0" w:firstRow="1" w:lastRow="0" w:firstColumn="1" w:lastColumn="0" w:noHBand="0" w:noVBand="1"/>
      </w:tblPr>
      <w:tblGrid>
        <w:gridCol w:w="991"/>
        <w:gridCol w:w="979"/>
        <w:gridCol w:w="867"/>
        <w:gridCol w:w="6051"/>
        <w:gridCol w:w="1128"/>
      </w:tblGrid>
      <w:tr>
        <w:trPr>
          <w:trHeight w:val="909"/>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605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18-1</w:t>
            </w:r>
            <w:r>
              <w:rPr>
                <w:color w:val="000000" w:themeColor="text1"/>
              </w:rPr>
            </w:r>
            <w:r/>
          </w:p>
        </w:tc>
        <w:tc>
          <w:tcPr>
            <w:tcBorders>
              <w:top w:val="single" w:color="000000" w:sz="4" w:space="0"/>
              <w:left w:val="single" w:color="000000" w:sz="4" w:space="0"/>
              <w:bottom w:val="none" w:color="000000" w:sz="0" w:space="0"/>
              <w:right w:val="single" w:color="000000" w:sz="4" w:space="0"/>
            </w:tcBorders>
            <w:tcW w:w="979"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尺寸：≥75英寸；</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18-2</w:t>
            </w:r>
            <w:r>
              <w:rPr>
                <w:color w:val="000000" w:themeColor="text1"/>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屏幕：4K高清书写屏、防眩光、全钢化玻璃；</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18-3</w:t>
            </w:r>
            <w:r>
              <w:rPr>
                <w:color w:val="000000" w:themeColor="text1"/>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分辨率：≥3840*2160；</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18-4</w:t>
            </w:r>
            <w:r>
              <w:rPr>
                <w:color w:val="000000" w:themeColor="text1"/>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亮度：≥400nit(Typ)；</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18-5</w:t>
            </w:r>
            <w:r>
              <w:rPr>
                <w:color w:val="000000" w:themeColor="text1"/>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对比度：≥4000:1；</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18-6</w:t>
            </w:r>
            <w:r>
              <w:rPr>
                <w:color w:val="000000" w:themeColor="text1"/>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可视角度：≥175°；</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18-7</w:t>
            </w:r>
            <w:r>
              <w:rPr>
                <w:color w:val="000000" w:themeColor="text1"/>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存储：运行内存≥4GB，存储≥32GB；</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18-8</w:t>
            </w:r>
            <w:r>
              <w:rPr>
                <w:color w:val="000000" w:themeColor="text1"/>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触控：≥红外40点；</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18-9</w:t>
            </w:r>
            <w:r>
              <w:rPr>
                <w:color w:val="000000" w:themeColor="text1"/>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功率：≤430W(待机≤0.5W)；</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18-10</w:t>
            </w:r>
            <w:r>
              <w:rPr>
                <w:color w:val="000000" w:themeColor="text1"/>
              </w:rPr>
            </w:r>
            <w:r/>
          </w:p>
        </w:tc>
        <w:tc>
          <w:tcPr>
            <w:tcBorders>
              <w:top w:val="none" w:color="000000" w:sz="0" w:space="0"/>
              <w:left w:val="single" w:color="000000" w:sz="4" w:space="0"/>
              <w:bottom w:val="none" w:color="000000" w:sz="0"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其他：支持无线投屏；</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19"/>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18-11</w:t>
            </w:r>
            <w:r>
              <w:rPr>
                <w:color w:val="000000" w:themeColor="text1"/>
              </w:rPr>
            </w:r>
            <w:r/>
          </w:p>
        </w:tc>
        <w:tc>
          <w:tcPr>
            <w:tcBorders>
              <w:top w:val="none" w:color="000000" w:sz="0" w:space="0"/>
              <w:left w:val="single" w:color="000000" w:sz="4" w:space="0"/>
              <w:bottom w:val="single" w:color="000000" w:sz="4" w:space="0"/>
              <w:right w:val="single" w:color="000000" w:sz="4" w:space="0"/>
            </w:tcBorders>
            <w:tcW w:w="97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配套：可移动支架；</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（十九）组网交换机(2台)</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网络联接，大交换容量，支持虚拟化功能，可将多台物理设备虚拟化为一台逻辑设备统一管理</w:t>
      </w:r>
      <w:r>
        <w:rPr>
          <w:rFonts w:hint="eastAsia" w:ascii="宋体" w:hAnsi="宋体" w:cs="Arial"/>
          <w:color w:val="000000" w:themeColor="text1"/>
          <w:sz w:val="22"/>
          <w:szCs w:val="22"/>
          <w:highlight w:val="none"/>
          <w:u w:val="single"/>
          <w:lang w:val="zh-CN"/>
        </w:rPr>
        <w:t xml:space="preserve">。</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《网络关键设备安全检测方法 交换机设备》（GB/T 41266-2022）、《工业以太网交换机技术规范》（GB/T 30094-2013）。</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068" w:type="pct"/>
        <w:tblInd w:w="-108" w:type="dxa"/>
        <w:tblLayout w:type="autofit"/>
        <w:tblCellMar>
          <w:left w:w="108" w:type="dxa"/>
          <w:top w:w="0" w:type="dxa"/>
          <w:right w:w="108" w:type="dxa"/>
          <w:bottom w:w="0" w:type="dxa"/>
        </w:tblCellMar>
        <w:tblLook w:val="04A0" w:firstRow="1" w:lastRow="0" w:firstColumn="1" w:lastColumn="0" w:noHBand="0" w:noVBand="1"/>
      </w:tblPr>
      <w:tblGrid>
        <w:gridCol w:w="990"/>
        <w:gridCol w:w="969"/>
        <w:gridCol w:w="862"/>
        <w:gridCol w:w="5943"/>
        <w:gridCol w:w="1133"/>
      </w:tblGrid>
      <w:tr>
        <w:trPr>
          <w:trHeight w:val="854"/>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94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291"/>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交换容量≥672Gbps，包转发率≥207Mpps；</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color w:val="000000" w:themeColor="text1"/>
                <w:highlight w:val="none"/>
              </w:rPr>
              <w:t xml:space="preserve">提供产品彩页或官网截图或权威机构出具的具有CMA标识的第三方检测报告，并加盖投标供应商公章</w:t>
            </w:r>
            <w:r>
              <w:rPr>
                <w:color w:val="000000" w:themeColor="text1"/>
              </w:rPr>
            </w:r>
            <w:r/>
          </w:p>
        </w:tc>
      </w:tr>
      <w:tr>
        <w:trPr>
          <w:trHeight w:val="573"/>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固化10/100/1000M以太网端口≥48个，1G/10G SFP+光接口≥4个；</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91"/>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支持RIP/RIPng、OSPFv2/OSPFv3等三层路由协议；</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82"/>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支持虚拟化功能，可将多台物理设备虚拟化为一台逻辑设备统一管理。</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（二十）学生桌椅(18套)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六人工位桌，配套学生座凳6只，满足54工位</w:t>
      </w:r>
      <w:r>
        <w:rPr>
          <w:rFonts w:hint="eastAsia" w:ascii="宋体" w:hAnsi="宋体" w:cs="Arial"/>
          <w:color w:val="000000" w:themeColor="text1"/>
          <w:sz w:val="22"/>
          <w:szCs w:val="22"/>
          <w:highlight w:val="none"/>
          <w:u w:val="single"/>
          <w:lang w:val="zh-CN"/>
        </w:rPr>
        <w:t xml:space="preserve">。</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027" w:type="pct"/>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962"/>
        <w:gridCol w:w="855"/>
        <w:gridCol w:w="5897"/>
        <w:gridCol w:w="1123"/>
      </w:tblGrid>
      <w:tr>
        <w:trPr>
          <w:trHeight w:val="751"/>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89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20-1</w:t>
            </w:r>
            <w:r>
              <w:rPr>
                <w:color w:val="000000" w:themeColor="text1"/>
              </w:rPr>
            </w:r>
            <w:r/>
          </w:p>
        </w:tc>
        <w:tc>
          <w:tcPr>
            <w:tcBorders>
              <w:top w:val="single" w:color="000000" w:sz="4" w:space="0"/>
              <w:left w:val="single" w:color="000000" w:sz="4" w:space="0"/>
              <w:bottom w:val="none" w:color="000000" w:sz="0" w:space="0"/>
              <w:right w:val="single" w:color="000000" w:sz="4" w:space="0"/>
            </w:tcBorders>
            <w:tcW w:w="962"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技术参数（六人工位）</w:t>
            </w:r>
            <w:r>
              <w:rPr>
                <w:color w:val="000000" w:themeColor="text1"/>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规格：1200*2000*750（满足六人工位）</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20-2</w:t>
            </w:r>
            <w:r>
              <w:rPr>
                <w:color w:val="000000" w:themeColor="text1"/>
              </w:rPr>
            </w:r>
            <w:r/>
          </w:p>
        </w:tc>
        <w:tc>
          <w:tcPr>
            <w:tcBorders>
              <w:top w:val="none" w:color="000000" w:sz="0" w:space="0"/>
              <w:left w:val="single" w:color="000000" w:sz="4" w:space="0"/>
              <w:bottom w:val="none" w:color="000000" w:sz="0" w:space="0"/>
              <w:right w:val="single" w:color="000000" w:sz="4" w:space="0"/>
            </w:tcBorders>
            <w:tcW w:w="96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新型钢木结构</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988"/>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20-3</w:t>
            </w:r>
            <w:r>
              <w:rPr>
                <w:color w:val="000000" w:themeColor="text1"/>
              </w:rPr>
            </w:r>
            <w:r/>
          </w:p>
        </w:tc>
        <w:tc>
          <w:tcPr>
            <w:tcBorders>
              <w:top w:val="none" w:color="000000" w:sz="0" w:space="0"/>
              <w:left w:val="single" w:color="000000" w:sz="4" w:space="0"/>
              <w:bottom w:val="none" w:color="000000" w:sz="0" w:space="0"/>
              <w:right w:val="single" w:color="000000" w:sz="4" w:space="0"/>
            </w:tcBorders>
            <w:tcW w:w="96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桌面采用（25±1）mm厚免漆板，板材均为三聚氰胺双贴饰面国家标准E1级板，甲醛释放量≤0.02mg/m3；符合GB 18580-2017《室内装饰装修材料人造板及其制品中甲醛释放限量》。台面台面采用2mm（±0.5）厚度高质量PVC封边条。颜色根据客户需求定制。</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20-4</w:t>
            </w:r>
            <w:r>
              <w:rPr>
                <w:color w:val="000000" w:themeColor="text1"/>
              </w:rPr>
            </w:r>
            <w:r/>
          </w:p>
        </w:tc>
        <w:tc>
          <w:tcPr>
            <w:tcBorders>
              <w:top w:val="none" w:color="000000" w:sz="0" w:space="0"/>
              <w:left w:val="single" w:color="000000" w:sz="4" w:space="0"/>
              <w:bottom w:val="none" w:color="000000" w:sz="0" w:space="0"/>
              <w:right w:val="single" w:color="000000" w:sz="4" w:space="0"/>
            </w:tcBorders>
            <w:tcW w:w="96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钢脚：整只立柱脚采用25*70*1.5mm厚扁管管材，桌架满外高度为725±1mm,桌脚下配有可调的电镀脚钉。连杆：连杆采用25*50*1.5mm厚冷轧方管</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03"/>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20-5</w:t>
            </w:r>
            <w:r>
              <w:rPr>
                <w:color w:val="000000" w:themeColor="text1"/>
              </w:rPr>
            </w:r>
            <w:r/>
          </w:p>
        </w:tc>
        <w:tc>
          <w:tcPr>
            <w:tcBorders>
              <w:top w:val="none" w:color="000000" w:sz="0" w:space="0"/>
              <w:left w:val="single" w:color="000000" w:sz="4" w:space="0"/>
              <w:bottom w:val="single" w:color="000000" w:sz="4" w:space="0"/>
              <w:right w:val="single" w:color="000000" w:sz="4" w:space="0"/>
            </w:tcBorders>
            <w:tcW w:w="962"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钢架特点：立脚与顶托焊接</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1256"/>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技术参数（学生凳）</w:t>
            </w:r>
            <w:r>
              <w:rPr>
                <w:color w:val="000000" w:themeColor="text1"/>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规格：340*240*420±1mm</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钢木结构</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5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凳面规格：340*240*20±1mm                         </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759"/>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55"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凳脚：方钢四腿，方钢规格 25mm*25mm，管壁厚度大于1.2mm中空，双方钢圈架。四脚配耐磨垫。</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（二十一）教师座椅(1把)</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满足教师教学讲桌前使用</w:t>
      </w:r>
      <w:r>
        <w:rPr>
          <w:rFonts w:hint="eastAsia" w:ascii="宋体" w:hAnsi="宋体" w:cs="Arial"/>
          <w:color w:val="000000" w:themeColor="text1"/>
          <w:sz w:val="22"/>
          <w:szCs w:val="22"/>
          <w:highlight w:val="none"/>
          <w:u w:val="single"/>
          <w:lang w:val="zh-CN"/>
        </w:rPr>
        <w:t xml:space="preserve">。</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068" w:type="pct"/>
        <w:tblInd w:w="-108" w:type="dxa"/>
        <w:tblLayout w:type="autofit"/>
        <w:tblCellMar>
          <w:left w:w="108" w:type="dxa"/>
          <w:top w:w="0" w:type="dxa"/>
          <w:right w:w="108" w:type="dxa"/>
          <w:bottom w:w="0" w:type="dxa"/>
        </w:tblCellMar>
        <w:tblLook w:val="04A0" w:firstRow="1" w:lastRow="0" w:firstColumn="1" w:lastColumn="0" w:noHBand="0" w:noVBand="1"/>
      </w:tblPr>
      <w:tblGrid>
        <w:gridCol w:w="990"/>
        <w:gridCol w:w="969"/>
        <w:gridCol w:w="862"/>
        <w:gridCol w:w="5943"/>
        <w:gridCol w:w="1133"/>
      </w:tblGrid>
      <w:tr>
        <w:trPr>
          <w:trHeight w:val="896"/>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94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391"/>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产品规格：凳面420mm*420mm，高度500mm。</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96"/>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凳面：采用环保型ABS改性塑料一次性注塑成型，表面防滑不发光，表面细纹方格咬花，42密度中软高弹切割海绵。</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01"/>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背靠：PP玻纤背筐，T型扶手</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96"/>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脚钢架：采用25*37*2.0mm的椭圆形无缝钢管焊接而成。</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1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9"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43"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脚垫：采用PP加耐磨材料。</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（二十二）智能电动升降讲台(1套)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具备21.5寸10点电容触摸、铝合金控制面板，木质托板，麦克风，升降系统（带无线遥控），</w:t>
      </w:r>
      <w:r>
        <w:rPr>
          <w:rFonts w:hint="eastAsia" w:ascii="宋体" w:hAnsi="宋体" w:cs="Arial"/>
          <w:color w:val="000000" w:themeColor="text1"/>
          <w:sz w:val="22"/>
          <w:szCs w:val="22"/>
          <w:highlight w:val="none"/>
          <w:u w:val="single"/>
        </w:rPr>
        <w:t xml:space="preserve">高度可以根据行程范围调节最低1.17米-最高1.47米；无线投屏系统（具备无线投屏功能、支持Android、iOS、Windows、MacBook、Chrome OS、Linux等系统的无线移动设备同时投屏到大屏上，并支持触控回传；支持视频、音乐、图像、文档等格式的推送；支持多个不同系统设备镜像到大屏上做无限分屏同屏显示；支持批注保存；支持反向反向传屏，可以把大屏画面传到手机、平板和笔记本电脑等移动设备上显示，并可直接触控操作大屏；支持主持人模式；支持一传多，可以将一台移动设备的画面同时传到多台大屏上显示）</w:t>
      </w:r>
      <w:r>
        <w:rPr>
          <w:rFonts w:hint="eastAsia" w:ascii="宋体" w:hAnsi="宋体" w:cs="Arial"/>
          <w:color w:val="000000" w:themeColor="text1"/>
          <w:sz w:val="22"/>
          <w:szCs w:val="22"/>
          <w:highlight w:val="none"/>
          <w:u w:val="single"/>
          <w:lang w:val="zh-CN"/>
        </w:rPr>
        <w:t xml:space="preserve">。</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无</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9877" w:type="dxa"/>
        <w:tblInd w:w="-108" w:type="dxa"/>
        <w:tblLayout w:type="fixed"/>
        <w:tblCellMar>
          <w:left w:w="108" w:type="dxa"/>
          <w:top w:w="0" w:type="dxa"/>
          <w:right w:w="108" w:type="dxa"/>
          <w:bottom w:w="0" w:type="dxa"/>
        </w:tblCellMar>
        <w:tblLook w:val="04A0" w:firstRow="1" w:lastRow="0" w:firstColumn="1" w:lastColumn="0" w:noHBand="0" w:noVBand="1"/>
      </w:tblPr>
      <w:tblGrid>
        <w:gridCol w:w="996"/>
        <w:gridCol w:w="963"/>
        <w:gridCol w:w="901"/>
        <w:gridCol w:w="5891"/>
        <w:gridCol w:w="1126"/>
      </w:tblGrid>
      <w:tr>
        <w:trPr>
          <w:trHeight w:val="822"/>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none" w:color="000000" w:sz="4" w:space="0"/>
            </w:tcBorders>
            <w:tcW w:w="589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液晶屏参数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尺寸：≥21.5英寸；</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屏幕：多点触控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分辨率：≥1920*1080；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亮度：≥250nit(Typ)；</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对比度：≥3000:1；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可视角度：≥175°；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电脑参数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jc w:val="left"/>
              <w:keepLines w:val="0"/>
              <w:keepNext w:val="0"/>
              <w:widowControl/>
              <w:rPr>
                <w:rFonts w:hint="eastAsia" w:ascii="宋体" w:hAnsi="宋体" w:cs="宋体"/>
                <w:color w:val="000000" w:themeColor="text1"/>
                <w:sz w:val="22"/>
                <w:szCs w:val="22"/>
                <w:highlight w:val="none"/>
              </w:rPr>
              <w:suppressLineNumbers w:val="0"/>
            </w:pPr>
            <w:r>
              <w:rPr>
                <w:rFonts w:ascii="宋体" w:hAnsi="宋体" w:eastAsia="宋体" w:cs="宋体"/>
                <w:color w:val="000000" w:themeColor="text1"/>
                <w:sz w:val="22"/>
                <w:szCs w:val="22"/>
                <w:highlight w:val="none"/>
                <w:lang w:val="en-US" w:eastAsia="zh-CN" w:bidi="ar"/>
              </w:rPr>
              <w:t xml:space="preserve">采用新款低功耗主板，需支持 Intel 第 10 代及以上芯片组或同等级性能主板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CPU：性能不低于 Intel Core i5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内存：≥8G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硬盘：≥SSD 120G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网卡：10/100/1000Mbps 自适应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WiFi：802.11b/g/n</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系统：预装win 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麦克风</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拾音距离：12-40cm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拾音方式：电容式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分离式插座：直插卡侬三针标准插座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轻触开关：一键开启或关闭话筒模式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频率响应：100-13500HZ</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输出阻抗：200欧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软管弯曲：360度弯曲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1"/>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其他参数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val="false"/>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无线投屏系统：支持无线投屏，支持Android、iOS、Windows、MacBook、Chrome OS、Linux等系统的无线移动设备同时投屏到大屏上，并支持触控回传；支持视频、音乐、图像、文档等格式的推送；支持多个不同系统设备镜像到大屏上做无限分屏同屏显示；支持批注保存；支持反向传屏，可以把大屏画面传到手机、平板和笔记本电脑等移动设备上显示，并可直接触控操作大屏；支持主持人模式；支持将一台移动设备的画面同时传到多台大屏上显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1"/>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材质：铝合金面板+钣金材质（机身+底座），木质托板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1"/>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升降系统：带无线遥控，高度可以根据行程调节，范围不小于30cm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9"/>
        </w:trPr>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3"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1"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扩声系统：喇叭*2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663"/>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（二十三）智能教学集成书写终端(1套)</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1</w:t>
      </w:r>
      <w:r>
        <w:rPr>
          <w:rFonts w:ascii="宋体" w:hAnsi="宋体" w:cs="Arial"/>
          <w:color w:val="000000" w:themeColor="text1"/>
          <w:sz w:val="22"/>
          <w:szCs w:val="22"/>
          <w:highlight w:val="none"/>
        </w:rPr>
        <w:t xml:space="preserve">.</w:t>
      </w:r>
      <w:r>
        <w:rPr>
          <w:rFonts w:hint="eastAsia" w:ascii="宋体" w:hAnsi="宋体" w:cs="Arial"/>
          <w:color w:val="000000" w:themeColor="text1"/>
          <w:sz w:val="22"/>
          <w:szCs w:val="22"/>
          <w:highlight w:val="none"/>
        </w:rPr>
        <w:t xml:space="preserve">功能要求</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专为现代化教学场景打造，集高清显示、流畅书写、多媒体播放于一体，支持多点触控、课件批注、无线投屏与多设备互联，可灵活呈现教学内容，实现师生实时互动，提升课堂教学效率与沉浸感。</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hint="eastAsia" w:ascii="宋体" w:hAnsi="宋体" w:cs="Arial"/>
          <w:color w:val="000000" w:themeColor="text1"/>
          <w:sz w:val="22"/>
          <w:szCs w:val="22"/>
          <w:highlight w:val="none"/>
          <w:u w:val="single"/>
        </w:rPr>
        <w:t xml:space="preserve">一体化纯平设计，电容触控，内置 8 阵列麦、1600W 摄像头。 超窄边框，接口挡板设计， 防尘防撞。 多种护眼模式自由切换，满足不同场景需要。 物理按键自定义功能， 满足不同个性化的使用习惯。 内置芯片具备物理防蓝光功能，不降低亮度，屏幕不偏黄。 前置接口、按键支持前拆维护。 教学平台支持按实验室课程日历自动完成部署，方便实验室教学。 教学平台支持 Windows、统信、麒麟等不同的操作系统。</w:t>
      </w:r>
      <w:r>
        <w:rPr>
          <w:color w:val="000000" w:themeColor="text1"/>
        </w:rPr>
      </w:r>
      <w:r/>
    </w:p>
    <w:p>
      <w:pPr>
        <w:pStyle w:val="1256"/>
        <w:ind w:left="525"/>
        <w:jc w:val="left"/>
        <w:spacing w:line="360" w:lineRule="auto"/>
        <w:shd w:val="clear" w:color="auto" w:fill="ffffff"/>
        <w:widowControl/>
        <w:rPr>
          <w:rFonts w:ascii="宋体" w:hAnsi="宋体"/>
          <w:color w:val="000000" w:themeColor="text1"/>
          <w:sz w:val="22"/>
          <w:szCs w:val="22"/>
          <w:highlight w:val="none"/>
        </w:rPr>
        <w:outlineLvl w:val="2"/>
      </w:pPr>
      <w:r>
        <w:rPr>
          <w:rFonts w:hint="eastAsia" w:ascii="宋体" w:hAnsi="宋体"/>
          <w:color w:val="000000" w:themeColor="text1"/>
          <w:sz w:val="22"/>
          <w:szCs w:val="22"/>
          <w:highlight w:val="none"/>
        </w:rPr>
        <w:t xml:space="preserve">2</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应遵循的相关国家标准、行业标准、地方标准等标准、规范</w:t>
      </w:r>
      <w:r>
        <w:rPr>
          <w:color w:val="000000" w:themeColor="text1"/>
        </w:rPr>
      </w:r>
      <w:r/>
    </w:p>
    <w:p>
      <w:pPr>
        <w:pStyle w:val="1256"/>
        <w:ind w:left="525"/>
        <w:jc w:val="left"/>
        <w:spacing w:line="360" w:lineRule="auto"/>
        <w:shd w:val="clear" w:color="auto" w:fill="ffffff"/>
        <w:widowControl/>
        <w:rPr>
          <w:rFonts w:hint="eastAsia" w:ascii="宋体" w:hAnsi="宋体" w:cs="Arial"/>
          <w:color w:val="000000" w:themeColor="text1"/>
          <w:sz w:val="22"/>
          <w:szCs w:val="22"/>
          <w:highlight w:val="none"/>
          <w:u w:val="single"/>
        </w:rPr>
      </w:pPr>
      <w:r>
        <w:rPr>
          <w:rFonts w:ascii="Arial" w:hAnsi="Arial" w:eastAsia="Arial" w:cs="Arial"/>
          <w:color w:val="000000" w:themeColor="text1"/>
          <w:sz w:val="22"/>
          <w:szCs w:val="22"/>
          <w:highlight w:val="none"/>
          <w:u w:val="single"/>
          <w:shd w:val="clear" w:color="auto" w:fill="ffffff"/>
        </w:rPr>
        <w:t xml:space="preserve">《多媒体设备安全指南》</w:t>
      </w:r>
      <w:r>
        <w:rPr>
          <w:rFonts w:hint="eastAsia" w:ascii="Arial" w:hAnsi="Arial" w:cs="Arial"/>
          <w:color w:val="000000" w:themeColor="text1"/>
          <w:sz w:val="22"/>
          <w:szCs w:val="22"/>
          <w:highlight w:val="none"/>
          <w:u w:val="single"/>
          <w:shd w:val="clear" w:color="auto" w:fill="ffffff"/>
        </w:rPr>
        <w:t xml:space="preserve">等</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5036" w:type="pct"/>
        <w:tblInd w:w="-108" w:type="dxa"/>
        <w:tblLayout w:type="autofit"/>
        <w:tblCellMar>
          <w:left w:w="108" w:type="dxa"/>
          <w:top w:w="0" w:type="dxa"/>
          <w:right w:w="108" w:type="dxa"/>
          <w:bottom w:w="0" w:type="dxa"/>
        </w:tblCellMar>
        <w:tblLook w:val="04A0" w:firstRow="1" w:lastRow="0" w:firstColumn="1" w:lastColumn="0" w:noHBand="0" w:noVBand="1"/>
      </w:tblPr>
      <w:tblGrid>
        <w:gridCol w:w="969"/>
        <w:gridCol w:w="971"/>
        <w:gridCol w:w="856"/>
        <w:gridCol w:w="5897"/>
        <w:gridCol w:w="1141"/>
      </w:tblGrid>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技术参数（整体设计要求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外壳为全金属一体化设计，无任何可见的内部功能模块连接线，边角采用弧形设计，整机边缘采用圆角包边防护，边缘、四角无任何尖锐突起。整机采用中间显示屏加双侧副板共三块拼接而成，各板块之间无缝融合。副板和中间触控屏处于同一水平面，中间无突起。中间显示屏支持触摸互动。整机背板采用金属材质，有效屏蔽内部电路器件辐射；防潮耐盐雾蚀锈，适应多种教学环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整机采用防眩光、防爆、钢化玻璃，玻璃面板表面硬度≥9H。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整机屏幕≥86英寸，分辨率≥3840*2160 ，显示比例≥16：9 。 超高清A规以上防眩光LED显示屏。 可视角不小于178度。典型亮度不小于350 nits，典型对比度不小于4000：1。灰阶≥256。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整机长度不小于4.2m，厚度不大于81mm，单侧副板书写面积不小于1.10m * 1.20m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不外接任何扩展设备，前置端口支持：3路USB 3.0（包括：Type-C、 USB Touch 、HDMI IN）。侧后出端口支持：1路HDMI IN、1路USB TOUCH、2路USB、1路RJ45有线网口、1路RS232、1路SPDIF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43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前置接口板、前置按键板、前置按键帽采用前拆设计。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前置 USB 、TypeC 、Touch USB、 HDMI 接口具备防撞挡板设计，防撞挡板采用转轴式翻转，前置接口有防尘防撞设计挡板保护。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76"/>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屏幕贴合方式：全面贴合（钢化玻璃和液晶显示层无间隙密贴合，没有中间涂层，无水雾/水汽；不小于178 度可见屏体图像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91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整机具有不少于8个前置物理按键，对应功能为别为 ：护眼、录微课、自定义、信源、一键锁定触摸/解锁、音量+、音量-、电源键。具备清晰的汉字功能标识。其中电源键具备三合一功能：同一物理按键完成嵌入式Android系统和内置电脑系统的开机、节能熄屏、关机操作，开机状态下短按按键实现节能熄屏/唤醒，长按按键实现关机。关机状态下按键实现开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641"/>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整机支持至少7个可支持自定义物理按键，用户可以在设置菜单中设置“自定义”按键的功能。通过单个物理按键即可支持一键打开多种小工具（如白板、计算器、日历、计时器、系统设置、投票、灵动速记板。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整机支持多种护眼模式，可以通过前置面板“护眼”物理按键一键切换。经典护眼模式、智慧护眼模式、纸质护眼模式，支持一键循环操作。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还原按键：任意通道状态下，通过长按电源键，可以点击屏幕恢复Android和Windows系统到出厂默认状态，无需借助其它工具。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18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支持物理光学低蓝光护眼，内置低蓝光处理芯片。整机采用硬件低蓝光背光技术，在源头减少有害蓝光波段能量，蓝光占比（有害蓝光415～455nm能量综合）/（整体蓝光400～500能量综合）＜30%，低蓝光保护显示不偏色、不泛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提供产品彩页或官网截图或带有CMA标识的第三方检测报告证明材料扫描件并加盖投标供应商公章</w:t>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整机内置摄像头，所拍照片像素不低于1600W，≥135度广角 ，支持3D降噪，外部无任何可见线材；支持远程巡课应用。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整机内置不少于8阵列麦克风，支持不低于12米拾音距离，外部无任何可见连接线及拼接痕迹。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641"/>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内置无线传屏接收端，无需外接接收部件，无线传屏发射器与整机匹配后即可实现传屏功能，将外部电脑（支持Windows , Mac Os及国产操作系统）、手机、PAD的屏幕画面及声音通过无线方式传输到整机上显示及播放 。支持在加密模式下实现点对点投屏，保证投屏不受其它设备的干扰和数据安全。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69"/>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内置2.4G和5G双频，支持WIFI5及以上版本，正常工作距离不小于12米。能够连接到网络。整机内置不低于5.2版本蓝牙模块。可主动发现外部设备并连接外部手机、音箱等蓝牙设备。为保证信号不受遮挡，WIFI和蓝牙模组采用前置设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为方便维修，在不拆开整机的情况下，可以方便的对WIFI、蓝牙模组进行维护或更换。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技术参数（触控技术）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整机采用电容触控技术，支持不小于20点触控，整机系统书写延迟≤8ms。触控分辨率：32768×32768。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提供产品彩页或官网截图或带有CMA标识的第三方检测报告证明材料扫描件并加盖投标供应商公章</w:t>
            </w:r>
            <w:r>
              <w:rPr>
                <w:color w:val="000000" w:themeColor="text1"/>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触摸响应时间&lt;=4ms, 最小识别直径&lt;=2mm.触摸有效识别物高度&lt;=3mm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技术参数（系统功能配置）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系统配置：采用不低于4核CPU，8核视频处理器，4核音频处理器，2核GPU；内存不小于4G；存储空间不小于32G。内存可扩展至8G，存储空间可扩展至128G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69"/>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在整机任意信源和android系统下，都支持高清4K界面UI显示。支持在主页左划唤起负一屏，打开欢迎页面，提供不少于10种欢迎模板，可支持自定义欢迎语，并支持上传图片作为模板背景，可添加背景音乐，在放映模式下进行播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主界面显示组件可以自定义，包括教室命名、网络状态、设备温度、自动隐藏侧边栏、速记板、日历日程。可以设置上述组件是否在主界面显示。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支持插入U盘直接更换开机画面，可以设置主题、壁纸。支持云端下发壁纸，可以多个壁纸滚动展示。支持更换≥3个主题。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69"/>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在任意界面下，从屏幕下方边缘唤出速记板，方便随时记录。书写内容不会因为其它程序的使用情况而被更改或丢失，速记板记录的内容支持保存，并可以在Android系统白板软件下打开保存的内容并可重新编辑。</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信源识别：在通道接入信号时，系统可以侦测到并给出提示，可以自动跳转到新接入的通道，用户可自定义通道名称。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整机支持半屏模式，在Windows和整机系统下，可通过功能键或手势实现一键降屏（窗口下移）功能，支持点击恢复显示全屏窗口。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整机内置截屏功能，支持自行选择截屏范围，操作截取屏幕后可自动保存截屏文件。截屏支持加密分享。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整机支持用户自定义开机/关机时间。支持自定义开关机场景策略设置，可以定义在从周一到周日是否需要重复执行设定好的开关机策略。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272"/>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中间大屏支持侧边栏快捷工具：整机支持全通道任意信号源通道下，都可一键调出侧边工具栏；侧边工具栏支持常用功能选择，包括但不限于：主页，返回，电源，全部应用；支持在侧边工具栏进行快速信源切换，有信号接入的信源会自动点亮图标；侧边工具栏支持显示无线网络连接状态、无线热点状态、蓝牙连接状态，并可以通过点击一键开关无线网络、无线热点、蓝牙模块；侧边栏包含不少于11种常见的教学工具，包括但不限于：批注、多任务、录屏、截屏、相机、计时器、投票器、计算器、触控锁、冻屏、聚光灯；侧边栏可以快捷调整亮度、音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91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整机内置微课工具，在任意信源通道、任意界面下可以按前面板“微课”物理按键一键启动，支持桌面模式、摄像头模式录制。支持全屏幕或区域屏幕录制。可设置打开/关闭摄像头和麦克风。录制过程中支持暂停。可设置视频格式、录制清晰度、帧率、摄像头清晰度。录制完成后可选择存储位置，可对录制文件进行重命名操作。可以删除录制文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图像模式：设备包括但不限于支持标准、生动、电影、自定义等图像模式切换，用户也可自定义图像模式，包括名称更改，对比度、色温、饱和度、清晰度等参数调节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0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音效模式：设备支持标准、听力、音乐、电影等音效模式切换，用户也可自定义音效模式，包括名称更改，高音、低音、平衡等参数调节。在中低频段、高频段分别有-12dB～12dB范围的调节功能。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281"/>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技术参数（嵌入式安卓白板）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智能识别：可对文字及图形进行智能识别，将书写体转化为印刷体。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1369"/>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在无内置电脑状态下，嵌入式系统内置白板支持手掌擦除、拳头擦除。擦除面积可以根据拳头、手掌与屏幕的接触面积自动调整，为操作方便，擦除操作前不需要选择任何功能按键，在书写状态下即可操作。支持书写的同时进行擦除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书写内容可以保存为源文件、图片、PDF 。支持扫码分享，并且扫码过程支持服务器校验检查，保证文件隐私信息无泄漏。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支持插入PPT、PDF文档、图片、搜索内容，支持自动绘制表格、思维导图、流程图。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55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支持无限画布书写，并且在拖动书写内容时，可以通过全局视图快速导航，点击可跳转定位内容。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763"/>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1"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98"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为方便精准作图，支持白板软件一键调出直尺工具，直尺工具能同时显示长度和偏转角度，方便精准作图。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20"/>
        <w:rPr>
          <w:rFonts w:hint="eastAsia" w:ascii="宋体" w:hAnsi="宋体"/>
          <w:b/>
          <w:iCs/>
          <w:color w:val="000000" w:themeColor="text1"/>
          <w:sz w:val="22"/>
          <w:szCs w:val="22"/>
          <w:highlight w:val="none"/>
          <w:u w:val="single"/>
        </w:rPr>
        <w:outlineLvl w:val="1"/>
      </w:pPr>
      <w:r>
        <w:rPr>
          <w:rFonts w:hint="eastAsia" w:ascii="宋体" w:hAnsi="宋体"/>
          <w:b/>
          <w:iCs/>
          <w:color w:val="000000" w:themeColor="text1"/>
          <w:sz w:val="22"/>
          <w:szCs w:val="22"/>
          <w:highlight w:val="none"/>
          <w:u w:val="single"/>
        </w:rPr>
        <w:t xml:space="preserve">（二十四）实验室门禁设备(1套)</w:t>
      </w:r>
      <w:r>
        <w:rPr>
          <w:color w:val="000000" w:themeColor="text1"/>
        </w:rPr>
      </w:r>
      <w:r/>
    </w:p>
    <w:p>
      <w:pPr>
        <w:pStyle w:val="1256"/>
        <w:ind w:firstLine="440"/>
        <w:jc w:val="left"/>
        <w:spacing w:line="360" w:lineRule="auto"/>
        <w:widowControl/>
        <w:rPr>
          <w:rFonts w:ascii="宋体" w:hAnsi="宋体"/>
          <w:color w:val="000000" w:themeColor="text1"/>
          <w:sz w:val="22"/>
          <w:szCs w:val="22"/>
          <w:highlight w:val="none"/>
        </w:rPr>
      </w:pPr>
      <w:r>
        <w:rPr>
          <w:rFonts w:ascii="宋体" w:hAnsi="宋体"/>
          <w:color w:val="000000" w:themeColor="text1"/>
          <w:sz w:val="22"/>
          <w:szCs w:val="22"/>
          <w:highlight w:val="none"/>
        </w:rPr>
        <w:t xml:space="preserve">1.功能要求</w:t>
      </w:r>
      <w:r>
        <w:rPr>
          <w:color w:val="000000" w:themeColor="text1"/>
        </w:rPr>
      </w:r>
      <w:r/>
    </w:p>
    <w:p>
      <w:pPr>
        <w:pStyle w:val="1256"/>
        <w:ind w:firstLine="440"/>
        <w:jc w:val="left"/>
        <w:spacing w:line="360" w:lineRule="auto"/>
        <w:widowControl/>
        <w:rPr>
          <w:rFonts w:ascii="宋体" w:hAnsi="宋体"/>
          <w:color w:val="000000" w:themeColor="text1"/>
          <w:sz w:val="22"/>
          <w:szCs w:val="22"/>
          <w:highlight w:val="none"/>
        </w:rPr>
      </w:pPr>
      <w:r>
        <w:rPr>
          <w:rFonts w:ascii="宋体" w:hAnsi="宋体"/>
          <w:color w:val="000000" w:themeColor="text1"/>
          <w:sz w:val="22"/>
          <w:szCs w:val="22"/>
          <w:highlight w:val="none"/>
        </w:rPr>
        <w:t xml:space="preserve">支持动态人脸识别、指纹、刷卡多种方式，支持自动生成报表。</w:t>
      </w:r>
      <w:r>
        <w:rPr>
          <w:color w:val="000000" w:themeColor="text1"/>
        </w:rPr>
      </w:r>
      <w:r/>
    </w:p>
    <w:p>
      <w:pPr>
        <w:pStyle w:val="1256"/>
        <w:ind w:firstLine="440"/>
        <w:jc w:val="left"/>
        <w:spacing w:line="360" w:lineRule="auto"/>
        <w:widowControl/>
        <w:rPr>
          <w:rFonts w:ascii="宋体" w:hAnsi="宋体"/>
          <w:color w:val="000000" w:themeColor="text1"/>
          <w:sz w:val="22"/>
          <w:szCs w:val="22"/>
          <w:highlight w:val="none"/>
        </w:rPr>
      </w:pPr>
      <w:r>
        <w:rPr>
          <w:rFonts w:ascii="宋体" w:hAnsi="宋体"/>
          <w:color w:val="000000" w:themeColor="text1"/>
          <w:sz w:val="22"/>
          <w:szCs w:val="22"/>
          <w:highlight w:val="none"/>
        </w:rPr>
        <w:t xml:space="preserve">2.应遵循的相关国家标准、行业标准、地方标准等标准、规范</w:t>
      </w:r>
      <w:r>
        <w:rPr>
          <w:color w:val="000000" w:themeColor="text1"/>
        </w:rPr>
      </w:r>
      <w:r/>
    </w:p>
    <w:p>
      <w:pPr>
        <w:pStyle w:val="1256"/>
        <w:ind w:firstLine="440"/>
        <w:jc w:val="left"/>
        <w:spacing w:line="360" w:lineRule="auto"/>
        <w:widowControl/>
        <w:rPr>
          <w:rFonts w:ascii="宋体" w:hAnsi="宋体"/>
          <w:color w:val="000000" w:themeColor="text1"/>
          <w:sz w:val="22"/>
          <w:szCs w:val="22"/>
          <w:highlight w:val="none"/>
        </w:rPr>
      </w:pPr>
      <w:r>
        <w:rPr>
          <w:rFonts w:ascii="宋体" w:hAnsi="宋体"/>
          <w:color w:val="000000" w:themeColor="text1"/>
          <w:sz w:val="22"/>
          <w:szCs w:val="22"/>
          <w:highlight w:val="none"/>
        </w:rPr>
        <w:t xml:space="preserve">《多媒体设备安全指南》等</w:t>
      </w:r>
      <w:r>
        <w:rPr>
          <w:color w:val="000000" w:themeColor="text1"/>
        </w:rPr>
      </w:r>
      <w:r/>
    </w:p>
    <w:p>
      <w:pPr>
        <w:pStyle w:val="1256"/>
        <w:ind w:left="525"/>
        <w:jc w:val="left"/>
        <w:spacing w:line="360" w:lineRule="auto"/>
        <w:shd w:val="clear" w:color="auto" w:fill="ffffff"/>
        <w:widowControl/>
        <w:rPr>
          <w:rFonts w:ascii="宋体" w:hAnsi="宋体" w:cs="Arial"/>
          <w:color w:val="000000" w:themeColor="text1"/>
          <w:sz w:val="22"/>
          <w:szCs w:val="22"/>
          <w:highlight w:val="none"/>
        </w:rPr>
        <w:outlineLvl w:val="2"/>
      </w:pPr>
      <w:r>
        <w:rPr>
          <w:rFonts w:hint="eastAsia" w:ascii="宋体" w:hAnsi="宋体" w:cs="Arial"/>
          <w:color w:val="000000" w:themeColor="text1"/>
          <w:sz w:val="22"/>
          <w:szCs w:val="22"/>
          <w:highlight w:val="none"/>
        </w:rPr>
        <w:t xml:space="preserve">3.各项指标要求</w:t>
      </w:r>
      <w:r>
        <w:rPr>
          <w:color w:val="000000" w:themeColor="text1"/>
        </w:rPr>
      </w:r>
      <w:r/>
    </w:p>
    <w:tbl>
      <w:tblPr>
        <w:tblW w:w="9878" w:type="dxa"/>
        <w:tblInd w:w="-108" w:type="dxa"/>
        <w:tblLayout w:type="fixed"/>
        <w:tblCellMar>
          <w:left w:w="108" w:type="dxa"/>
          <w:top w:w="0" w:type="dxa"/>
          <w:right w:w="108" w:type="dxa"/>
          <w:bottom w:w="0" w:type="dxa"/>
        </w:tblCellMar>
        <w:tblLook w:val="04A0" w:firstRow="1" w:lastRow="0" w:firstColumn="1" w:lastColumn="0" w:noHBand="0" w:noVBand="1"/>
      </w:tblPr>
      <w:tblGrid>
        <w:gridCol w:w="979"/>
        <w:gridCol w:w="977"/>
        <w:gridCol w:w="893"/>
        <w:gridCol w:w="5889"/>
        <w:gridCol w:w="1140"/>
      </w:tblGrid>
      <w:tr>
        <w:trPr>
          <w:trHeight w:val="95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指标重要性</w:t>
            </w:r>
            <w:r>
              <w:rPr>
                <w:rFonts w:ascii="宋体" w:hAnsi="宋体" w:cs="宋体"/>
                <w:b/>
                <w:bCs/>
                <w:color w:val="000000" w:themeColor="text1"/>
                <w:sz w:val="22"/>
                <w:szCs w:val="22"/>
                <w:highlight w:val="none"/>
                <w:lang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指标要求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56"/>
              <w:jc w:val="center"/>
              <w:widowControl/>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需要提供的证明材料</w:t>
            </w:r>
            <w:r>
              <w:rPr>
                <w:color w:val="000000" w:themeColor="text1"/>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7" w:type="dxa"/>
            <w:vAlign w:val="top"/>
            <w:vMerge w:val="restart"/>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用户(卡)容量：≥1000个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面部容量：≥1000张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指纹容量：≥1000枚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记录容量：≥10万条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显示屏：≥4英寸触摸彩屏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2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通讯方式：支持TCP/IP</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640"/>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基础功能：U盘功能、字母工号、定时响铃、高级门禁、Wiegand Out</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r>
        <w:trPr>
          <w:trHeight w:val="335"/>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7" w:type="dxa"/>
            <w:vAlign w:val="top"/>
            <w:vMerge w:val="continue"/>
            <w:textDirection w:val="lrTb"/>
            <w:noWrap w:val="false"/>
          </w:tcPr>
          <w:p>
            <w:pPr>
              <w:pStyle w:val="1256"/>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89" w:type="dxa"/>
            <w:vAlign w:val="center"/>
            <w:textDirection w:val="lrTb"/>
            <w:noWrap/>
          </w:tcPr>
          <w:p>
            <w:pPr>
              <w:pStyle w:val="1256"/>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含安装及安装所需配件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r>
    </w:tbl>
    <w:p>
      <w:pPr>
        <w:pStyle w:val="1256"/>
        <w:spacing w:line="360" w:lineRule="auto"/>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1256"/>
        <w:ind w:firstLine="442"/>
        <w:spacing w:line="324" w:lineRule="auto"/>
        <w:rPr>
          <w:rFonts w:hint="eastAsia" w:ascii="宋体" w:hAnsi="宋体"/>
          <w:b/>
          <w:bCs/>
          <w:color w:val="000000" w:themeColor="text1"/>
          <w:sz w:val="22"/>
          <w:szCs w:val="22"/>
          <w:highlight w:val="none"/>
        </w:rPr>
      </w:pPr>
      <w:r>
        <w:rPr>
          <w:rFonts w:hint="eastAsia" w:ascii="宋体" w:hAnsi="宋体"/>
          <w:b/>
          <w:bCs/>
          <w:color w:val="000000" w:themeColor="text1"/>
          <w:sz w:val="22"/>
          <w:szCs w:val="22"/>
          <w:highlight w:val="none"/>
        </w:rPr>
        <w:t xml:space="preserve">四、商务要求</w:t>
      </w:r>
      <w:r>
        <w:rPr>
          <w:color w:val="000000" w:themeColor="text1"/>
        </w:rPr>
      </w:r>
      <w:r/>
    </w:p>
    <w:p>
      <w:pPr>
        <w:pStyle w:val="1256"/>
        <w:ind w:firstLine="440"/>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（一）交货期：合同签订后45日历天内完成设备的运输、安装、调试</w:t>
      </w:r>
      <w:r>
        <w:rPr>
          <w:color w:val="000000" w:themeColor="text1"/>
        </w:rPr>
      </w:r>
      <w:r/>
    </w:p>
    <w:p>
      <w:pPr>
        <w:pStyle w:val="1256"/>
        <w:ind w:firstLine="440"/>
        <w:spacing w:line="324" w:lineRule="auto"/>
        <w:rPr>
          <w:rFonts w:hint="eastAsia" w:ascii="宋体" w:hAnsi="宋体"/>
          <w:color w:val="000000" w:themeColor="text1"/>
          <w:sz w:val="22"/>
          <w:szCs w:val="22"/>
          <w:highlight w:val="none"/>
        </w:rPr>
      </w:pPr>
      <w:r>
        <w:rPr>
          <w:rFonts w:hint="eastAsia" w:ascii="宋体" w:hAnsi="宋体" w:cs="宋体"/>
          <w:color w:val="000000" w:themeColor="text1"/>
          <w:sz w:val="22"/>
          <w:szCs w:val="22"/>
          <w:highlight w:val="none"/>
        </w:rPr>
        <w:t xml:space="preserve">（二）交货地点：</w:t>
      </w:r>
      <w:r>
        <w:rPr>
          <w:rFonts w:hint="eastAsia" w:ascii="宋体" w:hAnsi="宋体" w:cs="宋体"/>
          <w:color w:val="000000" w:themeColor="text1"/>
          <w:sz w:val="22"/>
          <w:szCs w:val="22"/>
          <w:highlight w:val="none"/>
          <w:u w:val="single"/>
        </w:rPr>
        <w:t xml:space="preserve">南京特殊教育师范学院内甲方指定地点</w:t>
      </w:r>
      <w:r>
        <w:rPr>
          <w:rFonts w:hint="eastAsia" w:ascii="宋体" w:hAnsi="宋体" w:cs="宋体"/>
          <w:color w:val="000000" w:themeColor="text1"/>
          <w:sz w:val="22"/>
          <w:szCs w:val="22"/>
          <w:highlight w:val="none"/>
        </w:rPr>
        <w:t xml:space="preserve">（甲方不单独接收货物）</w:t>
      </w:r>
      <w:r>
        <w:rPr>
          <w:color w:val="000000" w:themeColor="text1"/>
        </w:rPr>
      </w:r>
      <w:r/>
    </w:p>
    <w:p>
      <w:pPr>
        <w:pStyle w:val="1256"/>
        <w:ind w:firstLine="440"/>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（三）质保期：</w:t>
      </w:r>
      <w:r>
        <w:rPr>
          <w:color w:val="000000" w:themeColor="text1"/>
        </w:rPr>
      </w:r>
      <w:r/>
    </w:p>
    <w:p>
      <w:pPr>
        <w:pStyle w:val="1256"/>
        <w:ind w:firstLine="440"/>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提供不少于五年免费质保期，质保期自货物最终验收合格并交付使用之日起计算。在质保期内提供免费保养服务。</w:t>
      </w:r>
      <w:r>
        <w:rPr>
          <w:color w:val="000000" w:themeColor="text1"/>
        </w:rPr>
      </w:r>
      <w:r/>
    </w:p>
    <w:p>
      <w:pPr>
        <w:pStyle w:val="1256"/>
        <w:ind w:firstLine="440"/>
        <w:spacing w:line="324" w:lineRule="auto"/>
        <w:rPr>
          <w:rFonts w:ascii="宋体" w:hAnsi="宋体" w:cs="宋体"/>
          <w:color w:val="000000" w:themeColor="text1"/>
          <w:sz w:val="22"/>
          <w:szCs w:val="22"/>
          <w:highlight w:val="none"/>
        </w:rPr>
        <w:outlineLvl w:val="0"/>
      </w:pPr>
      <w:r>
        <w:rPr>
          <w:rFonts w:hint="eastAsia" w:ascii="宋体" w:hAnsi="宋体"/>
          <w:color w:val="000000" w:themeColor="text1"/>
          <w:sz w:val="22"/>
          <w:szCs w:val="22"/>
          <w:highlight w:val="none"/>
        </w:rPr>
        <w:t xml:space="preserve">（四）付款方式：</w:t>
      </w:r>
      <w:r>
        <w:rPr>
          <w:rFonts w:hint="eastAsia" w:ascii="宋体" w:hAnsi="宋体" w:cs="宋体"/>
          <w:color w:val="000000" w:themeColor="text1"/>
          <w:sz w:val="22"/>
          <w:szCs w:val="22"/>
          <w:highlight w:val="none"/>
        </w:rPr>
        <w:t xml:space="preserve">所有货物安装、调试完成，并经招标人验收合格通过后，中标人须向招标人出具合法有效完整的全额完税正规（增值税专用）发票及凭证资料进行支付结算。招标人收到发票并确认无误后30工作日内，向中标人支付合同总价款。</w:t>
      </w:r>
      <w:r>
        <w:rPr>
          <w:color w:val="000000" w:themeColor="text1"/>
        </w:rPr>
      </w:r>
      <w:r/>
    </w:p>
    <w:p>
      <w:pPr>
        <w:pStyle w:val="1352"/>
        <w:ind w:firstLine="440"/>
        <w:spacing w:line="324" w:lineRule="auto"/>
        <w:rPr>
          <w:rFonts w:hint="eastAsia" w:hAnsi="宋体" w:eastAsia="宋体" w:cs="宋体"/>
          <w:bCs/>
          <w:color w:val="000000" w:themeColor="text1"/>
          <w:sz w:val="22"/>
          <w:szCs w:val="22"/>
          <w:highlight w:val="none"/>
        </w:rPr>
      </w:pPr>
      <w:r>
        <w:rPr>
          <w:rFonts w:hint="eastAsia" w:hAnsi="宋体" w:eastAsia="宋体" w:cs="宋体"/>
          <w:bCs/>
          <w:color w:val="000000" w:themeColor="text1"/>
          <w:sz w:val="22"/>
          <w:szCs w:val="22"/>
          <w:highlight w:val="none"/>
        </w:rPr>
        <w:t xml:space="preserve">（五）质量保证及售后服务</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1.供应商应按招标文件规定的货物性能、技术要求、质量标准向招标人提供未经使用的全新产品。</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2.供应商提供的货物在质量期内因货物本身的质量问题发生故障，供应商应负责免费更换。对达不到技术要求者，根据实际情况，经双方协商，可按以下办法处理：</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（1）更换：由供应商承担所发生的全部费用。</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（2）贬值处理：由甲乙双方合议定价。</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（3）退货处理：供应商应退还招标人支付的合同款，同时应承担该货物的直接费用（运输、保险、检验、货款利息及银行手续费等）。</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3.如在使用过程中发生质量问题，供应商在接到招标人通知后在4小时内到达招标人现场。</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4.在质保期内，供应商</w:t>
      </w:r>
      <w:r>
        <w:rPr>
          <w:rFonts w:hint="eastAsia" w:hAnsi="宋体" w:eastAsia="宋体" w:cs="宋体"/>
          <w:color w:val="000000" w:themeColor="text1"/>
          <w:sz w:val="22"/>
          <w:szCs w:val="22"/>
          <w:highlight w:val="none"/>
          <w:lang w:val="zh-CN"/>
        </w:rPr>
        <w:t xml:space="preserve">应当承诺对售后服务需求提供 </w:t>
      </w:r>
      <w:r>
        <w:rPr>
          <w:rFonts w:hint="eastAsia" w:hAnsi="宋体" w:eastAsia="宋体" w:cs="宋体"/>
          <w:color w:val="000000" w:themeColor="text1"/>
          <w:sz w:val="22"/>
          <w:szCs w:val="22"/>
          <w:highlight w:val="none"/>
        </w:rPr>
        <w:t xml:space="preserve">24小时内</w:t>
      </w:r>
      <w:r>
        <w:rPr>
          <w:rFonts w:hint="eastAsia" w:hAnsi="宋体" w:eastAsia="宋体" w:cs="宋体"/>
          <w:color w:val="000000" w:themeColor="text1"/>
          <w:sz w:val="22"/>
          <w:szCs w:val="22"/>
          <w:highlight w:val="none"/>
          <w:lang w:val="zh-CN"/>
        </w:rPr>
        <w:t xml:space="preserve">响应，</w:t>
      </w:r>
      <w:r>
        <w:rPr>
          <w:rFonts w:hint="eastAsia" w:hAnsi="宋体" w:eastAsia="宋体" w:cs="宋体"/>
          <w:color w:val="000000" w:themeColor="text1"/>
          <w:sz w:val="22"/>
          <w:szCs w:val="22"/>
          <w:highlight w:val="none"/>
        </w:rPr>
        <w:t xml:space="preserve">48</w:t>
      </w:r>
      <w:r>
        <w:rPr>
          <w:rFonts w:hint="eastAsia" w:hAnsi="宋体" w:eastAsia="宋体" w:cs="宋体"/>
          <w:color w:val="000000" w:themeColor="text1"/>
          <w:sz w:val="22"/>
          <w:szCs w:val="22"/>
          <w:highlight w:val="none"/>
          <w:lang w:val="zh-CN"/>
        </w:rPr>
        <w:t xml:space="preserve">小时内到达现场实施维修。72小时仍未排除故障、恢复正常运转的，由</w:t>
      </w:r>
      <w:r>
        <w:rPr>
          <w:rFonts w:hint="eastAsia" w:hAnsi="宋体" w:eastAsia="宋体" w:cs="宋体"/>
          <w:color w:val="000000" w:themeColor="text1"/>
          <w:sz w:val="22"/>
          <w:szCs w:val="22"/>
          <w:highlight w:val="none"/>
        </w:rPr>
        <w:t xml:space="preserve">供应商</w:t>
      </w:r>
      <w:r>
        <w:rPr>
          <w:rFonts w:hint="eastAsia" w:hAnsi="宋体" w:eastAsia="宋体" w:cs="宋体"/>
          <w:color w:val="000000" w:themeColor="text1"/>
          <w:sz w:val="22"/>
          <w:szCs w:val="22"/>
          <w:highlight w:val="none"/>
          <w:lang w:val="zh-CN"/>
        </w:rPr>
        <w:t xml:space="preserve">提供同类型备品、备件等。</w:t>
      </w:r>
      <w:r>
        <w:rPr>
          <w:rFonts w:hint="eastAsia" w:hAnsi="宋体" w:eastAsia="宋体" w:cs="宋体"/>
          <w:color w:val="000000" w:themeColor="text1"/>
          <w:sz w:val="22"/>
          <w:szCs w:val="22"/>
          <w:highlight w:val="none"/>
        </w:rPr>
        <w:t xml:space="preserve">应对货物出现的质量及安全问题负责处理解决并承担一切费用。</w:t>
      </w:r>
      <w:r>
        <w:rPr>
          <w:color w:val="000000" w:themeColor="text1"/>
        </w:rPr>
      </w:r>
      <w:r/>
    </w:p>
    <w:p>
      <w:pPr>
        <w:pStyle w:val="1256"/>
        <w:ind w:firstLine="440"/>
        <w:spacing w:line="324"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5.所有货物免费保修期内，因人为故意损坏因素出现的故障不在免费保修范围内。超过保修期的机器设备，终生维修，维修时只收部件成本费。</w:t>
      </w:r>
      <w:r>
        <w:rPr>
          <w:color w:val="000000" w:themeColor="text1"/>
        </w:rPr>
      </w:r>
      <w:r/>
    </w:p>
    <w:p>
      <w:pPr>
        <w:pStyle w:val="1352"/>
        <w:ind w:firstLine="440"/>
        <w:spacing w:line="324" w:lineRule="auto"/>
        <w:rPr>
          <w:rFonts w:hint="eastAsia" w:hAnsi="宋体" w:eastAsia="宋体" w:cs="宋体"/>
          <w:bCs/>
          <w:color w:val="000000" w:themeColor="text1"/>
          <w:sz w:val="22"/>
          <w:szCs w:val="22"/>
          <w:highlight w:val="none"/>
        </w:rPr>
      </w:pPr>
      <w:r>
        <w:rPr>
          <w:rFonts w:hint="eastAsia" w:hAnsi="宋体" w:eastAsia="宋体" w:cs="宋体"/>
          <w:bCs/>
          <w:color w:val="000000" w:themeColor="text1"/>
          <w:sz w:val="22"/>
          <w:szCs w:val="22"/>
          <w:highlight w:val="none"/>
        </w:rPr>
        <w:t xml:space="preserve">（六）调试和验收</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招标人对供应商提交的货物依据招标文件上的技术规格要求和国家有关质量标准进行现场初步验收，外观、说明书符合招标文件技术要求的，给予签收，初步验收不合格的不予签收。供应商提供招标人后期安装承诺书，供应商需在安装、调试完毕后才能向招标人提交验收申请。</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2.供应商应对产品作出全面检查和对验收文件进行整理，并列出清单，作为招标人验收和使用的技术条件依据，检验的结果应随货物交招标人。</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3.招标人对供应商提供的货物在使用前进行调试时，供应商需负责安装并培训招标人的使用操作人员，并协助招标人一起调试，直到符合技术要求，招标人才做最终验收。</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4.在安装调试期间，如果供应商提供设备、材料有缺陷或由于供应商技术人员的指导错误或供应商提供的技术资料、图纸、说明书的错误造成招标人设备、材料损坏、供应商应采取必要的补救措施，并赔偿招标人相应的所有损失。</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5.软件类产品应试运行一至二个月（正常运行不少于一个月）没有问题后，方可进行验收工作。</w:t>
      </w:r>
      <w:r>
        <w:rPr>
          <w:color w:val="000000" w:themeColor="text1"/>
        </w:rPr>
      </w:r>
      <w:r/>
    </w:p>
    <w:p>
      <w:pPr>
        <w:pStyle w:val="1352"/>
        <w:ind w:firstLine="440"/>
        <w:spacing w:line="324"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6.招标人验收机构在收到供应商提交的验收申请报告后，对货物和项目进行最终的验收,必要时拒绝接受货物的权力不会因为最初货到签收时通过了招标人或其代表的检验、测试认可而受到限制或放弃。</w:t>
      </w:r>
      <w:r>
        <w:rPr>
          <w:color w:val="000000" w:themeColor="text1"/>
        </w:rPr>
      </w:r>
      <w:r/>
    </w:p>
    <w:p>
      <w:pPr>
        <w:pStyle w:val="1352"/>
        <w:ind w:firstLine="440"/>
        <w:spacing w:line="324" w:lineRule="auto"/>
        <w:rPr>
          <w:rFonts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7.验收时供应商必须在现场，验收完毕后作出验收结果报告；验收费用由供应商承担。</w:t>
      </w:r>
      <w:r>
        <w:rPr>
          <w:color w:val="000000" w:themeColor="text1"/>
        </w:rPr>
      </w:r>
      <w:r/>
    </w:p>
    <w:p>
      <w:pPr>
        <w:pStyle w:val="1256"/>
        <w:ind w:firstLine="440"/>
        <w:spacing w:line="360" w:lineRule="auto"/>
        <w:rPr>
          <w:rFonts w:ascii="宋体" w:hAnsi="宋体" w:cs="宋体"/>
          <w:color w:val="000000" w:themeColor="text1"/>
          <w:sz w:val="22"/>
          <w:szCs w:val="22"/>
          <w:highlight w:val="none"/>
        </w:rPr>
      </w:pPr>
      <w:r>
        <w:rPr>
          <w:rFonts w:hint="eastAsia" w:hAnsi="宋体" w:cs="宋体"/>
          <w:color w:val="000000" w:themeColor="text1"/>
          <w:sz w:val="22"/>
          <w:szCs w:val="22"/>
          <w:highlight w:val="none"/>
        </w:rPr>
        <w:t xml:space="preserve">（七）履约保证金</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履约保证金用以约束中标供应商在合同履行中的行为，弥补合同执行中由于自身行为可能给</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带来的各种损失。因中标供应商原因导致合同未能正常履行的，</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将扣除中标供应商的全部履约保证金。合同签订前，中标供应商应向</w:t>
      </w:r>
      <w:r>
        <w:rPr>
          <w:rFonts w:hint="eastAsia" w:ascii="宋体" w:hAnsi="宋体" w:cs="宋体"/>
          <w:color w:val="000000" w:themeColor="text1"/>
          <w:sz w:val="22"/>
          <w:szCs w:val="22"/>
          <w:highlight w:val="none"/>
          <w:lang w:val="zh-TW"/>
        </w:rPr>
        <w:t xml:space="preserve">招标人</w:t>
      </w:r>
      <w:r>
        <w:rPr>
          <w:rFonts w:hint="eastAsia" w:ascii="宋体" w:hAnsi="宋体" w:cs="宋体"/>
          <w:color w:val="000000" w:themeColor="text1"/>
          <w:sz w:val="22"/>
          <w:szCs w:val="22"/>
          <w:highlight w:val="none"/>
          <w:lang w:val="zh-TW" w:eastAsia="zh-TW"/>
        </w:rPr>
        <w:t xml:space="preserve">缴纳履约保证金</w:t>
      </w: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rPr>
        <w:t xml:space="preserve">履约保证金为合同价的5%</w:t>
      </w:r>
      <w:r>
        <w:rPr>
          <w:rFonts w:hint="eastAsia" w:ascii="宋体" w:hAnsi="宋体" w:cs="宋体"/>
          <w:color w:val="000000" w:themeColor="text1"/>
          <w:sz w:val="22"/>
          <w:szCs w:val="22"/>
          <w:highlight w:val="none"/>
          <w:lang w:val="zh-TW" w:eastAsia="zh-TW"/>
        </w:rPr>
        <w:t xml:space="preserve">。合作期</w:t>
      </w: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rPr>
        <w:t xml:space="preserve">免费保修期</w:t>
      </w: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lang w:val="zh-TW" w:eastAsia="zh-TW"/>
        </w:rPr>
        <w:t xml:space="preserve">满后，对接完所有数据，无任何履约及质量问题的情况下，中标供应商凭甲方使用部门签署的意见办理履约保证金退还手续（无息退还）。</w:t>
      </w:r>
      <w:r>
        <w:rPr>
          <w:color w:val="000000" w:themeColor="text1"/>
        </w:rPr>
      </w:r>
      <w:r/>
    </w:p>
    <w:p>
      <w:pPr>
        <w:pStyle w:val="1256"/>
        <w:ind w:firstLine="442"/>
        <w:spacing w:line="324" w:lineRule="auto"/>
        <w:rPr>
          <w:rFonts w:hint="eastAsia" w:ascii="宋体" w:hAnsi="宋体"/>
          <w:b/>
          <w:bCs/>
          <w:color w:val="000000" w:themeColor="text1"/>
          <w:sz w:val="22"/>
          <w:szCs w:val="22"/>
          <w:highlight w:val="none"/>
        </w:rPr>
      </w:pPr>
      <w:r>
        <w:rPr>
          <w:rFonts w:hint="eastAsia" w:ascii="宋体" w:hAnsi="宋体"/>
          <w:b/>
          <w:bCs/>
          <w:color w:val="000000" w:themeColor="text1"/>
          <w:sz w:val="22"/>
          <w:szCs w:val="22"/>
          <w:highlight w:val="none"/>
        </w:rPr>
        <w:t xml:space="preserve">五、其他要求</w:t>
      </w:r>
      <w:r>
        <w:rPr>
          <w:color w:val="000000" w:themeColor="text1"/>
        </w:rPr>
      </w:r>
      <w:r/>
    </w:p>
    <w:p>
      <w:pPr>
        <w:pStyle w:val="1256"/>
        <w:ind w:firstLine="440"/>
        <w:spacing w:line="324" w:lineRule="auto"/>
        <w:rPr>
          <w:rFonts w:hint="eastAsia" w:ascii="宋体" w:hAnsi="宋体"/>
          <w:color w:val="000000" w:themeColor="text1"/>
          <w:sz w:val="22"/>
          <w:szCs w:val="22"/>
          <w:highlight w:val="none"/>
        </w:rPr>
        <w:outlineLvl w:val="2"/>
      </w:pPr>
      <w:r>
        <w:rPr>
          <w:rFonts w:hint="eastAsia" w:ascii="宋体" w:hAnsi="宋体" w:cs="Arial"/>
          <w:bCs/>
          <w:color w:val="000000" w:themeColor="text1"/>
          <w:sz w:val="22"/>
          <w:szCs w:val="22"/>
          <w:highlight w:val="none"/>
        </w:rPr>
        <w:t xml:space="preserve">（一）现场勘察：</w:t>
      </w:r>
      <w:r>
        <w:rPr>
          <w:rFonts w:hint="eastAsia" w:ascii="宋体" w:hAnsi="宋体"/>
          <w:color w:val="000000" w:themeColor="text1"/>
          <w:sz w:val="22"/>
          <w:szCs w:val="22"/>
          <w:highlight w:val="none"/>
        </w:rPr>
        <w:t xml:space="preserve">□是 </w:t>
      </w:r>
      <w:r>
        <w:rPr>
          <w:rFonts w:ascii="宋体" w:hAnsi="宋体"/>
          <w:color w:val="000000" w:themeColor="text1"/>
          <w:sz w:val="22"/>
          <w:szCs w:val="22"/>
          <w:highlight w:val="none"/>
        </w:rPr>
        <w:t xml:space="preserve">   </w:t>
      </w:r>
      <w:r>
        <w:rPr>
          <w:rFonts w:hint="eastAsia" w:ascii="宋体" w:hAnsi="宋体"/>
          <w:color w:val="000000" w:themeColor="text1"/>
          <w:sz w:val="22"/>
          <w:szCs w:val="22"/>
          <w:highlight w:val="none"/>
        </w:rPr>
        <w:t xml:space="preserve">☑否</w:t>
      </w:r>
      <w:r>
        <w:rPr>
          <w:color w:val="000000" w:themeColor="text1"/>
        </w:rPr>
      </w:r>
      <w:r/>
    </w:p>
    <w:p>
      <w:pPr>
        <w:pStyle w:val="1256"/>
        <w:ind w:firstLine="440"/>
        <w:spacing w:line="324" w:lineRule="auto"/>
        <w:rPr>
          <w:rFonts w:ascii="宋体" w:hAnsi="宋体"/>
          <w:color w:val="000000" w:themeColor="text1"/>
          <w:sz w:val="22"/>
          <w:szCs w:val="22"/>
          <w:highlight w:val="none"/>
        </w:rPr>
        <w:outlineLvl w:val="2"/>
      </w:pPr>
      <w:r>
        <w:rPr>
          <w:rFonts w:hint="eastAsia" w:ascii="宋体" w:hAnsi="宋体" w:cs="Arial"/>
          <w:bCs/>
          <w:color w:val="000000" w:themeColor="text1"/>
          <w:sz w:val="22"/>
          <w:szCs w:val="22"/>
          <w:highlight w:val="none"/>
        </w:rPr>
        <w:t xml:space="preserve">（二）提供样品：</w:t>
      </w:r>
      <w:r>
        <w:rPr>
          <w:rFonts w:hint="eastAsia" w:ascii="宋体" w:hAnsi="宋体"/>
          <w:color w:val="000000" w:themeColor="text1"/>
          <w:sz w:val="22"/>
          <w:szCs w:val="22"/>
          <w:highlight w:val="none"/>
        </w:rPr>
        <w:t xml:space="preserve">☑是 </w:t>
      </w:r>
      <w:r>
        <w:rPr>
          <w:rFonts w:ascii="宋体" w:hAnsi="宋体"/>
          <w:color w:val="000000" w:themeColor="text1"/>
          <w:sz w:val="22"/>
          <w:szCs w:val="22"/>
          <w:highlight w:val="none"/>
        </w:rPr>
        <w:t xml:space="preserve">   </w:t>
      </w:r>
      <w:r>
        <w:rPr>
          <w:rFonts w:hint="eastAsia" w:ascii="宋体" w:hAnsi="宋体"/>
          <w:color w:val="000000" w:themeColor="text1"/>
          <w:sz w:val="22"/>
          <w:szCs w:val="22"/>
          <w:highlight w:val="none"/>
        </w:rPr>
        <w:t xml:space="preserve">□否</w:t>
      </w:r>
      <w:r>
        <w:rPr>
          <w:color w:val="000000" w:themeColor="text1"/>
        </w:rPr>
      </w:r>
      <w:r/>
    </w:p>
    <w:p>
      <w:pPr>
        <w:pStyle w:val="1256"/>
        <w:ind w:firstLine="440"/>
        <w:spacing w:line="324" w:lineRule="auto"/>
        <w:shd w:val="clear" w:color="auto" w:fill="ffffff"/>
        <w:rPr>
          <w:rFonts w:hint="eastAsia" w:ascii="宋体" w:hAnsi="宋体" w:cs="Arial"/>
          <w:bCs/>
          <w:color w:val="000000" w:themeColor="text1"/>
          <w:sz w:val="22"/>
          <w:szCs w:val="22"/>
          <w:highlight w:val="none"/>
        </w:rPr>
      </w:pPr>
      <w:r>
        <w:rPr>
          <w:rFonts w:hint="eastAsia" w:ascii="宋体" w:hAnsi="宋体" w:cs="Arial"/>
          <w:bCs/>
          <w:color w:val="000000" w:themeColor="text1"/>
          <w:sz w:val="22"/>
          <w:szCs w:val="22"/>
          <w:highlight w:val="none"/>
        </w:rPr>
        <w:t xml:space="preserve">1.样品名称、规格、数量及制作的标准和要求等：</w:t>
      </w:r>
      <w:r>
        <w:rPr>
          <w:color w:val="000000" w:themeColor="text1"/>
        </w:rPr>
      </w:r>
      <w:r/>
    </w:p>
    <w:p>
      <w:pPr>
        <w:pStyle w:val="1256"/>
        <w:ind w:firstLine="440"/>
        <w:spacing w:line="324" w:lineRule="auto"/>
        <w:rPr>
          <w:rFonts w:hint="eastAsia" w:ascii="宋体" w:hAnsi="宋体" w:cs="Arial"/>
          <w:bCs/>
          <w:i/>
          <w:iCs/>
          <w:color w:val="000000" w:themeColor="text1"/>
          <w:sz w:val="22"/>
          <w:szCs w:val="22"/>
          <w:highlight w:val="none"/>
          <w:u w:val="single"/>
        </w:rPr>
      </w:pPr>
      <w:r>
        <w:rPr>
          <w:rFonts w:hint="eastAsia" w:ascii="宋体" w:hAnsi="宋体"/>
          <w:color w:val="000000" w:themeColor="text1"/>
          <w:sz w:val="22"/>
          <w:szCs w:val="22"/>
          <w:highlight w:val="none"/>
        </w:rPr>
        <w:t xml:space="preserve">核心产品——人工智能综合实训箱，要求中标供应商在签约前提供样机壹套。</w:t>
      </w:r>
      <w:r>
        <w:rPr>
          <w:color w:val="000000" w:themeColor="text1"/>
        </w:rPr>
      </w:r>
      <w:r/>
    </w:p>
    <w:p>
      <w:pPr>
        <w:pStyle w:val="1256"/>
        <w:ind w:firstLine="440"/>
        <w:spacing w:line="324" w:lineRule="auto"/>
        <w:rPr>
          <w:rFonts w:ascii="宋体" w:hAnsi="宋体"/>
          <w:color w:val="000000" w:themeColor="text1"/>
          <w:sz w:val="22"/>
          <w:szCs w:val="22"/>
          <w:highlight w:val="none"/>
        </w:rPr>
      </w:pPr>
      <w:r>
        <w:rPr>
          <w:rFonts w:hint="eastAsia" w:ascii="宋体" w:hAnsi="宋体" w:cs="Arial"/>
          <w:bCs/>
          <w:color w:val="000000" w:themeColor="text1"/>
          <w:sz w:val="22"/>
          <w:szCs w:val="22"/>
          <w:highlight w:val="none"/>
        </w:rPr>
        <w:t xml:space="preserve">2.样品相关检测报告壹份。</w:t>
      </w:r>
      <w:r>
        <w:rPr>
          <w:color w:val="000000" w:themeColor="text1"/>
        </w:rPr>
      </w:r>
      <w:r/>
    </w:p>
    <w:p>
      <w:pPr>
        <w:pStyle w:val="1256"/>
        <w:ind w:firstLine="440"/>
        <w:spacing w:line="324" w:lineRule="auto"/>
        <w:rPr>
          <w:rFonts w:ascii="宋体" w:hAnsi="宋体"/>
          <w:color w:val="000000" w:themeColor="text1"/>
          <w:sz w:val="22"/>
          <w:szCs w:val="22"/>
          <w:highlight w:val="none"/>
        </w:rPr>
        <w:outlineLvl w:val="2"/>
      </w:pPr>
      <w:r>
        <w:rPr>
          <w:rFonts w:hint="eastAsia" w:ascii="宋体" w:hAnsi="宋体" w:cs="Arial"/>
          <w:bCs/>
          <w:color w:val="000000" w:themeColor="text1"/>
          <w:sz w:val="22"/>
          <w:szCs w:val="22"/>
          <w:highlight w:val="none"/>
        </w:rPr>
        <w:t xml:space="preserve">（三）产品演示：</w:t>
      </w:r>
      <w:r>
        <w:rPr>
          <w:rFonts w:hint="eastAsia" w:ascii="宋体" w:hAnsi="宋体"/>
          <w:color w:val="000000" w:themeColor="text1"/>
          <w:sz w:val="22"/>
          <w:szCs w:val="22"/>
          <w:highlight w:val="none"/>
        </w:rPr>
        <w:t xml:space="preserve">☑是 </w:t>
      </w:r>
      <w:r>
        <w:rPr>
          <w:rFonts w:ascii="宋体" w:hAnsi="宋体"/>
          <w:color w:val="000000" w:themeColor="text1"/>
          <w:sz w:val="22"/>
          <w:szCs w:val="22"/>
          <w:highlight w:val="none"/>
        </w:rPr>
        <w:t xml:space="preserve">   </w:t>
      </w:r>
      <w:r>
        <w:rPr>
          <w:rFonts w:hint="eastAsia" w:ascii="宋体" w:hAnsi="宋体"/>
          <w:color w:val="000000" w:themeColor="text1"/>
          <w:sz w:val="22"/>
          <w:szCs w:val="22"/>
          <w:highlight w:val="none"/>
        </w:rPr>
        <w:t xml:space="preserve">□否</w:t>
      </w:r>
      <w:r>
        <w:rPr>
          <w:color w:val="000000" w:themeColor="text1"/>
        </w:rPr>
      </w:r>
      <w:r/>
    </w:p>
    <w:p>
      <w:pPr>
        <w:pStyle w:val="1256"/>
        <w:ind w:firstLine="440"/>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1.现场演示：时间不超过</w:t>
      </w:r>
      <w:r>
        <w:rPr>
          <w:rFonts w:hint="eastAsia" w:ascii="宋体" w:hAnsi="宋体"/>
          <w:color w:val="000000" w:themeColor="text1"/>
          <w:sz w:val="22"/>
          <w:szCs w:val="22"/>
          <w:highlight w:val="none"/>
          <w:u w:val="single"/>
        </w:rPr>
        <w:t xml:space="preserve">10</w:t>
      </w:r>
      <w:r>
        <w:rPr>
          <w:rFonts w:hint="eastAsia" w:ascii="宋体" w:hAnsi="宋体"/>
          <w:color w:val="000000" w:themeColor="text1"/>
          <w:sz w:val="22"/>
          <w:szCs w:val="22"/>
          <w:highlight w:val="none"/>
        </w:rPr>
        <w:t xml:space="preserve">分钟</w:t>
      </w:r>
      <w:r>
        <w:rPr>
          <w:color w:val="000000" w:themeColor="text1"/>
        </w:rPr>
      </w:r>
      <w:r/>
    </w:p>
    <w:p>
      <w:pPr>
        <w:pStyle w:val="1256"/>
        <w:ind w:firstLine="440"/>
        <w:spacing w:line="324" w:lineRule="auto"/>
        <w:rPr>
          <w:rFonts w:hint="eastAsia" w:ascii="宋体" w:hAnsi="宋体"/>
          <w:color w:val="000000" w:themeColor="text1"/>
          <w:sz w:val="22"/>
          <w:szCs w:val="22"/>
          <w:highlight w:val="none"/>
        </w:rPr>
      </w:pPr>
      <w:r>
        <w:rPr>
          <w:rFonts w:hint="eastAsia"/>
          <w:color w:val="000000" w:themeColor="text1"/>
          <w:sz w:val="22"/>
          <w:szCs w:val="22"/>
          <w:highlight w:val="none"/>
        </w:rPr>
        <w:t xml:space="preserve">2.视频演示：</w:t>
      </w:r>
      <w:r>
        <w:rPr>
          <w:rFonts w:hint="eastAsia" w:ascii="宋体" w:hAnsi="宋体"/>
          <w:color w:val="000000" w:themeColor="text1"/>
          <w:sz w:val="22"/>
          <w:szCs w:val="22"/>
          <w:highlight w:val="none"/>
        </w:rPr>
        <w:t xml:space="preserve">视频文件的格式为</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.mp4或*.avi</w:t>
      </w:r>
      <w:r>
        <w:rPr>
          <w:color w:val="000000" w:themeColor="text1"/>
        </w:rPr>
      </w:r>
      <w:r/>
    </w:p>
    <w:p>
      <w:pPr>
        <w:pStyle w:val="1256"/>
        <w:ind w:firstLine="440"/>
        <w:spacing w:line="324" w:lineRule="auto"/>
        <w:rPr>
          <w:rFonts w:hint="eastAsia"/>
          <w:color w:val="000000" w:themeColor="text1"/>
          <w:sz w:val="22"/>
          <w:szCs w:val="22"/>
          <w:highlight w:val="none"/>
        </w:rPr>
      </w:pPr>
      <w:r>
        <w:rPr>
          <w:rFonts w:hint="eastAsia"/>
          <w:color w:val="000000" w:themeColor="text1"/>
          <w:sz w:val="22"/>
          <w:szCs w:val="22"/>
          <w:highlight w:val="none"/>
        </w:rPr>
        <w:t xml:space="preserve">3.视频演示提供方式：“苏采云系统”上传。</w:t>
      </w:r>
      <w:r>
        <w:rPr>
          <w:color w:val="000000" w:themeColor="text1"/>
        </w:rPr>
      </w:r>
      <w:r/>
    </w:p>
    <w:p>
      <w:pPr>
        <w:pStyle w:val="1256"/>
        <w:ind w:firstLine="440"/>
        <w:spacing w:line="324" w:lineRule="auto"/>
        <w:rPr>
          <w:rFonts w:hint="eastAsia" w:ascii="宋体" w:hAnsi="宋体" w:cs="宋体"/>
          <w:b/>
          <w:bCs/>
          <w:color w:val="000000" w:themeColor="text1"/>
          <w:szCs w:val="21"/>
          <w:highlight w:val="none"/>
        </w:rPr>
      </w:pPr>
      <w:r>
        <w:rPr>
          <w:rFonts w:hint="eastAsia"/>
          <w:color w:val="000000" w:themeColor="text1"/>
          <w:sz w:val="22"/>
          <w:szCs w:val="22"/>
          <w:highlight w:val="none"/>
        </w:rPr>
        <w:t xml:space="preserve">4.</w:t>
      </w:r>
      <w:r>
        <w:rPr>
          <w:rFonts w:hint="eastAsia" w:ascii="宋体" w:hAnsi="宋体" w:cs="宋体"/>
          <w:b/>
          <w:bCs/>
          <w:color w:val="000000" w:themeColor="text1"/>
          <w:szCs w:val="21"/>
          <w:highlight w:val="none"/>
          <w:lang w:bidi="ar"/>
        </w:rPr>
        <w:t xml:space="preserve">单个视频附件压缩包大小不得超过50M，整体附件压缩包不得超过300M，压缩包文件格式为zip格式。演示内容确保真实且作为项目履约验收的重要参考依据。因供应商上传文件本身损坏等自身原因导致演示资料无法正常读取的视为无效演示，演示项不得分，由供应商自行承担责任。</w:t>
      </w:r>
      <w:r>
        <w:rPr>
          <w:color w:val="000000" w:themeColor="text1"/>
        </w:rPr>
      </w:r>
      <w:r/>
    </w:p>
    <w:p>
      <w:pPr>
        <w:pStyle w:val="1256"/>
        <w:ind w:firstLine="422"/>
        <w:spacing w:line="324"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rPr>
      </w:r>
      <w:r/>
    </w:p>
    <w:p>
      <w:pPr>
        <w:pStyle w:val="1256"/>
        <w:jc w:val="left"/>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p>
      <w:pPr>
        <w:pStyle w:val="1256"/>
        <w:jc w:val="left"/>
        <w:spacing w:line="360" w:lineRule="auto"/>
        <w:rPr>
          <w:rFonts w:hint="eastAsia" w:hAnsi="宋体" w:cs="宋体"/>
          <w:b/>
          <w:bCs/>
          <w:color w:val="000000" w:themeColor="text1"/>
          <w:szCs w:val="21"/>
          <w:highlight w:val="none"/>
        </w:rPr>
      </w:pPr>
      <w:r>
        <w:rPr>
          <w:rFonts w:hint="eastAsia" w:hAnsi="宋体" w:cs="宋体"/>
          <w:b/>
          <w:bCs/>
          <w:color w:val="000000" w:themeColor="text1"/>
          <w:szCs w:val="21"/>
          <w:highlight w:val="none"/>
        </w:rPr>
        <w:t xml:space="preserve">注：本章中加“★”号指标（如有）及商务部分为必须满足项，不满足任何一条，将被视为非实质性响应招标文件要求，属无效投标。</w:t>
      </w:r>
      <w:r>
        <w:rPr>
          <w:color w:val="000000" w:themeColor="text1"/>
        </w:rPr>
      </w:r>
      <w:r/>
    </w:p>
    <w:p>
      <w:pPr>
        <w:pStyle w:val="1256"/>
        <w:jc w:val="left"/>
        <w:spacing w:line="360" w:lineRule="auto"/>
        <w:rPr>
          <w:rFonts w:hint="eastAsia" w:hAnsi="宋体" w:cs="宋体"/>
          <w:b/>
          <w:bCs/>
          <w:color w:val="000000" w:themeColor="text1"/>
          <w:szCs w:val="21"/>
          <w:highlight w:val="none"/>
        </w:rPr>
      </w:pPr>
      <w:r>
        <w:rPr>
          <w:rFonts w:hint="eastAsia" w:hAnsi="宋体" w:cs="宋体"/>
          <w:b/>
          <w:bCs/>
          <w:color w:val="000000" w:themeColor="text1"/>
          <w:szCs w:val="21"/>
          <w:highlight w:val="none"/>
        </w:rPr>
      </w:r>
      <w:r>
        <w:rPr>
          <w:color w:val="000000" w:themeColor="text1"/>
        </w:rPr>
      </w:r>
      <w:r/>
    </w:p>
    <w:p>
      <w:pPr>
        <w:pStyle w:val="1256"/>
        <w:jc w:val="left"/>
        <w:spacing w:line="360" w:lineRule="auto"/>
        <w:rPr>
          <w:rFonts w:hint="eastAsia" w:hAnsi="宋体" w:cs="宋体"/>
          <w:b/>
          <w:bCs/>
          <w:color w:val="000000" w:themeColor="text1"/>
          <w:szCs w:val="21"/>
          <w:highlight w:val="none"/>
        </w:rPr>
      </w:pPr>
      <w:r>
        <w:rPr>
          <w:rFonts w:hint="eastAsia" w:hAnsi="宋体" w:cs="宋体"/>
          <w:b/>
          <w:bCs/>
          <w:color w:val="000000" w:themeColor="text1"/>
          <w:szCs w:val="21"/>
          <w:highlight w:val="none"/>
        </w:rPr>
      </w:r>
      <w:r>
        <w:rPr>
          <w:color w:val="000000" w:themeColor="text1"/>
        </w:rPr>
      </w:r>
      <w:r/>
    </w:p>
    <w:p>
      <w:pPr>
        <w:pStyle w:val="1256"/>
        <w:jc w:val="left"/>
        <w:spacing w:line="360" w:lineRule="auto"/>
        <w:rPr>
          <w:rFonts w:hint="eastAsia" w:hAnsi="宋体" w:cs="宋体"/>
          <w:b/>
          <w:bCs/>
          <w:color w:val="000000" w:themeColor="text1"/>
          <w:szCs w:val="21"/>
          <w:highlight w:val="none"/>
        </w:rPr>
      </w:pPr>
      <w:r>
        <w:rPr>
          <w:rFonts w:hint="eastAsia" w:hAnsi="宋体" w:cs="宋体"/>
          <w:b/>
          <w:bCs/>
          <w:color w:val="000000" w:themeColor="text1"/>
          <w:szCs w:val="21"/>
          <w:highlight w:val="none"/>
        </w:rPr>
      </w:r>
      <w:r>
        <w:rPr>
          <w:color w:val="000000" w:themeColor="text1"/>
        </w:rPr>
      </w:r>
      <w:r/>
    </w:p>
    <w:p>
      <w:pPr>
        <w:pStyle w:val="1256"/>
        <w:jc w:val="left"/>
        <w:spacing w:line="360" w:lineRule="auto"/>
        <w:rPr>
          <w:rFonts w:hint="eastAsia" w:hAnsi="宋体" w:cs="宋体"/>
          <w:b/>
          <w:bCs/>
          <w:color w:val="000000" w:themeColor="text1"/>
          <w:szCs w:val="21"/>
          <w:highlight w:val="none"/>
        </w:rPr>
      </w:pPr>
      <w:r>
        <w:rPr>
          <w:rFonts w:hint="eastAsia" w:hAnsi="宋体" w:cs="宋体"/>
          <w:b/>
          <w:bCs/>
          <w:color w:val="000000" w:themeColor="text1"/>
          <w:szCs w:val="21"/>
          <w:highlight w:val="none"/>
        </w:rPr>
      </w:r>
      <w:r>
        <w:rPr>
          <w:color w:val="000000" w:themeColor="text1"/>
        </w:rPr>
      </w:r>
      <w:r/>
    </w:p>
    <w:p>
      <w:pPr>
        <w:pStyle w:val="1257"/>
        <w:numPr>
          <w:ilvl w:val="0"/>
          <w:numId w:val="0"/>
        </w:numPr>
        <w:spacing w:before="100" w:after="100" w:line="360" w:lineRule="auto"/>
        <w:rPr>
          <w:rFonts w:hint="eastAsia" w:ascii="宋体" w:hAnsi="宋体" w:cs="宋体"/>
          <w:color w:val="000000" w:themeColor="text1"/>
          <w:szCs w:val="32"/>
          <w:highlight w:val="none"/>
          <w:shd w:val="clear" w:color="auto" w:fill="ffffff"/>
        </w:rPr>
      </w:pPr>
      <w:r>
        <w:rPr>
          <w:rFonts w:hint="eastAsia" w:ascii="宋体" w:hAnsi="宋体" w:cs="宋体"/>
          <w:color w:val="000000" w:themeColor="text1"/>
          <w:szCs w:val="32"/>
          <w:highlight w:val="none"/>
          <w:shd w:val="clear" w:color="auto" w:fill="ffffff"/>
        </w:rPr>
        <w:t xml:space="preserve">第五章 合同主要条款及格式</w:t>
      </w:r>
      <w:bookmarkEnd w:id="54"/>
      <w:r>
        <w:rPr>
          <w:color w:val="000000" w:themeColor="text1"/>
        </w:rPr>
      </w:r>
      <w:bookmarkEnd w:id="55"/>
      <w:r>
        <w:rPr>
          <w:color w:val="000000" w:themeColor="text1"/>
        </w:rPr>
      </w:r>
      <w:r/>
    </w:p>
    <w:p>
      <w:pPr>
        <w:pStyle w:val="1256"/>
        <w:spacing w:line="360" w:lineRule="auto"/>
        <w:widowControl/>
        <w:rPr>
          <w:rFonts w:hint="eastAsia" w:ascii="宋体" w:hAnsi="宋体" w:cs="宋体"/>
          <w:b/>
          <w:color w:val="000000" w:themeColor="text1"/>
          <w:sz w:val="22"/>
          <w:szCs w:val="22"/>
          <w:highlight w:val="none"/>
          <w:u w:val="single"/>
        </w:rPr>
      </w:pPr>
      <w:r>
        <w:rPr>
          <w:rFonts w:hint="eastAsia" w:ascii="宋体" w:hAnsi="宋体" w:cs="宋体"/>
          <w:color w:val="000000" w:themeColor="text1"/>
          <w:sz w:val="22"/>
          <w:szCs w:val="22"/>
          <w:highlight w:val="none"/>
        </w:rPr>
        <w:t xml:space="preserve">甲方:</w:t>
      </w:r>
      <w:r>
        <w:rPr>
          <w:rFonts w:hint="eastAsia" w:ascii="宋体" w:hAnsi="宋体" w:cs="宋体"/>
          <w:b/>
          <w:bCs/>
          <w:color w:val="000000" w:themeColor="text1"/>
          <w:sz w:val="22"/>
          <w:szCs w:val="22"/>
          <w:highlight w:val="none"/>
          <w:u w:val="single"/>
        </w:rPr>
        <w:t xml:space="preserve">（买方）</w:t>
      </w:r>
      <w:r>
        <w:rPr>
          <w:rFonts w:hint="eastAsia" w:ascii="宋体" w:hAnsi="宋体" w:cs="宋体"/>
          <w:b/>
          <w:color w:val="000000" w:themeColor="text1"/>
          <w:sz w:val="22"/>
          <w:szCs w:val="22"/>
          <w:highlight w:val="none"/>
          <w:u w:val="single"/>
        </w:rPr>
        <w:t xml:space="preserve">南京特殊教育师范学院</w:t>
      </w:r>
      <w:r>
        <w:rPr>
          <w:rFonts w:hint="eastAsia" w:ascii="宋体" w:hAnsi="宋体" w:cs="宋体"/>
          <w:b/>
          <w:color w:val="000000" w:themeColor="text1"/>
          <w:sz w:val="22"/>
          <w:szCs w:val="22"/>
          <w:highlight w:val="none"/>
        </w:rPr>
        <w:t xml:space="preserve">  </w:t>
      </w:r>
      <w:r>
        <w:rPr>
          <w:color w:val="000000" w:themeColor="text1"/>
        </w:rPr>
      </w:r>
      <w:r/>
    </w:p>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乙方:</w:t>
      </w:r>
      <w:r>
        <w:rPr>
          <w:rFonts w:hint="eastAsia" w:ascii="宋体" w:hAnsi="宋体" w:cs="宋体"/>
          <w:color w:val="000000" w:themeColor="text1"/>
          <w:sz w:val="22"/>
          <w:szCs w:val="22"/>
          <w:highlight w:val="none"/>
          <w:u w:val="single"/>
        </w:rPr>
        <w:t xml:space="preserve">（卖方）</w:t>
      </w:r>
      <w:r>
        <w:rPr>
          <w:rFonts w:hint="eastAsia" w:ascii="宋体" w:hAnsi="宋体" w:cs="宋体"/>
          <w:b/>
          <w:color w:val="000000" w:themeColor="text1"/>
          <w:sz w:val="22"/>
          <w:szCs w:val="22"/>
          <w:highlight w:val="none"/>
          <w:u w:val="single"/>
        </w:rPr>
        <w:t xml:space="preserve">             </w:t>
      </w:r>
      <w:r>
        <w:rPr>
          <w:rFonts w:hint="eastAsia" w:ascii="宋体" w:hAnsi="宋体" w:cs="宋体"/>
          <w:color w:val="000000" w:themeColor="text1"/>
          <w:sz w:val="22"/>
          <w:szCs w:val="22"/>
          <w:highlight w:val="none"/>
          <w:u w:val="single"/>
        </w:rPr>
        <w:t xml:space="preserve">       </w:t>
      </w:r>
      <w:r>
        <w:rPr>
          <w:color w:val="000000" w:themeColor="text1"/>
        </w:rPr>
      </w:r>
      <w:r/>
    </w:p>
    <w:p>
      <w:pPr>
        <w:pStyle w:val="1256"/>
        <w:ind w:firstLine="48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根据《中华人民共和国政府采购法》《中华人民共和国民法典》等法律法规的规定，甲乙双方</w:t>
      </w:r>
      <w:r>
        <w:rPr>
          <w:rFonts w:hint="eastAsia" w:ascii="宋体" w:hAnsi="宋体" w:cs="宋体"/>
          <w:color w:val="000000" w:themeColor="text1"/>
          <w:sz w:val="22"/>
          <w:szCs w:val="22"/>
          <w:highlight w:val="none"/>
        </w:rPr>
        <w:t xml:space="preserve">根据</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年</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月</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日</w:t>
      </w:r>
      <w:r>
        <w:rPr>
          <w:rFonts w:hint="eastAsia" w:ascii="宋体" w:hAnsi="宋体" w:cs="宋体"/>
          <w:b/>
          <w:color w:val="000000" w:themeColor="text1"/>
          <w:sz w:val="22"/>
          <w:szCs w:val="22"/>
          <w:highlight w:val="none"/>
          <w:u w:val="single"/>
        </w:rPr>
        <w:t xml:space="preserve">  </w:t>
      </w:r>
      <w:r>
        <w:rPr>
          <w:rFonts w:hint="eastAsia" w:ascii="宋体" w:hAnsi="宋体" w:cs="宋体"/>
          <w:color w:val="000000" w:themeColor="text1"/>
          <w:sz w:val="22"/>
          <w:szCs w:val="22"/>
          <w:highlight w:val="none"/>
          <w:u w:val="single"/>
          <w:lang w:val="zh-CN"/>
        </w:rPr>
        <w:t xml:space="preserve">人工智能+软件工程专业特色实验室</w:t>
      </w:r>
      <w:r>
        <w:rPr>
          <w:rFonts w:hint="eastAsia" w:ascii="宋体" w:hAnsi="宋体" w:cs="宋体"/>
          <w:b/>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项目（采购编号</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）招标结果签订本合同</w:t>
      </w:r>
      <w:r>
        <w:rPr>
          <w:rFonts w:hint="eastAsia" w:ascii="宋体" w:hAnsi="宋体" w:cs="宋体"/>
          <w:color w:val="000000" w:themeColor="text1"/>
          <w:sz w:val="22"/>
          <w:szCs w:val="22"/>
          <w:highlight w:val="none"/>
          <w:lang w:val="zh-CN"/>
        </w:rPr>
        <w:t xml:space="preserve">。</w:t>
      </w:r>
      <w:r>
        <w:rPr>
          <w:color w:val="000000" w:themeColor="text1"/>
        </w:rPr>
      </w:r>
      <w:r/>
    </w:p>
    <w:p>
      <w:pPr>
        <w:pStyle w:val="1288"/>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p>
      <w:pPr>
        <w:pStyle w:val="1256"/>
        <w:spacing w:line="360" w:lineRule="auto"/>
        <w:rPr>
          <w:rFonts w:hint="eastAsia"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rPr>
        <w:t xml:space="preserve">一、</w:t>
      </w:r>
      <w:r>
        <w:rPr>
          <w:rFonts w:hint="eastAsia" w:ascii="宋体" w:hAnsi="宋体" w:cs="宋体"/>
          <w:b/>
          <w:bCs/>
          <w:color w:val="000000" w:themeColor="text1"/>
          <w:sz w:val="22"/>
          <w:szCs w:val="22"/>
          <w:highlight w:val="none"/>
        </w:rPr>
        <w:t xml:space="preserve">货物及其数量、金额等</w:t>
      </w:r>
      <w:r>
        <w:rPr>
          <w:color w:val="000000" w:themeColor="text1"/>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585"/>
        <w:gridCol w:w="1239"/>
        <w:gridCol w:w="1274"/>
        <w:gridCol w:w="827"/>
        <w:gridCol w:w="796"/>
        <w:gridCol w:w="1129"/>
        <w:gridCol w:w="1609"/>
        <w:gridCol w:w="1506"/>
      </w:tblGrid>
      <w:tr>
        <w:trPr>
          <w:trHeight w:val="670"/>
        </w:trPr>
        <w:tc>
          <w:tcPr>
            <w:tcW w:w="404"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序号</w:t>
            </w:r>
            <w:r>
              <w:rPr>
                <w:color w:val="000000" w:themeColor="text1"/>
              </w:rPr>
            </w:r>
            <w:r/>
          </w:p>
        </w:tc>
        <w:tc>
          <w:tcPr>
            <w:gridSpan w:val="2"/>
            <w:tcW w:w="1824"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采购货物名称</w:t>
            </w:r>
            <w:r>
              <w:rPr>
                <w:color w:val="000000" w:themeColor="text1"/>
              </w:rPr>
            </w:r>
            <w:r/>
          </w:p>
        </w:tc>
        <w:tc>
          <w:tcPr>
            <w:tcW w:w="653"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规格型号</w:t>
            </w:r>
            <w:r>
              <w:rPr>
                <w:color w:val="000000" w:themeColor="text1"/>
              </w:rPr>
            </w:r>
            <w:r/>
          </w:p>
        </w:tc>
        <w:tc>
          <w:tcPr>
            <w:tcW w:w="424"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数量</w:t>
            </w:r>
            <w:r>
              <w:rPr>
                <w:color w:val="000000" w:themeColor="text1"/>
              </w:rPr>
            </w:r>
            <w:r/>
          </w:p>
        </w:tc>
        <w:tc>
          <w:tcPr>
            <w:tcW w:w="408"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单价</w:t>
            </w:r>
            <w:r>
              <w:rPr>
                <w:color w:val="000000" w:themeColor="text1"/>
              </w:rPr>
            </w:r>
            <w:r/>
          </w:p>
        </w:tc>
        <w:tc>
          <w:tcPr>
            <w:tcW w:w="579"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总价</w:t>
            </w:r>
            <w:r>
              <w:rPr>
                <w:color w:val="000000" w:themeColor="text1"/>
              </w:rPr>
            </w:r>
            <w:r/>
          </w:p>
        </w:tc>
        <w:tc>
          <w:tcPr>
            <w:tcW w:w="825"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免费质保期</w:t>
            </w:r>
            <w:r>
              <w:rPr>
                <w:color w:val="000000" w:themeColor="text1"/>
              </w:rPr>
            </w:r>
            <w:r/>
          </w:p>
        </w:tc>
        <w:tc>
          <w:tcPr>
            <w:tcW w:w="768"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交货时间</w:t>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color w:val="000000" w:themeColor="text1"/>
              </w:rPr>
            </w:r>
            <w:bookmarkStart w:id="56" w:name="Ord_Seq_Name"/>
            <w:r>
              <w:rPr>
                <w:color w:val="000000" w:themeColor="text1"/>
              </w:rPr>
            </w:r>
            <w:bookmarkEnd w:id="56"/>
            <w:r>
              <w:rPr>
                <w:rFonts w:hint="eastAsia" w:ascii="宋体" w:hAnsi="宋体" w:cs="宋体"/>
                <w:color w:val="000000" w:themeColor="text1"/>
                <w:sz w:val="22"/>
                <w:szCs w:val="22"/>
                <w:highlight w:val="none"/>
              </w:rPr>
              <w:t xml:space="preserve">1</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15</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16</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tc>
          <w:tcPr>
            <w:tcW w:w="688"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17</w:t>
            </w:r>
            <w:r>
              <w:rPr>
                <w:color w:val="000000" w:themeColor="text1"/>
              </w:rPr>
            </w:r>
            <w:r/>
          </w:p>
        </w:tc>
        <w:tc>
          <w:tcPr>
            <w:gridSpan w:val="2"/>
            <w:tcW w:w="1824" w:type="dxa"/>
            <w:vAlign w:val="center"/>
            <w:textDirection w:val="lrTb"/>
            <w:noWrap w:val="false"/>
          </w:tcPr>
          <w:p>
            <w:pPr>
              <w:pStyle w:val="1256"/>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11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722"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696"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987" w:type="dxa"/>
            <w:vAlign w:val="center"/>
            <w:textDirection w:val="lrTb"/>
            <w:noWrap w:val="false"/>
          </w:tcPr>
          <w:p>
            <w:pPr>
              <w:pStyle w:val="1256"/>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406" w:type="dxa"/>
            <w:vAlign w:val="top"/>
            <w:textDirection w:val="lrTb"/>
            <w:noWrap w:val="false"/>
          </w:tcPr>
          <w:p>
            <w:pPr>
              <w:pStyle w:val="1256"/>
              <w:ind w:firstLine="426"/>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rPr>
            </w:r>
            <w:r/>
          </w:p>
        </w:tc>
        <w:tc>
          <w:tcPr>
            <w:tcW w:w="1309" w:type="dxa"/>
            <w:vAlign w:val="center"/>
            <w:textDirection w:val="lrTb"/>
            <w:noWrap w:val="false"/>
          </w:tcPr>
          <w:p>
            <w:pPr>
              <w:pStyle w:val="1256"/>
              <w:jc w:val="center"/>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r>
            <w:r>
              <w:rPr>
                <w:color w:val="000000" w:themeColor="text1"/>
              </w:rPr>
            </w:r>
            <w:r/>
          </w:p>
        </w:tc>
      </w:tr>
      <w:tr>
        <w:trPr>
          <w:cantSplit/>
        </w:trPr>
        <w:tc>
          <w:tcPr>
            <w:gridSpan w:val="9"/>
            <w:tcW w:w="9752"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合同总金额：人民币（大写）</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u w:val="single"/>
              </w:rPr>
              <w:t xml:space="preserve">圆整</w:t>
            </w:r>
            <w:r>
              <w:rPr>
                <w:rFonts w:hint="eastAsia" w:ascii="宋体" w:hAnsi="宋体" w:cs="宋体"/>
                <w:color w:val="000000" w:themeColor="text1"/>
                <w:sz w:val="22"/>
                <w:szCs w:val="22"/>
                <w:highlight w:val="none"/>
              </w:rPr>
              <w:t xml:space="preserve"> ￥：</w:t>
            </w:r>
            <w:bookmarkStart w:id="57" w:name="Ppp_Amt_1"/>
            <w:r>
              <w:rPr>
                <w:color w:val="000000" w:themeColor="text1"/>
              </w:rPr>
            </w:r>
            <w:bookmarkEnd w:id="57"/>
            <w:r>
              <w:rPr>
                <w:rFonts w:hint="eastAsia" w:ascii="宋体" w:hAnsi="宋体" w:cs="宋体"/>
                <w:color w:val="000000" w:themeColor="text1"/>
                <w:sz w:val="22"/>
                <w:szCs w:val="22"/>
                <w:highlight w:val="none"/>
                <w:u w:val="single"/>
              </w:rPr>
              <w:t xml:space="preserve">      元</w:t>
            </w:r>
            <w:r>
              <w:rPr>
                <w:color w:val="000000" w:themeColor="text1"/>
              </w:rPr>
            </w:r>
            <w:r/>
          </w:p>
        </w:tc>
      </w:tr>
      <w:tr>
        <w:trPr>
          <w:cantSplit/>
        </w:trPr>
        <w:tc>
          <w:tcPr>
            <w:gridSpan w:val="2"/>
            <w:tcW w:w="1372"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甲方</w:t>
            </w:r>
            <w:r>
              <w:rPr>
                <w:color w:val="000000" w:themeColor="text1"/>
              </w:rPr>
            </w:r>
            <w:r/>
          </w:p>
        </w:tc>
        <w:tc>
          <w:tcPr>
            <w:gridSpan w:val="7"/>
            <w:tcW w:w="8380" w:type="dxa"/>
            <w:vAlign w:val="center"/>
            <w:textDirection w:val="lrTb"/>
            <w:noWrap w:val="false"/>
          </w:tcPr>
          <w:p>
            <w:pPr>
              <w:pStyle w:val="1256"/>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联系人：</w:t>
            </w:r>
            <w:bookmarkStart w:id="58" w:name="Cus_Usr"/>
            <w:r>
              <w:rPr>
                <w:color w:val="000000" w:themeColor="text1"/>
              </w:rPr>
            </w:r>
            <w:bookmarkEnd w:id="58"/>
            <w:r>
              <w:rPr>
                <w:rFonts w:hint="eastAsia" w:ascii="宋体" w:hAnsi="宋体" w:cs="宋体"/>
                <w:color w:val="000000" w:themeColor="text1"/>
                <w:sz w:val="22"/>
                <w:szCs w:val="22"/>
                <w:highlight w:val="none"/>
              </w:rPr>
              <w:t xml:space="preserve">          固定电话：</w:t>
            </w:r>
            <w:bookmarkStart w:id="59" w:name="Cus_Tel"/>
            <w:r>
              <w:rPr>
                <w:color w:val="000000" w:themeColor="text1"/>
              </w:rPr>
            </w:r>
            <w:bookmarkEnd w:id="59"/>
            <w:r>
              <w:rPr>
                <w:rFonts w:hint="eastAsia" w:ascii="宋体" w:hAnsi="宋体" w:cs="宋体"/>
                <w:color w:val="000000" w:themeColor="text1"/>
                <w:sz w:val="22"/>
                <w:szCs w:val="22"/>
                <w:highlight w:val="none"/>
              </w:rPr>
              <w:t xml:space="preserve">      移动电话：</w:t>
            </w:r>
            <w:bookmarkStart w:id="60" w:name="Cus_Mob"/>
            <w:r>
              <w:rPr>
                <w:color w:val="000000" w:themeColor="text1"/>
              </w:rPr>
            </w:r>
            <w:bookmarkEnd w:id="60"/>
            <w:r>
              <w:rPr>
                <w:rFonts w:hint="eastAsia" w:ascii="宋体" w:hAnsi="宋体" w:cs="宋体"/>
                <w:color w:val="000000" w:themeColor="text1"/>
                <w:sz w:val="22"/>
                <w:szCs w:val="22"/>
                <w:highlight w:val="none"/>
              </w:rPr>
              <w:t xml:space="preserve"> </w:t>
            </w:r>
            <w:r>
              <w:rPr>
                <w:color w:val="000000" w:themeColor="text1"/>
              </w:rPr>
            </w:r>
            <w:r/>
          </w:p>
        </w:tc>
      </w:tr>
      <w:tr>
        <w:trPr>
          <w:cantSplit/>
        </w:trPr>
        <w:tc>
          <w:tcPr>
            <w:gridSpan w:val="2"/>
            <w:tcW w:w="1372" w:type="dxa"/>
            <w:vAlign w:val="center"/>
            <w:textDirection w:val="lrTb"/>
            <w:noWrap w:val="false"/>
          </w:tcPr>
          <w:p>
            <w:pPr>
              <w:pStyle w:val="1256"/>
              <w:jc w:val="center"/>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乙方</w:t>
            </w:r>
            <w:r>
              <w:rPr>
                <w:color w:val="000000" w:themeColor="text1"/>
              </w:rPr>
            </w:r>
            <w:r/>
          </w:p>
        </w:tc>
        <w:tc>
          <w:tcPr>
            <w:gridSpan w:val="7"/>
            <w:tcW w:w="8380" w:type="dxa"/>
            <w:vAlign w:val="center"/>
            <w:textDirection w:val="lrTb"/>
            <w:noWrap w:val="false"/>
          </w:tcPr>
          <w:p>
            <w:pPr>
              <w:pStyle w:val="1256"/>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联系人：          </w:t>
            </w:r>
            <w:bookmarkStart w:id="61" w:name="Spr_Usr"/>
            <w:r>
              <w:rPr>
                <w:color w:val="000000" w:themeColor="text1"/>
              </w:rPr>
            </w:r>
            <w:bookmarkEnd w:id="61"/>
            <w:r>
              <w:rPr>
                <w:rFonts w:hint="eastAsia" w:ascii="宋体" w:hAnsi="宋体" w:cs="宋体"/>
                <w:color w:val="000000" w:themeColor="text1"/>
                <w:sz w:val="22"/>
                <w:szCs w:val="22"/>
                <w:highlight w:val="none"/>
              </w:rPr>
              <w:t xml:space="preserve"> 固定电话：</w:t>
            </w:r>
            <w:bookmarkStart w:id="62" w:name="Spr_Tel"/>
            <w:r>
              <w:rPr>
                <w:color w:val="000000" w:themeColor="text1"/>
              </w:rPr>
            </w:r>
            <w:bookmarkEnd w:id="62"/>
            <w:r>
              <w:rPr>
                <w:rFonts w:hint="eastAsia" w:ascii="宋体" w:hAnsi="宋体" w:cs="宋体"/>
                <w:color w:val="000000" w:themeColor="text1"/>
                <w:sz w:val="22"/>
                <w:szCs w:val="22"/>
                <w:highlight w:val="none"/>
              </w:rPr>
              <w:t xml:space="preserve">     移动电话：</w:t>
            </w:r>
            <w:bookmarkStart w:id="63" w:name="Spr_Mob"/>
            <w:r>
              <w:rPr>
                <w:color w:val="000000" w:themeColor="text1"/>
              </w:rPr>
            </w:r>
            <w:bookmarkEnd w:id="63"/>
            <w:r>
              <w:rPr>
                <w:rFonts w:hint="eastAsia" w:ascii="宋体" w:hAnsi="宋体" w:cs="宋体"/>
                <w:color w:val="000000" w:themeColor="text1"/>
                <w:sz w:val="22"/>
                <w:szCs w:val="22"/>
                <w:highlight w:val="none"/>
              </w:rPr>
              <w:t xml:space="preserve">    </w:t>
            </w:r>
            <w:r>
              <w:rPr>
                <w:color w:val="000000" w:themeColor="text1"/>
              </w:rPr>
            </w:r>
            <w:r/>
          </w:p>
        </w:tc>
      </w:tr>
    </w:tbl>
    <w:p>
      <w:pPr>
        <w:pStyle w:val="1256"/>
        <w:spacing w:line="360" w:lineRule="auto"/>
        <w:tabs>
          <w:tab w:val="left" w:pos="1980" w:leader="none"/>
        </w:tabs>
        <w:rPr>
          <w:rFonts w:hint="eastAsia" w:ascii="宋体" w:hAnsi="宋体" w:cs="宋体"/>
          <w:b/>
          <w:bCs/>
          <w:color w:val="000000" w:themeColor="text1"/>
          <w:sz w:val="22"/>
          <w:szCs w:val="22"/>
          <w:highlight w:val="none"/>
          <w:u w:val="single"/>
        </w:rPr>
      </w:pPr>
      <w:r>
        <w:rPr>
          <w:rFonts w:hint="eastAsia" w:ascii="宋体" w:hAnsi="宋体" w:cs="宋体"/>
          <w:color w:val="000000" w:themeColor="text1"/>
          <w:sz w:val="22"/>
          <w:szCs w:val="22"/>
          <w:highlight w:val="none"/>
        </w:rPr>
        <w:t xml:space="preserve">二</w:t>
      </w:r>
      <w:r>
        <w:rPr>
          <w:rFonts w:hint="eastAsia" w:ascii="宋体" w:hAnsi="宋体" w:cs="宋体"/>
          <w:b/>
          <w:bCs/>
          <w:color w:val="000000" w:themeColor="text1"/>
          <w:sz w:val="22"/>
          <w:szCs w:val="22"/>
          <w:highlight w:val="none"/>
        </w:rPr>
        <w:t xml:space="preserve">、交货地点：</w:t>
      </w:r>
      <w:r>
        <w:rPr>
          <w:rFonts w:hint="eastAsia" w:ascii="宋体" w:hAnsi="宋体" w:cs="宋体"/>
          <w:b/>
          <w:bCs/>
          <w:color w:val="000000" w:themeColor="text1"/>
          <w:sz w:val="22"/>
          <w:szCs w:val="22"/>
          <w:highlight w:val="none"/>
          <w:u w:val="single"/>
        </w:rPr>
        <w:t xml:space="preserve">南京特殊教育师范学院内甲方指定地点</w:t>
      </w:r>
      <w:r>
        <w:rPr>
          <w:rFonts w:hint="eastAsia" w:ascii="宋体" w:hAnsi="宋体" w:cs="宋体"/>
          <w:color w:val="000000" w:themeColor="text1"/>
          <w:sz w:val="22"/>
          <w:szCs w:val="22"/>
          <w:highlight w:val="none"/>
        </w:rPr>
        <w:t xml:space="preserve">（甲方不单独接收货物）。</w:t>
      </w:r>
      <w:r>
        <w:rPr>
          <w:color w:val="000000" w:themeColor="text1"/>
        </w:rPr>
      </w:r>
      <w:r/>
    </w:p>
    <w:p>
      <w:pPr>
        <w:pStyle w:val="1256"/>
        <w:spacing w:line="360" w:lineRule="auto"/>
        <w:tabs>
          <w:tab w:val="left" w:pos="1980" w:leader="none"/>
        </w:tabs>
        <w:rPr>
          <w:rFonts w:hint="eastAsia" w:ascii="宋体" w:hAnsi="宋体" w:cs="宋体"/>
          <w:bCs/>
          <w:color w:val="000000" w:themeColor="text1"/>
          <w:sz w:val="22"/>
          <w:szCs w:val="22"/>
          <w:highlight w:val="none"/>
        </w:rPr>
      </w:pPr>
      <w:r>
        <w:rPr>
          <w:rFonts w:hint="eastAsia" w:ascii="宋体" w:hAnsi="宋体" w:cs="宋体"/>
          <w:b/>
          <w:bCs/>
          <w:color w:val="000000" w:themeColor="text1"/>
          <w:sz w:val="22"/>
          <w:szCs w:val="22"/>
          <w:highlight w:val="none"/>
        </w:rPr>
        <w:t xml:space="preserve">三、交货方式：</w:t>
      </w:r>
      <w:r>
        <w:rPr>
          <w:rFonts w:hint="eastAsia" w:ascii="宋体" w:hAnsi="宋体" w:cs="宋体"/>
          <w:bCs/>
          <w:color w:val="000000" w:themeColor="text1"/>
          <w:sz w:val="22"/>
          <w:szCs w:val="22"/>
          <w:highlight w:val="none"/>
        </w:rPr>
        <w:t xml:space="preserve">采购文件有要求的按相关要求执行；采购文件无具体要求的，采取以下方式交货。</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3.1</w:t>
      </w:r>
      <w:r>
        <w:rPr>
          <w:rFonts w:hint="eastAsia" w:hAnsi="宋体" w:eastAsia="宋体" w:cs="宋体"/>
          <w:bCs/>
          <w:color w:val="000000" w:themeColor="text1"/>
          <w:sz w:val="22"/>
          <w:szCs w:val="22"/>
          <w:highlight w:val="none"/>
        </w:rPr>
        <w:t xml:space="preserve">乙方负责货到甲方指定交货地点前货物的运输及保险，有关的费用由乙方承担；</w:t>
      </w:r>
      <w:r>
        <w:rPr>
          <w:rFonts w:hint="eastAsia" w:hAnsi="宋体" w:eastAsia="宋体" w:cs="宋体"/>
          <w:color w:val="000000" w:themeColor="text1"/>
          <w:sz w:val="22"/>
          <w:szCs w:val="22"/>
          <w:highlight w:val="none"/>
        </w:rPr>
        <w:t xml:space="preserve">乙方应在货物发运前对其进行满足运输距离、防潮、防震、防锈和防破损装卸等要求包装，以保证货物安全运达甲方指定地点。</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3.2使用说明书、质量检验证明书、随配附件和工具以及清单一并附于货物内。</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3.3乙方在货物发运（在整体现场具备同时安装条件的情况下甲方方能通知乙方送货）手续办理完毕后24小时内或货到甲方48小时前通知甲方，以准备接货。</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3.4 货物（包括</w:t>
      </w:r>
      <w:r>
        <w:rPr>
          <w:rFonts w:hint="eastAsia" w:hAnsi="宋体" w:eastAsia="宋体" w:cs="宋体"/>
          <w:bCs/>
          <w:color w:val="000000" w:themeColor="text1"/>
          <w:sz w:val="22"/>
          <w:szCs w:val="22"/>
          <w:highlight w:val="none"/>
        </w:rPr>
        <w:t xml:space="preserve">软件在内</w:t>
      </w:r>
      <w:r>
        <w:rPr>
          <w:rFonts w:hint="eastAsia" w:hAnsi="宋体" w:eastAsia="宋体" w:cs="宋体"/>
          <w:color w:val="000000" w:themeColor="text1"/>
          <w:sz w:val="22"/>
          <w:szCs w:val="22"/>
          <w:highlight w:val="none"/>
        </w:rPr>
        <w:t xml:space="preserve">）在验收合格前发生的风险均由乙方负责。</w:t>
      </w:r>
      <w:r>
        <w:rPr>
          <w:color w:val="000000" w:themeColor="text1"/>
        </w:rPr>
      </w:r>
      <w:r/>
    </w:p>
    <w:p>
      <w:pPr>
        <w:pStyle w:val="1256"/>
        <w:ind w:firstLine="480"/>
        <w:spacing w:line="360"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3.5 货物在规定的交付期限内由乙方送达甲方指定的地点并经甲方最终验收合格后视为交付，乙方同时需通知甲方货物已送达。</w:t>
      </w:r>
      <w:r>
        <w:rPr>
          <w:color w:val="000000" w:themeColor="text1"/>
        </w:rPr>
      </w:r>
      <w:r/>
    </w:p>
    <w:p>
      <w:pPr>
        <w:pStyle w:val="1352"/>
        <w:spacing w:line="360" w:lineRule="auto"/>
        <w:rPr>
          <w:rFonts w:hint="eastAsia" w:hAnsi="宋体" w:eastAsia="宋体" w:cs="宋体"/>
          <w:b/>
          <w:color w:val="000000" w:themeColor="text1"/>
          <w:sz w:val="22"/>
          <w:szCs w:val="22"/>
          <w:highlight w:val="none"/>
        </w:rPr>
      </w:pPr>
      <w:r>
        <w:rPr>
          <w:rFonts w:hint="eastAsia" w:hAnsi="宋体" w:eastAsia="宋体" w:cs="宋体"/>
          <w:b/>
          <w:color w:val="000000" w:themeColor="text1"/>
          <w:sz w:val="22"/>
          <w:szCs w:val="22"/>
          <w:highlight w:val="none"/>
        </w:rPr>
        <w:t xml:space="preserve">四、技术资料：</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4.1乙方应按招标文件规定的时间向甲方提供使用货物的有关技术资料。</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r/>
    </w:p>
    <w:p>
      <w:pPr>
        <w:pStyle w:val="1352"/>
        <w:spacing w:line="360" w:lineRule="auto"/>
        <w:rPr>
          <w:rFonts w:hint="eastAsia" w:hAnsi="宋体" w:eastAsia="宋体" w:cs="宋体"/>
          <w:b/>
          <w:color w:val="000000" w:themeColor="text1"/>
          <w:sz w:val="22"/>
          <w:szCs w:val="22"/>
          <w:highlight w:val="none"/>
        </w:rPr>
      </w:pPr>
      <w:r>
        <w:rPr>
          <w:rFonts w:hint="eastAsia" w:hAnsi="宋体" w:eastAsia="宋体" w:cs="宋体"/>
          <w:b/>
          <w:color w:val="000000" w:themeColor="text1"/>
          <w:sz w:val="22"/>
          <w:szCs w:val="22"/>
          <w:highlight w:val="none"/>
        </w:rPr>
        <w:t xml:space="preserve">五、知识产权：</w:t>
      </w:r>
      <w:r>
        <w:rPr>
          <w:color w:val="000000" w:themeColor="text1"/>
        </w:rPr>
      </w:r>
      <w:r/>
    </w:p>
    <w:p>
      <w:pPr>
        <w:pStyle w:val="1256"/>
        <w:ind w:firstLine="48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乙方应保证甲方在使用、接受本合同货物和服务或其任何一部分时不受第三方提出侵犯其专利权、版权、商标权和工业设计权等知识产权的追索。一旦出现侵权，由乙方负全部责任。</w:t>
      </w:r>
      <w:r>
        <w:rPr>
          <w:color w:val="000000" w:themeColor="text1"/>
        </w:rPr>
      </w:r>
      <w:r/>
    </w:p>
    <w:p>
      <w:pPr>
        <w:pStyle w:val="1352"/>
        <w:spacing w:line="360" w:lineRule="auto"/>
        <w:rPr>
          <w:rFonts w:hint="eastAsia" w:hAnsi="宋体" w:eastAsia="宋体" w:cs="宋体"/>
          <w:color w:val="000000" w:themeColor="text1"/>
          <w:sz w:val="22"/>
          <w:szCs w:val="22"/>
          <w:highlight w:val="none"/>
          <w:u w:val="single"/>
        </w:rPr>
      </w:pPr>
      <w:r>
        <w:rPr>
          <w:rFonts w:hint="eastAsia" w:hAnsi="宋体" w:eastAsia="宋体" w:cs="宋体"/>
          <w:b/>
          <w:color w:val="000000" w:themeColor="text1"/>
          <w:sz w:val="22"/>
          <w:szCs w:val="22"/>
          <w:highlight w:val="none"/>
        </w:rPr>
        <w:t xml:space="preserve">六、产权担保：</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乙方保证所交付的货物的所有权完全属于乙方且无任何抵押、查封等产权瑕疵。否则，因此给甲方或第三方造成损失的，由乙方承担全部责任。</w:t>
      </w:r>
      <w:r>
        <w:rPr>
          <w:color w:val="000000" w:themeColor="text1"/>
        </w:rPr>
      </w:r>
      <w:r/>
    </w:p>
    <w:p>
      <w:pPr>
        <w:pStyle w:val="1352"/>
        <w:spacing w:line="360" w:lineRule="auto"/>
        <w:rPr>
          <w:rFonts w:hint="eastAsia" w:hAnsi="宋体" w:eastAsia="宋体" w:cs="宋体"/>
          <w:color w:val="000000" w:themeColor="text1"/>
          <w:sz w:val="22"/>
          <w:szCs w:val="22"/>
          <w:highlight w:val="none"/>
        </w:rPr>
      </w:pPr>
      <w:r>
        <w:rPr>
          <w:rFonts w:hint="eastAsia" w:hAnsi="宋体" w:eastAsia="宋体" w:cs="宋体"/>
          <w:b/>
          <w:color w:val="000000" w:themeColor="text1"/>
          <w:sz w:val="22"/>
          <w:szCs w:val="22"/>
          <w:highlight w:val="none"/>
        </w:rPr>
        <w:t xml:space="preserve">七、转包或分包</w:t>
      </w:r>
      <w:r>
        <w:rPr>
          <w:rFonts w:hint="eastAsia" w:hAnsi="宋体" w:eastAsia="宋体" w:cs="宋体"/>
          <w:color w:val="000000" w:themeColor="text1"/>
          <w:sz w:val="22"/>
          <w:szCs w:val="22"/>
          <w:highlight w:val="none"/>
        </w:rPr>
        <w:t xml:space="preserve">：</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7.1本合同范围的货物，应由乙方直接供应，不得转让他人供应；</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7.2 除非得到甲方的书面同意，乙方不得部分分包给他人供应。</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7.3如有转让和未经甲方书面同意的分包行为，甲方有权给予终止合同。</w:t>
      </w:r>
      <w:r>
        <w:rPr>
          <w:color w:val="000000" w:themeColor="text1"/>
        </w:rPr>
      </w:r>
      <w:r/>
    </w:p>
    <w:p>
      <w:pPr>
        <w:pStyle w:val="1352"/>
        <w:spacing w:line="360" w:lineRule="auto"/>
        <w:rPr>
          <w:rFonts w:hint="eastAsia" w:hAnsi="宋体" w:eastAsia="宋体" w:cs="宋体"/>
          <w:color w:val="000000" w:themeColor="text1"/>
          <w:sz w:val="22"/>
          <w:szCs w:val="22"/>
          <w:highlight w:val="none"/>
        </w:rPr>
      </w:pPr>
      <w:r>
        <w:rPr>
          <w:rFonts w:hint="eastAsia" w:hAnsi="宋体" w:eastAsia="宋体" w:cs="宋体"/>
          <w:b/>
          <w:color w:val="000000" w:themeColor="text1"/>
          <w:sz w:val="22"/>
          <w:szCs w:val="22"/>
          <w:highlight w:val="none"/>
        </w:rPr>
        <w:t xml:space="preserve">八、质保期</w:t>
      </w:r>
      <w:r>
        <w:rPr>
          <w:rFonts w:hint="eastAsia" w:hAnsi="宋体" w:eastAsia="宋体" w:cs="宋体"/>
          <w:color w:val="000000" w:themeColor="text1"/>
          <w:sz w:val="22"/>
          <w:szCs w:val="22"/>
          <w:highlight w:val="none"/>
        </w:rPr>
        <w:t xml:space="preserve">：</w:t>
      </w:r>
      <w:r>
        <w:rPr>
          <w:color w:val="000000" w:themeColor="text1"/>
        </w:rPr>
      </w:r>
      <w:r/>
    </w:p>
    <w:p>
      <w:pPr>
        <w:pStyle w:val="1256"/>
        <w:ind w:firstLine="440"/>
        <w:spacing w:line="360"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提供不少于</w:t>
      </w:r>
      <w:r>
        <w:rPr>
          <w:rFonts w:hint="eastAsia" w:ascii="宋体" w:hAnsi="宋体" w:cs="宋体"/>
          <w:color w:val="000000" w:themeColor="text1"/>
          <w:sz w:val="22"/>
          <w:szCs w:val="22"/>
          <w:highlight w:val="none"/>
        </w:rPr>
        <w:t xml:space="preserve">五</w:t>
      </w:r>
      <w:r>
        <w:rPr>
          <w:rFonts w:hint="eastAsia" w:ascii="宋体" w:hAnsi="宋体" w:cs="宋体"/>
          <w:color w:val="000000" w:themeColor="text1"/>
          <w:sz w:val="22"/>
          <w:szCs w:val="22"/>
          <w:highlight w:val="none"/>
          <w:lang w:val="zh-CN"/>
        </w:rPr>
        <w:t xml:space="preserve">年免费质保期，质保期自货物最终验收合格并交付使用之日起计算。在质保期内提供免费保养服务。</w:t>
      </w:r>
      <w:r>
        <w:rPr>
          <w:color w:val="000000" w:themeColor="text1"/>
        </w:rPr>
      </w:r>
      <w:r/>
    </w:p>
    <w:p>
      <w:pPr>
        <w:pStyle w:val="1352"/>
        <w:spacing w:line="360" w:lineRule="auto"/>
        <w:rPr>
          <w:rFonts w:hint="eastAsia" w:hAnsi="宋体" w:eastAsia="宋体" w:cs="宋体"/>
          <w:b/>
          <w:color w:val="000000" w:themeColor="text1"/>
          <w:sz w:val="22"/>
          <w:szCs w:val="22"/>
          <w:highlight w:val="none"/>
        </w:rPr>
      </w:pPr>
      <w:r>
        <w:rPr>
          <w:rFonts w:hint="eastAsia" w:hAnsi="宋体" w:eastAsia="宋体" w:cs="宋体"/>
          <w:b/>
          <w:color w:val="000000" w:themeColor="text1"/>
          <w:sz w:val="22"/>
          <w:szCs w:val="22"/>
          <w:highlight w:val="none"/>
        </w:rPr>
        <w:t xml:space="preserve">九、项目工期：</w:t>
      </w:r>
      <w:r>
        <w:rPr>
          <w:color w:val="000000" w:themeColor="text1"/>
        </w:rPr>
      </w:r>
      <w:r/>
    </w:p>
    <w:p>
      <w:pPr>
        <w:pStyle w:val="1256"/>
        <w:ind w:firstLine="480"/>
        <w:spacing w:line="360" w:lineRule="auto"/>
        <w:tabs>
          <w:tab w:val="left" w:pos="1980" w:leader="none"/>
        </w:tabs>
        <w:rPr>
          <w:rFonts w:hint="eastAsia" w:ascii="宋体" w:hAnsi="宋体" w:cs="宋体"/>
          <w:b/>
          <w:bCs/>
          <w:color w:val="000000" w:themeColor="text1"/>
          <w:sz w:val="22"/>
          <w:szCs w:val="22"/>
          <w:highlight w:val="none"/>
        </w:rPr>
      </w:pPr>
      <w:r>
        <w:rPr>
          <w:rFonts w:hint="eastAsia" w:ascii="宋体" w:hAnsi="宋体" w:cs="宋体"/>
          <w:bCs/>
          <w:color w:val="000000" w:themeColor="text1"/>
          <w:sz w:val="22"/>
          <w:szCs w:val="22"/>
          <w:highlight w:val="none"/>
        </w:rPr>
        <w:t xml:space="preserve">项目工期：</w:t>
      </w:r>
      <w:r>
        <w:rPr>
          <w:rFonts w:hint="eastAsia" w:ascii="宋体" w:hAnsi="宋体" w:cs="宋体"/>
          <w:color w:val="000000" w:themeColor="text1"/>
          <w:sz w:val="22"/>
          <w:szCs w:val="22"/>
          <w:highlight w:val="none"/>
          <w:u w:val="single"/>
        </w:rPr>
        <w:t xml:space="preserve">  合同签订后45日历天内完成设备的运输、安装、调试 </w:t>
      </w:r>
      <w:r>
        <w:rPr>
          <w:rFonts w:hint="eastAsia" w:ascii="宋体" w:hAnsi="宋体" w:cs="宋体"/>
          <w:bCs/>
          <w:color w:val="000000" w:themeColor="text1"/>
          <w:sz w:val="22"/>
          <w:szCs w:val="22"/>
          <w:highlight w:val="none"/>
          <w:u w:val="single"/>
        </w:rPr>
        <w:t xml:space="preserve"> </w:t>
      </w:r>
      <w:r>
        <w:rPr>
          <w:color w:val="000000" w:themeColor="text1"/>
        </w:rPr>
      </w:r>
      <w:r/>
    </w:p>
    <w:p>
      <w:pPr>
        <w:pStyle w:val="1352"/>
        <w:spacing w:line="360" w:lineRule="auto"/>
        <w:rPr>
          <w:rFonts w:hint="eastAsia" w:hAnsi="宋体" w:eastAsia="宋体" w:cs="宋体"/>
          <w:color w:val="000000" w:themeColor="text1"/>
          <w:sz w:val="22"/>
          <w:szCs w:val="22"/>
          <w:highlight w:val="none"/>
        </w:rPr>
      </w:pPr>
      <w:r>
        <w:rPr>
          <w:rFonts w:hint="eastAsia" w:hAnsi="宋体" w:eastAsia="宋体" w:cs="宋体"/>
          <w:b/>
          <w:color w:val="000000" w:themeColor="text1"/>
          <w:sz w:val="22"/>
          <w:szCs w:val="22"/>
          <w:highlight w:val="none"/>
        </w:rPr>
        <w:t xml:space="preserve">十、调试和验收：</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10.1甲方对乙方提交的货物依据招标文件上的技术规格要求和国家有关质量标准进行现场初步验收，外观、说明书符合招标文件技术要求的，给予签收，初步验收不合格的不予签收。乙方提供甲方后期安装承诺书，乙方需在安装、调试完毕后才能向甲方提交验收申请。</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10.2乙方应对产品作出全面检查和对验收文件进行整理，并列出清单，作为甲方验收和使用的技术条件依据，检验的结果应随货物交甲方。</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10.3甲方对乙方提供的货物在使用前进行调试时，乙方需负责安装并培训甲方的使用操作人员，并协助甲方一起调试，直到符合技术要求，甲方才做最终验收。</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10.4在安装调试期间，如果乙方提供设备、材料有缺陷或由于乙方技术人员的指导错误或乙方提供的技术资料、图纸、说明书的错误造成甲方设备、材料损坏、乙方应采取必要的补救措施，并赔偿甲方相应的所有损失。</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10.5软件类产品应试运行一至二个月（正常运行不少于一个月）没有问题后，方可进行验收工作。</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10.6甲方验收机构在收到乙方提交的验收申请报告后，对货物和项目进行最终的验收,必要时拒绝接受货物的权力不会因为最初货到签收时通过了甲方或其代表的检验、测试认可而受到限制或放弃。</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10.7验收时乙方必须在现场，验收完毕后作出验收结果报告；验收费用由乙方承担。</w:t>
      </w:r>
      <w:r>
        <w:rPr>
          <w:color w:val="000000" w:themeColor="text1"/>
        </w:rPr>
      </w:r>
      <w:r/>
    </w:p>
    <w:p>
      <w:pPr>
        <w:pStyle w:val="1352"/>
        <w:spacing w:line="360" w:lineRule="auto"/>
        <w:rPr>
          <w:rFonts w:hint="eastAsia" w:hAnsi="宋体" w:eastAsia="宋体" w:cs="宋体"/>
          <w:color w:val="000000" w:themeColor="text1"/>
          <w:sz w:val="22"/>
          <w:szCs w:val="22"/>
          <w:highlight w:val="none"/>
        </w:rPr>
      </w:pPr>
      <w:r>
        <w:rPr>
          <w:rFonts w:hint="eastAsia" w:hAnsi="宋体" w:eastAsia="宋体" w:cs="宋体"/>
          <w:b/>
          <w:color w:val="000000" w:themeColor="text1"/>
          <w:sz w:val="22"/>
          <w:szCs w:val="22"/>
          <w:highlight w:val="none"/>
        </w:rPr>
        <w:t xml:space="preserve">十一、质量保证及售后服务：</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11.1 乙方应按招标文件规定的货物性能、技术要求、质量标准向甲方提供未经使用的全新产品。</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11.2乙方提供的货物在质量期内因货物本身的质量问题发生故障，乙方应负责免费更换。对达不到技术要求者，根据实际情况，经双方协商，可按以下办法处理：</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（1）更换：由乙方承担所发生的全部费用。</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（2）贬值处理：由甲乙双方合议定价。</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（3）退货处理：乙方应退还甲方支付的合同款，同时应承担该货物的直接费用（运输、保险、检验、货款利息及银行手续费等）。</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11.3如在使用过程中发生质量问题，乙方在接到甲方通知后在4小时内到达甲方现场。</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11.4在质保期内，乙方</w:t>
      </w:r>
      <w:r>
        <w:rPr>
          <w:rFonts w:hint="eastAsia" w:hAnsi="宋体" w:eastAsia="宋体" w:cs="宋体"/>
          <w:color w:val="000000" w:themeColor="text1"/>
          <w:sz w:val="22"/>
          <w:szCs w:val="22"/>
          <w:highlight w:val="none"/>
          <w:lang w:val="zh-CN"/>
        </w:rPr>
        <w:t xml:space="preserve">应当承诺对售后服务需求提供 </w:t>
      </w:r>
      <w:r>
        <w:rPr>
          <w:rFonts w:hint="eastAsia" w:hAnsi="宋体" w:eastAsia="宋体" w:cs="宋体"/>
          <w:color w:val="000000" w:themeColor="text1"/>
          <w:sz w:val="22"/>
          <w:szCs w:val="22"/>
          <w:highlight w:val="none"/>
        </w:rPr>
        <w:t xml:space="preserve">24小时内</w:t>
      </w:r>
      <w:r>
        <w:rPr>
          <w:rFonts w:hint="eastAsia" w:hAnsi="宋体" w:eastAsia="宋体" w:cs="宋体"/>
          <w:color w:val="000000" w:themeColor="text1"/>
          <w:sz w:val="22"/>
          <w:szCs w:val="22"/>
          <w:highlight w:val="none"/>
          <w:lang w:val="zh-CN"/>
        </w:rPr>
        <w:t xml:space="preserve">响应，</w:t>
      </w:r>
      <w:r>
        <w:rPr>
          <w:rFonts w:hint="eastAsia" w:hAnsi="宋体" w:eastAsia="宋体" w:cs="宋体"/>
          <w:color w:val="000000" w:themeColor="text1"/>
          <w:sz w:val="22"/>
          <w:szCs w:val="22"/>
          <w:highlight w:val="none"/>
        </w:rPr>
        <w:t xml:space="preserve">48</w:t>
      </w:r>
      <w:r>
        <w:rPr>
          <w:rFonts w:hint="eastAsia" w:hAnsi="宋体" w:eastAsia="宋体" w:cs="宋体"/>
          <w:color w:val="000000" w:themeColor="text1"/>
          <w:sz w:val="22"/>
          <w:szCs w:val="22"/>
          <w:highlight w:val="none"/>
          <w:lang w:val="zh-CN"/>
        </w:rPr>
        <w:t xml:space="preserve">小时内到达现场实施维修。72小时仍未排除故障、恢复正常运转的，由</w:t>
      </w:r>
      <w:r>
        <w:rPr>
          <w:rFonts w:hint="eastAsia" w:hAnsi="宋体" w:eastAsia="宋体" w:cs="宋体"/>
          <w:color w:val="000000" w:themeColor="text1"/>
          <w:sz w:val="22"/>
          <w:szCs w:val="22"/>
          <w:highlight w:val="none"/>
        </w:rPr>
        <w:t xml:space="preserve">乙方</w:t>
      </w:r>
      <w:r>
        <w:rPr>
          <w:rFonts w:hint="eastAsia" w:hAnsi="宋体" w:eastAsia="宋体" w:cs="宋体"/>
          <w:color w:val="000000" w:themeColor="text1"/>
          <w:sz w:val="22"/>
          <w:szCs w:val="22"/>
          <w:highlight w:val="none"/>
          <w:lang w:val="zh-CN"/>
        </w:rPr>
        <w:t xml:space="preserve">提供同类型备品、备件等。</w:t>
      </w:r>
      <w:r>
        <w:rPr>
          <w:rFonts w:hint="eastAsia" w:hAnsi="宋体" w:eastAsia="宋体" w:cs="宋体"/>
          <w:color w:val="000000" w:themeColor="text1"/>
          <w:sz w:val="22"/>
          <w:szCs w:val="22"/>
          <w:highlight w:val="none"/>
        </w:rPr>
        <w:t xml:space="preserve">应对货物出现的质量及安全问题负责处理解决并承担一切费用。</w:t>
      </w:r>
      <w:r>
        <w:rPr>
          <w:color w:val="000000" w:themeColor="text1"/>
        </w:rPr>
      </w:r>
      <w:r/>
    </w:p>
    <w:p>
      <w:pPr>
        <w:pStyle w:val="1256"/>
        <w:ind w:firstLine="480"/>
        <w:spacing w:line="360"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11.5上述的货物免费保修期为</w:t>
      </w:r>
      <w:r>
        <w:rPr>
          <w:rFonts w:hint="eastAsia" w:ascii="宋体" w:hAnsi="宋体" w:cs="宋体"/>
          <w:color w:val="000000" w:themeColor="text1"/>
          <w:sz w:val="22"/>
          <w:szCs w:val="22"/>
          <w:highlight w:val="none"/>
          <w:u w:val="single"/>
        </w:rPr>
        <w:t xml:space="preserve"> 五  </w:t>
      </w:r>
      <w:r>
        <w:rPr>
          <w:rFonts w:hint="eastAsia" w:ascii="宋体" w:hAnsi="宋体" w:cs="宋体"/>
          <w:color w:val="000000" w:themeColor="text1"/>
          <w:sz w:val="22"/>
          <w:szCs w:val="22"/>
          <w:highlight w:val="none"/>
        </w:rPr>
        <w:t xml:space="preserve">年，因人为故意损坏因素出现的故障不在免费保修范围内。超过保修期的机器设备，终生维修，维修时只收部件成本费。</w:t>
      </w:r>
      <w:r>
        <w:rPr>
          <w:color w:val="000000" w:themeColor="text1"/>
        </w:rPr>
      </w:r>
      <w:r/>
    </w:p>
    <w:p>
      <w:pPr>
        <w:pStyle w:val="1352"/>
        <w:numPr>
          <w:ilvl w:val="0"/>
          <w:numId w:val="3"/>
        </w:numPr>
        <w:spacing w:line="360" w:lineRule="auto"/>
        <w:rPr>
          <w:rFonts w:hint="eastAsia" w:hAnsi="宋体" w:eastAsia="宋体" w:cs="宋体"/>
          <w:b/>
          <w:color w:val="000000" w:themeColor="text1"/>
          <w:sz w:val="22"/>
          <w:szCs w:val="22"/>
          <w:highlight w:val="none"/>
        </w:rPr>
      </w:pPr>
      <w:r>
        <w:rPr>
          <w:rFonts w:hint="eastAsia" w:hAnsi="宋体" w:eastAsia="宋体" w:cs="宋体"/>
          <w:b/>
          <w:color w:val="000000" w:themeColor="text1"/>
          <w:sz w:val="22"/>
          <w:szCs w:val="22"/>
          <w:highlight w:val="none"/>
        </w:rPr>
        <w:t xml:space="preserve">履约保证金：</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w:t>
      </w:r>
      <w:r>
        <w:rPr>
          <w:rFonts w:hint="eastAsia" w:ascii="宋体" w:hAnsi="宋体" w:cs="宋体"/>
          <w:color w:val="000000" w:themeColor="text1"/>
          <w:sz w:val="22"/>
          <w:szCs w:val="22"/>
          <w:highlight w:val="none"/>
          <w:lang w:val="zh-TW" w:eastAsia="zh-TW"/>
        </w:rPr>
        <w:t xml:space="preserve">1履约保证金用以约束乙方在合同履行中的行为，弥补合同执行中由于自身行为可能给甲方带来的各种损失。因乙方原因导致合同未能正常履行的，甲方将扣除乙方的全部履约保证金。合同签订前，乙方应向甲方缴纳履约保证金</w:t>
      </w: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rPr>
        <w:t xml:space="preserve">履约保证金为合同价的5%，为</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lang w:val="zh-TW" w:eastAsia="zh-TW"/>
        </w:rPr>
        <w:t xml:space="preserve">元（大写</w:t>
      </w:r>
      <w:r>
        <w:rPr>
          <w:rFonts w:hint="eastAsia" w:ascii="宋体" w:hAnsi="宋体" w:cs="宋体"/>
          <w:color w:val="000000" w:themeColor="text1"/>
          <w:sz w:val="22"/>
          <w:szCs w:val="22"/>
          <w:highlight w:val="none"/>
          <w:u w:val="single"/>
          <w:lang w:val="zh-TW" w:eastAsia="zh-TW"/>
        </w:rPr>
        <w:t xml:space="preserve">：</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lang w:val="zh-TW" w:eastAsia="zh-TW"/>
        </w:rPr>
        <w:t xml:space="preserve">元整）。</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w:t>
      </w:r>
      <w:r>
        <w:rPr>
          <w:rFonts w:hint="eastAsia" w:ascii="宋体" w:hAnsi="宋体" w:cs="宋体"/>
          <w:color w:val="000000" w:themeColor="text1"/>
          <w:sz w:val="22"/>
          <w:szCs w:val="22"/>
          <w:highlight w:val="none"/>
          <w:lang w:val="zh-TW" w:eastAsia="zh-TW"/>
        </w:rPr>
        <w:t xml:space="preserve">2履约保证金应当以</w:t>
      </w:r>
      <w:r>
        <w:rPr>
          <w:rFonts w:hint="eastAsia" w:ascii="宋体" w:hAnsi="宋体" w:cs="宋体"/>
          <w:color w:val="000000" w:themeColor="text1"/>
          <w:sz w:val="22"/>
          <w:szCs w:val="22"/>
          <w:highlight w:val="none"/>
        </w:rPr>
        <w:t xml:space="preserve">电汇、</w:t>
      </w:r>
      <w:r>
        <w:rPr>
          <w:rFonts w:hint="eastAsia" w:ascii="宋体" w:hAnsi="宋体" w:cs="宋体"/>
          <w:color w:val="000000" w:themeColor="text1"/>
          <w:sz w:val="22"/>
          <w:szCs w:val="22"/>
          <w:highlight w:val="none"/>
          <w:lang w:val="zh-TW" w:eastAsia="zh-TW"/>
        </w:rPr>
        <w:t xml:space="preserve">本票或者金融机构、担保机构出具的保函等非现金形式提交；</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TW" w:eastAsia="zh-TW"/>
        </w:rPr>
        <w:t xml:space="preserve">收款人名称：</w:t>
      </w:r>
      <w:r>
        <w:rPr>
          <w:rFonts w:hint="eastAsia" w:ascii="宋体" w:hAnsi="宋体" w:cs="宋体"/>
          <w:color w:val="000000" w:themeColor="text1"/>
          <w:sz w:val="22"/>
          <w:szCs w:val="22"/>
          <w:highlight w:val="none"/>
        </w:rPr>
        <w:t xml:space="preserve">南京市特殊教育师范学院</w:t>
      </w:r>
      <w:r>
        <w:rPr>
          <w:rFonts w:hint="eastAsia" w:ascii="宋体" w:hAnsi="宋体" w:cs="宋体"/>
          <w:color w:val="000000" w:themeColor="text1"/>
          <w:sz w:val="22"/>
          <w:szCs w:val="22"/>
          <w:highlight w:val="none"/>
          <w:lang w:val="zh-TW" w:eastAsia="zh-TW"/>
        </w:rPr>
        <w:t xml:space="preserve">    </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u w:val="single"/>
        </w:rPr>
      </w:pPr>
      <w:r>
        <w:rPr>
          <w:rFonts w:hint="eastAsia" w:ascii="宋体" w:hAnsi="宋体" w:cs="宋体"/>
          <w:color w:val="000000" w:themeColor="text1"/>
          <w:sz w:val="22"/>
          <w:szCs w:val="22"/>
          <w:highlight w:val="none"/>
          <w:lang w:val="zh-TW" w:eastAsia="zh-TW"/>
        </w:rPr>
        <w:t xml:space="preserve">开户银行：</w:t>
      </w:r>
      <w:r>
        <w:rPr>
          <w:rFonts w:hint="eastAsia" w:ascii="宋体" w:hAnsi="宋体" w:cs="宋体"/>
          <w:color w:val="000000" w:themeColor="text1"/>
          <w:sz w:val="22"/>
          <w:szCs w:val="22"/>
          <w:highlight w:val="none"/>
          <w:u w:val="single"/>
        </w:rPr>
        <w:t xml:space="preserve">中国工商银行南京燕子矶支行</w:t>
      </w:r>
      <w:r>
        <w:rPr>
          <w:rFonts w:hint="eastAsia" w:ascii="宋体" w:hAnsi="宋体" w:cs="宋体"/>
          <w:color w:val="000000" w:themeColor="text1"/>
          <w:sz w:val="22"/>
          <w:szCs w:val="22"/>
          <w:highlight w:val="none"/>
          <w:u w:val="single"/>
        </w:rPr>
        <w:t xml:space="preserve"> </w:t>
      </w:r>
      <w:r>
        <w:rPr>
          <w:color w:val="000000" w:themeColor="text1"/>
        </w:rPr>
      </w:r>
      <w:r/>
    </w:p>
    <w:p>
      <w:pPr>
        <w:pStyle w:val="1315"/>
        <w:ind w:firstLine="440"/>
        <w:spacing w:before="0" w:beforeAutospacing="0" w:after="0" w:afterAutospacing="0" w:line="315" w:lineRule="atLeast"/>
        <w:shd w:val="clear" w:color="auto" w:fill="ffffff"/>
        <w:rPr>
          <w:rFonts w:hint="eastAsia"/>
          <w:color w:val="000000" w:themeColor="text1"/>
          <w:sz w:val="22"/>
          <w:szCs w:val="22"/>
          <w:highlight w:val="none"/>
          <w:u w:val="single"/>
        </w:rPr>
      </w:pPr>
      <w:r>
        <w:rPr>
          <w:rFonts w:hint="eastAsia"/>
          <w:color w:val="000000" w:themeColor="text1"/>
          <w:sz w:val="22"/>
          <w:szCs w:val="22"/>
          <w:highlight w:val="none"/>
          <w:lang w:val="zh-TW" w:eastAsia="zh-TW"/>
        </w:rPr>
        <w:t xml:space="preserve">账号：</w:t>
      </w:r>
      <w:r>
        <w:rPr>
          <w:rFonts w:hint="eastAsia"/>
          <w:color w:val="000000" w:themeColor="text1"/>
          <w:sz w:val="22"/>
          <w:szCs w:val="22"/>
          <w:highlight w:val="none"/>
          <w:u w:val="single"/>
        </w:rPr>
        <w:t xml:space="preserve">  4301012319002130850  </w:t>
      </w:r>
      <w:r>
        <w:rPr>
          <w:color w:val="000000" w:themeColor="text1"/>
        </w:rPr>
      </w:r>
      <w:r/>
    </w:p>
    <w:p>
      <w:pPr>
        <w:pStyle w:val="1315"/>
        <w:ind w:firstLine="440"/>
        <w:spacing w:before="0" w:beforeAutospacing="0" w:after="0" w:afterAutospacing="0" w:line="315" w:lineRule="atLeast"/>
        <w:shd w:val="clear" w:color="auto" w:fill="ffffff"/>
        <w:rPr>
          <w:rFonts w:hint="eastAsia"/>
          <w:color w:val="000000" w:themeColor="text1"/>
          <w:sz w:val="22"/>
          <w:szCs w:val="22"/>
          <w:highlight w:val="none"/>
          <w:u w:val="single"/>
        </w:rPr>
      </w:pPr>
      <w:r>
        <w:rPr>
          <w:rFonts w:hint="eastAsia"/>
          <w:color w:val="000000" w:themeColor="text1"/>
          <w:sz w:val="22"/>
          <w:szCs w:val="22"/>
          <w:highlight w:val="none"/>
          <w:u w:val="single"/>
        </w:rPr>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w:t>
      </w:r>
      <w:r>
        <w:rPr>
          <w:rFonts w:hint="eastAsia" w:ascii="宋体" w:hAnsi="宋体" w:cs="宋体"/>
          <w:color w:val="000000" w:themeColor="text1"/>
          <w:sz w:val="22"/>
          <w:szCs w:val="22"/>
          <w:highlight w:val="none"/>
          <w:lang w:val="zh-TW" w:eastAsia="zh-TW"/>
        </w:rPr>
        <w:t xml:space="preserve">3履约保证金的退还：合作期</w:t>
      </w: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rPr>
        <w:t xml:space="preserve">免费保修期</w:t>
      </w: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lang w:val="zh-TW" w:eastAsia="zh-TW"/>
        </w:rPr>
        <w:t xml:space="preserve">满后，对接完所有数据，无任何履约及质量问题的情况下，乙方凭甲方使用部门签署的意见办理履约保证金退还手续（无息退还）。</w:t>
      </w:r>
      <w:r>
        <w:rPr>
          <w:color w:val="000000" w:themeColor="text1"/>
        </w:rPr>
      </w:r>
      <w:r/>
    </w:p>
    <w:p>
      <w:pPr>
        <w:pStyle w:val="1352"/>
        <w:spacing w:line="360" w:lineRule="auto"/>
        <w:rPr>
          <w:rFonts w:hint="eastAsia" w:hAnsi="宋体" w:eastAsia="宋体" w:cs="宋体"/>
          <w:color w:val="000000" w:themeColor="text1"/>
          <w:sz w:val="22"/>
          <w:szCs w:val="22"/>
          <w:highlight w:val="none"/>
        </w:rPr>
      </w:pPr>
      <w:r>
        <w:rPr>
          <w:rFonts w:hint="eastAsia" w:hAnsi="宋体" w:eastAsia="宋体" w:cs="宋体"/>
          <w:b/>
          <w:color w:val="000000" w:themeColor="text1"/>
          <w:sz w:val="22"/>
          <w:szCs w:val="22"/>
          <w:highlight w:val="none"/>
        </w:rPr>
        <w:t xml:space="preserve">十三、税</w:t>
      </w:r>
      <w:r>
        <w:rPr>
          <w:rFonts w:hint="eastAsia" w:hAnsi="宋体" w:eastAsia="宋体" w:cs="宋体"/>
          <w:color w:val="000000" w:themeColor="text1"/>
          <w:sz w:val="22"/>
          <w:szCs w:val="22"/>
          <w:highlight w:val="none"/>
        </w:rPr>
        <w:t xml:space="preserve">：</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本合同执行中相关的一切税费均由乙方负担。</w:t>
      </w:r>
      <w:r>
        <w:rPr>
          <w:color w:val="000000" w:themeColor="text1"/>
        </w:rPr>
      </w:r>
      <w:r/>
    </w:p>
    <w:p>
      <w:pPr>
        <w:pStyle w:val="1352"/>
        <w:spacing w:line="360" w:lineRule="auto"/>
        <w:rPr>
          <w:rFonts w:hint="eastAsia" w:hAnsi="宋体" w:eastAsia="宋体" w:cs="宋体"/>
          <w:b/>
          <w:color w:val="000000" w:themeColor="text1"/>
          <w:sz w:val="22"/>
          <w:szCs w:val="22"/>
          <w:highlight w:val="none"/>
        </w:rPr>
      </w:pPr>
      <w:r>
        <w:rPr>
          <w:rFonts w:hint="eastAsia" w:hAnsi="宋体" w:eastAsia="宋体" w:cs="宋体"/>
          <w:b/>
          <w:color w:val="000000" w:themeColor="text1"/>
          <w:sz w:val="22"/>
          <w:szCs w:val="22"/>
          <w:highlight w:val="none"/>
        </w:rPr>
        <w:t xml:space="preserve">十四、付款：</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outlineLvl w:val="0"/>
      </w:pPr>
      <w:r>
        <w:rPr>
          <w:rFonts w:hint="eastAsia" w:ascii="宋体" w:hAnsi="宋体" w:cs="宋体"/>
          <w:color w:val="000000" w:themeColor="text1"/>
          <w:sz w:val="22"/>
          <w:szCs w:val="22"/>
          <w:highlight w:val="none"/>
        </w:rPr>
        <w:t xml:space="preserve">付款方式：所有货物安装、调试完成，并经甲方验收合格通过后，乙方须向甲方出具合法有效完整的全额完税正规（增值税专用）发票及凭证资料进行支付结算。甲方收到发票并确认无误后30工作日内，向乙方支付合同总价款。</w:t>
      </w:r>
      <w:r>
        <w:rPr>
          <w:color w:val="000000" w:themeColor="text1"/>
        </w:rPr>
      </w:r>
      <w:r/>
    </w:p>
    <w:p>
      <w:pPr>
        <w:pStyle w:val="1256"/>
        <w:spacing w:line="360" w:lineRule="auto"/>
        <w:rPr>
          <w:rFonts w:hint="eastAsia" w:ascii="宋体" w:hAnsi="宋体" w:cs="宋体"/>
          <w:color w:val="000000" w:themeColor="text1"/>
          <w:sz w:val="22"/>
          <w:szCs w:val="22"/>
          <w:highlight w:val="none"/>
        </w:rPr>
        <w:outlineLvl w:val="0"/>
      </w:pPr>
      <w:r>
        <w:rPr>
          <w:rFonts w:hint="eastAsia" w:ascii="宋体" w:hAnsi="宋体" w:cs="宋体"/>
          <w:b/>
          <w:bCs/>
          <w:color w:val="000000" w:themeColor="text1"/>
          <w:sz w:val="22"/>
          <w:szCs w:val="22"/>
          <w:highlight w:val="none"/>
        </w:rPr>
        <w:t xml:space="preserve">十五、</w:t>
      </w:r>
      <w:r>
        <w:rPr>
          <w:rFonts w:hint="eastAsia" w:ascii="宋体" w:hAnsi="宋体" w:cs="宋体"/>
          <w:b/>
          <w:color w:val="000000" w:themeColor="text1"/>
          <w:sz w:val="22"/>
          <w:szCs w:val="22"/>
          <w:highlight w:val="none"/>
        </w:rPr>
        <w:t xml:space="preserve">发票类型：</w:t>
      </w:r>
      <w:r>
        <w:rPr>
          <w:color w:val="000000" w:themeColor="text1"/>
        </w:rPr>
      </w:r>
      <w:r/>
    </w:p>
    <w:p>
      <w:pPr>
        <w:pStyle w:val="1256"/>
        <w:ind w:firstLine="480"/>
        <w:spacing w:line="360" w:lineRule="auto"/>
        <w:rPr>
          <w:rFonts w:hint="eastAsia" w:ascii="宋体" w:hAnsi="宋体" w:cs="宋体"/>
          <w:color w:val="000000" w:themeColor="text1"/>
          <w:sz w:val="22"/>
          <w:szCs w:val="22"/>
          <w:highlight w:val="none"/>
        </w:rPr>
        <w:outlineLvl w:val="0"/>
      </w:pPr>
      <w:r>
        <w:rPr>
          <w:rFonts w:hint="eastAsia" w:ascii="宋体" w:hAnsi="宋体" w:cs="宋体"/>
          <w:color w:val="000000" w:themeColor="text1"/>
          <w:sz w:val="22"/>
          <w:szCs w:val="22"/>
          <w:highlight w:val="none"/>
        </w:rPr>
        <w:t xml:space="preserve">乙方须开具符合规定的全额增值税专用发票（普通正规发票）。</w:t>
      </w:r>
      <w:r>
        <w:rPr>
          <w:color w:val="000000" w:themeColor="text1"/>
        </w:rPr>
      </w:r>
      <w:r/>
    </w:p>
    <w:p>
      <w:pPr>
        <w:pStyle w:val="1256"/>
        <w:spacing w:line="360" w:lineRule="auto"/>
        <w:rPr>
          <w:rFonts w:hint="eastAsia"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十六、保密条款：</w:t>
      </w:r>
      <w:r>
        <w:rPr>
          <w:color w:val="000000" w:themeColor="text1"/>
        </w:rPr>
      </w:r>
      <w:r/>
    </w:p>
    <w:p>
      <w:pPr>
        <w:pStyle w:val="1256"/>
        <w:ind w:firstLine="440"/>
        <w:spacing w:line="360"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乙方不得将在履行本合同中知悉的甲方任何信息随意泄露、擅自使用。如违反本条款规定，乙方应当承担如下责任：</w:t>
      </w:r>
      <w:r>
        <w:rPr>
          <w:rFonts w:hint="eastAsia" w:ascii="宋体" w:hAnsi="宋体" w:cs="宋体"/>
          <w:color w:val="000000" w:themeColor="text1"/>
          <w:sz w:val="22"/>
          <w:szCs w:val="22"/>
          <w:highlight w:val="none"/>
          <w:u w:val="single"/>
        </w:rPr>
        <w:t xml:space="preserve"> 一切法律责任     </w:t>
      </w:r>
      <w:r>
        <w:rPr>
          <w:rFonts w:hint="eastAsia" w:ascii="宋体" w:hAnsi="宋体" w:cs="宋体"/>
          <w:color w:val="000000" w:themeColor="text1"/>
          <w:sz w:val="22"/>
          <w:szCs w:val="22"/>
          <w:highlight w:val="none"/>
        </w:rPr>
        <w:t xml:space="preserve">。  </w:t>
      </w:r>
      <w:r>
        <w:rPr>
          <w:color w:val="000000" w:themeColor="text1"/>
        </w:rPr>
      </w:r>
      <w:r/>
    </w:p>
    <w:p>
      <w:pPr>
        <w:pStyle w:val="1256"/>
        <w:spacing w:line="360" w:lineRule="auto"/>
        <w:rPr>
          <w:rFonts w:hint="eastAsia" w:ascii="宋体" w:hAnsi="宋体" w:cs="宋体"/>
          <w:color w:val="000000" w:themeColor="text1"/>
          <w:sz w:val="22"/>
          <w:szCs w:val="22"/>
          <w:highlight w:val="none"/>
        </w:rPr>
      </w:pPr>
      <w:r>
        <w:rPr>
          <w:rFonts w:hint="eastAsia" w:ascii="宋体" w:hAnsi="宋体" w:cs="宋体"/>
          <w:b/>
          <w:color w:val="000000" w:themeColor="text1"/>
          <w:sz w:val="22"/>
          <w:szCs w:val="22"/>
          <w:highlight w:val="none"/>
        </w:rPr>
        <w:t xml:space="preserve">十七、违约责任：</w:t>
      </w:r>
      <w:r>
        <w:rPr>
          <w:rFonts w:hint="eastAsia" w:ascii="宋体" w:hAnsi="宋体" w:cs="宋体"/>
          <w:color w:val="000000" w:themeColor="text1"/>
          <w:sz w:val="22"/>
          <w:szCs w:val="22"/>
          <w:highlight w:val="none"/>
        </w:rPr>
        <w:t xml:space="preserve"> </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17.1甲方未按合同约定履行义务，给乙方造成经济损失应予以赔偿；因甲方责任造成货物供应延期的，货物交付期限顺延。</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17.2乙方不能按合同规定的交货时间进行交货，每逾期一天按合同总价款的1%向甲方支付违约金。逾期超过约定日期10日不能交货的，甲方可解除本合同。乙方因逾期交货或因其他违约行为导致甲方解除合同的，乙方应向甲方支付合同总值20%的赔偿金，如造成甲方损失超过赔偿金的，超出部分由乙方继续承担赔偿责任。</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17.3乙方所交的货物品种、型号、规格、技术参数、质量不符合合同规定及招标文件规定标准的，甲方有权拒收该货物，乙方愿意更换货物但逾期交货的，按乙方逾期交货处理。乙方拒绝更换货物的，甲方有权解除合同。因此给甲方造成损失的，乙方应承担全部赔偿责任。</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17.4质保期内，如经乙方两次维修或更换，货物仍不能达到合同约定的质量标准，甲方有权退货，乙方应退回全部货款，并按第17.2款处理；同时，乙方还须赔偿甲方因此遭受的损失。</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17.5项目质量必须达到合同约定的质量标准以及投标书承诺的质量标准，如违反本条约定的质量标准，乙方必须无偿返修并按项目结算价款的5%向甲方支付违约金。此违约金并不能解除乙方完成项目的责任及合同约定的其他责任，如因项目质量导致安全事故，乙方承担事故处理的一切（责任）费用、项目的恢复费用及因此而造成后续项目延误费用。如上述约定仍不足以弥补甲方的损失，甲方有权要求乙方赔偿损失。</w:t>
      </w:r>
      <w:r>
        <w:rPr>
          <w:color w:val="000000" w:themeColor="text1"/>
        </w:rPr>
      </w:r>
      <w:r/>
    </w:p>
    <w:p>
      <w:pPr>
        <w:pStyle w:val="1352"/>
        <w:ind w:firstLine="4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17.6乙方未按本合同的规定及各项服务承诺提供服务的，按合同总价款的5％向甲方承担违约责任。</w:t>
      </w:r>
      <w:r>
        <w:rPr>
          <w:color w:val="000000" w:themeColor="text1"/>
        </w:rPr>
      </w:r>
      <w:r/>
    </w:p>
    <w:p>
      <w:pPr>
        <w:pStyle w:val="1256"/>
        <w:spacing w:line="360" w:lineRule="auto"/>
        <w:tabs>
          <w:tab w:val="left" w:pos="1980" w:leader="none"/>
        </w:tabs>
        <w:rPr>
          <w:rFonts w:hint="eastAsia"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十八、合同纠纷处理：</w:t>
      </w:r>
      <w:r>
        <w:rPr>
          <w:color w:val="000000" w:themeColor="text1"/>
        </w:rPr>
      </w:r>
      <w:r/>
    </w:p>
    <w:p>
      <w:pPr>
        <w:pStyle w:val="1256"/>
        <w:ind w:firstLine="480"/>
        <w:spacing w:line="360"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18.1 双方在执行合同中所发生的一切争议，应通过协商解决。若协商不成，双方一致同意作如下</w:t>
      </w:r>
      <w:r>
        <w:rPr>
          <w:rFonts w:hint="eastAsia" w:ascii="宋体" w:hAnsi="宋体" w:cs="宋体"/>
          <w:color w:val="000000" w:themeColor="text1"/>
          <w:sz w:val="22"/>
          <w:szCs w:val="22"/>
          <w:highlight w:val="none"/>
          <w:u w:val="single"/>
        </w:rPr>
        <w:t xml:space="preserve"> 2</w:t>
      </w:r>
      <w:r>
        <w:rPr>
          <w:rFonts w:hint="eastAsia" w:ascii="宋体" w:hAnsi="宋体" w:cs="宋体"/>
          <w:color w:val="000000" w:themeColor="text1"/>
          <w:sz w:val="22"/>
          <w:szCs w:val="22"/>
          <w:highlight w:val="none"/>
        </w:rPr>
        <w:t xml:space="preserve">处理：</w:t>
      </w:r>
      <w:r>
        <w:rPr>
          <w:color w:val="000000" w:themeColor="text1"/>
        </w:rPr>
      </w:r>
      <w:r/>
    </w:p>
    <w:p>
      <w:pPr>
        <w:pStyle w:val="1256"/>
        <w:ind w:firstLine="480"/>
        <w:spacing w:line="360"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18.1.1申请仲裁。选定仲裁机构为南京仲裁委员会。</w:t>
      </w:r>
      <w:r>
        <w:rPr>
          <w:color w:val="000000" w:themeColor="text1"/>
        </w:rPr>
      </w:r>
      <w:r/>
    </w:p>
    <w:p>
      <w:pPr>
        <w:pStyle w:val="1256"/>
        <w:ind w:firstLine="480"/>
        <w:spacing w:line="360"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18.1.2提起诉讼。约定由甲方所在地法院管辖。</w:t>
      </w:r>
      <w:r>
        <w:rPr>
          <w:color w:val="000000" w:themeColor="text1"/>
        </w:rPr>
      </w:r>
      <w:r/>
    </w:p>
    <w:p>
      <w:pPr>
        <w:pStyle w:val="1256"/>
        <w:ind w:firstLine="480"/>
        <w:spacing w:line="360"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18.2 因乙方违约致使甲方采取诉讼方式解决纠纷的，乙方应承担甲方为维护权益而发生的包括但不限于诉讼费、保全费、保全保险费、差旅费、通讯费、律师费、调查费等。</w:t>
      </w:r>
      <w:r>
        <w:rPr>
          <w:color w:val="000000" w:themeColor="text1"/>
        </w:rPr>
      </w:r>
      <w:r/>
    </w:p>
    <w:p>
      <w:pPr>
        <w:pStyle w:val="1256"/>
        <w:spacing w:line="360" w:lineRule="auto"/>
        <w:tabs>
          <w:tab w:val="left" w:pos="1980" w:leader="none"/>
        </w:tabs>
        <w:rPr>
          <w:rFonts w:hint="eastAsia"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十九、合同生效：</w:t>
      </w:r>
      <w:r>
        <w:rPr>
          <w:color w:val="000000" w:themeColor="text1"/>
        </w:rPr>
      </w:r>
      <w:r/>
    </w:p>
    <w:p>
      <w:pPr>
        <w:pStyle w:val="1256"/>
        <w:ind w:firstLine="480"/>
        <w:spacing w:line="360"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19.1本合同未尽事宜，遵照国家现行的相关法律规定执行。</w:t>
      </w:r>
      <w:r>
        <w:rPr>
          <w:color w:val="000000" w:themeColor="text1"/>
        </w:rPr>
      </w:r>
      <w:r/>
    </w:p>
    <w:p>
      <w:pPr>
        <w:pStyle w:val="1256"/>
        <w:ind w:firstLine="480"/>
        <w:spacing w:line="360" w:lineRule="auto"/>
        <w:tabs>
          <w:tab w:val="left" w:pos="198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19.2本合同自甲乙双方签字或加盖电子公章之日起生效。</w:t>
      </w:r>
      <w:r>
        <w:rPr>
          <w:color w:val="000000" w:themeColor="text1"/>
        </w:rPr>
      </w:r>
      <w:r/>
    </w:p>
    <w:p>
      <w:pPr>
        <w:pStyle w:val="1256"/>
        <w:spacing w:line="360" w:lineRule="auto"/>
        <w:tabs>
          <w:tab w:val="left" w:pos="1980" w:leader="none"/>
        </w:tabs>
        <w:rPr>
          <w:rFonts w:hint="eastAsia"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二十、组成本合同的文件包括：</w:t>
      </w:r>
      <w:r>
        <w:rPr>
          <w:color w:val="000000" w:themeColor="text1"/>
        </w:rPr>
      </w:r>
      <w:r/>
    </w:p>
    <w:p>
      <w:pPr>
        <w:pStyle w:val="1256"/>
        <w:ind w:firstLine="480"/>
        <w:spacing w:line="360" w:lineRule="auto"/>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1. 合同通用条款和专用条款；</w:t>
      </w:r>
      <w:r>
        <w:rPr>
          <w:color w:val="000000" w:themeColor="text1"/>
        </w:rPr>
      </w:r>
      <w:r/>
    </w:p>
    <w:p>
      <w:pPr>
        <w:pStyle w:val="1256"/>
        <w:ind w:firstLine="480"/>
        <w:spacing w:line="360" w:lineRule="auto"/>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2. 成交通知书；</w:t>
      </w:r>
      <w:r>
        <w:rPr>
          <w:color w:val="000000" w:themeColor="text1"/>
        </w:rPr>
      </w:r>
      <w:r/>
    </w:p>
    <w:p>
      <w:pPr>
        <w:pStyle w:val="1256"/>
        <w:ind w:firstLine="480"/>
        <w:spacing w:line="360" w:lineRule="auto"/>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3. 采购文件和乙方的</w:t>
      </w:r>
      <w:r>
        <w:rPr>
          <w:rFonts w:hint="eastAsia" w:ascii="宋体" w:hAnsi="宋体" w:cs="宋体"/>
          <w:bCs/>
          <w:color w:val="000000" w:themeColor="text1"/>
          <w:sz w:val="22"/>
          <w:szCs w:val="22"/>
          <w:highlight w:val="none"/>
          <w:lang w:eastAsia="zh-CN"/>
        </w:rPr>
        <w:t xml:space="preserve">投标文件</w:t>
      </w:r>
      <w:r>
        <w:rPr>
          <w:rFonts w:hint="eastAsia" w:ascii="宋体" w:hAnsi="宋体" w:cs="宋体"/>
          <w:bCs/>
          <w:color w:val="000000" w:themeColor="text1"/>
          <w:sz w:val="22"/>
          <w:szCs w:val="22"/>
          <w:highlight w:val="none"/>
        </w:rPr>
        <w:t xml:space="preserve">；</w:t>
      </w:r>
      <w:r>
        <w:rPr>
          <w:color w:val="000000" w:themeColor="text1"/>
        </w:rPr>
      </w:r>
      <w:r/>
    </w:p>
    <w:p>
      <w:pPr>
        <w:pStyle w:val="1256"/>
        <w:ind w:firstLine="480"/>
        <w:spacing w:line="360" w:lineRule="auto"/>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4. 甲乙双方商定的其他必要文件。</w:t>
      </w:r>
      <w:r>
        <w:rPr>
          <w:color w:val="000000" w:themeColor="text1"/>
        </w:rPr>
      </w:r>
      <w:r/>
    </w:p>
    <w:p>
      <w:pPr>
        <w:pStyle w:val="1256"/>
        <w:ind w:firstLine="480"/>
        <w:spacing w:line="360" w:lineRule="auto"/>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上述合同文件内容互为补充，如有不明确，由甲方负责解释。</w:t>
      </w:r>
      <w:r>
        <w:rPr>
          <w:color w:val="000000" w:themeColor="text1"/>
        </w:rPr>
      </w:r>
      <w:r/>
    </w:p>
    <w:p>
      <w:pPr>
        <w:pStyle w:val="1256"/>
        <w:spacing w:line="360" w:lineRule="auto"/>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二十</w:t>
      </w:r>
      <w:r>
        <w:rPr>
          <w:rFonts w:hint="eastAsia" w:ascii="宋体" w:hAnsi="宋体" w:cs="宋体"/>
          <w:b/>
          <w:color w:val="000000" w:themeColor="text1"/>
          <w:sz w:val="22"/>
          <w:szCs w:val="22"/>
          <w:highlight w:val="none"/>
        </w:rPr>
        <w:t xml:space="preserve">一</w:t>
      </w:r>
      <w:r>
        <w:rPr>
          <w:rFonts w:hint="eastAsia" w:ascii="宋体" w:hAnsi="宋体" w:cs="宋体"/>
          <w:b/>
          <w:bCs/>
          <w:color w:val="000000" w:themeColor="text1"/>
          <w:sz w:val="22"/>
          <w:szCs w:val="22"/>
          <w:highlight w:val="none"/>
        </w:rPr>
        <w:t xml:space="preserve">、合同备案</w:t>
      </w:r>
      <w:r>
        <w:rPr>
          <w:color w:val="000000" w:themeColor="text1"/>
        </w:rPr>
      </w:r>
      <w:r/>
    </w:p>
    <w:p>
      <w:pPr>
        <w:pStyle w:val="1256"/>
        <w:ind w:firstLine="480"/>
        <w:spacing w:line="360" w:lineRule="auto"/>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本合同中文书写，一式捌份</w:t>
      </w:r>
      <w:r>
        <w:rPr>
          <w:rFonts w:hint="eastAsia" w:ascii="宋体" w:hAnsi="宋体" w:cs="宋体"/>
          <w:color w:val="000000" w:themeColor="text1"/>
          <w:sz w:val="22"/>
          <w:szCs w:val="22"/>
          <w:highlight w:val="none"/>
        </w:rPr>
        <w:t xml:space="preserve">，甲方执伍份，乙方执壹份，</w:t>
      </w:r>
      <w:r>
        <w:rPr>
          <w:rFonts w:hint="eastAsia" w:ascii="宋体" w:hAnsi="宋体" w:cs="宋体"/>
          <w:bCs/>
          <w:color w:val="000000" w:themeColor="text1"/>
          <w:sz w:val="22"/>
          <w:szCs w:val="22"/>
          <w:highlight w:val="none"/>
        </w:rPr>
        <w:t xml:space="preserve">采购代理机构执</w:t>
      </w:r>
      <w:r>
        <w:rPr>
          <w:rFonts w:hint="eastAsia" w:ascii="宋体" w:hAnsi="宋体" w:cs="宋体"/>
          <w:color w:val="000000" w:themeColor="text1"/>
          <w:sz w:val="22"/>
          <w:szCs w:val="22"/>
          <w:highlight w:val="none"/>
        </w:rPr>
        <w:t xml:space="preserve">壹</w:t>
      </w:r>
      <w:r>
        <w:rPr>
          <w:rFonts w:hint="eastAsia" w:ascii="宋体" w:hAnsi="宋体" w:cs="宋体"/>
          <w:bCs/>
          <w:color w:val="000000" w:themeColor="text1"/>
          <w:sz w:val="22"/>
          <w:szCs w:val="22"/>
          <w:highlight w:val="none"/>
        </w:rPr>
        <w:t xml:space="preserve">份，另外</w:t>
      </w:r>
      <w:r>
        <w:rPr>
          <w:rFonts w:hint="eastAsia" w:ascii="宋体" w:hAnsi="宋体" w:cs="宋体"/>
          <w:color w:val="000000" w:themeColor="text1"/>
          <w:sz w:val="22"/>
          <w:szCs w:val="22"/>
          <w:highlight w:val="none"/>
        </w:rPr>
        <w:t xml:space="preserve">壹</w:t>
      </w:r>
      <w:r>
        <w:rPr>
          <w:rFonts w:hint="eastAsia" w:ascii="宋体" w:hAnsi="宋体" w:cs="宋体"/>
          <w:bCs/>
          <w:color w:val="000000" w:themeColor="text1"/>
          <w:sz w:val="22"/>
          <w:szCs w:val="22"/>
          <w:highlight w:val="none"/>
        </w:rPr>
        <w:t xml:space="preserve">份由甲方报省财政厅政府采购管理处备案，</w:t>
      </w:r>
      <w:r>
        <w:rPr>
          <w:rFonts w:hint="eastAsia" w:ascii="宋体" w:hAnsi="宋体" w:cs="宋体"/>
          <w:color w:val="000000" w:themeColor="text1"/>
          <w:sz w:val="22"/>
          <w:szCs w:val="22"/>
          <w:highlight w:val="none"/>
        </w:rPr>
        <w:t xml:space="preserve">均具有同等法律效力</w:t>
      </w:r>
      <w:r>
        <w:rPr>
          <w:rFonts w:hint="eastAsia" w:ascii="宋体" w:hAnsi="宋体" w:cs="宋体"/>
          <w:bCs/>
          <w:color w:val="000000" w:themeColor="text1"/>
          <w:sz w:val="22"/>
          <w:szCs w:val="22"/>
          <w:highlight w:val="none"/>
        </w:rPr>
        <w:t xml:space="preserve">。</w:t>
      </w:r>
      <w:r>
        <w:rPr>
          <w:color w:val="000000" w:themeColor="text1"/>
        </w:rPr>
      </w:r>
      <w:r/>
    </w:p>
    <w:p>
      <w:pPr>
        <w:pStyle w:val="1352"/>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r>
      <w:r>
        <w:rPr>
          <w:color w:val="000000" w:themeColor="text1"/>
        </w:rPr>
      </w:r>
      <w:r/>
    </w:p>
    <w:p>
      <w:pPr>
        <w:pStyle w:val="1352"/>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  甲方：南京特殊教育师范学院        乙方：</w:t>
      </w:r>
      <w:r>
        <w:rPr>
          <w:color w:val="000000" w:themeColor="text1"/>
        </w:rPr>
      </w:r>
      <w:r/>
    </w:p>
    <w:p>
      <w:pPr>
        <w:pStyle w:val="1352"/>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  地址：南京市栖霞区燕子矶街道      地址：</w:t>
      </w:r>
      <w:r>
        <w:rPr>
          <w:color w:val="000000" w:themeColor="text1"/>
        </w:rPr>
      </w:r>
      <w:r/>
    </w:p>
    <w:p>
      <w:pPr>
        <w:pStyle w:val="1352"/>
        <w:ind w:firstLine="88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神农路1号                          </w:t>
      </w:r>
      <w:r>
        <w:rPr>
          <w:color w:val="000000" w:themeColor="text1"/>
        </w:rPr>
      </w:r>
      <w:r/>
    </w:p>
    <w:p>
      <w:pPr>
        <w:pStyle w:val="1352"/>
        <w:ind w:firstLine="22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法定代表人或授权代表：             法定代表人或授权代表：</w:t>
      </w:r>
      <w:r>
        <w:rPr>
          <w:color w:val="000000" w:themeColor="text1"/>
        </w:rPr>
      </w:r>
      <w:r/>
    </w:p>
    <w:p>
      <w:pPr>
        <w:pStyle w:val="1352"/>
        <w:ind w:firstLine="240"/>
        <w:spacing w:line="360" w:lineRule="auto"/>
        <w:rPr>
          <w:rFonts w:hint="eastAsia" w:hAnsi="宋体" w:eastAsia="宋体" w:cs="宋体"/>
          <w:color w:val="000000" w:themeColor="text1"/>
          <w:sz w:val="22"/>
          <w:szCs w:val="22"/>
          <w:highlight w:val="none"/>
        </w:rPr>
      </w:pPr>
      <w:r>
        <w:rPr>
          <w:rFonts w:hint="eastAsia" w:hAnsi="宋体" w:eastAsia="宋体" w:cs="宋体"/>
          <w:color w:val="000000" w:themeColor="text1"/>
          <w:sz w:val="22"/>
          <w:szCs w:val="22"/>
          <w:highlight w:val="none"/>
        </w:rPr>
        <w:t xml:space="preserve">联系电话：                         联系电话：</w:t>
      </w:r>
      <w:r>
        <w:rPr>
          <w:color w:val="000000" w:themeColor="text1"/>
        </w:rPr>
      </w:r>
      <w:r/>
    </w:p>
    <w:p>
      <w:pPr>
        <w:pStyle w:val="1256"/>
        <w:ind w:firstLine="3740"/>
        <w:jc w:val="left"/>
        <w:spacing w:line="360" w:lineRule="auto"/>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签订日期：      年    月   日</w:t>
      </w:r>
      <w:r>
        <w:rPr>
          <w:color w:val="000000" w:themeColor="text1"/>
        </w:rPr>
      </w:r>
      <w:r/>
    </w:p>
    <w:p>
      <w:pPr>
        <w:pStyle w:val="1256"/>
        <w:rPr>
          <w:color w:val="000000" w:themeColor="text1"/>
          <w:sz w:val="22"/>
          <w:szCs w:val="22"/>
          <w:highlight w:val="none"/>
        </w:rPr>
      </w:pPr>
      <w:r>
        <w:rPr>
          <w:color w:val="000000" w:themeColor="text1"/>
          <w:sz w:val="22"/>
          <w:szCs w:val="22"/>
          <w:highlight w:val="none"/>
        </w:rPr>
      </w:r>
      <w:r>
        <w:rPr>
          <w:color w:val="000000" w:themeColor="text1"/>
        </w:rPr>
      </w:r>
      <w:r/>
    </w:p>
    <w:p>
      <w:pPr>
        <w:pStyle w:val="1256"/>
        <w:rPr>
          <w:color w:val="000000" w:themeColor="text1"/>
          <w:sz w:val="22"/>
          <w:szCs w:val="22"/>
          <w:highlight w:val="none"/>
        </w:rPr>
      </w:pPr>
      <w:r>
        <w:rPr>
          <w:color w:val="000000" w:themeColor="text1"/>
          <w:sz w:val="22"/>
          <w:szCs w:val="22"/>
          <w:highlight w:val="none"/>
        </w:rPr>
      </w:r>
      <w:r>
        <w:rPr>
          <w:color w:val="000000" w:themeColor="text1"/>
        </w:rPr>
      </w:r>
      <w:r/>
    </w:p>
    <w:p>
      <w:pPr>
        <w:pStyle w:val="1321"/>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256"/>
        <w:rPr>
          <w:color w:val="000000" w:themeColor="text1"/>
          <w:sz w:val="28"/>
          <w:szCs w:val="28"/>
          <w:highlight w:val="none"/>
        </w:rPr>
      </w:pPr>
      <w:r>
        <w:rPr>
          <w:color w:val="000000" w:themeColor="text1"/>
          <w:sz w:val="28"/>
          <w:szCs w:val="28"/>
          <w:highlight w:val="none"/>
        </w:rPr>
      </w:r>
      <w:r>
        <w:rPr>
          <w:color w:val="000000" w:themeColor="text1"/>
        </w:rPr>
      </w:r>
      <w:r/>
    </w:p>
    <w:p>
      <w:pPr>
        <w:pStyle w:val="1279"/>
        <w:rPr>
          <w:rFonts w:hint="eastAsia"/>
          <w:b/>
          <w:color w:val="000000" w:themeColor="text1"/>
          <w:sz w:val="24"/>
          <w:highlight w:val="none"/>
        </w:rPr>
      </w:pPr>
      <w:r>
        <w:rPr>
          <w:rFonts w:hint="eastAsia"/>
          <w:b/>
          <w:color w:val="000000" w:themeColor="text1"/>
          <w:sz w:val="24"/>
          <w:highlight w:val="none"/>
        </w:rPr>
      </w:r>
      <w:r>
        <w:rPr>
          <w:color w:val="000000" w:themeColor="text1"/>
        </w:rPr>
      </w:r>
      <w:r/>
    </w:p>
    <w:p>
      <w:pPr>
        <w:pStyle w:val="1257"/>
        <w:numPr>
          <w:ilvl w:val="0"/>
          <w:numId w:val="0"/>
        </w:numPr>
        <w:spacing w:before="100" w:after="100" w:line="360" w:lineRule="auto"/>
        <w:rPr>
          <w:rFonts w:hint="eastAsia" w:ascii="宋体" w:hAnsi="宋体" w:cs="宋体"/>
          <w:color w:val="000000" w:themeColor="text1"/>
          <w:szCs w:val="32"/>
          <w:highlight w:val="none"/>
          <w:shd w:val="clear" w:color="auto" w:fill="ffffff"/>
        </w:rPr>
      </w:pPr>
      <w:r>
        <w:rPr>
          <w:color w:val="000000" w:themeColor="text1"/>
        </w:rPr>
      </w:r>
      <w:bookmarkStart w:id="64" w:name="_Toc8262"/>
      <w:r>
        <w:rPr>
          <w:rFonts w:hint="eastAsia" w:ascii="宋体" w:hAnsi="宋体" w:cs="宋体"/>
          <w:color w:val="000000" w:themeColor="text1"/>
          <w:szCs w:val="32"/>
          <w:highlight w:val="none"/>
          <w:shd w:val="clear" w:color="auto" w:fill="ffffff"/>
        </w:rPr>
        <w:t xml:space="preserve">第六章  投标文件格式及附件</w:t>
      </w:r>
      <w:bookmarkEnd w:id="64"/>
      <w:r>
        <w:rPr>
          <w:color w:val="000000" w:themeColor="text1"/>
        </w:rPr>
      </w:r>
      <w:r/>
    </w:p>
    <w:p>
      <w:pPr>
        <w:pStyle w:val="1256"/>
        <w:spacing w:line="440" w:lineRule="exact"/>
        <w:rPr>
          <w:rFonts w:ascii="宋体" w:hAnsi="宋体"/>
          <w:color w:val="000000" w:themeColor="text1"/>
          <w:sz w:val="20"/>
          <w:szCs w:val="20"/>
          <w:highlight w:val="none"/>
        </w:rPr>
      </w:pPr>
      <w:r>
        <w:rPr>
          <w:rFonts w:ascii="宋体" w:hAnsi="宋体"/>
          <w:color w:val="000000" w:themeColor="text1"/>
          <w:sz w:val="20"/>
          <w:szCs w:val="20"/>
          <w:highlight w:val="none"/>
        </w:rPr>
      </w:r>
      <w:r>
        <w:rPr>
          <w:color w:val="000000" w:themeColor="text1"/>
        </w:rPr>
      </w:r>
      <w:r/>
    </w:p>
    <w:p>
      <w:pPr>
        <w:pStyle w:val="1256"/>
        <w:spacing w:line="440" w:lineRule="exact"/>
        <w:rPr>
          <w:rFonts w:ascii="宋体" w:hAnsi="宋体"/>
          <w:color w:val="000000" w:themeColor="text1"/>
          <w:sz w:val="20"/>
          <w:szCs w:val="20"/>
          <w:highlight w:val="none"/>
        </w:rPr>
      </w:pPr>
      <w:r>
        <w:rPr>
          <w:rFonts w:ascii="宋体" w:hAnsi="宋体"/>
          <w:color w:val="000000" w:themeColor="text1"/>
          <w:sz w:val="20"/>
          <w:szCs w:val="20"/>
          <w:highlight w:val="none"/>
        </w:rPr>
      </w:r>
      <w:r>
        <w:rPr>
          <w:color w:val="000000" w:themeColor="text1"/>
        </w:rPr>
      </w:r>
      <w:r/>
    </w:p>
    <w:p>
      <w:pPr>
        <w:pStyle w:val="1256"/>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rPr>
      </w:r>
      <w:r/>
    </w:p>
    <w:p>
      <w:pPr>
        <w:pStyle w:val="1256"/>
        <w:jc w:val="center"/>
        <w:rPr>
          <w:rFonts w:hint="eastAsia" w:ascii="宋体" w:hAnsi="宋体"/>
          <w:b/>
          <w:color w:val="000000" w:themeColor="text1"/>
          <w:sz w:val="72"/>
          <w:highlight w:val="none"/>
        </w:rPr>
      </w:pPr>
      <w:r>
        <w:rPr>
          <w:rFonts w:hint="eastAsia" w:ascii="宋体" w:hAnsi="宋体"/>
          <w:b/>
          <w:color w:val="000000" w:themeColor="text1"/>
          <w:sz w:val="72"/>
          <w:highlight w:val="none"/>
        </w:rPr>
        <w:t xml:space="preserve">投  标  文  件</w:t>
      </w:r>
      <w:r>
        <w:rPr>
          <w:color w:val="000000" w:themeColor="text1"/>
        </w:rPr>
      </w:r>
      <w:r/>
    </w:p>
    <w:p>
      <w:pPr>
        <w:pStyle w:val="1256"/>
        <w:ind w:firstLine="3708"/>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1256"/>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rPr>
      </w:r>
      <w:r/>
    </w:p>
    <w:p>
      <w:pPr>
        <w:pStyle w:val="1256"/>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1256"/>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1256"/>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1256"/>
        <w:ind w:firstLine="1084"/>
        <w:rPr>
          <w:rFonts w:hint="eastAsia" w:ascii="宋体" w:hAnsi="宋体"/>
          <w:b/>
          <w:color w:val="000000" w:themeColor="text1"/>
          <w:sz w:val="36"/>
          <w:highlight w:val="none"/>
        </w:rPr>
      </w:pPr>
      <w:r>
        <w:rPr>
          <w:rFonts w:hint="eastAsia" w:ascii="宋体" w:hAnsi="宋体"/>
          <w:b/>
          <w:color w:val="000000" w:themeColor="text1"/>
          <w:sz w:val="36"/>
          <w:highlight w:val="none"/>
        </w:rPr>
        <w:t xml:space="preserve">项 目 编号： </w:t>
      </w:r>
      <w:r>
        <w:rPr>
          <w:rFonts w:hint="eastAsia" w:ascii="宋体" w:hAnsi="宋体"/>
          <w:b/>
          <w:color w:val="000000" w:themeColor="text1"/>
          <w:sz w:val="36"/>
          <w:highlight w:val="none"/>
          <w:u w:val="single"/>
        </w:rPr>
        <w:t xml:space="preserve">               </w:t>
      </w:r>
      <w:r>
        <w:rPr>
          <w:color w:val="000000" w:themeColor="text1"/>
        </w:rPr>
      </w:r>
      <w:r/>
    </w:p>
    <w:p>
      <w:pPr>
        <w:pStyle w:val="1256"/>
        <w:ind w:firstLine="1084"/>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项 目 名称： </w:t>
      </w:r>
      <w:r>
        <w:rPr>
          <w:rFonts w:hint="eastAsia" w:ascii="宋体" w:hAnsi="宋体"/>
          <w:b/>
          <w:color w:val="000000" w:themeColor="text1"/>
          <w:sz w:val="36"/>
          <w:highlight w:val="none"/>
          <w:u w:val="single"/>
        </w:rPr>
        <w:t xml:space="preserve">               </w:t>
      </w:r>
      <w:r>
        <w:rPr>
          <w:color w:val="000000" w:themeColor="text1"/>
        </w:rPr>
      </w:r>
      <w:r/>
    </w:p>
    <w:p>
      <w:pPr>
        <w:pStyle w:val="1256"/>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1256"/>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1256"/>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1256"/>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1256"/>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1256"/>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rPr>
        <w:t xml:space="preserve">（加盖电子公章） </w:t>
      </w:r>
      <w:r>
        <w:rPr>
          <w:color w:val="000000" w:themeColor="text1"/>
        </w:rPr>
      </w:r>
      <w:r/>
    </w:p>
    <w:p>
      <w:pPr>
        <w:pStyle w:val="1256"/>
        <w:rPr>
          <w:rFonts w:hint="eastAsia"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color w:val="000000" w:themeColor="text1"/>
        </w:rPr>
      </w:r>
      <w:r/>
    </w:p>
    <w:p>
      <w:pPr>
        <w:pStyle w:val="1256"/>
        <w:rPr>
          <w:rFonts w:hint="eastAsia"/>
          <w:color w:val="000000" w:themeColor="text1"/>
          <w:highlight w:val="none"/>
        </w:rPr>
      </w:pPr>
      <w:r>
        <w:rPr>
          <w:rFonts w:hint="eastAsia"/>
          <w:color w:val="000000" w:themeColor="text1"/>
          <w:highlight w:val="none"/>
        </w:rPr>
      </w:r>
      <w:r>
        <w:rPr>
          <w:color w:val="000000" w:themeColor="text1"/>
        </w:rPr>
      </w:r>
      <w:r/>
    </w:p>
    <w:p>
      <w:pPr>
        <w:pStyle w:val="1258"/>
        <w:numPr>
          <w:ilvl w:val="0"/>
          <w:numId w:val="0"/>
        </w:numPr>
        <w:spacing w:before="0" w:after="0" w:line="240" w:lineRule="auto"/>
        <w:tabs>
          <w:tab w:val="left" w:pos="840" w:leader="none"/>
        </w:tabs>
        <w:rPr>
          <w:rStyle w:val="1339"/>
          <w:b w:val="0"/>
          <w:bCs w:val="0"/>
          <w:color w:val="000000" w:themeColor="text1"/>
          <w:sz w:val="28"/>
          <w:szCs w:val="28"/>
          <w:highlight w:val="none"/>
        </w:rPr>
      </w:pPr>
      <w:r>
        <w:rPr>
          <w:rFonts w:ascii="宋体" w:hAnsi="宋体"/>
          <w:color w:val="000000" w:themeColor="text1"/>
          <w:sz w:val="36"/>
          <w:highlight w:val="none"/>
        </w:rPr>
        <w:br w:type="page" w:clear="all"/>
      </w:r>
      <w:bookmarkStart w:id="65" w:name="_Toc19417"/>
      <w:r>
        <w:rPr>
          <w:rStyle w:val="1339"/>
          <w:rFonts w:hint="eastAsia"/>
          <w:b w:val="0"/>
          <w:bCs w:val="0"/>
          <w:color w:val="000000" w:themeColor="text1"/>
          <w:sz w:val="28"/>
          <w:szCs w:val="28"/>
          <w:highlight w:val="none"/>
        </w:rPr>
        <w:t xml:space="preserve">附件一、投标申请及声明格式</w:t>
      </w:r>
      <w:bookmarkEnd w:id="65"/>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CN"/>
        </w:rPr>
        <w:t xml:space="preserve">投标申请及声明</w:t>
      </w:r>
      <w:r>
        <w:rPr>
          <w:color w:val="000000" w:themeColor="text1"/>
        </w:rPr>
      </w:r>
      <w:r/>
    </w:p>
    <w:p>
      <w:pPr>
        <w:pStyle w:val="1256"/>
        <w:spacing w:line="300" w:lineRule="auto"/>
        <w:shd w:val="clear" w:color="auto" w:fill="ffffff"/>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致：南京特殊教育师范学院</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根据贵方</w:t>
      </w:r>
      <w:r>
        <w:rPr>
          <w:rFonts w:hint="eastAsia" w:ascii="宋体" w:hAnsi="宋体"/>
          <w:color w:val="000000" w:themeColor="text1"/>
          <w:sz w:val="22"/>
          <w:szCs w:val="22"/>
          <w:highlight w:val="none"/>
          <w:u w:val="single"/>
        </w:rPr>
        <w:t xml:space="preserve">                   </w:t>
      </w:r>
      <w:r>
        <w:rPr>
          <w:rFonts w:hint="eastAsia" w:ascii="宋体" w:hAnsi="宋体"/>
          <w:b/>
          <w:bCs/>
          <w:color w:val="000000" w:themeColor="text1"/>
          <w:sz w:val="22"/>
          <w:szCs w:val="22"/>
          <w:highlight w:val="none"/>
          <w:u w:val="single"/>
        </w:rPr>
        <w:t xml:space="preserve">（</w:t>
      </w:r>
      <w:r>
        <w:rPr>
          <w:rFonts w:hint="eastAsia" w:ascii="宋体" w:hAnsi="宋体"/>
          <w:b/>
          <w:bCs/>
          <w:color w:val="000000" w:themeColor="text1"/>
          <w:sz w:val="22"/>
          <w:szCs w:val="22"/>
          <w:highlight w:val="none"/>
        </w:rPr>
        <w:t xml:space="preserve">项目名称</w:t>
      </w:r>
      <w:r>
        <w:rPr>
          <w:rFonts w:hint="eastAsia" w:ascii="宋体" w:hAnsi="宋体"/>
          <w:color w:val="000000" w:themeColor="text1"/>
          <w:sz w:val="22"/>
          <w:szCs w:val="22"/>
          <w:highlight w:val="none"/>
        </w:rPr>
        <w:t xml:space="preserve">） </w:t>
      </w:r>
      <w:r>
        <w:rPr>
          <w:rFonts w:hint="eastAsia" w:ascii="宋体" w:hAnsi="宋体"/>
          <w:color w:val="000000" w:themeColor="text1"/>
          <w:sz w:val="22"/>
          <w:szCs w:val="22"/>
          <w:highlight w:val="none"/>
          <w:u w:val="single"/>
        </w:rPr>
        <w:t xml:space="preserve">       </w:t>
      </w:r>
      <w:r>
        <w:rPr>
          <w:rFonts w:hint="eastAsia" w:ascii="宋体" w:hAnsi="宋体"/>
          <w:color w:val="000000" w:themeColor="text1"/>
          <w:sz w:val="22"/>
          <w:szCs w:val="22"/>
          <w:highlight w:val="none"/>
        </w:rPr>
        <w:t xml:space="preserve">（项目编号）投标邀请，正式授权下述签字人</w:t>
      </w:r>
      <w:r>
        <w:rPr>
          <w:rFonts w:hint="eastAsia" w:ascii="宋体" w:hAnsi="宋体"/>
          <w:color w:val="000000" w:themeColor="text1"/>
          <w:sz w:val="22"/>
          <w:szCs w:val="22"/>
          <w:highlight w:val="none"/>
          <w:u w:val="single"/>
        </w:rPr>
        <w:t xml:space="preserve">            </w:t>
      </w:r>
      <w:r>
        <w:rPr>
          <w:rFonts w:hint="eastAsia" w:ascii="宋体" w:hAnsi="宋体"/>
          <w:color w:val="000000" w:themeColor="text1"/>
          <w:sz w:val="22"/>
          <w:szCs w:val="22"/>
          <w:highlight w:val="none"/>
        </w:rPr>
        <w:t xml:space="preserve">(姓名和职务)代表投标供应商</w:t>
      </w:r>
      <w:r>
        <w:rPr>
          <w:rFonts w:hint="eastAsia" w:ascii="宋体" w:hAnsi="宋体"/>
          <w:color w:val="000000" w:themeColor="text1"/>
          <w:sz w:val="22"/>
          <w:szCs w:val="22"/>
          <w:highlight w:val="none"/>
          <w:u w:val="single"/>
        </w:rPr>
        <w:t xml:space="preserve">     </w:t>
      </w:r>
      <w:r>
        <w:rPr>
          <w:rFonts w:hint="eastAsia" w:ascii="宋体" w:hAnsi="宋体"/>
          <w:color w:val="000000" w:themeColor="text1"/>
          <w:sz w:val="22"/>
          <w:szCs w:val="22"/>
          <w:highlight w:val="none"/>
        </w:rPr>
        <w:t xml:space="preserve">（供应商名称），提交投标文件。</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据此函，签字人兹宣布声明和承诺如下：</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w:t>
      </w:r>
      <w:r>
        <w:rPr>
          <w:rFonts w:hint="eastAsia" w:ascii="宋体" w:hAnsi="宋体"/>
          <w:b/>
          <w:bCs/>
          <w:color w:val="000000" w:themeColor="text1"/>
          <w:sz w:val="22"/>
          <w:szCs w:val="22"/>
          <w:highlight w:val="none"/>
        </w:rPr>
        <w:t xml:space="preserve">我们的资格条件完全符合政府采购法和本次招标要求</w:t>
      </w:r>
      <w:r>
        <w:rPr>
          <w:rFonts w:hint="eastAsia" w:ascii="宋体" w:hAnsi="宋体"/>
          <w:color w:val="000000" w:themeColor="text1"/>
          <w:sz w:val="22"/>
          <w:szCs w:val="22"/>
          <w:highlight w:val="none"/>
        </w:rPr>
        <w:t xml:space="preserve">，我们同意并向贵方提供了与投标有关的所有证据和资料。</w:t>
      </w:r>
      <w:r>
        <w:rPr>
          <w:color w:val="000000" w:themeColor="text1"/>
        </w:rPr>
      </w:r>
      <w:r/>
    </w:p>
    <w:p>
      <w:pPr>
        <w:pStyle w:val="1258"/>
        <w:numPr>
          <w:ilvl w:val="0"/>
          <w:numId w:val="0"/>
        </w:numPr>
        <w:ind w:firstLine="442"/>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ascii="宋体" w:hAnsi="宋体"/>
          <w:color w:val="000000" w:themeColor="text1"/>
          <w:sz w:val="22"/>
          <w:szCs w:val="22"/>
          <w:highlight w:val="none"/>
        </w:rPr>
        <w:t xml:space="preserve">2、</w:t>
      </w:r>
      <w:r>
        <w:rPr>
          <w:rFonts w:hint="eastAsia" w:ascii="宋体" w:hAnsi="宋体"/>
          <w:color w:val="000000" w:themeColor="text1"/>
          <w:sz w:val="22"/>
          <w:szCs w:val="22"/>
          <w:highlight w:val="none"/>
        </w:rPr>
        <w:t xml:space="preserve">按招标要求，我们的投标总报价为（大写）</w:t>
      </w:r>
      <w:r>
        <w:rPr>
          <w:rFonts w:hint="eastAsia" w:ascii="宋体" w:hAnsi="宋体"/>
          <w:color w:val="000000" w:themeColor="text1"/>
          <w:sz w:val="22"/>
          <w:szCs w:val="22"/>
          <w:highlight w:val="none"/>
          <w:u w:val="single"/>
        </w:rPr>
        <w:t xml:space="preserve">          </w:t>
      </w:r>
      <w:r>
        <w:rPr>
          <w:rFonts w:hint="eastAsia" w:ascii="宋体" w:hAnsi="宋体"/>
          <w:color w:val="000000" w:themeColor="text1"/>
          <w:sz w:val="22"/>
          <w:szCs w:val="22"/>
          <w:highlight w:val="none"/>
        </w:rPr>
        <w:t xml:space="preserve">元人民币。</w:t>
      </w:r>
      <w:r>
        <w:rPr>
          <w:rFonts w:hint="eastAsia" w:ascii="宋体" w:hAnsi="宋体"/>
          <w:b w:val="0"/>
          <w:bCs w:val="0"/>
          <w:color w:val="000000" w:themeColor="text1"/>
          <w:sz w:val="22"/>
          <w:szCs w:val="22"/>
          <w:highlight w:val="none"/>
        </w:rPr>
        <w:t xml:space="preserve"> </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3、本项目交付时间为：</w:t>
      </w:r>
      <w:r>
        <w:rPr>
          <w:rFonts w:hint="eastAsia" w:ascii="宋体" w:hAnsi="宋体"/>
          <w:b w:val="0"/>
          <w:bCs w:val="0"/>
          <w:color w:val="000000" w:themeColor="text1"/>
          <w:sz w:val="22"/>
          <w:szCs w:val="22"/>
          <w:highlight w:val="none"/>
          <w:u w:val="single"/>
        </w:rPr>
        <w:t xml:space="preserve">（满足招标文件要求或填写优于招标要求的时间）</w:t>
      </w:r>
      <w:r>
        <w:rPr>
          <w:rFonts w:hint="eastAsia" w:ascii="宋体" w:hAnsi="宋体"/>
          <w:b w:val="0"/>
          <w:bCs w:val="0"/>
          <w:color w:val="000000" w:themeColor="text1"/>
          <w:sz w:val="22"/>
          <w:szCs w:val="22"/>
          <w:highlight w:val="none"/>
        </w:rPr>
        <w:t xml:space="preserve">。</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  核心产品品牌：</w:t>
      </w:r>
      <w:r>
        <w:rPr>
          <w:rFonts w:hint="eastAsia" w:ascii="宋体" w:hAnsi="宋体"/>
          <w:b w:val="0"/>
          <w:bCs w:val="0"/>
          <w:color w:val="000000" w:themeColor="text1"/>
          <w:sz w:val="22"/>
          <w:szCs w:val="22"/>
          <w:highlight w:val="none"/>
          <w:u w:val="single"/>
        </w:rPr>
        <w:t xml:space="preserve">                     </w:t>
      </w:r>
      <w:r>
        <w:rPr>
          <w:rFonts w:hint="eastAsia" w:ascii="宋体" w:hAnsi="宋体"/>
          <w:b w:val="0"/>
          <w:bCs w:val="0"/>
          <w:color w:val="000000" w:themeColor="text1"/>
          <w:sz w:val="22"/>
          <w:szCs w:val="22"/>
          <w:highlight w:val="none"/>
        </w:rPr>
        <w:t xml:space="preserve">。</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4、</w:t>
      </w:r>
      <w:r>
        <w:rPr>
          <w:rFonts w:hint="eastAsia" w:ascii="宋体" w:hAnsi="宋体"/>
          <w:b w:val="0"/>
          <w:bCs w:val="0"/>
          <w:color w:val="000000" w:themeColor="text1"/>
          <w:sz w:val="22"/>
          <w:szCs w:val="22"/>
          <w:highlight w:val="none"/>
          <w:lang w:val="zh-CN"/>
        </w:rPr>
        <w:t xml:space="preserve">我们的报价产品中</w:t>
      </w:r>
      <w:r>
        <w:rPr>
          <w:rFonts w:hint="eastAsia" w:ascii="宋体" w:hAnsi="宋体"/>
          <w:b w:val="0"/>
          <w:bCs w:val="0"/>
          <w:color w:val="000000" w:themeColor="text1"/>
          <w:sz w:val="22"/>
          <w:szCs w:val="22"/>
          <w:highlight w:val="none"/>
          <w:u w:val="single"/>
          <w:lang w:val="zh-CN"/>
        </w:rPr>
        <w:t xml:space="preserve">     （有或无）</w:t>
      </w:r>
      <w:r>
        <w:rPr>
          <w:rFonts w:hint="eastAsia" w:ascii="宋体" w:hAnsi="宋体"/>
          <w:b w:val="0"/>
          <w:bCs w:val="0"/>
          <w:color w:val="000000" w:themeColor="text1"/>
          <w:sz w:val="22"/>
          <w:szCs w:val="22"/>
          <w:highlight w:val="none"/>
          <w:lang w:val="zh-CN"/>
        </w:rPr>
        <w:t xml:space="preserve">进口产品。</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5、我们已详细审核全部招标文件及其有效补充文件，我们放弃对招标文件任何误解的权利，提交投标文件后，</w:t>
      </w:r>
      <w:r>
        <w:rPr>
          <w:rFonts w:hint="eastAsia" w:ascii="宋体" w:hAnsi="宋体"/>
          <w:color w:val="000000" w:themeColor="text1"/>
          <w:sz w:val="22"/>
          <w:szCs w:val="22"/>
          <w:highlight w:val="none"/>
        </w:rPr>
        <w:t xml:space="preserve">不对招标文件本身提出质疑</w:t>
      </w:r>
      <w:r>
        <w:rPr>
          <w:rFonts w:hint="eastAsia" w:ascii="宋体" w:hAnsi="宋体"/>
          <w:b w:val="0"/>
          <w:bCs w:val="0"/>
          <w:color w:val="000000" w:themeColor="text1"/>
          <w:sz w:val="22"/>
          <w:szCs w:val="22"/>
          <w:highlight w:val="none"/>
        </w:rPr>
        <w:t xml:space="preserve">。</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6、我们同意从规定的开标日期起遵循本投标文件，并在规定的投标有效期期满之前均具有约束力。</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8、一旦我方中标，我方将根据招标文件的规定严格履行合同，并保证于承诺的时间完成货物的启动/集成、调试等服务，交付招标人验收、使用。</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9、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10、与本投标有关的正式联系方式为：</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地   址：</w:t>
      </w:r>
      <w:r>
        <w:rPr>
          <w:rFonts w:hint="eastAsia" w:ascii="宋体" w:hAnsi="宋体"/>
          <w:color w:val="000000" w:themeColor="text1"/>
          <w:sz w:val="22"/>
          <w:szCs w:val="22"/>
          <w:highlight w:val="none"/>
          <w:u w:val="single"/>
        </w:rPr>
        <w:t xml:space="preserve">                      </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电   话：</w:t>
      </w:r>
      <w:r>
        <w:rPr>
          <w:rFonts w:hint="eastAsia" w:ascii="宋体" w:hAnsi="宋体"/>
          <w:color w:val="000000" w:themeColor="text1"/>
          <w:sz w:val="22"/>
          <w:szCs w:val="22"/>
          <w:highlight w:val="none"/>
          <w:u w:val="single"/>
        </w:rPr>
        <w:t xml:space="preserve">                      </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传   真：</w:t>
      </w:r>
      <w:r>
        <w:rPr>
          <w:rFonts w:hint="eastAsia" w:ascii="宋体" w:hAnsi="宋体"/>
          <w:color w:val="000000" w:themeColor="text1"/>
          <w:sz w:val="22"/>
          <w:szCs w:val="22"/>
          <w:highlight w:val="none"/>
          <w:u w:val="single"/>
        </w:rPr>
        <w:t xml:space="preserve">                      </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开户银行：</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银行账号：</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投标供应商授权代表姓名（签字）：</w:t>
      </w:r>
      <w:r>
        <w:rPr>
          <w:rFonts w:hint="eastAsia" w:ascii="宋体" w:hAnsi="宋体"/>
          <w:color w:val="000000" w:themeColor="text1"/>
          <w:sz w:val="22"/>
          <w:szCs w:val="22"/>
          <w:highlight w:val="none"/>
          <w:u w:val="single"/>
        </w:rPr>
        <w:t xml:space="preserve">        </w:t>
      </w:r>
      <w:r>
        <w:rPr>
          <w:color w:val="000000" w:themeColor="text1"/>
        </w:rPr>
      </w:r>
      <w:r/>
    </w:p>
    <w:p>
      <w:pPr>
        <w:pStyle w:val="1256"/>
        <w:ind w:firstLine="420"/>
        <w:spacing w:line="300" w:lineRule="auto"/>
        <w:shd w:val="clear" w:color="auto" w:fill="ffffff"/>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供应商名称：</w:t>
      </w:r>
      <w:r>
        <w:rPr>
          <w:rFonts w:hint="eastAsia" w:ascii="宋体" w:hAnsi="宋体"/>
          <w:color w:val="000000" w:themeColor="text1"/>
          <w:sz w:val="22"/>
          <w:szCs w:val="22"/>
          <w:highlight w:val="none"/>
          <w:u w:val="single"/>
        </w:rPr>
        <w:t xml:space="preserve">                 </w:t>
      </w:r>
      <w:r>
        <w:rPr>
          <w:rFonts w:hint="eastAsia" w:ascii="宋体" w:hAnsi="宋体"/>
          <w:color w:val="000000" w:themeColor="text1"/>
          <w:sz w:val="22"/>
          <w:szCs w:val="22"/>
          <w:highlight w:val="none"/>
        </w:rPr>
        <w:t xml:space="preserve">（加盖电子公章）</w:t>
      </w:r>
      <w:r>
        <w:rPr>
          <w:color w:val="000000" w:themeColor="text1"/>
        </w:rPr>
      </w:r>
      <w:r/>
    </w:p>
    <w:p>
      <w:pPr>
        <w:pStyle w:val="1256"/>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日    期：</w:t>
      </w:r>
      <w:r>
        <w:rPr>
          <w:rFonts w:hint="eastAsia" w:ascii="宋体" w:hAnsi="宋体"/>
          <w:color w:val="000000" w:themeColor="text1"/>
          <w:sz w:val="22"/>
          <w:szCs w:val="22"/>
          <w:highlight w:val="none"/>
          <w:u w:val="single"/>
        </w:rPr>
        <w:t xml:space="preserve">       </w:t>
      </w:r>
      <w:r>
        <w:rPr>
          <w:rFonts w:hint="eastAsia" w:ascii="宋体" w:hAnsi="宋体"/>
          <w:color w:val="000000" w:themeColor="text1"/>
          <w:sz w:val="22"/>
          <w:szCs w:val="22"/>
          <w:highlight w:val="none"/>
        </w:rPr>
        <w:t xml:space="preserve">年</w:t>
      </w:r>
      <w:r>
        <w:rPr>
          <w:rFonts w:hint="eastAsia" w:ascii="宋体" w:hAnsi="宋体"/>
          <w:color w:val="000000" w:themeColor="text1"/>
          <w:sz w:val="22"/>
          <w:szCs w:val="22"/>
          <w:highlight w:val="none"/>
          <w:u w:val="single"/>
        </w:rPr>
        <w:t xml:space="preserve">    </w:t>
      </w:r>
      <w:r>
        <w:rPr>
          <w:rFonts w:hint="eastAsia" w:ascii="宋体" w:hAnsi="宋体"/>
          <w:color w:val="000000" w:themeColor="text1"/>
          <w:sz w:val="22"/>
          <w:szCs w:val="22"/>
          <w:highlight w:val="none"/>
        </w:rPr>
        <w:t xml:space="preserve">月</w:t>
      </w:r>
      <w:r>
        <w:rPr>
          <w:rFonts w:hint="eastAsia" w:ascii="宋体" w:hAnsi="宋体"/>
          <w:color w:val="000000" w:themeColor="text1"/>
          <w:sz w:val="22"/>
          <w:szCs w:val="22"/>
          <w:highlight w:val="none"/>
          <w:u w:val="single"/>
        </w:rPr>
        <w:t xml:space="preserve">    </w:t>
      </w:r>
      <w:r>
        <w:rPr>
          <w:rFonts w:hint="eastAsia" w:ascii="宋体" w:hAnsi="宋体"/>
          <w:color w:val="000000" w:themeColor="text1"/>
          <w:sz w:val="22"/>
          <w:szCs w:val="22"/>
          <w:highlight w:val="none"/>
        </w:rPr>
        <w:t xml:space="preserve">日</w:t>
      </w:r>
      <w:r>
        <w:rPr>
          <w:color w:val="000000" w:themeColor="text1"/>
        </w:rPr>
      </w:r>
      <w:r/>
    </w:p>
    <w:p>
      <w:pPr>
        <w:pStyle w:val="1294"/>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r>
      <w:r>
        <w:rPr>
          <w:color w:val="000000" w:themeColor="text1"/>
        </w:rPr>
      </w:r>
      <w:r/>
    </w:p>
    <w:p>
      <w:pPr>
        <w:pStyle w:val="1256"/>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pStyle w:val="1294"/>
        <w:rPr>
          <w:color w:val="000000" w:themeColor="text1"/>
          <w:highlight w:val="none"/>
        </w:rPr>
      </w:pPr>
      <w:r>
        <w:rPr>
          <w:color w:val="000000" w:themeColor="text1"/>
          <w:highlight w:val="none"/>
        </w:rPr>
      </w:r>
      <w:r>
        <w:rPr>
          <w:color w:val="000000" w:themeColor="text1"/>
        </w:rPr>
      </w:r>
      <w:r/>
    </w:p>
    <w:p>
      <w:pPr>
        <w:pStyle w:val="1258"/>
        <w:numPr>
          <w:ilvl w:val="0"/>
          <w:numId w:val="0"/>
        </w:numPr>
        <w:spacing w:before="0" w:after="0" w:line="240" w:lineRule="auto"/>
        <w:tabs>
          <w:tab w:val="left" w:pos="840" w:leader="none"/>
        </w:tabs>
        <w:rPr>
          <w:rStyle w:val="1339"/>
          <w:rFonts w:hint="eastAsia"/>
          <w:b w:val="0"/>
          <w:bCs w:val="0"/>
          <w:color w:val="000000" w:themeColor="text1"/>
          <w:sz w:val="28"/>
          <w:szCs w:val="28"/>
          <w:highlight w:val="none"/>
        </w:rPr>
      </w:pPr>
      <w:r>
        <w:rPr>
          <w:color w:val="000000" w:themeColor="text1"/>
        </w:rPr>
      </w:r>
      <w:bookmarkStart w:id="66" w:name="_Toc537"/>
      <w:r>
        <w:rPr>
          <w:rStyle w:val="1339"/>
          <w:rFonts w:hint="eastAsia"/>
          <w:b w:val="0"/>
          <w:bCs w:val="0"/>
          <w:color w:val="000000" w:themeColor="text1"/>
          <w:sz w:val="28"/>
          <w:szCs w:val="28"/>
          <w:highlight w:val="none"/>
        </w:rPr>
        <w:t xml:space="preserve">附件二、法定代表人授权委托书格式</w:t>
      </w:r>
      <w:bookmarkEnd w:id="66"/>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CN"/>
        </w:rPr>
      </w:r>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CN"/>
        </w:rPr>
        <w:t xml:space="preserve">法定代表人授权委托书</w:t>
      </w:r>
      <w:r>
        <w:rPr>
          <w:color w:val="000000" w:themeColor="text1"/>
        </w:rPr>
      </w:r>
      <w:r/>
    </w:p>
    <w:p>
      <w:pPr>
        <w:pStyle w:val="1256"/>
        <w:jc w:val="left"/>
        <w:spacing w:line="360" w:lineRule="auto"/>
        <w:shd w:val="clear" w:color="auto" w:fill="ffffff"/>
        <w:widowControl/>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256"/>
        <w:jc w:val="left"/>
        <w:spacing w:line="300" w:lineRule="auto"/>
        <w:shd w:val="clear" w:color="auto" w:fill="ffffff"/>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致：南京特殊教育师范学院</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本授权书声明：注册于</w:t>
      </w:r>
      <w:r>
        <w:rPr>
          <w:rFonts w:hint="eastAsia" w:ascii="宋体" w:hAnsi="宋体"/>
          <w:b w:val="0"/>
          <w:bCs w:val="0"/>
          <w:color w:val="000000" w:themeColor="text1"/>
          <w:sz w:val="22"/>
          <w:szCs w:val="22"/>
          <w:highlight w:val="none"/>
          <w:u w:val="single"/>
        </w:rPr>
        <w:t xml:space="preserve">             </w:t>
      </w:r>
      <w:r>
        <w:rPr>
          <w:rFonts w:hint="eastAsia" w:ascii="宋体" w:hAnsi="宋体"/>
          <w:b w:val="0"/>
          <w:bCs w:val="0"/>
          <w:color w:val="000000" w:themeColor="text1"/>
          <w:sz w:val="22"/>
          <w:szCs w:val="22"/>
          <w:highlight w:val="none"/>
        </w:rPr>
        <w:t xml:space="preserve">（投标供应商住址）的</w:t>
      </w:r>
      <w:r>
        <w:rPr>
          <w:rFonts w:hint="eastAsia" w:ascii="宋体" w:hAnsi="宋体"/>
          <w:b w:val="0"/>
          <w:bCs w:val="0"/>
          <w:color w:val="000000" w:themeColor="text1"/>
          <w:sz w:val="22"/>
          <w:szCs w:val="22"/>
          <w:highlight w:val="none"/>
          <w:u w:val="single"/>
        </w:rPr>
        <w:t xml:space="preserve">          </w:t>
      </w:r>
      <w:r>
        <w:rPr>
          <w:rFonts w:hint="eastAsia" w:ascii="宋体" w:hAnsi="宋体"/>
          <w:b w:val="0"/>
          <w:bCs w:val="0"/>
          <w:color w:val="000000" w:themeColor="text1"/>
          <w:sz w:val="22"/>
          <w:szCs w:val="22"/>
          <w:highlight w:val="none"/>
        </w:rPr>
        <w:t xml:space="preserve">（供应商名称）法定代表人</w:t>
      </w:r>
      <w:r>
        <w:rPr>
          <w:rFonts w:hint="eastAsia" w:ascii="宋体" w:hAnsi="宋体"/>
          <w:b w:val="0"/>
          <w:bCs w:val="0"/>
          <w:color w:val="000000" w:themeColor="text1"/>
          <w:sz w:val="22"/>
          <w:szCs w:val="22"/>
          <w:highlight w:val="none"/>
          <w:u w:val="single"/>
        </w:rPr>
        <w:t xml:space="preserve">                 </w:t>
      </w:r>
      <w:r>
        <w:rPr>
          <w:rFonts w:hint="eastAsia" w:ascii="宋体" w:hAnsi="宋体"/>
          <w:b w:val="0"/>
          <w:bCs w:val="0"/>
          <w:color w:val="000000" w:themeColor="text1"/>
          <w:sz w:val="22"/>
          <w:szCs w:val="22"/>
          <w:highlight w:val="none"/>
        </w:rPr>
        <w:t xml:space="preserve">（法定代表人姓名、职务）代表本公司授权在下面签字的</w:t>
      </w:r>
      <w:r>
        <w:rPr>
          <w:rFonts w:hint="eastAsia" w:ascii="宋体" w:hAnsi="宋体"/>
          <w:b w:val="0"/>
          <w:bCs w:val="0"/>
          <w:color w:val="000000" w:themeColor="text1"/>
          <w:sz w:val="22"/>
          <w:szCs w:val="22"/>
          <w:highlight w:val="none"/>
          <w:u w:val="single"/>
        </w:rPr>
        <w:t xml:space="preserve">            </w:t>
      </w:r>
      <w:r>
        <w:rPr>
          <w:rFonts w:hint="eastAsia" w:ascii="宋体" w:hAnsi="宋体"/>
          <w:b w:val="0"/>
          <w:bCs w:val="0"/>
          <w:color w:val="000000" w:themeColor="text1"/>
          <w:sz w:val="22"/>
          <w:szCs w:val="22"/>
          <w:highlight w:val="none"/>
        </w:rPr>
        <w:t xml:space="preserve">（投标供应商代表姓名、职务）为本公司的合法代理人，就贵方组织的</w:t>
      </w:r>
      <w:r>
        <w:rPr>
          <w:rFonts w:hint="eastAsia" w:ascii="宋体" w:hAnsi="宋体"/>
          <w:b w:val="0"/>
          <w:bCs w:val="0"/>
          <w:color w:val="000000" w:themeColor="text1"/>
          <w:sz w:val="22"/>
          <w:szCs w:val="22"/>
          <w:highlight w:val="none"/>
          <w:u w:val="single"/>
        </w:rPr>
        <w:t xml:space="preserve">       </w:t>
      </w:r>
      <w:r>
        <w:rPr>
          <w:rFonts w:hint="eastAsia" w:ascii="宋体" w:hAnsi="宋体"/>
          <w:b w:val="0"/>
          <w:bCs w:val="0"/>
          <w:color w:val="000000" w:themeColor="text1"/>
          <w:sz w:val="22"/>
          <w:szCs w:val="22"/>
          <w:highlight w:val="none"/>
        </w:rPr>
        <w:t xml:space="preserve">（项目名称），</w:t>
      </w:r>
      <w:r>
        <w:rPr>
          <w:rFonts w:hint="eastAsia" w:ascii="宋体" w:hAnsi="宋体"/>
          <w:b w:val="0"/>
          <w:bCs w:val="0"/>
          <w:color w:val="000000" w:themeColor="text1"/>
          <w:sz w:val="22"/>
          <w:szCs w:val="22"/>
          <w:highlight w:val="none"/>
          <w:u w:val="single"/>
        </w:rPr>
        <w:t xml:space="preserve">           </w:t>
      </w:r>
      <w:r>
        <w:rPr>
          <w:rFonts w:hint="eastAsia" w:ascii="宋体" w:hAnsi="宋体"/>
          <w:b w:val="0"/>
          <w:bCs w:val="0"/>
          <w:color w:val="000000" w:themeColor="text1"/>
          <w:sz w:val="22"/>
          <w:szCs w:val="22"/>
          <w:highlight w:val="none"/>
        </w:rPr>
        <w:t xml:space="preserve">（项目编号）投标，以本公司名义处理一切与之有关的事务。</w:t>
      </w:r>
      <w:r>
        <w:rPr>
          <w:color w:val="000000" w:themeColor="text1"/>
        </w:rPr>
      </w:r>
      <w:r/>
    </w:p>
    <w:p>
      <w:pPr>
        <w:pStyle w:val="1258"/>
        <w:numPr>
          <w:ilvl w:val="0"/>
          <w:numId w:val="0"/>
        </w:numPr>
        <w:ind w:firstLine="440"/>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本授权书于    年  月  日签字生效，特此声明。</w:t>
      </w:r>
      <w:r>
        <w:rPr>
          <w:color w:val="000000" w:themeColor="text1"/>
        </w:rPr>
      </w:r>
      <w:r/>
    </w:p>
    <w:p>
      <w:pPr>
        <w:pStyle w:val="1256"/>
        <w:rPr>
          <w:rFonts w:hint="eastAsia" w:ascii="宋体" w:hAnsi="宋体"/>
          <w:b/>
          <w:bCs/>
          <w:color w:val="000000" w:themeColor="text1"/>
          <w:sz w:val="22"/>
          <w:szCs w:val="22"/>
          <w:highlight w:val="none"/>
        </w:rPr>
      </w:pPr>
      <w:r>
        <w:rPr>
          <w:rFonts w:hint="eastAsia" w:ascii="宋体" w:hAnsi="宋体"/>
          <w:b/>
          <w:bCs/>
          <w:color w:val="000000" w:themeColor="text1"/>
          <w:sz w:val="22"/>
          <w:szCs w:val="22"/>
          <w:highlight w:val="none"/>
        </w:rPr>
      </w:r>
      <w:r>
        <w:rPr>
          <w:color w:val="000000" w:themeColor="text1"/>
        </w:rPr>
      </w:r>
      <w:r/>
    </w:p>
    <w:p>
      <w:pPr>
        <w:pStyle w:val="1256"/>
        <w:rPr>
          <w:rFonts w:hint="eastAsia" w:ascii="宋体" w:hAnsi="宋体"/>
          <w:b/>
          <w:bCs/>
          <w:color w:val="000000" w:themeColor="text1"/>
          <w:sz w:val="22"/>
          <w:szCs w:val="22"/>
          <w:highlight w:val="none"/>
        </w:rPr>
      </w:pPr>
      <w:r>
        <w:rPr>
          <w:rFonts w:hint="eastAsia" w:ascii="宋体" w:hAnsi="宋体"/>
          <w:b/>
          <w:bCs/>
          <w:color w:val="000000" w:themeColor="text1"/>
          <w:sz w:val="22"/>
          <w:szCs w:val="22"/>
          <w:highlight w:val="none"/>
        </w:rPr>
      </w:r>
      <w:r>
        <w:rPr>
          <w:color w:val="000000" w:themeColor="text1"/>
        </w:rPr>
      </w:r>
      <w:r/>
    </w:p>
    <w:p>
      <w:pPr>
        <w:pStyle w:val="1256"/>
        <w:ind w:firstLine="420"/>
        <w:spacing w:line="300" w:lineRule="auto"/>
        <w:shd w:val="clear" w:color="auto" w:fill="ffffff"/>
        <w:rPr>
          <w:rFonts w:hint="eastAsia" w:ascii="宋体" w:hAnsi="宋体"/>
          <w:b/>
          <w:bCs/>
          <w:color w:val="000000" w:themeColor="text1"/>
          <w:sz w:val="22"/>
          <w:szCs w:val="22"/>
          <w:highlight w:val="none"/>
        </w:rPr>
      </w:pPr>
      <w:r>
        <w:rPr>
          <w:rFonts w:hint="eastAsia" w:ascii="宋体" w:hAnsi="宋体"/>
          <w:b/>
          <w:bCs/>
          <w:color w:val="000000" w:themeColor="text1"/>
          <w:sz w:val="22"/>
          <w:szCs w:val="22"/>
          <w:highlight w:val="none"/>
        </w:rPr>
        <w:t xml:space="preserve">  </w:t>
      </w:r>
      <w:r>
        <w:rPr>
          <w:rFonts w:hint="eastAsia" w:ascii="宋体" w:hAnsi="宋体"/>
          <w:color w:val="000000" w:themeColor="text1"/>
          <w:sz w:val="22"/>
          <w:szCs w:val="22"/>
          <w:highlight w:val="none"/>
        </w:rPr>
        <w:t xml:space="preserve">供应商名称：</w:t>
      </w:r>
      <w:r>
        <w:rPr>
          <w:rFonts w:hint="eastAsia" w:ascii="宋体" w:hAnsi="宋体"/>
          <w:color w:val="000000" w:themeColor="text1"/>
          <w:sz w:val="22"/>
          <w:szCs w:val="22"/>
          <w:highlight w:val="none"/>
          <w:u w:val="single"/>
        </w:rPr>
        <w:t xml:space="preserve">                 </w:t>
      </w:r>
      <w:r>
        <w:rPr>
          <w:rFonts w:hint="eastAsia" w:ascii="宋体" w:hAnsi="宋体"/>
          <w:color w:val="000000" w:themeColor="text1"/>
          <w:sz w:val="22"/>
          <w:szCs w:val="22"/>
          <w:highlight w:val="none"/>
        </w:rPr>
        <w:t xml:space="preserve">（加盖电子公章）</w:t>
      </w:r>
      <w:r>
        <w:rPr>
          <w:color w:val="000000" w:themeColor="text1"/>
        </w:rPr>
      </w:r>
      <w:r/>
    </w:p>
    <w:p>
      <w:pPr>
        <w:pStyle w:val="1258"/>
        <w:numPr>
          <w:ilvl w:val="0"/>
          <w:numId w:val="0"/>
        </w:numPr>
        <w:ind w:firstLine="880"/>
        <w:keepLines w:val="0"/>
        <w:keepNext w:val="0"/>
        <w:spacing w:before="0" w:after="0" w:line="300" w:lineRule="auto"/>
        <w:tabs>
          <w:tab w:val="left" w:pos="840" w:leader="none"/>
        </w:tabs>
        <w:rPr>
          <w:rFonts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法定代表人签字：</w:t>
      </w:r>
      <w:r>
        <w:rPr>
          <w:color w:val="000000" w:themeColor="text1"/>
        </w:rPr>
      </w:r>
      <w:r/>
    </w:p>
    <w:p>
      <w:pPr>
        <w:pStyle w:val="1258"/>
        <w:numPr>
          <w:ilvl w:val="0"/>
          <w:numId w:val="0"/>
        </w:numPr>
        <w:ind w:firstLine="880"/>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授权委托人签字：                   </w:t>
      </w:r>
      <w:r>
        <w:rPr>
          <w:color w:val="000000" w:themeColor="text1"/>
        </w:rPr>
      </w:r>
      <w:r/>
    </w:p>
    <w:p>
      <w:pPr>
        <w:pStyle w:val="1258"/>
        <w:numPr>
          <w:ilvl w:val="0"/>
          <w:numId w:val="0"/>
        </w:numPr>
        <w:ind w:firstLine="880"/>
        <w:keepLines w:val="0"/>
        <w:keepNext w:val="0"/>
        <w:spacing w:before="0" w:after="0" w:line="300" w:lineRule="auto"/>
        <w:tabs>
          <w:tab w:val="left" w:pos="840" w:leader="none"/>
        </w:tabs>
        <w:rPr>
          <w:rFonts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日     期：        年    月    日</w:t>
      </w:r>
      <w:r>
        <w:rPr>
          <w:color w:val="000000" w:themeColor="text1"/>
        </w:rPr>
      </w:r>
      <w:r/>
    </w:p>
    <w:p>
      <w:pPr>
        <w:pStyle w:val="1258"/>
        <w:numPr>
          <w:ilvl w:val="0"/>
          <w:numId w:val="0"/>
        </w:numPr>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r>
      <w:r>
        <w:rPr>
          <w:color w:val="000000" w:themeColor="text1"/>
        </w:rPr>
      </w:r>
      <w:r/>
    </w:p>
    <w:p>
      <w:pPr>
        <w:pStyle w:val="1258"/>
        <w:numPr>
          <w:ilvl w:val="0"/>
          <w:numId w:val="0"/>
        </w:numPr>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r>
      <w:r>
        <w:rPr>
          <w:color w:val="000000" w:themeColor="text1"/>
        </w:rPr>
      </w:r>
      <w:r/>
    </w:p>
    <w:p>
      <w:pPr>
        <w:pStyle w:val="1258"/>
        <w:numPr>
          <w:ilvl w:val="0"/>
          <w:numId w:val="0"/>
        </w:numPr>
        <w:keepLines w:val="0"/>
        <w:keepNext w:val="0"/>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r>
      <w:r>
        <w:rPr>
          <w:color w:val="000000" w:themeColor="text1"/>
        </w:rPr>
      </w:r>
      <w:r/>
    </w:p>
    <w:p>
      <w:pPr>
        <w:pStyle w:val="1258"/>
        <w:numPr>
          <w:ilvl w:val="0"/>
          <w:numId w:val="0"/>
        </w:numPr>
        <w:keepLines w:val="0"/>
        <w:keepNext w:val="0"/>
        <w:spacing w:before="0" w:after="0" w:line="300" w:lineRule="auto"/>
        <w:tabs>
          <w:tab w:val="left" w:pos="840" w:leader="none"/>
        </w:tabs>
        <w:rPr>
          <w:rStyle w:val="1339"/>
          <w:rFonts w:hint="eastAsia"/>
          <w:b w:val="0"/>
          <w:bCs w:val="0"/>
          <w:color w:val="000000" w:themeColor="text1"/>
          <w:sz w:val="28"/>
          <w:szCs w:val="28"/>
          <w:highlight w:val="none"/>
        </w:rPr>
      </w:pPr>
      <w:r>
        <w:rPr>
          <w:rFonts w:hint="eastAsia" w:ascii="宋体" w:hAnsi="宋体"/>
          <w:color w:val="000000" w:themeColor="text1"/>
          <w:sz w:val="22"/>
          <w:szCs w:val="22"/>
          <w:highlight w:val="none"/>
        </w:rPr>
        <w:t xml:space="preserve">法定代表人及委托代理人的身份证明文件的扫描件:</w:t>
      </w:r>
      <w:r>
        <w:rPr>
          <w:rFonts w:ascii="宋体" w:hAnsi="宋体"/>
          <w:color w:val="000000" w:themeColor="text1"/>
          <w:sz w:val="22"/>
          <w:szCs w:val="22"/>
          <w:highlight w:val="none"/>
        </w:rPr>
        <w:br w:type="page" w:clear="all"/>
      </w:r>
      <w:bookmarkStart w:id="67" w:name="_Toc29878"/>
      <w:r>
        <w:rPr>
          <w:rStyle w:val="1339"/>
          <w:rFonts w:hint="eastAsia"/>
          <w:b w:val="0"/>
          <w:bCs w:val="0"/>
          <w:color w:val="000000" w:themeColor="text1"/>
          <w:sz w:val="28"/>
          <w:szCs w:val="28"/>
          <w:highlight w:val="none"/>
          <w:lang w:val="zh-CN"/>
        </w:rPr>
        <w:t xml:space="preserve">附件三、开标一览表格式</w:t>
      </w:r>
      <w:bookmarkEnd w:id="67"/>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CN"/>
        </w:rPr>
        <w:t xml:space="preserve">开标一览表</w:t>
      </w:r>
      <w:r>
        <w:rPr>
          <w:color w:val="000000" w:themeColor="text1"/>
        </w:rPr>
      </w:r>
      <w:r/>
    </w:p>
    <w:p>
      <w:pPr>
        <w:pStyle w:val="1258"/>
        <w:numPr>
          <w:ilvl w:val="0"/>
          <w:numId w:val="0"/>
        </w:numPr>
        <w:jc w:val="left"/>
        <w:spacing w:before="0" w:after="0" w:line="300" w:lineRule="auto"/>
        <w:tabs>
          <w:tab w:val="left" w:pos="840" w:leader="none"/>
        </w:tabs>
        <w:rPr>
          <w:rFonts w:hint="eastAsia" w:ascii="宋体" w:hAnsi="宋体"/>
          <w:b w:val="0"/>
          <w:bCs w:val="0"/>
          <w:color w:val="000000" w:themeColor="text1"/>
          <w:sz w:val="21"/>
          <w:szCs w:val="21"/>
          <w:highlight w:val="none"/>
        </w:rPr>
      </w:pPr>
      <w:r>
        <w:rPr>
          <w:rFonts w:hint="eastAsia" w:ascii="宋体" w:hAnsi="宋体"/>
          <w:b w:val="0"/>
          <w:bCs w:val="0"/>
          <w:color w:val="000000" w:themeColor="text1"/>
          <w:sz w:val="21"/>
          <w:szCs w:val="21"/>
          <w:highlight w:val="none"/>
          <w:lang w:val="zh-CN"/>
        </w:rPr>
      </w:r>
      <w:r>
        <w:rPr>
          <w:color w:val="000000" w:themeColor="text1"/>
        </w:rPr>
      </w:r>
      <w:r/>
    </w:p>
    <w:tbl>
      <w:tblPr>
        <w:tblW w:w="947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646"/>
        <w:gridCol w:w="6833"/>
      </w:tblGrid>
      <w:tr>
        <w:trP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256"/>
              <w:ind w:firstLine="480"/>
              <w:spacing w:line="288" w:lineRule="auto"/>
              <w:rPr>
                <w:color w:val="000000" w:themeColor="text1"/>
                <w:sz w:val="22"/>
                <w:szCs w:val="22"/>
                <w:highlight w:val="none"/>
              </w:rPr>
            </w:pPr>
            <w:r>
              <w:rPr>
                <w:rFonts w:ascii="宋体" w:hAnsi="宋体" w:cs="宋体"/>
                <w:color w:val="000000" w:themeColor="text1"/>
                <w:sz w:val="22"/>
                <w:szCs w:val="22"/>
                <w:highlight w:val="none"/>
              </w:rPr>
              <w:t xml:space="preserve">项目名称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256"/>
              <w:ind w:left="420" w:hanging="420"/>
              <w:spacing w:line="288" w:lineRule="auto"/>
              <w:rPr>
                <w:color w:val="000000" w:themeColor="text1"/>
                <w:sz w:val="22"/>
                <w:szCs w:val="22"/>
                <w:highlight w:val="none"/>
              </w:rPr>
            </w:pPr>
            <w:r>
              <w:rPr>
                <w:color w:val="000000" w:themeColor="text1"/>
                <w:sz w:val="22"/>
                <w:szCs w:val="22"/>
                <w:highlight w:val="none"/>
              </w:rPr>
            </w:r>
            <w:r>
              <w:rPr>
                <w:color w:val="000000" w:themeColor="text1"/>
              </w:rPr>
            </w:r>
            <w:r/>
          </w:p>
        </w:tc>
      </w:tr>
      <w:tr>
        <w:trP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256"/>
              <w:ind w:firstLine="480"/>
              <w:spacing w:line="288"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t xml:space="preserve">项目编号</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256"/>
              <w:ind w:left="420" w:hanging="420"/>
              <w:spacing w:line="288" w:lineRule="auto"/>
              <w:rPr>
                <w:color w:val="000000" w:themeColor="text1"/>
                <w:sz w:val="22"/>
                <w:szCs w:val="22"/>
                <w:highlight w:val="none"/>
              </w:rPr>
            </w:pPr>
            <w:r>
              <w:rPr>
                <w:color w:val="000000" w:themeColor="text1"/>
                <w:sz w:val="22"/>
                <w:szCs w:val="22"/>
                <w:highlight w:val="none"/>
              </w:rPr>
            </w:r>
            <w:r>
              <w:rPr>
                <w:color w:val="000000" w:themeColor="text1"/>
              </w:rPr>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256"/>
              <w:jc w:val="center"/>
              <w:rPr>
                <w:color w:val="000000" w:themeColor="text1"/>
                <w:sz w:val="22"/>
                <w:szCs w:val="22"/>
                <w:highlight w:val="none"/>
              </w:rPr>
            </w:pPr>
            <w:r>
              <w:rPr>
                <w:rFonts w:hint="eastAsia" w:ascii="宋体" w:hAnsi="宋体"/>
                <w:b/>
                <w:color w:val="000000" w:themeColor="text1"/>
                <w:sz w:val="22"/>
                <w:szCs w:val="22"/>
                <w:highlight w:val="none"/>
              </w:rPr>
              <w:t xml:space="preserve">投标总报价</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288"/>
              <w:jc w:val="both"/>
              <w:spacing w:line="360" w:lineRule="auto"/>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大写（人民币）：</w:t>
            </w:r>
            <w:r>
              <w:rPr>
                <w:color w:val="000000" w:themeColor="text1"/>
              </w:rPr>
            </w:r>
            <w:r/>
          </w:p>
          <w:p>
            <w:pPr>
              <w:pStyle w:val="1288"/>
              <w:jc w:val="both"/>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小写（人民币）：</w:t>
            </w:r>
            <w:r>
              <w:rPr>
                <w:color w:val="000000" w:themeColor="text1"/>
              </w:rPr>
            </w:r>
            <w:r/>
          </w:p>
          <w:p>
            <w:pPr>
              <w:pStyle w:val="1288"/>
              <w:rPr>
                <w:color w:val="000000" w:themeColor="text1"/>
                <w:sz w:val="22"/>
                <w:szCs w:val="22"/>
                <w:highlight w:val="none"/>
              </w:rPr>
            </w:pPr>
            <w:r>
              <w:rPr>
                <w:color w:val="000000" w:themeColor="text1"/>
                <w:sz w:val="22"/>
                <w:szCs w:val="22"/>
                <w:highlight w:val="none"/>
              </w:rPr>
            </w:r>
            <w:r>
              <w:rPr>
                <w:color w:val="000000" w:themeColor="text1"/>
              </w:rPr>
            </w:r>
            <w:r/>
          </w:p>
        </w:tc>
      </w:tr>
      <w:tr>
        <w:trPr>
          <w:trHeight w:val="4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256"/>
              <w:jc w:val="cente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核心产品品牌</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256"/>
              <w:spacing w:line="288" w:lineRule="auto"/>
              <w:rPr>
                <w:color w:val="000000" w:themeColor="text1"/>
                <w:sz w:val="20"/>
                <w:szCs w:val="22"/>
                <w:highlight w:val="none"/>
              </w:rPr>
            </w:pPr>
            <w:r>
              <w:rPr>
                <w:color w:val="000000" w:themeColor="text1"/>
                <w:sz w:val="20"/>
                <w:szCs w:val="22"/>
                <w:highlight w:val="none"/>
              </w:rPr>
            </w:r>
            <w:r>
              <w:rPr>
                <w:color w:val="000000" w:themeColor="text1"/>
              </w:rPr>
            </w:r>
            <w:r/>
          </w:p>
        </w:tc>
      </w:tr>
      <w:tr>
        <w:trP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256"/>
              <w:jc w:val="cente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供货</w:t>
            </w:r>
            <w:r>
              <w:rPr>
                <w:rFonts w:ascii="宋体" w:hAnsi="宋体" w:cs="宋体"/>
                <w:color w:val="000000" w:themeColor="text1"/>
                <w:sz w:val="22"/>
                <w:szCs w:val="22"/>
                <w:highlight w:val="none"/>
              </w:rPr>
              <w:t xml:space="preserve">期</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256"/>
              <w:jc w:val="center"/>
              <w:spacing w:line="288"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256"/>
              <w:jc w:val="center"/>
              <w:spacing w:line="288"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t xml:space="preserve">质保期</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256"/>
              <w:jc w:val="center"/>
              <w:spacing w:line="288"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256"/>
              <w:jc w:val="cente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投标货物中有无进口产品</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256"/>
              <w:jc w:val="cente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有       无</w:t>
            </w:r>
            <w:r>
              <w:rPr>
                <w:color w:val="000000" w:themeColor="text1"/>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279"/>
              <w:ind w:firstLine="0"/>
              <w:spacing w:line="288" w:lineRule="auto"/>
              <w:rPr>
                <w:rFonts w:hint="eastAsia" w:ascii="宋体" w:hAnsi="宋体" w:cs="宋体"/>
                <w:color w:val="000000" w:themeColor="text1"/>
                <w:sz w:val="22"/>
                <w:szCs w:val="22"/>
                <w:highlight w:val="none"/>
              </w:rPr>
            </w:pPr>
            <w:r>
              <w:rPr>
                <w:rFonts w:hint="eastAsia" w:ascii="宋体" w:hAnsi="宋体" w:cs="Arial"/>
                <w:color w:val="000000" w:themeColor="text1"/>
                <w:sz w:val="20"/>
                <w:szCs w:val="20"/>
                <w:highlight w:val="none"/>
              </w:rPr>
              <w:t xml:space="preserve">投标标的是否全部由小微企业（含视同小微企业）提供</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279"/>
              <w:ind w:firstLine="450"/>
              <w:spacing w:line="288" w:lineRule="auto"/>
              <w:rPr>
                <w:rFonts w:hint="eastAsia" w:ascii="宋体" w:hAnsi="宋体" w:cs="宋体"/>
                <w:color w:val="000000" w:themeColor="text1"/>
                <w:sz w:val="22"/>
                <w:szCs w:val="22"/>
                <w:highlight w:val="none"/>
              </w:rPr>
            </w:pPr>
            <w:r>
              <w:rPr>
                <w:rFonts w:ascii="宋体" w:hAnsi="宋体" w:cs="Arial"/>
                <w:bCs/>
                <w:color w:val="000000" w:themeColor="text1"/>
                <w:sz w:val="20"/>
                <w:szCs w:val="20"/>
                <w:highlight w:val="none"/>
                <w:u w:val="single"/>
              </w:rPr>
              <w:t xml:space="preserve">                  </w:t>
            </w:r>
            <w:r>
              <w:rPr>
                <w:rFonts w:hint="eastAsia" w:ascii="宋体" w:hAnsi="宋体" w:cs="Arial"/>
                <w:color w:val="000000" w:themeColor="text1"/>
                <w:sz w:val="20"/>
                <w:szCs w:val="20"/>
                <w:highlight w:val="none"/>
              </w:rPr>
              <w:t xml:space="preserve">（</w:t>
            </w:r>
            <w:r>
              <w:rPr>
                <w:rFonts w:hint="eastAsia" w:ascii="宋体" w:hAnsi="宋体" w:cs="Arial"/>
                <w:color w:val="000000" w:themeColor="text1"/>
                <w:sz w:val="20"/>
                <w:szCs w:val="20"/>
                <w:highlight w:val="none"/>
                <w:lang w:val="zh-CN"/>
              </w:rPr>
              <w:t xml:space="preserve">填写“是”或“否”</w:t>
            </w:r>
            <w:r>
              <w:rPr>
                <w:rFonts w:hint="eastAsia" w:ascii="宋体" w:hAnsi="宋体" w:cs="Arial"/>
                <w:color w:val="000000" w:themeColor="text1"/>
                <w:sz w:val="20"/>
                <w:szCs w:val="20"/>
                <w:highlight w:val="none"/>
              </w:rPr>
              <w:t xml:space="preserve">）</w:t>
            </w:r>
            <w:r>
              <w:rPr>
                <w:color w:val="000000" w:themeColor="text1"/>
              </w:rPr>
            </w:r>
            <w:r/>
          </w:p>
        </w:tc>
      </w:tr>
    </w:tbl>
    <w:p>
      <w:pPr>
        <w:pStyle w:val="1258"/>
        <w:numPr>
          <w:ilvl w:val="0"/>
          <w:numId w:val="0"/>
        </w:numPr>
        <w:jc w:val="left"/>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lang w:val="zh-CN"/>
        </w:rPr>
      </w:r>
      <w:r>
        <w:rPr>
          <w:color w:val="000000" w:themeColor="text1"/>
        </w:rPr>
      </w:r>
      <w:r/>
    </w:p>
    <w:p>
      <w:pPr>
        <w:pStyle w:val="1258"/>
        <w:numPr>
          <w:ilvl w:val="0"/>
          <w:numId w:val="0"/>
        </w:numPr>
        <w:jc w:val="left"/>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lang w:val="zh-CN"/>
        </w:rPr>
        <w:t xml:space="preserve">说明：</w:t>
      </w:r>
      <w:r>
        <w:rPr>
          <w:color w:val="000000" w:themeColor="text1"/>
        </w:rPr>
      </w:r>
      <w:r/>
    </w:p>
    <w:p>
      <w:pPr>
        <w:pStyle w:val="1258"/>
        <w:numPr>
          <w:ilvl w:val="0"/>
          <w:numId w:val="0"/>
        </w:numPr>
        <w:jc w:val="left"/>
        <w:spacing w:before="0" w:after="0" w:line="300" w:lineRule="auto"/>
        <w:tabs>
          <w:tab w:val="left" w:pos="840" w:leader="none"/>
        </w:tabs>
        <w:rPr>
          <w:rFonts w:hint="eastAsia" w:ascii="宋体" w:hAnsi="宋体"/>
          <w:color w:val="000000" w:themeColor="text1"/>
          <w:sz w:val="22"/>
          <w:szCs w:val="22"/>
          <w:highlight w:val="none"/>
        </w:rPr>
      </w:pPr>
      <w:r>
        <w:rPr>
          <w:rFonts w:hint="eastAsia" w:ascii="宋体" w:hAnsi="宋体"/>
          <w:color w:val="000000" w:themeColor="text1"/>
          <w:sz w:val="22"/>
          <w:szCs w:val="22"/>
          <w:highlight w:val="none"/>
          <w:lang w:val="zh-CN"/>
        </w:rPr>
        <w:t xml:space="preserve">1、《开标一览表》一份，要求单独封装并标明“开标一览表”字样，随投标文件一并递交，以便唱标时使用。</w:t>
      </w:r>
      <w:r>
        <w:rPr>
          <w:color w:val="000000" w:themeColor="text1"/>
        </w:rPr>
      </w:r>
      <w:r/>
    </w:p>
    <w:p>
      <w:pPr>
        <w:pStyle w:val="1258"/>
        <w:numPr>
          <w:ilvl w:val="0"/>
          <w:numId w:val="0"/>
        </w:numPr>
        <w:jc w:val="left"/>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lang w:val="zh-CN"/>
        </w:rPr>
        <w:t xml:space="preserve">2、在“投标货物中有无进口产品”栏后“有”或“无”上打“√”。</w:t>
      </w:r>
      <w:r>
        <w:rPr>
          <w:color w:val="000000" w:themeColor="text1"/>
        </w:rPr>
      </w:r>
      <w:r/>
    </w:p>
    <w:p>
      <w:pPr>
        <w:pStyle w:val="1258"/>
        <w:numPr>
          <w:ilvl w:val="0"/>
          <w:numId w:val="0"/>
        </w:numPr>
        <w:jc w:val="left"/>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3</w:t>
      </w:r>
      <w:r>
        <w:rPr>
          <w:rFonts w:hint="eastAsia" w:ascii="宋体" w:hAnsi="宋体"/>
          <w:b w:val="0"/>
          <w:bCs w:val="0"/>
          <w:color w:val="000000" w:themeColor="text1"/>
          <w:sz w:val="22"/>
          <w:szCs w:val="22"/>
          <w:highlight w:val="none"/>
          <w:lang w:val="zh-CN"/>
        </w:rPr>
        <w:t xml:space="preserve">、本项目仅接受一个价格，不填报有选择性报价方案。若有优惠条款须注明，但不得影响报价，影响产品整体功能。</w:t>
      </w:r>
      <w:r>
        <w:rPr>
          <w:color w:val="000000" w:themeColor="text1"/>
        </w:rPr>
      </w:r>
      <w:r/>
    </w:p>
    <w:p>
      <w:pPr>
        <w:pStyle w:val="1258"/>
        <w:numPr>
          <w:ilvl w:val="0"/>
          <w:numId w:val="0"/>
        </w:numPr>
        <w:jc w:val="left"/>
        <w:spacing w:before="0" w:after="0" w:line="300" w:lineRule="auto"/>
        <w:tabs>
          <w:tab w:val="left" w:pos="840" w:leader="none"/>
        </w:tabs>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4、“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rPr>
          <w:color w:val="000000" w:themeColor="text1"/>
        </w:rPr>
      </w:r>
      <w:r/>
    </w:p>
    <w:p>
      <w:pPr>
        <w:pStyle w:val="1256"/>
        <w:rPr>
          <w:rFonts w:hint="eastAsia"/>
          <w:color w:val="000000" w:themeColor="text1"/>
          <w:sz w:val="20"/>
          <w:szCs w:val="22"/>
          <w:highlight w:val="none"/>
        </w:rPr>
      </w:pPr>
      <w:r>
        <w:rPr>
          <w:rFonts w:hint="eastAsia"/>
          <w:color w:val="000000" w:themeColor="text1"/>
          <w:sz w:val="20"/>
          <w:szCs w:val="22"/>
          <w:highlight w:val="none"/>
          <w:lang w:val="zh-CN"/>
        </w:rPr>
      </w:r>
      <w:r>
        <w:rPr>
          <w:color w:val="000000" w:themeColor="text1"/>
        </w:rPr>
      </w:r>
      <w:r/>
    </w:p>
    <w:p>
      <w:pPr>
        <w:pStyle w:val="1258"/>
        <w:numPr>
          <w:ilvl w:val="0"/>
          <w:numId w:val="0"/>
        </w:numPr>
        <w:jc w:val="left"/>
        <w:spacing w:before="0" w:after="0" w:line="300" w:lineRule="auto"/>
        <w:tabs>
          <w:tab w:val="left" w:pos="840" w:leader="none"/>
        </w:tabs>
        <w:rPr>
          <w:rFonts w:hint="eastAsia"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供应商名称</w:t>
      </w:r>
      <w:r>
        <w:rPr>
          <w:rFonts w:hint="eastAsia" w:ascii="宋体" w:hAnsi="宋体"/>
          <w:b w:val="0"/>
          <w:bCs w:val="0"/>
          <w:color w:val="000000" w:themeColor="text1"/>
          <w:sz w:val="22"/>
          <w:szCs w:val="22"/>
          <w:highlight w:val="none"/>
          <w:lang w:val="zh-CN"/>
        </w:rPr>
        <w:t xml:space="preserve">:  </w:t>
      </w:r>
      <w:r>
        <w:rPr>
          <w:rFonts w:hint="eastAsia" w:ascii="宋体" w:hAnsi="宋体"/>
          <w:b w:val="0"/>
          <w:bCs w:val="0"/>
          <w:color w:val="000000" w:themeColor="text1"/>
          <w:sz w:val="22"/>
          <w:szCs w:val="22"/>
          <w:highlight w:val="none"/>
          <w:u w:val="single"/>
          <w:lang w:val="zh-CN"/>
        </w:rPr>
        <w:t xml:space="preserve">                                        </w:t>
      </w:r>
      <w:r>
        <w:rPr>
          <w:rFonts w:hint="eastAsia" w:ascii="宋体" w:hAnsi="宋体"/>
          <w:b w:val="0"/>
          <w:bCs w:val="0"/>
          <w:color w:val="000000" w:themeColor="text1"/>
          <w:sz w:val="22"/>
          <w:szCs w:val="22"/>
          <w:highlight w:val="none"/>
          <w:lang w:val="zh-CN"/>
        </w:rPr>
        <w:t xml:space="preserve">（加盖电子公章）</w:t>
      </w:r>
      <w:r>
        <w:rPr>
          <w:color w:val="000000" w:themeColor="text1"/>
        </w:rPr>
      </w:r>
      <w:r/>
    </w:p>
    <w:p>
      <w:pPr>
        <w:pStyle w:val="1258"/>
        <w:numPr>
          <w:ilvl w:val="0"/>
          <w:numId w:val="0"/>
        </w:numPr>
        <w:jc w:val="left"/>
        <w:spacing w:before="0" w:after="0" w:line="300" w:lineRule="auto"/>
        <w:tabs>
          <w:tab w:val="left" w:pos="840" w:leader="none"/>
        </w:tabs>
        <w:rPr>
          <w:rFonts w:ascii="宋体" w:hAnsi="宋体"/>
          <w:b w:val="0"/>
          <w:bCs w:val="0"/>
          <w:color w:val="000000" w:themeColor="text1"/>
          <w:sz w:val="22"/>
          <w:szCs w:val="22"/>
          <w:highlight w:val="none"/>
        </w:rPr>
      </w:pPr>
      <w:r>
        <w:rPr>
          <w:rFonts w:hint="eastAsia" w:ascii="宋体" w:hAnsi="宋体"/>
          <w:b w:val="0"/>
          <w:bCs w:val="0"/>
          <w:color w:val="000000" w:themeColor="text1"/>
          <w:sz w:val="22"/>
          <w:szCs w:val="22"/>
          <w:highlight w:val="none"/>
        </w:rPr>
        <w:t xml:space="preserve">日期：     年    月    日</w:t>
      </w:r>
      <w:r>
        <w:rPr>
          <w:color w:val="000000" w:themeColor="text1"/>
        </w:rPr>
      </w:r>
      <w:r/>
    </w:p>
    <w:p>
      <w:pPr>
        <w:pStyle w:val="1258"/>
        <w:numPr>
          <w:ilvl w:val="0"/>
          <w:numId w:val="0"/>
        </w:numPr>
        <w:jc w:val="left"/>
        <w:spacing w:before="0" w:after="0" w:line="240" w:lineRule="auto"/>
        <w:tabs>
          <w:tab w:val="left" w:pos="840" w:leader="none"/>
        </w:tabs>
        <w:rPr>
          <w:rStyle w:val="1339"/>
          <w:rFonts w:hint="eastAsia"/>
          <w:b w:val="0"/>
          <w:bCs w:val="0"/>
          <w:color w:val="000000" w:themeColor="text1"/>
          <w:sz w:val="28"/>
          <w:szCs w:val="28"/>
          <w:highlight w:val="none"/>
        </w:rPr>
      </w:pPr>
      <w:r>
        <w:rPr>
          <w:rFonts w:ascii="宋体" w:hAnsi="宋体"/>
          <w:b w:val="0"/>
          <w:bCs w:val="0"/>
          <w:color w:val="000000" w:themeColor="text1"/>
          <w:sz w:val="22"/>
          <w:szCs w:val="20"/>
          <w:highlight w:val="none"/>
        </w:rPr>
        <w:br w:type="page" w:clear="all"/>
      </w:r>
      <w:bookmarkStart w:id="68" w:name="_Toc4979"/>
      <w:r>
        <w:rPr>
          <w:rStyle w:val="1339"/>
          <w:rFonts w:hint="eastAsia"/>
          <w:b w:val="0"/>
          <w:bCs w:val="0"/>
          <w:color w:val="000000" w:themeColor="text1"/>
          <w:sz w:val="28"/>
          <w:szCs w:val="28"/>
          <w:highlight w:val="none"/>
          <w:lang w:val="zh-CN"/>
        </w:rPr>
        <w:t xml:space="preserve">附件四、分项报价表格式</w:t>
      </w:r>
      <w:bookmarkEnd w:id="68"/>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CN"/>
        </w:rPr>
        <w:t xml:space="preserve">分项报价表</w:t>
      </w:r>
      <w:r>
        <w:rPr>
          <w:color w:val="000000" w:themeColor="text1"/>
        </w:rPr>
      </w:r>
      <w:r/>
    </w:p>
    <w:tbl>
      <w:tblPr>
        <w:tblW w:w="96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1256"/>
              <w:jc w:val="center"/>
              <w:rPr>
                <w:rFonts w:ascii="宋体" w:hAnsi="宋体"/>
                <w:b/>
                <w:color w:val="000000" w:themeColor="text1"/>
                <w:sz w:val="24"/>
                <w:highlight w:val="none"/>
              </w:rPr>
            </w:pPr>
            <w:r>
              <w:rPr>
                <w:color w:val="000000" w:themeColor="text1"/>
              </w:rPr>
            </w:r>
            <w:bookmarkStart w:id="69" w:name="_Hlk13223830"/>
            <w:r>
              <w:rPr>
                <w:rFonts w:hint="eastAsia" w:ascii="宋体" w:hAnsi="宋体"/>
                <w:b/>
                <w:color w:val="000000" w:themeColor="text1"/>
                <w:sz w:val="24"/>
                <w:highlight w:val="none"/>
              </w:rPr>
              <w:t xml:space="preserve">产品、服务名称</w:t>
            </w:r>
            <w:r>
              <w:rPr>
                <w:color w:val="000000" w:themeColor="text1"/>
              </w:rPr>
            </w:r>
            <w:r/>
          </w:p>
        </w:tc>
        <w:tc>
          <w:tcPr>
            <w:tcW w:w="1843" w:type="dxa"/>
            <w:vAlign w:val="center"/>
            <w:textDirection w:val="lrTb"/>
            <w:noWrap w:val="false"/>
          </w:tcPr>
          <w:p>
            <w:pPr>
              <w:pStyle w:val="1256"/>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品牌/规格/</w:t>
            </w:r>
            <w:r>
              <w:rPr>
                <w:color w:val="000000" w:themeColor="text1"/>
              </w:rPr>
            </w:r>
            <w:r/>
          </w:p>
          <w:p>
            <w:pPr>
              <w:pStyle w:val="1256"/>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型号/产地</w:t>
            </w:r>
            <w:r>
              <w:rPr>
                <w:color w:val="000000" w:themeColor="text1"/>
              </w:rPr>
            </w:r>
            <w:r/>
          </w:p>
          <w:p>
            <w:pPr>
              <w:pStyle w:val="1256"/>
              <w:jc w:val="center"/>
              <w:rPr>
                <w:rFonts w:hint="eastAsia" w:ascii="宋体" w:hAnsi="宋体"/>
                <w:b/>
                <w:color w:val="000000" w:themeColor="text1"/>
                <w:sz w:val="24"/>
                <w:highlight w:val="none"/>
              </w:rPr>
            </w:pPr>
            <w:r>
              <w:rPr>
                <w:rFonts w:hint="eastAsia" w:ascii="宋体" w:hAnsi="宋体"/>
                <w:bCs/>
                <w:color w:val="000000" w:themeColor="text1"/>
                <w:szCs w:val="21"/>
                <w:highlight w:val="none"/>
              </w:rPr>
              <w:t xml:space="preserve">(纯服务项目可不填报本列</w:t>
            </w:r>
            <w:r>
              <w:rPr>
                <w:rFonts w:ascii="宋体" w:hAnsi="宋体"/>
                <w:bCs/>
                <w:color w:val="000000" w:themeColor="text1"/>
                <w:szCs w:val="21"/>
                <w:highlight w:val="none"/>
              </w:rPr>
              <w:t xml:space="preserve">)</w:t>
            </w:r>
            <w:r>
              <w:rPr>
                <w:color w:val="000000" w:themeColor="text1"/>
              </w:rPr>
            </w:r>
            <w:r/>
          </w:p>
        </w:tc>
        <w:tc>
          <w:tcPr>
            <w:tcW w:w="992" w:type="dxa"/>
            <w:vAlign w:val="center"/>
            <w:textDirection w:val="lrTb"/>
            <w:noWrap w:val="false"/>
          </w:tcPr>
          <w:p>
            <w:pPr>
              <w:pStyle w:val="1256"/>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数量</w:t>
            </w:r>
            <w:r>
              <w:rPr>
                <w:color w:val="000000" w:themeColor="text1"/>
              </w:rPr>
            </w:r>
            <w:r/>
          </w:p>
        </w:tc>
        <w:tc>
          <w:tcPr>
            <w:tcW w:w="992" w:type="dxa"/>
            <w:vAlign w:val="center"/>
            <w:textDirection w:val="lrTb"/>
            <w:noWrap w:val="false"/>
          </w:tcPr>
          <w:p>
            <w:pPr>
              <w:pStyle w:val="1256"/>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单价</w:t>
            </w:r>
            <w:r>
              <w:rPr>
                <w:color w:val="000000" w:themeColor="text1"/>
              </w:rPr>
            </w:r>
            <w:r/>
          </w:p>
        </w:tc>
        <w:tc>
          <w:tcPr>
            <w:tcW w:w="1134" w:type="dxa"/>
            <w:vAlign w:val="center"/>
            <w:textDirection w:val="lrTb"/>
            <w:noWrap w:val="false"/>
          </w:tcPr>
          <w:p>
            <w:pPr>
              <w:pStyle w:val="1256"/>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单项</w:t>
            </w:r>
            <w:r>
              <w:rPr>
                <w:color w:val="000000" w:themeColor="text1"/>
              </w:rPr>
            </w:r>
            <w:r/>
          </w:p>
          <w:p>
            <w:pPr>
              <w:pStyle w:val="1256"/>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合计价</w:t>
            </w:r>
            <w:r>
              <w:rPr>
                <w:color w:val="000000" w:themeColor="text1"/>
              </w:rPr>
            </w:r>
            <w:r/>
          </w:p>
        </w:tc>
        <w:tc>
          <w:tcPr>
            <w:tcW w:w="1418" w:type="dxa"/>
            <w:vAlign w:val="center"/>
            <w:textDirection w:val="lrTb"/>
            <w:noWrap w:val="false"/>
          </w:tcPr>
          <w:p>
            <w:pPr>
              <w:pStyle w:val="1256"/>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产品</w:t>
            </w:r>
            <w:r>
              <w:rPr>
                <w:color w:val="000000" w:themeColor="text1"/>
              </w:rPr>
            </w:r>
            <w:r/>
          </w:p>
          <w:p>
            <w:pPr>
              <w:pStyle w:val="1256"/>
              <w:jc w:val="center"/>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制造商</w:t>
            </w:r>
            <w:r>
              <w:rPr>
                <w:color w:val="000000" w:themeColor="text1"/>
              </w:rPr>
            </w:r>
            <w:r/>
          </w:p>
        </w:tc>
        <w:tc>
          <w:tcPr>
            <w:tcW w:w="1275" w:type="dxa"/>
            <w:vAlign w:val="center"/>
            <w:textDirection w:val="lrTb"/>
            <w:noWrap w:val="false"/>
          </w:tcPr>
          <w:p>
            <w:pPr>
              <w:pStyle w:val="1256"/>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备注</w:t>
            </w:r>
            <w:r>
              <w:rPr>
                <w:color w:val="000000" w:themeColor="text1"/>
              </w:rPr>
            </w:r>
            <w:r/>
          </w:p>
          <w:p>
            <w:pPr>
              <w:pStyle w:val="1256"/>
              <w:jc w:val="center"/>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(交付期等)</w:t>
            </w:r>
            <w:r>
              <w:rPr>
                <w:color w:val="000000" w:themeColor="text1"/>
              </w:rPr>
            </w:r>
            <w:r/>
          </w:p>
        </w:tc>
      </w:tr>
      <w:tr>
        <w:trPr>
          <w:cantSplit/>
          <w:trHeight w:val="871"/>
        </w:trPr>
        <w:tc>
          <w:tcPr>
            <w:tcW w:w="1980"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92"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92"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5"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cantSplit/>
          <w:trHeight w:val="871"/>
        </w:trPr>
        <w:tc>
          <w:tcPr>
            <w:tcW w:w="1980"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92"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92"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5"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cantSplit/>
          <w:trHeight w:val="871"/>
        </w:trPr>
        <w:tc>
          <w:tcPr>
            <w:tcW w:w="1980"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92"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92"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5"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cantSplit/>
          <w:trHeight w:val="871"/>
        </w:trPr>
        <w:tc>
          <w:tcPr>
            <w:tcW w:w="1980" w:type="dxa"/>
            <w:vAlign w:val="center"/>
            <w:textDirection w:val="lrTb"/>
            <w:noWrap w:val="false"/>
          </w:tcPr>
          <w:p>
            <w:pPr>
              <w:pStyle w:val="1256"/>
              <w:jc w:val="center"/>
              <w:rPr>
                <w:rFonts w:ascii="宋体" w:hAnsi="宋体"/>
                <w:color w:val="000000" w:themeColor="text1"/>
                <w:sz w:val="24"/>
                <w:highlight w:val="none"/>
              </w:rPr>
            </w:pPr>
            <w:r>
              <w:rPr>
                <w:color w:val="000000" w:themeColor="text1"/>
              </w:rPr>
            </w:r>
            <w:bookmarkEnd w:id="69"/>
            <w:r>
              <w:rPr>
                <w:color w:val="000000" w:themeColor="text1"/>
              </w:rPr>
            </w:r>
            <w:r/>
          </w:p>
        </w:tc>
        <w:tc>
          <w:tcPr>
            <w:tcW w:w="1843"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92"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92"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5" w:type="dxa"/>
            <w:vAlign w:val="center"/>
            <w:textDirection w:val="lrTb"/>
            <w:noWrap w:val="false"/>
          </w:tcPr>
          <w:p>
            <w:pPr>
              <w:pStyle w:val="125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cantSplit/>
          <w:trHeight w:val="871"/>
        </w:trPr>
        <w:tc>
          <w:tcPr>
            <w:gridSpan w:val="2"/>
            <w:tcW w:w="3823" w:type="dxa"/>
            <w:vAlign w:val="center"/>
            <w:textDirection w:val="lrTb"/>
            <w:noWrap w:val="false"/>
          </w:tcPr>
          <w:p>
            <w:pPr>
              <w:pStyle w:val="1256"/>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总 报 价</w:t>
            </w:r>
            <w:r>
              <w:rPr>
                <w:color w:val="000000" w:themeColor="text1"/>
              </w:rPr>
            </w:r>
            <w:r/>
          </w:p>
        </w:tc>
        <w:tc>
          <w:tcPr>
            <w:gridSpan w:val="5"/>
            <w:tcW w:w="5811" w:type="dxa"/>
            <w:vAlign w:val="center"/>
            <w:textDirection w:val="lrTb"/>
            <w:noWrap w:val="false"/>
          </w:tcPr>
          <w:p>
            <w:pPr>
              <w:pStyle w:val="1256"/>
              <w:jc w:val="cente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tc>
      </w:tr>
    </w:tbl>
    <w:p>
      <w:pPr>
        <w:pStyle w:val="1256"/>
        <w:jc w:val="left"/>
        <w:spacing w:line="360" w:lineRule="auto"/>
        <w:tabs>
          <w:tab w:val="left" w:pos="220" w:leader="none"/>
        </w:tabs>
        <w:rPr>
          <w:rFonts w:hint="eastAsia" w:ascii="微软雅黑" w:hAnsi="微软雅黑" w:cs="微软雅黑"/>
          <w:color w:val="000000" w:themeColor="text1"/>
          <w:sz w:val="22"/>
          <w:szCs w:val="22"/>
          <w:highlight w:val="none"/>
        </w:rPr>
      </w:pPr>
      <w:r>
        <w:rPr>
          <w:rFonts w:hint="eastAsia" w:ascii="微软雅黑" w:hAnsi="微软雅黑" w:cs="微软雅黑"/>
          <w:color w:val="000000" w:themeColor="text1"/>
          <w:sz w:val="22"/>
          <w:szCs w:val="22"/>
          <w:highlight w:val="none"/>
        </w:rPr>
        <w:t xml:space="preserve">说明：</w:t>
      </w:r>
      <w:r>
        <w:rPr>
          <w:color w:val="000000" w:themeColor="text1"/>
        </w:rPr>
      </w:r>
      <w:r/>
    </w:p>
    <w:p>
      <w:pPr>
        <w:pStyle w:val="1256"/>
        <w:jc w:val="left"/>
        <w:spacing w:line="300" w:lineRule="auto"/>
        <w:tabs>
          <w:tab w:val="left" w:pos="220" w:leader="none"/>
        </w:tabs>
        <w:rPr>
          <w:rFonts w:ascii="微软雅黑" w:hAnsi="微软雅黑" w:cs="微软雅黑"/>
          <w:color w:val="000000" w:themeColor="text1"/>
          <w:sz w:val="22"/>
          <w:szCs w:val="22"/>
          <w:highlight w:val="none"/>
        </w:rPr>
      </w:pPr>
      <w:r>
        <w:rPr>
          <w:rFonts w:hint="eastAsia" w:ascii="微软雅黑" w:hAnsi="微软雅黑" w:cs="微软雅黑"/>
          <w:color w:val="000000" w:themeColor="text1"/>
          <w:sz w:val="22"/>
          <w:szCs w:val="22"/>
          <w:highlight w:val="none"/>
        </w:rPr>
        <w:t xml:space="preserve">1、此表为表样，行数可自行添加，但表式不变。</w:t>
      </w:r>
      <w:r>
        <w:rPr>
          <w:color w:val="000000" w:themeColor="text1"/>
        </w:rPr>
      </w:r>
      <w:r/>
    </w:p>
    <w:p>
      <w:pPr>
        <w:pStyle w:val="1256"/>
        <w:spacing w:line="300" w:lineRule="auto"/>
        <w:rPr>
          <w:rFonts w:ascii="宋体" w:hAnsi="宋体"/>
          <w:color w:val="000000" w:themeColor="text1"/>
          <w:sz w:val="22"/>
          <w:szCs w:val="22"/>
          <w:highlight w:val="none"/>
        </w:rPr>
      </w:pPr>
      <w:r>
        <w:rPr>
          <w:rFonts w:hint="eastAsia" w:ascii="微软雅黑" w:hAnsi="微软雅黑" w:cs="微软雅黑"/>
          <w:color w:val="000000" w:themeColor="text1"/>
          <w:sz w:val="22"/>
          <w:szCs w:val="22"/>
          <w:highlight w:val="none"/>
        </w:rPr>
        <w:t xml:space="preserve">2、</w:t>
      </w:r>
      <w:bookmarkStart w:id="70" w:name="_Hlk45479321"/>
      <w:r>
        <w:rPr>
          <w:rFonts w:hint="eastAsia" w:ascii="宋体" w:hAnsi="宋体"/>
          <w:color w:val="000000" w:themeColor="text1"/>
          <w:sz w:val="22"/>
          <w:szCs w:val="22"/>
          <w:highlight w:val="none"/>
        </w:rPr>
        <w:t xml:space="preserve">投标供应商应按招标文件所需货物或服务逐项报价，每项单价应包括设备费、服务费、安装费、税费等所有费用；</w:t>
      </w:r>
      <w:r>
        <w:rPr>
          <w:color w:val="000000" w:themeColor="text1"/>
        </w:rPr>
      </w:r>
      <w:r/>
    </w:p>
    <w:p>
      <w:pPr>
        <w:pStyle w:val="1256"/>
        <w:spacing w:line="300"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3、对于主要投标货物或服务，投标供应商如因分项报价不明确，而可能影响本项目实际结算的，评标委员会有权视为重大偏离处理；</w:t>
      </w:r>
      <w:r>
        <w:rPr>
          <w:color w:val="000000" w:themeColor="text1"/>
        </w:rPr>
      </w:r>
      <w:r/>
    </w:p>
    <w:p>
      <w:pPr>
        <w:pStyle w:val="1256"/>
        <w:spacing w:line="300" w:lineRule="auto"/>
        <w:rPr>
          <w:rFonts w:hint="eastAsia" w:ascii="微软雅黑" w:hAnsi="微软雅黑" w:cs="微软雅黑"/>
          <w:color w:val="000000" w:themeColor="text1"/>
          <w:sz w:val="22"/>
          <w:szCs w:val="22"/>
          <w:highlight w:val="none"/>
        </w:rPr>
      </w:pPr>
      <w:r>
        <w:rPr>
          <w:color w:val="000000" w:themeColor="text1"/>
        </w:rPr>
      </w:r>
      <w:bookmarkEnd w:id="70"/>
      <w:r>
        <w:rPr>
          <w:rFonts w:hint="eastAsia" w:ascii="宋体" w:hAnsi="宋体"/>
          <w:color w:val="000000" w:themeColor="text1"/>
          <w:sz w:val="22"/>
          <w:szCs w:val="22"/>
          <w:highlight w:val="none"/>
        </w:rPr>
        <w:t xml:space="preserve">4、</w:t>
      </w:r>
      <w:bookmarkStart w:id="71" w:name="_Hlk87460113"/>
      <w:r>
        <w:rPr>
          <w:color w:val="000000" w:themeColor="text1"/>
        </w:rPr>
      </w:r>
      <w:bookmarkStart w:id="72" w:name="_Hlk87459647"/>
      <w:r>
        <w:rPr>
          <w:rFonts w:hint="eastAsia" w:ascii="宋体" w:hAnsi="宋体"/>
          <w:color w:val="000000" w:themeColor="text1"/>
          <w:sz w:val="22"/>
          <w:szCs w:val="22"/>
          <w:highlight w:val="none"/>
        </w:rPr>
        <w:t xml:space="preserve">本表中的“产品、服务名称”如为货物的，需在“产品制造商”中列明“所投货物制造商的全称”</w:t>
      </w:r>
      <w:bookmarkEnd w:id="71"/>
      <w:r>
        <w:rPr>
          <w:color w:val="000000" w:themeColor="text1"/>
        </w:rPr>
      </w:r>
      <w:bookmarkEnd w:id="72"/>
      <w:r>
        <w:rPr>
          <w:rFonts w:hint="eastAsia" w:ascii="宋体" w:hAnsi="宋体"/>
          <w:color w:val="000000" w:themeColor="text1"/>
          <w:sz w:val="22"/>
          <w:szCs w:val="22"/>
          <w:highlight w:val="none"/>
        </w:rPr>
        <w:t xml:space="preserve">。</w:t>
      </w:r>
      <w:r>
        <w:rPr>
          <w:color w:val="000000" w:themeColor="text1"/>
        </w:rPr>
      </w:r>
      <w:r/>
    </w:p>
    <w:p>
      <w:pPr>
        <w:pStyle w:val="1256"/>
        <w:jc w:val="left"/>
        <w:spacing w:line="300" w:lineRule="auto"/>
        <w:tabs>
          <w:tab w:val="left" w:pos="220" w:leader="none"/>
        </w:tabs>
        <w:rPr>
          <w:rFonts w:hint="eastAsia" w:ascii="宋体" w:hAnsi="宋体"/>
          <w:b/>
          <w:bCs/>
          <w:color w:val="000000" w:themeColor="text1"/>
          <w:sz w:val="24"/>
          <w:highlight w:val="none"/>
          <w:u w:val="single"/>
        </w:rPr>
      </w:pPr>
      <w:r>
        <w:rPr>
          <w:rFonts w:hint="eastAsia" w:ascii="宋体" w:hAnsi="宋体"/>
          <w:b/>
          <w:bCs/>
          <w:color w:val="000000" w:themeColor="text1"/>
          <w:sz w:val="24"/>
          <w:highlight w:val="none"/>
          <w:u w:val="single"/>
        </w:rPr>
      </w:r>
      <w:r>
        <w:rPr>
          <w:color w:val="000000" w:themeColor="text1"/>
        </w:rPr>
      </w:r>
      <w:r/>
    </w:p>
    <w:p>
      <w:pPr>
        <w:pStyle w:val="1288"/>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jc w:val="left"/>
        <w:spacing w:line="360" w:lineRule="auto"/>
        <w:tabs>
          <w:tab w:val="left" w:pos="220" w:leader="none"/>
        </w:tabs>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供应商名称</w:t>
      </w:r>
      <w:r>
        <w:rPr>
          <w:rFonts w:hint="eastAsia" w:ascii="宋体" w:hAnsi="宋体"/>
          <w:b/>
          <w:bCs/>
          <w:color w:val="000000" w:themeColor="text1"/>
          <w:sz w:val="24"/>
          <w:highlight w:val="none"/>
          <w:lang w:val="zh-CN"/>
        </w:rPr>
        <w:t xml:space="preserve">:  </w:t>
      </w:r>
      <w:r>
        <w:rPr>
          <w:rFonts w:hint="eastAsia" w:ascii="宋体" w:hAnsi="宋体"/>
          <w:b/>
          <w:bCs/>
          <w:color w:val="000000" w:themeColor="text1"/>
          <w:sz w:val="24"/>
          <w:highlight w:val="none"/>
          <w:u w:val="single"/>
          <w:lang w:val="zh-CN"/>
        </w:rPr>
        <w:t xml:space="preserve">             </w:t>
      </w:r>
      <w:r>
        <w:rPr>
          <w:rFonts w:hint="eastAsia" w:ascii="宋体" w:hAnsi="宋体"/>
          <w:color w:val="000000" w:themeColor="text1"/>
          <w:sz w:val="24"/>
          <w:highlight w:val="none"/>
          <w:u w:val="single"/>
          <w:lang w:val="zh-CN"/>
        </w:rPr>
        <w:t xml:space="preserve">                            </w:t>
      </w:r>
      <w:r>
        <w:rPr>
          <w:rFonts w:hint="eastAsia" w:ascii="宋体" w:hAnsi="宋体"/>
          <w:color w:val="000000" w:themeColor="text1"/>
          <w:sz w:val="24"/>
          <w:highlight w:val="none"/>
          <w:lang w:val="zh-CN"/>
        </w:rPr>
        <w:t xml:space="preserve">（加盖电子公章）</w:t>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t xml:space="preserve">日期：     年    月    日</w:t>
      </w:r>
      <w:r>
        <w:rPr>
          <w:color w:val="000000" w:themeColor="text1"/>
        </w:rPr>
      </w:r>
      <w:r/>
    </w:p>
    <w:p>
      <w:pPr>
        <w:pStyle w:val="1288"/>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8"/>
        <w:numPr>
          <w:ilvl w:val="0"/>
          <w:numId w:val="0"/>
        </w:numPr>
        <w:tabs>
          <w:tab w:val="left" w:pos="840" w:leader="none"/>
        </w:tabs>
        <w:rPr>
          <w:rFonts w:hint="eastAsia"/>
          <w:color w:val="000000" w:themeColor="text1"/>
          <w:sz w:val="28"/>
          <w:szCs w:val="28"/>
          <w:highlight w:val="none"/>
        </w:rPr>
      </w:pPr>
      <w:r>
        <w:rPr>
          <w:color w:val="000000" w:themeColor="text1"/>
        </w:rPr>
      </w:r>
      <w:bookmarkStart w:id="73" w:name="_Toc7981"/>
      <w:r>
        <w:rPr>
          <w:rFonts w:hint="eastAsia"/>
          <w:color w:val="000000" w:themeColor="text1"/>
          <w:sz w:val="28"/>
          <w:szCs w:val="28"/>
          <w:highlight w:val="none"/>
          <w:lang w:val="zh-CN"/>
        </w:rPr>
        <w:t xml:space="preserve">附件</w:t>
      </w:r>
      <w:r>
        <w:rPr>
          <w:rFonts w:hint="eastAsia"/>
          <w:color w:val="000000" w:themeColor="text1"/>
          <w:sz w:val="28"/>
          <w:szCs w:val="28"/>
          <w:highlight w:val="none"/>
        </w:rPr>
        <w:t xml:space="preserve">五</w:t>
      </w:r>
      <w:r>
        <w:rPr>
          <w:rFonts w:hint="eastAsia"/>
          <w:color w:val="000000" w:themeColor="text1"/>
          <w:sz w:val="28"/>
          <w:szCs w:val="28"/>
          <w:highlight w:val="none"/>
          <w:lang w:val="zh-CN"/>
        </w:rPr>
        <w:t xml:space="preserve">、投标项目主要产品一览表格式</w:t>
      </w:r>
      <w:bookmarkEnd w:id="73"/>
      <w:r>
        <w:rPr>
          <w:color w:val="000000" w:themeColor="text1"/>
        </w:rPr>
      </w:r>
      <w:r/>
    </w:p>
    <w:p>
      <w:pPr>
        <w:pStyle w:val="1256"/>
        <w:ind w:firstLine="562"/>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zh-CN"/>
        </w:rPr>
        <w:t xml:space="preserve">投标项目主要产品一览表</w:t>
      </w:r>
      <w:r>
        <w:rPr>
          <w:color w:val="000000" w:themeColor="text1"/>
        </w:rPr>
      </w:r>
      <w:r/>
    </w:p>
    <w:tbl>
      <w:tblPr>
        <w:tblpPr w:horzAnchor="margin" w:tblpXSpec="left" w:vertAnchor="text" w:tblpY="13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980"/>
        <w:gridCol w:w="2880"/>
        <w:gridCol w:w="1080"/>
        <w:gridCol w:w="1080"/>
        <w:gridCol w:w="1574"/>
      </w:tblGrid>
      <w:tr>
        <w:trPr>
          <w:trHeight w:val="284"/>
        </w:trPr>
        <w:tc>
          <w:tcPr>
            <w:gridSpan w:val="4"/>
            <w:tcW w:w="6588" w:type="dxa"/>
            <w:vAlign w:val="center"/>
            <w:textDirection w:val="lrTb"/>
            <w:noWrap w:val="false"/>
          </w:tcPr>
          <w:p>
            <w:pPr>
              <w:pStyle w:val="1256"/>
              <w:widowControl/>
              <w:rPr>
                <w:rFonts w:hint="eastAsia" w:ascii="宋体" w:hAnsi="宋体" w:cs="宋体"/>
                <w:color w:val="000000" w:themeColor="text1"/>
                <w:sz w:val="24"/>
                <w:highlight w:val="none"/>
              </w:rPr>
              <w:framePr w:vAnchor="page" w:hAnchor="page" w:y="133"/>
            </w:pPr>
            <w:r>
              <w:rPr>
                <w:rFonts w:hint="eastAsia" w:ascii="宋体" w:hAnsi="宋体"/>
                <w:color w:val="000000" w:themeColor="text1"/>
                <w:sz w:val="24"/>
                <w:highlight w:val="none"/>
                <w:lang w:val="zh-CN"/>
              </w:rPr>
              <w:t xml:space="preserve">项目名称：</w:t>
            </w:r>
            <w:r>
              <w:rPr>
                <w:color w:val="000000" w:themeColor="text1"/>
              </w:rPr>
            </w:r>
            <w:r/>
          </w:p>
        </w:tc>
        <w:tc>
          <w:tcPr>
            <w:gridSpan w:val="2"/>
            <w:tcW w:w="2654" w:type="dxa"/>
            <w:vAlign w:val="center"/>
            <w:textDirection w:val="lrTb"/>
            <w:noWrap w:val="false"/>
          </w:tcPr>
          <w:p>
            <w:pPr>
              <w:pStyle w:val="1256"/>
              <w:widowControl/>
              <w:rPr>
                <w:rFonts w:hint="eastAsia" w:ascii="宋体" w:hAnsi="宋体"/>
                <w:b/>
                <w:color w:val="000000" w:themeColor="text1"/>
                <w:sz w:val="24"/>
                <w:highlight w:val="none"/>
                <w:u w:val="single"/>
              </w:rPr>
              <w:framePr w:vAnchor="page" w:hAnchor="page" w:y="133"/>
            </w:pPr>
            <w:r>
              <w:rPr>
                <w:rFonts w:hint="eastAsia" w:ascii="宋体" w:cs="宋体"/>
                <w:color w:val="000000" w:themeColor="text1"/>
                <w:sz w:val="24"/>
                <w:highlight w:val="none"/>
                <w:lang w:val="zh-CN"/>
              </w:rPr>
              <w:t xml:space="preserve">项目编号：</w:t>
            </w:r>
            <w:r>
              <w:rPr>
                <w:rFonts w:hint="eastAsia" w:ascii="宋体" w:hAnsi="宋体"/>
                <w:b/>
                <w:color w:val="000000" w:themeColor="text1"/>
                <w:sz w:val="24"/>
                <w:highlight w:val="none"/>
              </w:rPr>
              <w:t xml:space="preserve"> </w:t>
            </w:r>
            <w:r>
              <w:rPr>
                <w:color w:val="000000" w:themeColor="text1"/>
              </w:rPr>
            </w:r>
            <w:r/>
          </w:p>
        </w:tc>
      </w:tr>
      <w:tr>
        <w:trPr>
          <w:trHeight w:val="284"/>
        </w:trPr>
        <w:tc>
          <w:tcPr>
            <w:tcW w:w="648" w:type="dxa"/>
            <w:vAlign w:val="center"/>
            <w:textDirection w:val="lrTb"/>
            <w:noWrap w:val="false"/>
          </w:tcPr>
          <w:p>
            <w:pPr>
              <w:pStyle w:val="1256"/>
              <w:jc w:val="center"/>
              <w:widowControl/>
              <w:rPr>
                <w:rFonts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t xml:space="preserve">序号</w:t>
            </w:r>
            <w:r>
              <w:rPr>
                <w:color w:val="000000" w:themeColor="text1"/>
              </w:rPr>
            </w:r>
            <w:r/>
          </w:p>
        </w:tc>
        <w:tc>
          <w:tcPr>
            <w:tcW w:w="1980" w:type="dxa"/>
            <w:vAlign w:val="center"/>
            <w:textDirection w:val="lrTb"/>
            <w:noWrap w:val="false"/>
          </w:tcPr>
          <w:p>
            <w:pPr>
              <w:pStyle w:val="1256"/>
              <w:jc w:val="center"/>
              <w:widowControl/>
              <w:rPr>
                <w:rFonts w:hint="eastAsia"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t xml:space="preserve">名称</w:t>
            </w:r>
            <w:r>
              <w:rPr>
                <w:color w:val="000000" w:themeColor="text1"/>
              </w:rPr>
            </w:r>
            <w:r/>
          </w:p>
        </w:tc>
        <w:tc>
          <w:tcPr>
            <w:tcW w:w="2880" w:type="dxa"/>
            <w:vAlign w:val="center"/>
            <w:textDirection w:val="lrTb"/>
            <w:noWrap w:val="false"/>
          </w:tcPr>
          <w:p>
            <w:pPr>
              <w:pStyle w:val="1256"/>
              <w:jc w:val="center"/>
              <w:widowControl/>
              <w:rPr>
                <w:rFonts w:hint="eastAsia"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t xml:space="preserve">品牌、规格或型号</w:t>
            </w:r>
            <w:r>
              <w:rPr>
                <w:color w:val="000000" w:themeColor="text1"/>
              </w:rPr>
            </w:r>
            <w:r/>
          </w:p>
        </w:tc>
        <w:tc>
          <w:tcPr>
            <w:tcW w:w="1080" w:type="dxa"/>
            <w:vAlign w:val="center"/>
            <w:textDirection w:val="lrTb"/>
            <w:noWrap w:val="false"/>
          </w:tcPr>
          <w:p>
            <w:pPr>
              <w:pStyle w:val="1256"/>
              <w:jc w:val="center"/>
              <w:widowControl/>
              <w:rPr>
                <w:rFonts w:hint="eastAsia"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rPr>
              <w:t xml:space="preserve">数量</w:t>
            </w:r>
            <w:r>
              <w:rPr>
                <w:color w:val="000000" w:themeColor="text1"/>
              </w:rPr>
            </w:r>
            <w:r/>
          </w:p>
        </w:tc>
        <w:tc>
          <w:tcPr>
            <w:tcW w:w="1080" w:type="dxa"/>
            <w:vAlign w:val="center"/>
            <w:textDirection w:val="lrTb"/>
            <w:noWrap w:val="false"/>
          </w:tcPr>
          <w:p>
            <w:pPr>
              <w:pStyle w:val="1256"/>
              <w:jc w:val="center"/>
              <w:widowControl/>
              <w:rPr>
                <w:rFonts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t xml:space="preserve">单价（元）</w:t>
            </w:r>
            <w:r>
              <w:rPr>
                <w:color w:val="000000" w:themeColor="text1"/>
              </w:rPr>
            </w:r>
            <w:r/>
          </w:p>
        </w:tc>
        <w:tc>
          <w:tcPr>
            <w:tcW w:w="1574" w:type="dxa"/>
            <w:vAlign w:val="center"/>
            <w:textDirection w:val="lrTb"/>
            <w:noWrap w:val="false"/>
          </w:tcPr>
          <w:p>
            <w:pPr>
              <w:pStyle w:val="1256"/>
              <w:jc w:val="center"/>
              <w:widowControl/>
              <w:rPr>
                <w:rFonts w:hint="eastAsia"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t xml:space="preserve">质保年限</w:t>
            </w:r>
            <w:r>
              <w:rPr>
                <w:color w:val="000000" w:themeColor="text1"/>
              </w:rPr>
            </w:r>
            <w:r/>
          </w:p>
        </w:tc>
      </w:tr>
      <w:tr>
        <w:trPr>
          <w:trHeight w:val="284"/>
        </w:trPr>
        <w:tc>
          <w:tcPr>
            <w:tcW w:w="648"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t xml:space="preserve">1</w:t>
            </w:r>
            <w:r>
              <w:rPr>
                <w:color w:val="000000" w:themeColor="text1"/>
              </w:rPr>
            </w:r>
            <w:r/>
          </w:p>
        </w:tc>
        <w:tc>
          <w:tcPr>
            <w:tcW w:w="19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28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574"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r>
      <w:tr>
        <w:trPr>
          <w:trHeight w:val="284"/>
        </w:trPr>
        <w:tc>
          <w:tcPr>
            <w:tcW w:w="648"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t xml:space="preserve">2</w:t>
            </w:r>
            <w:r>
              <w:rPr>
                <w:color w:val="000000" w:themeColor="text1"/>
              </w:rPr>
            </w:r>
            <w:r/>
          </w:p>
        </w:tc>
        <w:tc>
          <w:tcPr>
            <w:tcW w:w="19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28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574"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r>
      <w:tr>
        <w:trPr>
          <w:trHeight w:val="284"/>
        </w:trPr>
        <w:tc>
          <w:tcPr>
            <w:tcW w:w="648" w:type="dxa"/>
            <w:vAlign w:val="top"/>
            <w:textDirection w:val="lrTb"/>
            <w:noWrap w:val="false"/>
          </w:tcPr>
          <w:p>
            <w:pPr>
              <w:pStyle w:val="1256"/>
              <w:jc w:val="left"/>
              <w:widowControl/>
              <w:rPr>
                <w:rFonts w:hint="eastAsia"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t xml:space="preserve">3</w:t>
            </w:r>
            <w:r>
              <w:rPr>
                <w:color w:val="000000" w:themeColor="text1"/>
              </w:rPr>
            </w:r>
            <w:r/>
          </w:p>
        </w:tc>
        <w:tc>
          <w:tcPr>
            <w:tcW w:w="19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28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574"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r>
      <w:tr>
        <w:trPr>
          <w:trHeight w:val="284"/>
        </w:trPr>
        <w:tc>
          <w:tcPr>
            <w:tcW w:w="648" w:type="dxa"/>
            <w:vAlign w:val="top"/>
            <w:textDirection w:val="lrTb"/>
            <w:noWrap w:val="false"/>
          </w:tcPr>
          <w:p>
            <w:pPr>
              <w:pStyle w:val="1256"/>
              <w:jc w:val="left"/>
              <w:widowControl/>
              <w:rPr>
                <w:rFonts w:hint="eastAsia"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r>
            <w:r>
              <w:rPr>
                <w:color w:val="000000" w:themeColor="text1"/>
              </w:rPr>
            </w:r>
            <w:r/>
          </w:p>
        </w:tc>
        <w:tc>
          <w:tcPr>
            <w:tcW w:w="19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28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574"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r>
      <w:tr>
        <w:trPr>
          <w:trHeight w:val="284"/>
        </w:trPr>
        <w:tc>
          <w:tcPr>
            <w:tcW w:w="648" w:type="dxa"/>
            <w:vAlign w:val="top"/>
            <w:textDirection w:val="lrTb"/>
            <w:noWrap w:val="false"/>
          </w:tcPr>
          <w:p>
            <w:pPr>
              <w:pStyle w:val="1256"/>
              <w:jc w:val="left"/>
              <w:widowControl/>
              <w:rPr>
                <w:rFonts w:hint="eastAsia" w:ascii="宋体" w:hAnsi="宋体" w:cs="宋体"/>
                <w:color w:val="000000" w:themeColor="text1"/>
                <w:sz w:val="24"/>
                <w:highlight w:val="none"/>
              </w:rPr>
              <w:framePr w:vAnchor="page" w:hAnchor="page" w:y="133"/>
            </w:pPr>
            <w:r>
              <w:rPr>
                <w:rFonts w:hint="eastAsia" w:ascii="宋体" w:hAnsi="宋体" w:cs="宋体"/>
                <w:color w:val="000000" w:themeColor="text1"/>
                <w:sz w:val="24"/>
                <w:highlight w:val="none"/>
                <w:lang w:val="zh-CN"/>
              </w:rPr>
            </w:r>
            <w:r>
              <w:rPr>
                <w:color w:val="000000" w:themeColor="text1"/>
              </w:rPr>
            </w:r>
            <w:r/>
          </w:p>
        </w:tc>
        <w:tc>
          <w:tcPr>
            <w:tcW w:w="19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28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080"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c>
          <w:tcPr>
            <w:tcW w:w="1574" w:type="dxa"/>
            <w:vAlign w:val="top"/>
            <w:textDirection w:val="lrTb"/>
            <w:noWrap w:val="false"/>
          </w:tcPr>
          <w:p>
            <w:pPr>
              <w:pStyle w:val="1256"/>
              <w:jc w:val="left"/>
              <w:widowControl/>
              <w:rPr>
                <w:rFonts w:ascii="宋体" w:hAnsi="宋体" w:cs="宋体"/>
                <w:color w:val="000000" w:themeColor="text1"/>
                <w:sz w:val="24"/>
                <w:highlight w:val="none"/>
              </w:rPr>
              <w:framePr w:vAnchor="page" w:hAnchor="page" w:y="133"/>
            </w:pPr>
            <w:r>
              <w:rPr>
                <w:rFonts w:ascii="宋体" w:hAnsi="宋体" w:cs="宋体"/>
                <w:color w:val="000000" w:themeColor="text1"/>
                <w:sz w:val="24"/>
                <w:highlight w:val="none"/>
                <w:lang w:val="zh-CN"/>
              </w:rPr>
            </w:r>
            <w:r>
              <w:rPr>
                <w:color w:val="000000" w:themeColor="text1"/>
              </w:rPr>
            </w:r>
            <w:r/>
          </w:p>
        </w:tc>
      </w:tr>
    </w:tbl>
    <w:p>
      <w:pPr>
        <w:pStyle w:val="1256"/>
        <w:jc w:val="left"/>
        <w:spacing w:line="360" w:lineRule="auto"/>
        <w:widowControl/>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说明：如果行数不够，请自行增加。</w:t>
      </w:r>
      <w:r>
        <w:rPr>
          <w:color w:val="000000" w:themeColor="text1"/>
        </w:rPr>
      </w:r>
      <w:r/>
    </w:p>
    <w:p>
      <w:pPr>
        <w:pStyle w:val="1256"/>
        <w:jc w:val="left"/>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r>
      <w:r>
        <w:rPr>
          <w:color w:val="000000" w:themeColor="text1"/>
        </w:rPr>
      </w:r>
      <w:r/>
    </w:p>
    <w:p>
      <w:pPr>
        <w:pStyle w:val="1256"/>
        <w:jc w:val="left"/>
        <w:spacing w:line="360" w:lineRule="auto"/>
        <w:shd w:val="clear" w:color="auto" w:fill="ffffff"/>
        <w:widowControl/>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供应商名称</w:t>
      </w:r>
      <w:r>
        <w:rPr>
          <w:rFonts w:hint="eastAsia" w:ascii="宋体" w:hAnsi="宋体"/>
          <w:b/>
          <w:bCs/>
          <w:color w:val="000000" w:themeColor="text1"/>
          <w:sz w:val="24"/>
          <w:highlight w:val="none"/>
          <w:lang w:val="zh-CN"/>
        </w:rPr>
        <w:t xml:space="preserve">:  </w:t>
      </w:r>
      <w:r>
        <w:rPr>
          <w:rFonts w:hint="eastAsia" w:ascii="宋体" w:hAnsi="宋体"/>
          <w:b/>
          <w:bCs/>
          <w:color w:val="000000" w:themeColor="text1"/>
          <w:sz w:val="24"/>
          <w:highlight w:val="none"/>
          <w:u w:val="single"/>
          <w:lang w:val="zh-CN"/>
        </w:rPr>
        <w:t xml:space="preserve">                                              </w:t>
      </w:r>
      <w:r>
        <w:rPr>
          <w:rFonts w:hint="eastAsia" w:ascii="宋体" w:hAnsi="宋体"/>
          <w:b/>
          <w:bCs/>
          <w:color w:val="000000" w:themeColor="text1"/>
          <w:sz w:val="24"/>
          <w:highlight w:val="none"/>
          <w:lang w:val="zh-CN"/>
        </w:rPr>
        <w:t xml:space="preserve">（加盖电子公章）</w:t>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t xml:space="preserve">日期：     年    月    日</w:t>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338"/>
        <w:ind w:firstLine="480"/>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jc w:val="left"/>
        <w:spacing w:line="240" w:lineRule="atLeast"/>
        <w:widowControl/>
        <w:rPr>
          <w:rFonts w:hint="eastAsia" w:ascii="宋体" w:cs="宋体"/>
          <w:b/>
          <w:color w:val="000000" w:themeColor="text1"/>
          <w:szCs w:val="21"/>
          <w:highlight w:val="none"/>
        </w:rPr>
      </w:pPr>
      <w:r>
        <w:rPr>
          <w:rFonts w:hint="eastAsia" w:ascii="宋体" w:cs="宋体"/>
          <w:b/>
          <w:color w:val="000000" w:themeColor="text1"/>
          <w:szCs w:val="21"/>
          <w:highlight w:val="none"/>
          <w:lang w:val="zh-CN"/>
        </w:rPr>
      </w:r>
      <w:r>
        <w:rPr>
          <w:color w:val="000000" w:themeColor="text1"/>
        </w:rPr>
      </w:r>
      <w:r/>
    </w:p>
    <w:p>
      <w:pPr>
        <w:pStyle w:val="1256"/>
        <w:jc w:val="left"/>
        <w:spacing w:line="360" w:lineRule="auto"/>
        <w:shd w:val="clear" w:color="auto" w:fill="ffffff"/>
        <w:widowControl/>
        <w:rPr>
          <w:rFonts w:cs="Verdana"/>
          <w:color w:val="000000" w:themeColor="text1"/>
          <w:szCs w:val="21"/>
          <w:highlight w:val="none"/>
        </w:rPr>
      </w:pPr>
      <w:r>
        <w:rPr>
          <w:rFonts w:cs="Verdana"/>
          <w:color w:val="000000" w:themeColor="text1"/>
          <w:szCs w:val="21"/>
          <w:highlight w:val="none"/>
          <w:lang w:val="zh-CN"/>
        </w:rPr>
      </w:r>
      <w:r>
        <w:rPr>
          <w:color w:val="000000" w:themeColor="text1"/>
        </w:rPr>
      </w:r>
      <w:r/>
    </w:p>
    <w:p>
      <w:pPr>
        <w:pStyle w:val="1258"/>
        <w:numPr>
          <w:ilvl w:val="0"/>
          <w:numId w:val="0"/>
        </w:numPr>
        <w:tabs>
          <w:tab w:val="left" w:pos="840" w:leader="none"/>
        </w:tabs>
        <w:rPr>
          <w:rStyle w:val="1339"/>
          <w:rFonts w:hint="eastAsia"/>
          <w:b w:val="0"/>
          <w:bCs w:val="0"/>
          <w:color w:val="000000" w:themeColor="text1"/>
          <w:sz w:val="28"/>
          <w:szCs w:val="28"/>
          <w:highlight w:val="none"/>
        </w:rPr>
      </w:pPr>
      <w:r>
        <w:rPr>
          <w:color w:val="000000" w:themeColor="text1"/>
        </w:rPr>
      </w:r>
      <w:bookmarkStart w:id="74" w:name="_Toc16477"/>
      <w:r>
        <w:rPr>
          <w:rStyle w:val="1339"/>
          <w:rFonts w:hint="eastAsia"/>
          <w:b w:val="0"/>
          <w:bCs w:val="0"/>
          <w:color w:val="000000" w:themeColor="text1"/>
          <w:sz w:val="28"/>
          <w:szCs w:val="28"/>
          <w:highlight w:val="none"/>
          <w:lang w:val="zh-CN"/>
        </w:rPr>
        <w:t xml:space="preserve">附件</w:t>
      </w:r>
      <w:r>
        <w:rPr>
          <w:rStyle w:val="1339"/>
          <w:rFonts w:hint="eastAsia"/>
          <w:b w:val="0"/>
          <w:bCs w:val="0"/>
          <w:color w:val="000000" w:themeColor="text1"/>
          <w:sz w:val="28"/>
          <w:szCs w:val="28"/>
          <w:highlight w:val="none"/>
        </w:rPr>
        <w:t xml:space="preserve">六</w:t>
      </w:r>
      <w:r>
        <w:rPr>
          <w:rStyle w:val="1339"/>
          <w:rFonts w:hint="eastAsia"/>
          <w:b w:val="0"/>
          <w:bCs w:val="0"/>
          <w:color w:val="000000" w:themeColor="text1"/>
          <w:sz w:val="28"/>
          <w:szCs w:val="28"/>
          <w:highlight w:val="none"/>
          <w:lang w:val="zh-CN"/>
        </w:rPr>
        <w:t xml:space="preserve">、技术</w:t>
      </w:r>
      <w:r>
        <w:rPr>
          <w:rStyle w:val="1339"/>
          <w:rFonts w:hint="eastAsia"/>
          <w:b w:val="0"/>
          <w:bCs w:val="0"/>
          <w:color w:val="000000" w:themeColor="text1"/>
          <w:sz w:val="28"/>
          <w:szCs w:val="28"/>
          <w:highlight w:val="none"/>
        </w:rPr>
        <w:t xml:space="preserve">条款</w:t>
      </w:r>
      <w:r>
        <w:rPr>
          <w:rStyle w:val="1339"/>
          <w:rFonts w:hint="eastAsia"/>
          <w:b w:val="0"/>
          <w:bCs w:val="0"/>
          <w:color w:val="000000" w:themeColor="text1"/>
          <w:sz w:val="28"/>
          <w:szCs w:val="28"/>
          <w:highlight w:val="none"/>
          <w:lang w:val="zh-CN"/>
        </w:rPr>
        <w:t xml:space="preserve">偏离表格式</w:t>
      </w:r>
      <w:bookmarkEnd w:id="74"/>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CN"/>
        </w:rPr>
        <w:t xml:space="preserve">技术</w:t>
      </w:r>
      <w:r>
        <w:rPr>
          <w:rFonts w:hint="eastAsia" w:ascii="宋体" w:hAnsi="宋体" w:cs="宋体"/>
          <w:b/>
          <w:bCs/>
          <w:color w:val="000000" w:themeColor="text1"/>
          <w:sz w:val="28"/>
          <w:highlight w:val="none"/>
        </w:rPr>
        <w:t xml:space="preserve">条款</w:t>
      </w:r>
      <w:r>
        <w:rPr>
          <w:rFonts w:hint="eastAsia" w:ascii="宋体" w:hAnsi="宋体" w:cs="宋体"/>
          <w:b/>
          <w:bCs/>
          <w:color w:val="000000" w:themeColor="text1"/>
          <w:sz w:val="28"/>
          <w:highlight w:val="none"/>
          <w:lang w:val="zh-CN"/>
        </w:rPr>
        <w:t xml:space="preserve">偏离表</w:t>
      </w:r>
      <w:r>
        <w:rPr>
          <w:color w:val="000000" w:themeColor="text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15"/>
        <w:gridCol w:w="1665"/>
        <w:gridCol w:w="2152"/>
        <w:gridCol w:w="1483"/>
        <w:gridCol w:w="1874"/>
        <w:gridCol w:w="1390"/>
      </w:tblGrid>
      <w:tr>
        <w:trPr>
          <w:trHeight w:val="448"/>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015"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项目名称：</w:t>
            </w:r>
            <w:r>
              <w:rPr>
                <w:color w:val="000000" w:themeColor="text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264"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项目编号：  </w:t>
            </w:r>
            <w:r>
              <w:rPr>
                <w:color w:val="000000" w:themeColor="text1"/>
              </w:rPr>
            </w:r>
            <w:r/>
          </w:p>
        </w:tc>
      </w:tr>
      <w:tr>
        <w:trPr>
          <w:trHeight w:val="93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招标文件条目号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招标要求规格</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投标响应</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偏离</w:t>
            </w:r>
            <w:r>
              <w:rPr>
                <w:color w:val="000000" w:themeColor="text1"/>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r>
      <w:tr>
        <w:trPr>
          <w:trHeight w:val="502"/>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15"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65"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152"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57"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90" w:type="dxa"/>
            <w:vAlign w:val="center"/>
            <w:textDirection w:val="lrTb"/>
            <w:noWrap w:val="false"/>
          </w:tcPr>
          <w:p>
            <w:pPr>
              <w:pStyle w:val="1256"/>
              <w:jc w:val="cente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r>
    </w:tbl>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rPr>
          <w:color w:val="000000" w:themeColor="text1"/>
          <w:sz w:val="24"/>
          <w:highlight w:val="none"/>
        </w:rPr>
      </w:pPr>
      <w:r>
        <w:rPr>
          <w:rFonts w:hint="eastAsia"/>
          <w:color w:val="000000" w:themeColor="text1"/>
          <w:sz w:val="24"/>
          <w:highlight w:val="none"/>
        </w:rPr>
        <w:t xml:space="preserve">说明：</w:t>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t xml:space="preserve">1、如果行数不够，请自行增加。</w:t>
      </w:r>
      <w:r>
        <w:rPr>
          <w:color w:val="000000" w:themeColor="text1"/>
        </w:rPr>
      </w:r>
      <w:r/>
    </w:p>
    <w:p>
      <w:pPr>
        <w:pStyle w:val="1256"/>
        <w:rPr>
          <w:rFonts w:hint="eastAsia"/>
          <w:b/>
          <w:bCs/>
          <w:color w:val="000000" w:themeColor="text1"/>
          <w:sz w:val="24"/>
          <w:highlight w:val="none"/>
        </w:rPr>
      </w:pPr>
      <w:r>
        <w:rPr>
          <w:rFonts w:hint="eastAsia"/>
          <w:b/>
          <w:bCs/>
          <w:color w:val="000000" w:themeColor="text1"/>
          <w:sz w:val="24"/>
          <w:highlight w:val="none"/>
        </w:rPr>
        <w:t xml:space="preserve">2、本项目招标文件中“第四章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rPr>
          <w:color w:val="000000" w:themeColor="text1"/>
        </w:rPr>
      </w:r>
      <w:r/>
    </w:p>
    <w:p>
      <w:pPr>
        <w:pStyle w:val="1256"/>
        <w:rPr>
          <w:rFonts w:hint="eastAsia"/>
          <w:b/>
          <w:bCs/>
          <w:color w:val="000000" w:themeColor="text1"/>
          <w:sz w:val="24"/>
          <w:highlight w:val="none"/>
        </w:rPr>
      </w:pPr>
      <w:r>
        <w:rPr>
          <w:rFonts w:hint="eastAsia"/>
          <w:b/>
          <w:bCs/>
          <w:color w:val="000000" w:themeColor="text1"/>
          <w:sz w:val="24"/>
          <w:highlight w:val="none"/>
        </w:rPr>
        <w:t xml:space="preserve">3、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r>
        <w:rPr>
          <w:color w:val="000000" w:themeColor="text1"/>
        </w:rPr>
      </w:r>
      <w:r/>
    </w:p>
    <w:p>
      <w:pPr>
        <w:pStyle w:val="1256"/>
        <w:rPr>
          <w:rFonts w:hint="eastAsia"/>
          <w:color w:val="000000" w:themeColor="text1"/>
          <w:highlight w:val="none"/>
        </w:rPr>
      </w:pPr>
      <w:r>
        <w:rPr>
          <w:rFonts w:hint="eastAsia"/>
          <w:color w:val="000000" w:themeColor="text1"/>
          <w:highlight w:val="none"/>
        </w:rPr>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t xml:space="preserve">供应商名称: </w:t>
      </w:r>
      <w:r>
        <w:rPr>
          <w:rFonts w:hint="eastAsia"/>
          <w:color w:val="000000" w:themeColor="text1"/>
          <w:sz w:val="24"/>
          <w:highlight w:val="none"/>
          <w:u w:val="single"/>
        </w:rPr>
        <w:t xml:space="preserve">                                         </w:t>
      </w:r>
      <w:r>
        <w:rPr>
          <w:rFonts w:hint="eastAsia"/>
          <w:color w:val="000000" w:themeColor="text1"/>
          <w:sz w:val="24"/>
          <w:highlight w:val="none"/>
        </w:rPr>
        <w:t xml:space="preserve">（加盖电子公章）</w:t>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t xml:space="preserve">日期：     年    月    日</w:t>
      </w:r>
      <w:r>
        <w:rPr>
          <w:color w:val="000000" w:themeColor="text1"/>
        </w:rPr>
      </w:r>
      <w:r/>
    </w:p>
    <w:p>
      <w:pPr>
        <w:pStyle w:val="1288"/>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88"/>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rPr>
          <w:rFonts w:hint="eastAsia"/>
          <w:color w:val="000000" w:themeColor="text1"/>
          <w:highlight w:val="none"/>
        </w:rPr>
      </w:pPr>
      <w:r>
        <w:rPr>
          <w:rFonts w:hint="eastAsia"/>
          <w:color w:val="000000" w:themeColor="text1"/>
          <w:highlight w:val="none"/>
        </w:rPr>
      </w:r>
      <w:r>
        <w:rPr>
          <w:color w:val="000000" w:themeColor="text1"/>
        </w:rPr>
      </w:r>
      <w:r/>
    </w:p>
    <w:p>
      <w:pPr>
        <w:pStyle w:val="1288"/>
        <w:rPr>
          <w:rFonts w:hint="eastAsia"/>
          <w:color w:val="000000" w:themeColor="text1"/>
          <w:highlight w:val="none"/>
        </w:rPr>
      </w:pPr>
      <w:r>
        <w:rPr>
          <w:rFonts w:hint="eastAsia"/>
          <w:color w:val="000000" w:themeColor="text1"/>
          <w:highlight w:val="none"/>
        </w:rPr>
      </w:r>
      <w:r>
        <w:rPr>
          <w:color w:val="000000" w:themeColor="text1"/>
        </w:rPr>
      </w:r>
      <w:r/>
    </w:p>
    <w:p>
      <w:pPr>
        <w:pStyle w:val="1256"/>
        <w:rPr>
          <w:rFonts w:hint="eastAsia"/>
          <w:color w:val="000000" w:themeColor="text1"/>
          <w:highlight w:val="none"/>
        </w:rPr>
      </w:pPr>
      <w:r>
        <w:rPr>
          <w:rFonts w:hint="eastAsia"/>
          <w:color w:val="000000" w:themeColor="text1"/>
          <w:highlight w:val="none"/>
        </w:rPr>
      </w:r>
      <w:r>
        <w:rPr>
          <w:color w:val="000000" w:themeColor="text1"/>
        </w:rPr>
      </w:r>
      <w:r/>
    </w:p>
    <w:p>
      <w:pPr>
        <w:pStyle w:val="1288"/>
        <w:rPr>
          <w:rFonts w:hint="eastAsia"/>
          <w:color w:val="000000" w:themeColor="text1"/>
          <w:highlight w:val="none"/>
        </w:rPr>
      </w:pPr>
      <w:r>
        <w:rPr>
          <w:rFonts w:hint="eastAsia"/>
          <w:color w:val="000000" w:themeColor="text1"/>
          <w:highlight w:val="none"/>
        </w:rPr>
      </w:r>
      <w:r>
        <w:rPr>
          <w:color w:val="000000" w:themeColor="text1"/>
        </w:rPr>
      </w:r>
      <w:r/>
    </w:p>
    <w:p>
      <w:pPr>
        <w:pStyle w:val="1256"/>
        <w:rPr>
          <w:rFonts w:hint="eastAsia"/>
          <w:color w:val="000000" w:themeColor="text1"/>
          <w:highlight w:val="none"/>
        </w:rPr>
      </w:pPr>
      <w:r>
        <w:rPr>
          <w:rFonts w:hint="eastAsia"/>
          <w:color w:val="000000" w:themeColor="text1"/>
          <w:highlight w:val="none"/>
        </w:rPr>
      </w:r>
      <w:r>
        <w:rPr>
          <w:color w:val="000000" w:themeColor="text1"/>
        </w:rPr>
      </w:r>
      <w:r/>
    </w:p>
    <w:p>
      <w:pPr>
        <w:pStyle w:val="1258"/>
        <w:numPr>
          <w:ilvl w:val="0"/>
          <w:numId w:val="0"/>
        </w:numPr>
        <w:tabs>
          <w:tab w:val="left" w:pos="840" w:leader="none"/>
        </w:tabs>
        <w:rPr>
          <w:rStyle w:val="1339"/>
          <w:rFonts w:hint="eastAsia"/>
          <w:b w:val="0"/>
          <w:bCs w:val="0"/>
          <w:color w:val="000000" w:themeColor="text1"/>
          <w:sz w:val="28"/>
          <w:szCs w:val="28"/>
          <w:highlight w:val="none"/>
        </w:rPr>
      </w:pPr>
      <w:r>
        <w:rPr>
          <w:color w:val="000000" w:themeColor="text1"/>
        </w:rPr>
      </w:r>
      <w:bookmarkStart w:id="75" w:name="_Toc6422"/>
      <w:r>
        <w:rPr>
          <w:rStyle w:val="1339"/>
          <w:rFonts w:hint="eastAsia"/>
          <w:b w:val="0"/>
          <w:bCs w:val="0"/>
          <w:color w:val="000000" w:themeColor="text1"/>
          <w:sz w:val="28"/>
          <w:szCs w:val="28"/>
          <w:highlight w:val="none"/>
          <w:lang w:val="zh-CN"/>
        </w:rPr>
        <w:t xml:space="preserve">附件</w:t>
      </w:r>
      <w:r>
        <w:rPr>
          <w:rStyle w:val="1339"/>
          <w:rFonts w:hint="eastAsia"/>
          <w:b w:val="0"/>
          <w:bCs w:val="0"/>
          <w:color w:val="000000" w:themeColor="text1"/>
          <w:sz w:val="28"/>
          <w:szCs w:val="28"/>
          <w:highlight w:val="none"/>
        </w:rPr>
        <w:t xml:space="preserve">七</w:t>
      </w:r>
      <w:r>
        <w:rPr>
          <w:rStyle w:val="1339"/>
          <w:rFonts w:hint="eastAsia"/>
          <w:b w:val="0"/>
          <w:bCs w:val="0"/>
          <w:color w:val="000000" w:themeColor="text1"/>
          <w:sz w:val="28"/>
          <w:szCs w:val="28"/>
          <w:highlight w:val="none"/>
          <w:lang w:val="zh-CN"/>
        </w:rPr>
        <w:t xml:space="preserve">、商务条款偏离表格式</w:t>
      </w:r>
      <w:bookmarkEnd w:id="75"/>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CN"/>
        </w:rPr>
        <w:t xml:space="preserve">商务条款偏离表</w:t>
      </w:r>
      <w:r>
        <w:rPr>
          <w:color w:val="000000" w:themeColor="text1"/>
        </w:rPr>
      </w:r>
      <w:r/>
    </w:p>
    <w:tbl>
      <w:tblPr>
        <w:tblW w:w="9599"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45"/>
        <w:gridCol w:w="1521"/>
        <w:gridCol w:w="2583"/>
        <w:gridCol w:w="762"/>
        <w:gridCol w:w="2701"/>
        <w:gridCol w:w="1387"/>
      </w:tblGrid>
      <w:tr>
        <w:trPr>
          <w:trHeight w:val="90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项目名称：</w:t>
            </w:r>
            <w:r>
              <w:rPr>
                <w:color w:val="000000" w:themeColor="text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088"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项目编号：         </w:t>
            </w:r>
            <w:r>
              <w:rPr>
                <w:color w:val="000000" w:themeColor="text1"/>
              </w:rPr>
            </w:r>
            <w:r/>
          </w:p>
        </w:tc>
      </w:tr>
      <w:tr>
        <w:trPr>
          <w:trHeight w:val="961"/>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招标文件条目号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招标文件要求的商务条款</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投标响应</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偏离</w:t>
            </w:r>
            <w:r>
              <w:rPr>
                <w:color w:val="000000" w:themeColor="text1"/>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256"/>
              <w:jc w:val="cente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r/>
          </w:p>
        </w:tc>
      </w:tr>
    </w:tbl>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8"/>
        <w:numPr>
          <w:ilvl w:val="0"/>
          <w:numId w:val="0"/>
        </w:numPr>
        <w:spacing w:before="0" w:after="0" w:line="240" w:lineRule="auto"/>
        <w:tabs>
          <w:tab w:val="left" w:pos="840" w:leader="none"/>
        </w:tabs>
        <w:rPr>
          <w:rFonts w:hint="eastAsia" w:ascii="宋体" w:hAnsi="宋体"/>
          <w:b w:val="0"/>
          <w:bCs w:val="0"/>
          <w:color w:val="000000" w:themeColor="text1"/>
          <w:szCs w:val="24"/>
          <w:highlight w:val="none"/>
        </w:rPr>
      </w:pPr>
      <w:r>
        <w:rPr>
          <w:rFonts w:hint="eastAsia" w:ascii="宋体" w:hAnsi="宋体"/>
          <w:b w:val="0"/>
          <w:bCs w:val="0"/>
          <w:color w:val="000000" w:themeColor="text1"/>
          <w:szCs w:val="24"/>
          <w:highlight w:val="none"/>
        </w:rPr>
        <w:t xml:space="preserve">说明：</w:t>
      </w:r>
      <w:r>
        <w:rPr>
          <w:color w:val="000000" w:themeColor="text1"/>
        </w:rPr>
      </w:r>
      <w:r/>
    </w:p>
    <w:p>
      <w:pPr>
        <w:pStyle w:val="1258"/>
        <w:numPr>
          <w:ilvl w:val="0"/>
          <w:numId w:val="0"/>
        </w:numPr>
        <w:spacing w:before="0" w:after="0" w:line="240" w:lineRule="auto"/>
        <w:tabs>
          <w:tab w:val="left" w:pos="840" w:leader="none"/>
        </w:tabs>
        <w:rPr>
          <w:rFonts w:hint="eastAsia" w:ascii="宋体" w:hAnsi="宋体"/>
          <w:b w:val="0"/>
          <w:bCs w:val="0"/>
          <w:color w:val="000000" w:themeColor="text1"/>
          <w:szCs w:val="24"/>
          <w:highlight w:val="none"/>
        </w:rPr>
      </w:pPr>
      <w:r>
        <w:rPr>
          <w:rFonts w:hint="eastAsia" w:ascii="宋体" w:hAnsi="宋体"/>
          <w:b w:val="0"/>
          <w:bCs w:val="0"/>
          <w:color w:val="000000" w:themeColor="text1"/>
          <w:szCs w:val="24"/>
          <w:highlight w:val="none"/>
        </w:rPr>
        <w:t xml:space="preserve">1、如果行数不够，请自行增加。</w:t>
      </w:r>
      <w:r>
        <w:rPr>
          <w:color w:val="000000" w:themeColor="text1"/>
        </w:rPr>
      </w:r>
      <w:r/>
    </w:p>
    <w:p>
      <w:pPr>
        <w:pStyle w:val="1258"/>
        <w:numPr>
          <w:ilvl w:val="0"/>
          <w:numId w:val="0"/>
        </w:numPr>
        <w:spacing w:before="0" w:after="0" w:line="240" w:lineRule="auto"/>
        <w:tabs>
          <w:tab w:val="left" w:pos="840" w:leader="none"/>
        </w:tabs>
        <w:rPr>
          <w:rFonts w:hint="eastAsia" w:ascii="宋体" w:hAnsi="宋体"/>
          <w:b w:val="0"/>
          <w:bCs w:val="0"/>
          <w:color w:val="000000" w:themeColor="text1"/>
          <w:szCs w:val="24"/>
          <w:highlight w:val="none"/>
        </w:rPr>
      </w:pPr>
      <w:r>
        <w:rPr>
          <w:rFonts w:hint="eastAsia" w:ascii="宋体" w:hAnsi="宋体"/>
          <w:b w:val="0"/>
          <w:bCs w:val="0"/>
          <w:color w:val="000000" w:themeColor="text1"/>
          <w:szCs w:val="24"/>
          <w:highlight w:val="none"/>
        </w:rPr>
        <w:t xml:space="preserve">2、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8"/>
        <w:numPr>
          <w:ilvl w:val="0"/>
          <w:numId w:val="0"/>
        </w:numPr>
        <w:spacing w:before="0" w:after="0" w:line="240" w:lineRule="auto"/>
        <w:tabs>
          <w:tab w:val="left" w:pos="840" w:leader="none"/>
        </w:tabs>
        <w:rPr>
          <w:rFonts w:hint="eastAsia" w:ascii="宋体" w:hAnsi="宋体"/>
          <w:b w:val="0"/>
          <w:bCs w:val="0"/>
          <w:color w:val="000000" w:themeColor="text1"/>
          <w:szCs w:val="24"/>
          <w:highlight w:val="none"/>
        </w:rPr>
      </w:pPr>
      <w:r>
        <w:rPr>
          <w:rFonts w:hint="eastAsia" w:ascii="宋体" w:hAnsi="宋体"/>
          <w:b w:val="0"/>
          <w:bCs w:val="0"/>
          <w:color w:val="000000" w:themeColor="text1"/>
          <w:szCs w:val="24"/>
          <w:highlight w:val="none"/>
        </w:rPr>
        <w:t xml:space="preserve">供应商名称</w:t>
      </w:r>
      <w:r>
        <w:rPr>
          <w:rFonts w:hint="eastAsia" w:ascii="宋体" w:hAnsi="宋体"/>
          <w:b w:val="0"/>
          <w:bCs w:val="0"/>
          <w:color w:val="000000" w:themeColor="text1"/>
          <w:szCs w:val="24"/>
          <w:highlight w:val="none"/>
          <w:lang w:val="zh-CN"/>
        </w:rPr>
        <w:t xml:space="preserve">：</w:t>
      </w:r>
      <w:r>
        <w:rPr>
          <w:rFonts w:hint="eastAsia" w:ascii="宋体" w:hAnsi="宋体"/>
          <w:b w:val="0"/>
          <w:bCs w:val="0"/>
          <w:color w:val="000000" w:themeColor="text1"/>
          <w:szCs w:val="24"/>
          <w:highlight w:val="none"/>
          <w:u w:val="single"/>
          <w:lang w:val="zh-CN"/>
        </w:rPr>
        <w:t xml:space="preserve">                                     </w:t>
      </w:r>
      <w:r>
        <w:rPr>
          <w:rFonts w:hint="eastAsia" w:ascii="宋体" w:hAnsi="宋体"/>
          <w:b w:val="0"/>
          <w:bCs w:val="0"/>
          <w:color w:val="000000" w:themeColor="text1"/>
          <w:szCs w:val="24"/>
          <w:highlight w:val="none"/>
          <w:lang w:val="zh-CN"/>
        </w:rPr>
        <w:t xml:space="preserve">（加盖电子公章）</w:t>
      </w:r>
      <w:r>
        <w:rPr>
          <w:color w:val="000000" w:themeColor="text1"/>
        </w:rPr>
      </w:r>
      <w:r/>
    </w:p>
    <w:p>
      <w:pPr>
        <w:pStyle w:val="1258"/>
        <w:numPr>
          <w:ilvl w:val="0"/>
          <w:numId w:val="0"/>
        </w:numPr>
        <w:spacing w:before="0" w:after="0" w:line="240" w:lineRule="auto"/>
        <w:tabs>
          <w:tab w:val="left" w:pos="840" w:leader="none"/>
        </w:tabs>
        <w:rPr>
          <w:rStyle w:val="1339"/>
          <w:rFonts w:hint="eastAsia"/>
          <w:b w:val="0"/>
          <w:bCs w:val="0"/>
          <w:color w:val="000000" w:themeColor="text1"/>
          <w:sz w:val="28"/>
          <w:szCs w:val="28"/>
          <w:highlight w:val="none"/>
        </w:rPr>
      </w:pPr>
      <w:r>
        <w:rPr>
          <w:color w:val="000000" w:themeColor="text1"/>
        </w:rPr>
      </w:r>
      <w:bookmarkStart w:id="76" w:name="_Toc10980"/>
      <w:r>
        <w:rPr>
          <w:rFonts w:hint="eastAsia" w:ascii="宋体" w:hAnsi="宋体"/>
          <w:b w:val="0"/>
          <w:bCs w:val="0"/>
          <w:color w:val="000000" w:themeColor="text1"/>
          <w:szCs w:val="24"/>
          <w:highlight w:val="none"/>
        </w:rPr>
        <w:t xml:space="preserve">日期：     年    月    日</w:t>
      </w:r>
      <w:r>
        <w:rPr>
          <w:rFonts w:hint="eastAsia" w:ascii="宋体" w:hAnsi="宋体"/>
          <w:b w:val="0"/>
          <w:bCs w:val="0"/>
          <w:color w:val="000000" w:themeColor="text1"/>
          <w:szCs w:val="24"/>
          <w:highlight w:val="none"/>
        </w:rPr>
        <w:br w:type="page" w:clear="all"/>
      </w:r>
      <w:bookmarkStart w:id="77" w:name="_Toc12545"/>
      <w:r>
        <w:rPr>
          <w:rStyle w:val="1339"/>
          <w:rFonts w:hint="eastAsia"/>
          <w:b w:val="0"/>
          <w:bCs w:val="0"/>
          <w:color w:val="000000" w:themeColor="text1"/>
          <w:sz w:val="28"/>
          <w:szCs w:val="28"/>
          <w:highlight w:val="none"/>
        </w:rPr>
        <w:t xml:space="preserve">附件八、投标供应商类似业绩情况表</w:t>
      </w:r>
      <w:bookmarkEnd w:id="76"/>
      <w:r>
        <w:rPr>
          <w:color w:val="000000" w:themeColor="text1"/>
        </w:rPr>
      </w:r>
      <w:bookmarkEnd w:id="77"/>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CN"/>
        </w:rPr>
        <w:t xml:space="preserve">投标供应商业绩情况表</w:t>
      </w:r>
      <w:r>
        <w:rPr>
          <w:color w:val="000000" w:themeColor="text1"/>
        </w:rPr>
      </w:r>
      <w:r/>
    </w:p>
    <w:tbl>
      <w:tblPr>
        <w:tblW w:w="9516" w:type="dxa"/>
        <w:jc w:val="center"/>
        <w:tblInd w:w="88" w:type="dxa"/>
        <w:tblLayout w:type="fixed"/>
        <w:tblCellMar>
          <w:left w:w="10" w:type="dxa"/>
          <w:top w:w="0" w:type="dxa"/>
          <w:right w:w="1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trHeight w:val="650"/>
          <w:tblHeader/>
        </w:trPr>
        <w:tc>
          <w:tcPr>
            <w:gridSpan w:val="6"/>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项目名称：</w:t>
            </w:r>
            <w:r>
              <w:rPr>
                <w:color w:val="000000" w:themeColor="text1"/>
              </w:rPr>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907" w:type="dxa"/>
            <w:vAlign w:val="center"/>
            <w:textDirection w:val="lrTb"/>
            <w:noWrap w:val="false"/>
          </w:tcPr>
          <w:p>
            <w:pPr>
              <w:pStyle w:val="1256"/>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项目编号：         </w:t>
            </w:r>
            <w:r>
              <w:rPr>
                <w:color w:val="000000" w:themeColor="text1"/>
              </w:rPr>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pStyle w:val="1256"/>
              <w:jc w:val="center"/>
              <w:spacing w:line="400" w:lineRule="atLeast"/>
              <w:widowControl/>
              <w:rPr>
                <w:rFonts w:ascii="宋体" w:hAnsi="宋体"/>
                <w:color w:val="000000" w:themeColor="text1"/>
                <w:sz w:val="24"/>
                <w:highlight w:val="none"/>
              </w:rPr>
            </w:pPr>
            <w:r>
              <w:rPr>
                <w:rFonts w:hint="eastAsia" w:ascii="宋体" w:hAnsi="宋体"/>
                <w:color w:val="000000" w:themeColor="text1"/>
                <w:sz w:val="24"/>
                <w:highlight w:val="none"/>
              </w:rPr>
              <w:t xml:space="preserve">项目名称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pStyle w:val="1256"/>
              <w:jc w:val="center"/>
              <w:spacing w:line="400" w:lineRule="atLeast"/>
              <w:widowControl/>
              <w:rPr>
                <w:rFonts w:ascii="宋体" w:hAnsi="宋体"/>
                <w:color w:val="000000" w:themeColor="text1"/>
                <w:sz w:val="24"/>
                <w:highlight w:val="none"/>
              </w:rPr>
            </w:pPr>
            <w:r>
              <w:rPr>
                <w:rFonts w:hint="eastAsia" w:ascii="宋体" w:hAnsi="宋体"/>
                <w:color w:val="000000" w:themeColor="text1"/>
                <w:sz w:val="24"/>
                <w:highlight w:val="none"/>
              </w:rPr>
              <w:t xml:space="preserve">业主单位</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256"/>
              <w:jc w:val="center"/>
              <w:spacing w:line="400" w:lineRule="atLeast"/>
              <w:widowControl/>
              <w:rPr>
                <w:rFonts w:ascii="宋体" w:hAnsi="宋体"/>
                <w:color w:val="000000" w:themeColor="text1"/>
                <w:sz w:val="24"/>
                <w:highlight w:val="none"/>
              </w:rPr>
            </w:pPr>
            <w:r>
              <w:rPr>
                <w:rFonts w:hint="eastAsia" w:ascii="宋体" w:hAnsi="宋体"/>
                <w:color w:val="000000" w:themeColor="text1"/>
                <w:sz w:val="24"/>
                <w:highlight w:val="none"/>
              </w:rPr>
              <w:t xml:space="preserve">项目</w:t>
            </w:r>
            <w:r>
              <w:rPr>
                <w:color w:val="000000" w:themeColor="text1"/>
              </w:rPr>
            </w:r>
            <w:r/>
          </w:p>
          <w:p>
            <w:pPr>
              <w:pStyle w:val="1256"/>
              <w:jc w:val="center"/>
              <w:spacing w:line="400" w:lineRule="atLeast"/>
              <w:widowControl/>
              <w:rPr>
                <w:rFonts w:ascii="宋体" w:hAnsi="宋体"/>
                <w:color w:val="000000" w:themeColor="text1"/>
                <w:sz w:val="24"/>
                <w:highlight w:val="none"/>
              </w:rPr>
            </w:pPr>
            <w:r>
              <w:rPr>
                <w:rFonts w:hint="eastAsia" w:ascii="宋体" w:hAnsi="宋体"/>
                <w:color w:val="000000" w:themeColor="text1"/>
                <w:sz w:val="24"/>
                <w:highlight w:val="none"/>
              </w:rPr>
              <w:t xml:space="preserve">规模</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256"/>
              <w:spacing w:line="400" w:lineRule="atLeast"/>
              <w:widowControl/>
              <w:rPr>
                <w:rFonts w:ascii="宋体" w:hAnsi="宋体"/>
                <w:color w:val="000000" w:themeColor="text1"/>
                <w:sz w:val="24"/>
                <w:highlight w:val="none"/>
              </w:rPr>
            </w:pPr>
            <w:r>
              <w:rPr>
                <w:rFonts w:hint="eastAsia" w:ascii="宋体" w:hAnsi="宋体"/>
                <w:color w:val="000000" w:themeColor="text1"/>
                <w:sz w:val="24"/>
                <w:highlight w:val="none"/>
              </w:rPr>
              <w:t xml:space="preserve">签约及服务</w:t>
            </w:r>
            <w:r>
              <w:rPr>
                <w:color w:val="000000" w:themeColor="text1"/>
              </w:rPr>
            </w:r>
            <w:r/>
          </w:p>
          <w:p>
            <w:pPr>
              <w:pStyle w:val="1256"/>
              <w:jc w:val="center"/>
              <w:spacing w:line="400" w:lineRule="atLeast"/>
              <w:widowControl/>
              <w:rPr>
                <w:rFonts w:ascii="宋体" w:hAnsi="宋体"/>
                <w:color w:val="000000" w:themeColor="text1"/>
                <w:sz w:val="24"/>
                <w:highlight w:val="none"/>
              </w:rPr>
            </w:pPr>
            <w:r>
              <w:rPr>
                <w:rFonts w:hint="eastAsia" w:ascii="宋体" w:hAnsi="宋体"/>
                <w:color w:val="000000" w:themeColor="text1"/>
                <w:sz w:val="24"/>
                <w:highlight w:val="none"/>
              </w:rPr>
              <w:t xml:space="preserve">时间</w:t>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hint="eastAsia" w:ascii="宋体" w:hAnsi="宋体"/>
                <w:color w:val="000000" w:themeColor="text1"/>
                <w:sz w:val="24"/>
                <w:highlight w:val="none"/>
              </w:rPr>
              <w:t xml:space="preserve">联系人及电话</w:t>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256"/>
              <w:ind w:firstLine="120"/>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41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256"/>
              <w:jc w:val="center"/>
              <w:spacing w:line="400" w:lineRule="atLeas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256"/>
        <w:spacing w:line="360" w:lineRule="auto"/>
        <w:widowControl/>
        <w:rPr>
          <w:rFonts w:hint="eastAsia" w:ascii="宋体" w:hAnsi="宋体"/>
          <w:bCs/>
          <w:color w:val="000000" w:themeColor="text1"/>
          <w:sz w:val="24"/>
          <w:highlight w:val="none"/>
        </w:rPr>
      </w:pPr>
      <w:r>
        <w:rPr>
          <w:rFonts w:hint="eastAsia" w:ascii="宋体" w:hAnsi="宋体"/>
          <w:b/>
          <w:bCs/>
          <w:color w:val="000000" w:themeColor="text1"/>
          <w:sz w:val="24"/>
          <w:highlight w:val="none"/>
        </w:rPr>
        <w:t xml:space="preserve"> </w:t>
      </w:r>
      <w:r>
        <w:rPr>
          <w:rFonts w:hint="eastAsia" w:ascii="宋体" w:hAnsi="宋体"/>
          <w:bCs/>
          <w:color w:val="000000" w:themeColor="text1"/>
          <w:sz w:val="24"/>
          <w:highlight w:val="none"/>
        </w:rPr>
        <w:t xml:space="preserve">说明：</w:t>
      </w:r>
      <w:r>
        <w:rPr>
          <w:rStyle w:val="1359"/>
          <w:rFonts w:ascii="宋体" w:hAnsi="宋体"/>
          <w:bCs/>
          <w:color w:val="000000" w:themeColor="text1"/>
          <w:sz w:val="24"/>
          <w:highlight w:val="none"/>
        </w:rPr>
        <w:t xml:space="preserve">请</w:t>
      </w:r>
      <w:r>
        <w:rPr>
          <w:rStyle w:val="1359"/>
          <w:rFonts w:hint="eastAsia" w:ascii="宋体" w:hAnsi="宋体"/>
          <w:bCs/>
          <w:color w:val="000000" w:themeColor="text1"/>
          <w:sz w:val="24"/>
          <w:highlight w:val="none"/>
        </w:rPr>
        <w:t xml:space="preserve">投标供应商</w:t>
      </w:r>
      <w:r>
        <w:rPr>
          <w:rStyle w:val="1359"/>
          <w:rFonts w:ascii="宋体" w:hAnsi="宋体"/>
          <w:bCs/>
          <w:color w:val="000000" w:themeColor="text1"/>
          <w:sz w:val="24"/>
          <w:highlight w:val="none"/>
        </w:rPr>
        <w:t xml:space="preserve">根据本格式要求如实填写，并附</w:t>
      </w:r>
      <w:r>
        <w:rPr>
          <w:rStyle w:val="1359"/>
          <w:rFonts w:hint="eastAsia" w:ascii="宋体" w:hAnsi="宋体"/>
          <w:bCs/>
          <w:color w:val="000000" w:themeColor="text1"/>
          <w:sz w:val="24"/>
          <w:highlight w:val="none"/>
        </w:rPr>
        <w:t xml:space="preserve">评标标准要的</w:t>
      </w:r>
      <w:r>
        <w:rPr>
          <w:rStyle w:val="1359"/>
          <w:rFonts w:ascii="宋体" w:hAnsi="宋体"/>
          <w:bCs/>
          <w:color w:val="000000" w:themeColor="text1"/>
          <w:sz w:val="24"/>
          <w:highlight w:val="none"/>
        </w:rPr>
        <w:t xml:space="preserve">证明文件。</w:t>
      </w:r>
      <w:r>
        <w:rPr>
          <w:color w:val="000000" w:themeColor="text1"/>
        </w:rPr>
      </w:r>
      <w:r/>
    </w:p>
    <w:p>
      <w:pPr>
        <w:pStyle w:val="1256"/>
        <w:spacing w:line="360" w:lineRule="auto"/>
        <w:widowControl/>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rPr>
      </w:r>
      <w:r/>
    </w:p>
    <w:p>
      <w:pPr>
        <w:pStyle w:val="1256"/>
        <w:rPr>
          <w:rFonts w:hint="eastAsia"/>
          <w:color w:val="000000" w:themeColor="text1"/>
          <w:sz w:val="24"/>
          <w:highlight w:val="none"/>
        </w:rPr>
      </w:pPr>
      <w:r>
        <w:rPr>
          <w:rFonts w:hint="eastAsia" w:ascii="宋体" w:hAnsi="宋体"/>
          <w:color w:val="000000" w:themeColor="text1"/>
          <w:sz w:val="24"/>
          <w:highlight w:val="none"/>
        </w:rPr>
        <w:t xml:space="preserve">供应商名称</w:t>
      </w:r>
      <w:r>
        <w:rPr>
          <w:rFonts w:hint="eastAsia" w:ascii="宋体" w:hAnsi="宋体"/>
          <w:b/>
          <w:bCs/>
          <w:color w:val="000000" w:themeColor="text1"/>
          <w:sz w:val="24"/>
          <w:highlight w:val="none"/>
          <w:lang w:val="zh-CN"/>
        </w:rPr>
        <w:t xml:space="preserve">:  </w:t>
      </w:r>
      <w:r>
        <w:rPr>
          <w:rFonts w:hint="eastAsia" w:ascii="宋体" w:hAnsi="宋体"/>
          <w:b/>
          <w:bCs/>
          <w:color w:val="000000" w:themeColor="text1"/>
          <w:sz w:val="24"/>
          <w:highlight w:val="none"/>
          <w:u w:val="single"/>
          <w:lang w:val="zh-CN"/>
        </w:rPr>
        <w:t xml:space="preserve">                                              </w:t>
      </w:r>
      <w:r>
        <w:rPr>
          <w:rFonts w:hint="eastAsia" w:ascii="宋体" w:hAnsi="宋体"/>
          <w:b/>
          <w:bCs/>
          <w:color w:val="000000" w:themeColor="text1"/>
          <w:sz w:val="24"/>
          <w:highlight w:val="none"/>
          <w:lang w:val="zh-CN"/>
        </w:rPr>
        <w:t xml:space="preserve">（加盖电子公章）</w:t>
      </w:r>
      <w:r>
        <w:rPr>
          <w:color w:val="000000" w:themeColor="text1"/>
        </w:rPr>
      </w:r>
      <w:r/>
    </w:p>
    <w:p>
      <w:pPr>
        <w:pStyle w:val="1256"/>
        <w:rPr>
          <w:rFonts w:hint="eastAsia"/>
          <w:color w:val="000000" w:themeColor="text1"/>
          <w:sz w:val="24"/>
          <w:highlight w:val="none"/>
        </w:rPr>
      </w:pPr>
      <w:r>
        <w:rPr>
          <w:rFonts w:hint="eastAsia"/>
          <w:color w:val="000000" w:themeColor="text1"/>
          <w:sz w:val="24"/>
          <w:highlight w:val="none"/>
        </w:rPr>
        <w:t xml:space="preserve">日期：     年    月    日</w:t>
      </w:r>
      <w:r>
        <w:rPr>
          <w:color w:val="000000" w:themeColor="text1"/>
        </w:rPr>
      </w:r>
      <w:r/>
    </w:p>
    <w:p>
      <w:pPr>
        <w:pStyle w:val="1256"/>
        <w:spacing w:line="360" w:lineRule="auto"/>
        <w:widowControl/>
        <w:rPr>
          <w:rFonts w:hint="eastAsia" w:ascii="宋体" w:hAnsi="宋体"/>
          <w:b/>
          <w:bCs/>
          <w:color w:val="000000" w:themeColor="text1"/>
          <w:szCs w:val="21"/>
          <w:highlight w:val="none"/>
        </w:rPr>
      </w:pPr>
      <w:r>
        <w:rPr>
          <w:rFonts w:hint="eastAsia" w:ascii="宋体" w:hAnsi="宋体"/>
          <w:b/>
          <w:bCs/>
          <w:color w:val="000000" w:themeColor="text1"/>
          <w:szCs w:val="21"/>
          <w:highlight w:val="none"/>
        </w:rPr>
      </w:r>
      <w:r>
        <w:rPr>
          <w:color w:val="000000" w:themeColor="text1"/>
        </w:rPr>
      </w:r>
      <w:r/>
    </w:p>
    <w:p>
      <w:pPr>
        <w:pStyle w:val="1256"/>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ind w:left="0" w:firstLine="0"/>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321"/>
        <w:ind w:left="0" w:firstLine="0"/>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256"/>
        <w:ind w:firstLine="4322"/>
        <w:spacing w:line="360" w:lineRule="auto"/>
        <w:shd w:val="clear" w:color="auto" w:fill="ffffff"/>
        <w:widowControl/>
        <w:rPr>
          <w:rFonts w:ascii="宋体" w:hAnsi="宋体"/>
          <w:b/>
          <w:color w:val="000000" w:themeColor="text1"/>
          <w:szCs w:val="21"/>
          <w:highlight w:val="none"/>
        </w:rPr>
      </w:pPr>
      <w:r>
        <w:rPr>
          <w:rFonts w:ascii="宋体" w:hAnsi="宋体"/>
          <w:b/>
          <w:color w:val="000000" w:themeColor="text1"/>
          <w:szCs w:val="21"/>
          <w:highlight w:val="none"/>
          <w:lang w:val="zh-CN"/>
        </w:rPr>
      </w:r>
      <w:r>
        <w:rPr>
          <w:color w:val="000000" w:themeColor="text1"/>
        </w:rPr>
      </w:r>
      <w:r/>
    </w:p>
    <w:p>
      <w:pPr>
        <w:pStyle w:val="1256"/>
        <w:ind w:right="633"/>
        <w:jc w:val="left"/>
        <w:spacing w:line="360" w:lineRule="auto"/>
        <w:shd w:val="clear" w:color="auto" w:fill="ffffff"/>
        <w:rPr>
          <w:rStyle w:val="1339"/>
          <w:rFonts w:hint="eastAsia"/>
          <w:color w:val="000000" w:themeColor="text1"/>
          <w:sz w:val="28"/>
          <w:szCs w:val="28"/>
          <w:highlight w:val="none"/>
        </w:rPr>
        <w:outlineLvl w:val="0"/>
      </w:pPr>
      <w:r>
        <w:rPr>
          <w:color w:val="000000" w:themeColor="text1"/>
        </w:rPr>
      </w:r>
      <w:bookmarkStart w:id="78" w:name="_Toc1832"/>
      <w:r>
        <w:rPr>
          <w:color w:val="000000" w:themeColor="text1"/>
        </w:rPr>
      </w:r>
      <w:bookmarkStart w:id="79" w:name="_Toc7013"/>
      <w:r>
        <w:rPr>
          <w:rStyle w:val="1339"/>
          <w:rFonts w:hint="eastAsia"/>
          <w:color w:val="000000" w:themeColor="text1"/>
          <w:sz w:val="28"/>
          <w:szCs w:val="28"/>
          <w:highlight w:val="none"/>
          <w:lang w:val="zh-CN"/>
        </w:rPr>
        <w:t xml:space="preserve">附件</w:t>
      </w:r>
      <w:r>
        <w:rPr>
          <w:rStyle w:val="1339"/>
          <w:rFonts w:hint="eastAsia"/>
          <w:color w:val="000000" w:themeColor="text1"/>
          <w:sz w:val="28"/>
          <w:szCs w:val="28"/>
          <w:highlight w:val="none"/>
        </w:rPr>
        <w:t xml:space="preserve">九</w:t>
      </w:r>
      <w:r>
        <w:rPr>
          <w:rStyle w:val="1339"/>
          <w:rFonts w:hint="eastAsia"/>
          <w:color w:val="000000" w:themeColor="text1"/>
          <w:sz w:val="28"/>
          <w:szCs w:val="28"/>
          <w:highlight w:val="none"/>
          <w:lang w:val="zh-CN"/>
        </w:rPr>
        <w:t xml:space="preserve">、服务方案</w:t>
      </w:r>
      <w:bookmarkEnd w:id="78"/>
      <w:r>
        <w:rPr>
          <w:color w:val="000000" w:themeColor="text1"/>
        </w:rPr>
      </w:r>
      <w:r/>
    </w:p>
    <w:p>
      <w:pPr>
        <w:pStyle w:val="1337"/>
        <w:ind w:firstLine="562"/>
        <w:rPr>
          <w:rStyle w:val="1359"/>
          <w:b/>
          <w:color w:val="000000" w:themeColor="text1"/>
          <w:sz w:val="28"/>
          <w:highlight w:val="none"/>
        </w:rPr>
      </w:pPr>
      <w:r>
        <w:rPr>
          <w:color w:val="000000" w:themeColor="text1"/>
        </w:rPr>
      </w:r>
      <w:bookmarkEnd w:id="79"/>
      <w:r>
        <w:rPr>
          <w:color w:val="000000" w:themeColor="text1"/>
        </w:rPr>
      </w:r>
      <w:r/>
    </w:p>
    <w:p>
      <w:pPr>
        <w:pStyle w:val="1337"/>
        <w:jc w:val="center"/>
        <w:rPr>
          <w:rStyle w:val="1359"/>
          <w:bCs/>
          <w:color w:val="000000" w:themeColor="text1"/>
          <w:highlight w:val="none"/>
        </w:rPr>
        <w:outlineLvl w:val="0"/>
      </w:pPr>
      <w:r>
        <w:rPr>
          <w:color w:val="000000" w:themeColor="text1"/>
        </w:rPr>
      </w:r>
      <w:bookmarkStart w:id="80" w:name="_Toc30840"/>
      <w:r>
        <w:rPr>
          <w:rStyle w:val="1359"/>
          <w:rFonts w:hint="eastAsia"/>
          <w:bCs/>
          <w:color w:val="000000" w:themeColor="text1"/>
          <w:highlight w:val="none"/>
        </w:rPr>
        <w:t xml:space="preserve">（</w:t>
      </w:r>
      <w:r>
        <w:rPr>
          <w:rStyle w:val="1359"/>
          <w:bCs/>
          <w:color w:val="000000" w:themeColor="text1"/>
          <w:highlight w:val="none"/>
          <w:lang w:val="zh-CN"/>
        </w:rPr>
        <w:t xml:space="preserve">各</w:t>
      </w:r>
      <w:r>
        <w:rPr>
          <w:rStyle w:val="1359"/>
          <w:rFonts w:hint="eastAsia"/>
          <w:bCs/>
          <w:color w:val="000000" w:themeColor="text1"/>
          <w:highlight w:val="none"/>
          <w:lang w:val="zh-CN"/>
        </w:rPr>
        <w:t xml:space="preserve">投标供应商</w:t>
      </w:r>
      <w:r>
        <w:rPr>
          <w:rStyle w:val="1359"/>
          <w:bCs/>
          <w:color w:val="000000" w:themeColor="text1"/>
          <w:highlight w:val="none"/>
          <w:lang w:val="zh-CN"/>
        </w:rPr>
        <w:t xml:space="preserve">根据</w:t>
      </w:r>
      <w:r>
        <w:rPr>
          <w:rStyle w:val="1359"/>
          <w:rFonts w:hint="eastAsia"/>
          <w:bCs/>
          <w:color w:val="000000" w:themeColor="text1"/>
          <w:highlight w:val="none"/>
        </w:rPr>
        <w:t xml:space="preserve">招标</w:t>
      </w:r>
      <w:r>
        <w:rPr>
          <w:rStyle w:val="1359"/>
          <w:bCs/>
          <w:color w:val="000000" w:themeColor="text1"/>
          <w:highlight w:val="none"/>
          <w:lang w:val="zh-CN"/>
        </w:rPr>
        <w:t xml:space="preserve">文件规定的</w:t>
      </w:r>
      <w:r>
        <w:rPr>
          <w:rStyle w:val="1359"/>
          <w:rFonts w:hint="eastAsia"/>
          <w:bCs/>
          <w:color w:val="000000" w:themeColor="text1"/>
          <w:highlight w:val="none"/>
        </w:rPr>
        <w:t xml:space="preserve">服务方案</w:t>
      </w:r>
      <w:r>
        <w:rPr>
          <w:rStyle w:val="1359"/>
          <w:bCs/>
          <w:color w:val="000000" w:themeColor="text1"/>
          <w:highlight w:val="none"/>
          <w:lang w:val="zh-CN"/>
        </w:rPr>
        <w:t xml:space="preserve">打分细则</w:t>
      </w:r>
      <w:r>
        <w:rPr>
          <w:rStyle w:val="1359"/>
          <w:rFonts w:hint="eastAsia"/>
          <w:bCs/>
          <w:color w:val="000000" w:themeColor="text1"/>
          <w:highlight w:val="none"/>
        </w:rPr>
        <w:t xml:space="preserve">内容</w:t>
      </w:r>
      <w:r>
        <w:rPr>
          <w:rStyle w:val="1359"/>
          <w:bCs/>
          <w:color w:val="000000" w:themeColor="text1"/>
          <w:highlight w:val="none"/>
          <w:lang w:val="zh-CN"/>
        </w:rPr>
        <w:t xml:space="preserve">，格式自拟</w:t>
      </w:r>
      <w:r>
        <w:rPr>
          <w:rStyle w:val="1359"/>
          <w:rFonts w:hint="eastAsia"/>
          <w:bCs/>
          <w:color w:val="000000" w:themeColor="text1"/>
          <w:highlight w:val="none"/>
        </w:rPr>
        <w:t xml:space="preserve">）</w:t>
      </w:r>
      <w:bookmarkEnd w:id="80"/>
      <w:r>
        <w:rPr>
          <w:color w:val="000000" w:themeColor="text1"/>
        </w:rPr>
      </w:r>
      <w:r/>
    </w:p>
    <w:p>
      <w:pPr>
        <w:pStyle w:val="1258"/>
        <w:numPr>
          <w:ilvl w:val="0"/>
          <w:numId w:val="0"/>
        </w:numPr>
        <w:spacing w:before="0" w:after="0" w:line="240" w:lineRule="auto"/>
        <w:tabs>
          <w:tab w:val="left" w:pos="840" w:leader="none"/>
        </w:tabs>
        <w:rPr>
          <w:rFonts w:ascii="宋体" w:hAnsi="宋体"/>
          <w:b w:val="0"/>
          <w:color w:val="000000" w:themeColor="text1"/>
          <w:szCs w:val="21"/>
          <w:highlight w:val="none"/>
        </w:rPr>
      </w:pPr>
      <w:r>
        <w:rPr>
          <w:rFonts w:ascii="宋体" w:hAnsi="宋体"/>
          <w:b w:val="0"/>
          <w:color w:val="000000" w:themeColor="text1"/>
          <w:szCs w:val="21"/>
          <w:highlight w:val="none"/>
          <w:lang w:val="zh-CN"/>
        </w:rPr>
      </w:r>
      <w:r>
        <w:rPr>
          <w:color w:val="000000" w:themeColor="text1"/>
        </w:rPr>
      </w:r>
      <w:r/>
    </w:p>
    <w:p>
      <w:pPr>
        <w:pStyle w:val="1258"/>
        <w:numPr>
          <w:ilvl w:val="0"/>
          <w:numId w:val="0"/>
        </w:numPr>
        <w:spacing w:before="0" w:after="0" w:line="240" w:lineRule="auto"/>
        <w:tabs>
          <w:tab w:val="left" w:pos="840" w:leader="none"/>
        </w:tabs>
        <w:rPr>
          <w:rStyle w:val="1339"/>
          <w:rFonts w:hint="eastAsia"/>
          <w:b w:val="0"/>
          <w:bCs w:val="0"/>
          <w:color w:val="000000" w:themeColor="text1"/>
          <w:sz w:val="28"/>
          <w:szCs w:val="28"/>
          <w:highlight w:val="none"/>
        </w:rPr>
      </w:pPr>
      <w:r>
        <w:rPr>
          <w:color w:val="000000" w:themeColor="text1"/>
        </w:rPr>
      </w:r>
      <w:bookmarkStart w:id="81" w:name="_Toc25315"/>
      <w:r>
        <w:rPr>
          <w:color w:val="000000" w:themeColor="text1"/>
        </w:rPr>
      </w:r>
      <w:bookmarkStart w:id="82" w:name="_Toc3543"/>
      <w:r>
        <w:rPr>
          <w:rStyle w:val="1339"/>
          <w:rFonts w:hint="eastAsia"/>
          <w:b w:val="0"/>
          <w:bCs w:val="0"/>
          <w:color w:val="000000" w:themeColor="text1"/>
          <w:sz w:val="28"/>
          <w:szCs w:val="28"/>
          <w:highlight w:val="none"/>
          <w:lang w:val="zh-CN"/>
        </w:rPr>
        <w:t xml:space="preserve">附件十、售后服务内容承诺</w:t>
      </w:r>
      <w:bookmarkEnd w:id="81"/>
      <w:r>
        <w:rPr>
          <w:color w:val="000000" w:themeColor="text1"/>
        </w:rPr>
      </w:r>
      <w:bookmarkEnd w:id="82"/>
      <w:r>
        <w:rPr>
          <w:color w:val="000000" w:themeColor="text1"/>
        </w:rPr>
      </w:r>
      <w:r/>
    </w:p>
    <w:p>
      <w:pPr>
        <w:pStyle w:val="1256"/>
        <w:ind w:firstLine="420"/>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CN"/>
        </w:rPr>
        <w:t xml:space="preserve">售后服务内容及承诺</w:t>
      </w:r>
      <w:r>
        <w:rPr>
          <w:color w:val="000000" w:themeColor="text1"/>
        </w:rPr>
      </w:r>
      <w:r/>
    </w:p>
    <w:p>
      <w:pPr>
        <w:pStyle w:val="1256"/>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bl>
      <w:tblPr>
        <w:tblW w:w="97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top"/>
            <w:textDirection w:val="lrTb"/>
            <w:noWrap w:val="false"/>
          </w:tcPr>
          <w:p>
            <w:pPr>
              <w:pStyle w:val="1256"/>
              <w:jc w:val="center"/>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jc w:val="center"/>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jc w:val="center"/>
              <w:spacing w:line="360" w:lineRule="auto"/>
              <w:rPr>
                <w:rFonts w:ascii="宋体" w:hAnsi="宋体" w:cs="Verdana"/>
                <w:color w:val="000000" w:themeColor="text1"/>
                <w:szCs w:val="21"/>
                <w:highlight w:val="none"/>
              </w:rPr>
            </w:pPr>
            <w:r>
              <w:rPr>
                <w:rFonts w:hint="eastAsia" w:ascii="宋体" w:hAnsi="宋体" w:cs="Verdana"/>
                <w:color w:val="000000" w:themeColor="text1"/>
                <w:szCs w:val="21"/>
                <w:highlight w:val="none"/>
                <w:lang w:val="zh-CN"/>
              </w:rPr>
              <w:t xml:space="preserve">可提供</w:t>
            </w:r>
            <w:r>
              <w:rPr>
                <w:color w:val="000000" w:themeColor="text1"/>
              </w:rPr>
            </w:r>
            <w:r/>
          </w:p>
          <w:p>
            <w:pPr>
              <w:pStyle w:val="1256"/>
              <w:jc w:val="center"/>
              <w:spacing w:line="360" w:lineRule="auto"/>
              <w:rPr>
                <w:rFonts w:ascii="宋体" w:hAnsi="宋体" w:cs="Verdana"/>
                <w:color w:val="000000" w:themeColor="text1"/>
                <w:szCs w:val="21"/>
                <w:highlight w:val="none"/>
              </w:rPr>
            </w:pPr>
            <w:r>
              <w:rPr>
                <w:rFonts w:hint="eastAsia" w:ascii="宋体" w:hAnsi="宋体" w:cs="Verdana"/>
                <w:color w:val="000000" w:themeColor="text1"/>
                <w:szCs w:val="21"/>
                <w:highlight w:val="none"/>
                <w:lang w:val="zh-CN"/>
              </w:rPr>
              <w:t xml:space="preserve">的优惠</w:t>
            </w:r>
            <w:r>
              <w:rPr>
                <w:color w:val="000000" w:themeColor="text1"/>
              </w:rPr>
            </w:r>
            <w:r/>
          </w:p>
          <w:p>
            <w:pPr>
              <w:pStyle w:val="1256"/>
              <w:jc w:val="center"/>
              <w:spacing w:line="360" w:lineRule="auto"/>
              <w:rPr>
                <w:rFonts w:ascii="宋体" w:hAnsi="宋体" w:cs="Verdana"/>
                <w:color w:val="000000" w:themeColor="text1"/>
                <w:szCs w:val="21"/>
                <w:highlight w:val="none"/>
              </w:rPr>
            </w:pPr>
            <w:r>
              <w:rPr>
                <w:rFonts w:hint="eastAsia" w:ascii="宋体" w:hAnsi="宋体" w:cs="Verdana"/>
                <w:color w:val="000000" w:themeColor="text1"/>
                <w:szCs w:val="21"/>
                <w:highlight w:val="none"/>
                <w:lang w:val="zh-CN"/>
              </w:rPr>
              <w:t xml:space="preserve">条件</w:t>
            </w:r>
            <w:r>
              <w:rPr>
                <w:color w:val="000000" w:themeColor="text1"/>
              </w:rPr>
            </w:r>
            <w:r/>
          </w:p>
        </w:tc>
        <w:tc>
          <w:tcPr>
            <w:tcW w:w="8422" w:type="dxa"/>
            <w:vAlign w:val="top"/>
            <w:textDirection w:val="lrTb"/>
            <w:noWrap w:val="false"/>
          </w:tcPr>
          <w:p>
            <w:pPr>
              <w:pStyle w:val="1256"/>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tc>
      </w:tr>
      <w:tr>
        <w:trPr>
          <w:trHeight w:val="2559"/>
        </w:trPr>
        <w:tc>
          <w:tcPr>
            <w:tcW w:w="1337" w:type="dxa"/>
            <w:vAlign w:val="top"/>
            <w:textDirection w:val="lrTb"/>
            <w:noWrap w:val="false"/>
          </w:tcPr>
          <w:p>
            <w:pPr>
              <w:pStyle w:val="1256"/>
              <w:jc w:val="center"/>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jc w:val="center"/>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jc w:val="center"/>
              <w:spacing w:line="360" w:lineRule="auto"/>
              <w:rPr>
                <w:rFonts w:ascii="宋体" w:hAnsi="宋体" w:cs="Verdana"/>
                <w:color w:val="000000" w:themeColor="text1"/>
                <w:szCs w:val="21"/>
                <w:highlight w:val="none"/>
              </w:rPr>
            </w:pPr>
            <w:r>
              <w:rPr>
                <w:rFonts w:hint="eastAsia" w:ascii="宋体" w:hAnsi="宋体" w:cs="Verdana"/>
                <w:color w:val="000000" w:themeColor="text1"/>
                <w:szCs w:val="21"/>
                <w:highlight w:val="none"/>
                <w:lang w:val="zh-CN"/>
              </w:rPr>
              <w:t xml:space="preserve">售后</w:t>
            </w:r>
            <w:r>
              <w:rPr>
                <w:color w:val="000000" w:themeColor="text1"/>
              </w:rPr>
            </w:r>
            <w:r/>
          </w:p>
          <w:p>
            <w:pPr>
              <w:pStyle w:val="1256"/>
              <w:jc w:val="center"/>
              <w:spacing w:line="360" w:lineRule="auto"/>
              <w:rPr>
                <w:rFonts w:ascii="宋体" w:hAnsi="宋体" w:cs="Verdana"/>
                <w:color w:val="000000" w:themeColor="text1"/>
                <w:szCs w:val="21"/>
                <w:highlight w:val="none"/>
              </w:rPr>
            </w:pPr>
            <w:r>
              <w:rPr>
                <w:rFonts w:hint="eastAsia" w:ascii="宋体" w:hAnsi="宋体" w:cs="Verdana"/>
                <w:color w:val="000000" w:themeColor="text1"/>
                <w:szCs w:val="21"/>
                <w:highlight w:val="none"/>
                <w:lang w:val="zh-CN"/>
              </w:rPr>
              <w:t xml:space="preserve">服务</w:t>
            </w:r>
            <w:r>
              <w:rPr>
                <w:color w:val="000000" w:themeColor="text1"/>
              </w:rPr>
            </w:r>
            <w:r/>
          </w:p>
          <w:p>
            <w:pPr>
              <w:pStyle w:val="1256"/>
              <w:jc w:val="center"/>
              <w:spacing w:line="360" w:lineRule="auto"/>
              <w:rPr>
                <w:rFonts w:ascii="宋体" w:hAnsi="宋体" w:cs="Verdana"/>
                <w:color w:val="000000" w:themeColor="text1"/>
                <w:szCs w:val="21"/>
                <w:highlight w:val="none"/>
              </w:rPr>
            </w:pPr>
            <w:r>
              <w:rPr>
                <w:rFonts w:hint="eastAsia" w:ascii="宋体" w:hAnsi="宋体" w:cs="Verdana"/>
                <w:color w:val="000000" w:themeColor="text1"/>
                <w:szCs w:val="21"/>
                <w:highlight w:val="none"/>
                <w:lang w:val="zh-CN"/>
              </w:rPr>
              <w:t xml:space="preserve">内容</w:t>
            </w:r>
            <w:r>
              <w:rPr>
                <w:color w:val="000000" w:themeColor="text1"/>
              </w:rPr>
            </w:r>
            <w:r/>
          </w:p>
          <w:p>
            <w:pPr>
              <w:pStyle w:val="1256"/>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tc>
        <w:tc>
          <w:tcPr>
            <w:tcW w:w="8422" w:type="dxa"/>
            <w:vAlign w:val="top"/>
            <w:textDirection w:val="lrTb"/>
            <w:noWrap w:val="false"/>
          </w:tcPr>
          <w:p>
            <w:pPr>
              <w:pStyle w:val="1256"/>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tc>
      </w:tr>
      <w:tr>
        <w:trPr>
          <w:trHeight w:val="1719"/>
        </w:trPr>
        <w:tc>
          <w:tcPr>
            <w:tcW w:w="1337" w:type="dxa"/>
            <w:vAlign w:val="top"/>
            <w:textDirection w:val="lrTb"/>
            <w:noWrap w:val="false"/>
          </w:tcPr>
          <w:p>
            <w:pPr>
              <w:pStyle w:val="1256"/>
              <w:jc w:val="center"/>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jc w:val="center"/>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jc w:val="center"/>
              <w:spacing w:line="360" w:lineRule="auto"/>
              <w:rPr>
                <w:rFonts w:ascii="宋体" w:hAnsi="宋体" w:cs="Verdana"/>
                <w:color w:val="000000" w:themeColor="text1"/>
                <w:szCs w:val="21"/>
                <w:highlight w:val="none"/>
              </w:rPr>
            </w:pPr>
            <w:r>
              <w:rPr>
                <w:rFonts w:hint="eastAsia" w:ascii="宋体" w:hAnsi="宋体" w:cs="Verdana"/>
                <w:color w:val="000000" w:themeColor="text1"/>
                <w:szCs w:val="21"/>
                <w:highlight w:val="none"/>
                <w:lang w:val="zh-CN"/>
              </w:rPr>
              <w:t xml:space="preserve">售后服务承诺</w:t>
            </w:r>
            <w:r>
              <w:rPr>
                <w:color w:val="000000" w:themeColor="text1"/>
              </w:rPr>
            </w:r>
            <w:r/>
          </w:p>
        </w:tc>
        <w:tc>
          <w:tcPr>
            <w:tcW w:w="8422" w:type="dxa"/>
            <w:vAlign w:val="top"/>
            <w:textDirection w:val="lrTb"/>
            <w:noWrap w:val="false"/>
          </w:tcPr>
          <w:p>
            <w:pPr>
              <w:pStyle w:val="1256"/>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tc>
      </w:tr>
    </w:tbl>
    <w:p>
      <w:pPr>
        <w:pStyle w:val="1256"/>
        <w:spacing w:line="360" w:lineRule="auto"/>
        <w:rPr>
          <w:rFonts w:ascii="宋体" w:hAnsi="宋体" w:cs="Verdana"/>
          <w:color w:val="000000" w:themeColor="text1"/>
          <w:szCs w:val="21"/>
          <w:highlight w:val="none"/>
        </w:rPr>
      </w:pPr>
      <w:r>
        <w:rPr>
          <w:rFonts w:ascii="宋体" w:hAnsi="宋体" w:cs="Verdana"/>
          <w:color w:val="000000" w:themeColor="text1"/>
          <w:szCs w:val="21"/>
          <w:highlight w:val="none"/>
          <w:lang w:val="zh-CN"/>
        </w:rPr>
      </w:r>
      <w:r>
        <w:rPr>
          <w:color w:val="000000" w:themeColor="text1"/>
        </w:rPr>
      </w:r>
      <w:r/>
    </w:p>
    <w:p>
      <w:pPr>
        <w:pStyle w:val="1256"/>
        <w:jc w:val="left"/>
        <w:spacing w:line="360" w:lineRule="auto"/>
        <w:shd w:val="clear" w:color="auto" w:fill="ffffff"/>
        <w:widowControl/>
        <w:rPr>
          <w:rFonts w:hint="eastAsia" w:ascii="宋体" w:hAnsi="宋体"/>
          <w:b/>
          <w:bCs/>
          <w:color w:val="000000" w:themeColor="text1"/>
          <w:szCs w:val="21"/>
          <w:highlight w:val="none"/>
        </w:rPr>
      </w:pPr>
      <w:r>
        <w:rPr>
          <w:rFonts w:hint="eastAsia" w:ascii="宋体" w:hAnsi="宋体"/>
          <w:color w:val="000000" w:themeColor="text1"/>
          <w:szCs w:val="21"/>
          <w:highlight w:val="none"/>
        </w:rPr>
        <w:t xml:space="preserve">供应商名称</w:t>
      </w:r>
      <w:r>
        <w:rPr>
          <w:rFonts w:hint="eastAsia" w:ascii="宋体" w:hAnsi="宋体"/>
          <w:b/>
          <w:bCs/>
          <w:color w:val="000000" w:themeColor="text1"/>
          <w:szCs w:val="21"/>
          <w:highlight w:val="none"/>
          <w:lang w:val="zh-CN"/>
        </w:rPr>
        <w:t xml:space="preserve">:  </w:t>
      </w:r>
      <w:r>
        <w:rPr>
          <w:rFonts w:hint="eastAsia" w:ascii="宋体" w:hAnsi="宋体"/>
          <w:b/>
          <w:bCs/>
          <w:color w:val="000000" w:themeColor="text1"/>
          <w:szCs w:val="21"/>
          <w:highlight w:val="none"/>
          <w:u w:val="single"/>
          <w:lang w:val="zh-CN"/>
        </w:rPr>
        <w:t xml:space="preserve">                                      </w:t>
      </w:r>
      <w:r>
        <w:rPr>
          <w:rFonts w:hint="eastAsia" w:ascii="宋体" w:hAnsi="宋体"/>
          <w:b/>
          <w:bCs/>
          <w:color w:val="000000" w:themeColor="text1"/>
          <w:szCs w:val="21"/>
          <w:highlight w:val="none"/>
          <w:lang w:val="zh-CN"/>
        </w:rPr>
        <w:t xml:space="preserve">（加盖电子公章）</w:t>
      </w:r>
      <w:r>
        <w:rPr>
          <w:color w:val="000000" w:themeColor="text1"/>
        </w:rPr>
      </w:r>
      <w:r/>
    </w:p>
    <w:p>
      <w:pPr>
        <w:pStyle w:val="1256"/>
        <w:rPr>
          <w:rFonts w:hint="eastAsia"/>
          <w:color w:val="000000" w:themeColor="text1"/>
          <w:highlight w:val="none"/>
        </w:rPr>
      </w:pPr>
      <w:r>
        <w:rPr>
          <w:rFonts w:hint="eastAsia"/>
          <w:color w:val="000000" w:themeColor="text1"/>
          <w:highlight w:val="none"/>
        </w:rPr>
        <w:t xml:space="preserve">日期：     年    月    日</w:t>
      </w:r>
      <w:r>
        <w:rPr>
          <w:color w:val="000000" w:themeColor="text1"/>
        </w:rPr>
      </w:r>
      <w:r/>
    </w:p>
    <w:p>
      <w:pPr>
        <w:pStyle w:val="1256"/>
        <w:spacing w:line="360" w:lineRule="auto"/>
        <w:rPr>
          <w:rFonts w:ascii="宋体" w:hAnsi="宋体"/>
          <w:b/>
          <w:color w:val="000000" w:themeColor="text1"/>
          <w:szCs w:val="21"/>
          <w:highlight w:val="none"/>
        </w:rPr>
      </w:pPr>
      <w:r>
        <w:rPr>
          <w:rFonts w:ascii="宋体" w:hAnsi="宋体"/>
          <w:b/>
          <w:color w:val="000000" w:themeColor="text1"/>
          <w:szCs w:val="21"/>
          <w:highlight w:val="none"/>
          <w:lang w:val="zh-CN"/>
        </w:rPr>
      </w:r>
      <w:r>
        <w:rPr>
          <w:color w:val="000000" w:themeColor="text1"/>
        </w:rPr>
      </w:r>
      <w:r/>
    </w:p>
    <w:p>
      <w:pPr>
        <w:pStyle w:val="1256"/>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rPr>
      </w:r>
      <w:r/>
    </w:p>
    <w:p>
      <w:pPr>
        <w:pStyle w:val="1256"/>
        <w:ind w:right="633"/>
        <w:jc w:val="left"/>
        <w:spacing w:line="360" w:lineRule="auto"/>
        <w:shd w:val="clear" w:color="auto" w:fill="ffffff"/>
        <w:widowControl/>
        <w:rPr>
          <w:rStyle w:val="1339"/>
          <w:color w:val="000000" w:themeColor="text1"/>
          <w:sz w:val="28"/>
          <w:szCs w:val="28"/>
          <w:highlight w:val="none"/>
        </w:rPr>
        <w:outlineLvl w:val="0"/>
      </w:pPr>
      <w:r>
        <w:rPr>
          <w:rFonts w:ascii="宋体" w:hAnsi="宋体"/>
          <w:b/>
          <w:color w:val="000000" w:themeColor="text1"/>
          <w:szCs w:val="21"/>
          <w:highlight w:val="none"/>
        </w:rPr>
        <w:br w:type="page" w:clear="all"/>
      </w:r>
      <w:bookmarkStart w:id="83" w:name="_Toc14184"/>
      <w:r>
        <w:rPr>
          <w:color w:val="000000" w:themeColor="text1"/>
        </w:rPr>
      </w:r>
      <w:bookmarkStart w:id="84" w:name="_Toc13954"/>
      <w:r>
        <w:rPr>
          <w:rStyle w:val="1339"/>
          <w:rFonts w:hint="eastAsia"/>
          <w:color w:val="000000" w:themeColor="text1"/>
          <w:sz w:val="28"/>
          <w:szCs w:val="28"/>
          <w:highlight w:val="none"/>
        </w:rPr>
        <w:t xml:space="preserve">附件十一、</w:t>
      </w:r>
      <w:bookmarkEnd w:id="83"/>
      <w:r>
        <w:rPr>
          <w:rStyle w:val="1339"/>
          <w:rFonts w:hint="eastAsia"/>
          <w:color w:val="000000" w:themeColor="text1"/>
          <w:sz w:val="28"/>
          <w:szCs w:val="28"/>
          <w:highlight w:val="none"/>
        </w:rPr>
        <w:t xml:space="preserve">资格证明文件</w:t>
      </w:r>
      <w:bookmarkEnd w:id="84"/>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color w:val="000000" w:themeColor="text1"/>
        </w:rPr>
      </w:r>
      <w:bookmarkStart w:id="85" w:name="_Toc15688"/>
      <w:r>
        <w:rPr>
          <w:rFonts w:hint="eastAsia" w:ascii="宋体" w:hAnsi="宋体" w:cs="宋体"/>
          <w:color w:val="000000" w:themeColor="text1"/>
          <w:sz w:val="22"/>
          <w:szCs w:val="22"/>
          <w:highlight w:val="none"/>
        </w:rPr>
        <w:t xml:space="preserve">（一）满足《中华人民共和国政府采购法》第二十二条规定；</w:t>
      </w:r>
      <w:r>
        <w:rPr>
          <w:color w:val="000000" w:themeColor="text1"/>
        </w:rPr>
      </w:r>
      <w:r/>
    </w:p>
    <w:p>
      <w:pPr>
        <w:pStyle w:val="1256"/>
        <w:ind w:firstLine="440"/>
        <w:jc w:val="left"/>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1.具有独立承担民事责任的能力（提供法人或其他组织的营业执照扫描件加盖供应商公章）；</w:t>
      </w:r>
      <w:r>
        <w:rPr>
          <w:color w:val="000000" w:themeColor="text1"/>
        </w:rPr>
      </w:r>
      <w:r/>
    </w:p>
    <w:p>
      <w:pPr>
        <w:pStyle w:val="1256"/>
        <w:ind w:firstLine="440"/>
        <w:jc w:val="left"/>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2.具有良好的商业信誉和健全的财务会计制度【提供由第三方专业机构出具的2025年度财务审计报告（至少包含资产负债表、利润表、现金流量表、第三方专业机构</w:t>
      </w:r>
      <w:r>
        <w:rPr>
          <w:rFonts w:hint="eastAsia" w:ascii="宋体" w:hAnsi="宋体"/>
          <w:color w:val="000000" w:themeColor="text1"/>
          <w:sz w:val="22"/>
          <w:szCs w:val="22"/>
          <w:highlight w:val="none"/>
          <w:lang w:val="en-US" w:eastAsia="zh-CN"/>
        </w:rPr>
        <w:t xml:space="preserve">盖章</w:t>
      </w:r>
      <w:r>
        <w:rPr>
          <w:rFonts w:hint="eastAsia" w:ascii="宋体" w:hAnsi="宋体"/>
          <w:color w:val="000000" w:themeColor="text1"/>
          <w:sz w:val="22"/>
          <w:szCs w:val="22"/>
          <w:highlight w:val="none"/>
        </w:rPr>
        <w:t xml:space="preserve">和注册会计师签字盖章页）扫描件并加盖供应商公章，或提供</w:t>
      </w:r>
      <w:r>
        <w:rPr>
          <w:rFonts w:hint="eastAsia" w:ascii="宋体" w:hAnsi="宋体"/>
          <w:color w:val="000000" w:themeColor="text1"/>
          <w:sz w:val="22"/>
          <w:szCs w:val="22"/>
          <w:highlight w:val="none"/>
          <w:lang w:eastAsia="zh-CN"/>
        </w:rPr>
        <w:t xml:space="preserve">投标截止时间</w:t>
      </w:r>
      <w:r>
        <w:rPr>
          <w:rFonts w:hint="eastAsia" w:ascii="宋体" w:hAnsi="宋体"/>
          <w:color w:val="000000" w:themeColor="text1"/>
          <w:sz w:val="22"/>
          <w:szCs w:val="22"/>
          <w:highlight w:val="none"/>
        </w:rPr>
        <w:t xml:space="preserve">前半年内（</w:t>
      </w:r>
      <w:r>
        <w:rPr>
          <w:rFonts w:hint="eastAsia" w:ascii="宋体" w:hAnsi="宋体"/>
          <w:color w:val="000000" w:themeColor="text1"/>
          <w:sz w:val="22"/>
          <w:szCs w:val="22"/>
          <w:highlight w:val="none"/>
          <w:lang w:eastAsia="zh-CN"/>
        </w:rPr>
        <w:t xml:space="preserve">2026年1月至今</w:t>
      </w:r>
      <w:r>
        <w:rPr>
          <w:rFonts w:hint="eastAsia" w:ascii="宋体" w:hAnsi="宋体"/>
          <w:color w:val="000000" w:themeColor="text1"/>
          <w:sz w:val="22"/>
          <w:szCs w:val="22"/>
          <w:highlight w:val="none"/>
        </w:rPr>
        <w:t xml:space="preserve">）至少一个月的财务报表（至少包括资产负债表和利润表）扫描件加盖供应商公章，或</w:t>
      </w:r>
      <w:r>
        <w:rPr>
          <w:rFonts w:hint="eastAsia" w:ascii="宋体" w:hAnsi="宋体"/>
          <w:color w:val="000000" w:themeColor="text1"/>
          <w:sz w:val="22"/>
          <w:szCs w:val="22"/>
          <w:highlight w:val="none"/>
          <w:lang w:eastAsia="zh-CN"/>
        </w:rPr>
        <w:t xml:space="preserve">投标截止时间</w:t>
      </w:r>
      <w:r>
        <w:rPr>
          <w:rFonts w:hint="eastAsia" w:ascii="宋体" w:hAnsi="宋体"/>
          <w:color w:val="000000" w:themeColor="text1"/>
          <w:sz w:val="22"/>
          <w:szCs w:val="22"/>
          <w:highlight w:val="none"/>
        </w:rPr>
        <w:t xml:space="preserve">前半年内（</w:t>
      </w:r>
      <w:r>
        <w:rPr>
          <w:rFonts w:hint="eastAsia" w:ascii="宋体" w:hAnsi="宋体"/>
          <w:color w:val="000000" w:themeColor="text1"/>
          <w:sz w:val="22"/>
          <w:szCs w:val="22"/>
          <w:highlight w:val="none"/>
          <w:lang w:eastAsia="zh-CN"/>
        </w:rPr>
        <w:t xml:space="preserve">2026年1月至今</w:t>
      </w:r>
      <w:r>
        <w:rPr>
          <w:rFonts w:hint="eastAsia" w:ascii="宋体" w:hAnsi="宋体"/>
          <w:color w:val="000000" w:themeColor="text1"/>
          <w:sz w:val="22"/>
          <w:szCs w:val="22"/>
          <w:highlight w:val="none"/>
        </w:rPr>
        <w:t xml:space="preserve">）银行出具的资信证明扫描件加盖供应商公章，成立不满一年的无须提供】；</w:t>
      </w:r>
      <w:r>
        <w:rPr>
          <w:color w:val="000000" w:themeColor="text1"/>
        </w:rPr>
      </w:r>
      <w:r/>
    </w:p>
    <w:p>
      <w:pPr>
        <w:pStyle w:val="1256"/>
        <w:ind w:firstLine="440"/>
        <w:jc w:val="left"/>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3.具有履行合同所必需的设备和专业技术能力（提供具有履行合同所必需的设备和专业技术能力的书面声明加盖供应商公章）；</w:t>
      </w:r>
      <w:r>
        <w:rPr>
          <w:color w:val="000000" w:themeColor="text1"/>
        </w:rPr>
      </w:r>
      <w:r/>
    </w:p>
    <w:p>
      <w:pPr>
        <w:pStyle w:val="1256"/>
        <w:ind w:firstLine="440"/>
        <w:jc w:val="left"/>
        <w:spacing w:line="324"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4.有依法缴纳税收和社会保障资金的良好记录【提供参加本次采购活动前半年内（</w:t>
      </w:r>
      <w:r>
        <w:rPr>
          <w:rFonts w:hint="eastAsia" w:ascii="宋体" w:hAnsi="宋体"/>
          <w:color w:val="000000" w:themeColor="text1"/>
          <w:sz w:val="22"/>
          <w:szCs w:val="22"/>
          <w:highlight w:val="none"/>
          <w:lang w:eastAsia="zh-CN"/>
        </w:rPr>
        <w:t xml:space="preserve">2026年1月至今</w:t>
      </w:r>
      <w:r>
        <w:rPr>
          <w:rFonts w:hint="eastAsia" w:ascii="宋体" w:hAnsi="宋体"/>
          <w:color w:val="000000" w:themeColor="text1"/>
          <w:sz w:val="22"/>
          <w:szCs w:val="22"/>
          <w:highlight w:val="none"/>
        </w:rPr>
        <w:t xml:space="preserve">）至少一个月依法缴纳税收和社会保障资金的相关材料（相关主管部门出具的缴纳证明或银行代扣证明，根据国家相关政策免缴或迟缴的需提供相关证明材料）扫描件加盖供应商公章】；</w:t>
      </w:r>
      <w:r>
        <w:rPr>
          <w:color w:val="000000" w:themeColor="text1"/>
        </w:rPr>
      </w:r>
      <w:r/>
    </w:p>
    <w:p>
      <w:pPr>
        <w:pStyle w:val="1256"/>
        <w:ind w:firstLine="440"/>
        <w:jc w:val="left"/>
        <w:spacing w:line="324" w:lineRule="auto"/>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5.</w:t>
      </w:r>
      <w:r>
        <w:rPr>
          <w:rFonts w:hint="eastAsia" w:ascii="宋体" w:hAnsi="宋体"/>
          <w:color w:val="000000" w:themeColor="text1"/>
          <w:sz w:val="22"/>
          <w:szCs w:val="22"/>
          <w:highlight w:val="none"/>
          <w:lang w:val="zh-TW"/>
        </w:rPr>
        <w:t xml:space="preserve">参加政府采购活动前三年内，在经营活动中没有重大违法记录（提供参加本次政府采购活动前3年内在经营活动中没有重大违法记录的书面声明</w:t>
      </w:r>
      <w:r>
        <w:rPr>
          <w:rFonts w:hint="eastAsia" w:ascii="宋体" w:hAnsi="宋体"/>
          <w:color w:val="000000" w:themeColor="text1"/>
          <w:sz w:val="22"/>
          <w:szCs w:val="22"/>
          <w:highlight w:val="none"/>
        </w:rPr>
        <w:t xml:space="preserve">加盖供应商公章</w:t>
      </w:r>
      <w:r>
        <w:rPr>
          <w:rFonts w:hint="eastAsia" w:ascii="宋体" w:hAnsi="宋体"/>
          <w:color w:val="000000" w:themeColor="text1"/>
          <w:sz w:val="22"/>
          <w:szCs w:val="22"/>
          <w:highlight w:val="none"/>
          <w:lang w:val="zh-TW"/>
        </w:rPr>
        <w:t xml:space="preserve">）；</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6.法律、行政法规规定的其他条件。</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（二）落实政府采购政策需满足的资格要求：本项目不专门面向中小微企业采购，执行价格扣除优惠政策，对小微企业报价给予10%的扣除。</w:t>
      </w:r>
      <w:r>
        <w:rPr>
          <w:rFonts w:hint="eastAsia" w:ascii="宋体" w:hAnsi="宋体" w:cs="宋体"/>
          <w:color w:val="000000" w:themeColor="text1"/>
          <w:sz w:val="22"/>
          <w:szCs w:val="22"/>
          <w:highlight w:val="none"/>
          <w:lang w:val="zh-CN"/>
        </w:rPr>
        <w:t xml:space="preserve">提供《</w:t>
      </w:r>
      <w:r>
        <w:rPr>
          <w:rFonts w:hint="eastAsia" w:ascii="宋体" w:hAnsi="宋体" w:cs="宋体"/>
          <w:color w:val="000000" w:themeColor="text1"/>
          <w:sz w:val="22"/>
          <w:szCs w:val="22"/>
          <w:highlight w:val="none"/>
        </w:rPr>
        <w:t xml:space="preserve">中</w:t>
      </w:r>
      <w:r>
        <w:rPr>
          <w:rFonts w:hint="eastAsia" w:ascii="宋体" w:hAnsi="宋体" w:cs="宋体"/>
          <w:color w:val="000000" w:themeColor="text1"/>
          <w:sz w:val="22"/>
          <w:szCs w:val="22"/>
          <w:highlight w:val="none"/>
          <w:lang w:val="zh-CN"/>
        </w:rPr>
        <w:t xml:space="preserve">小企业声明函》（格式见</w:t>
      </w:r>
      <w:r>
        <w:rPr>
          <w:rFonts w:hint="eastAsia" w:ascii="宋体" w:hAnsi="宋体" w:cs="宋体"/>
          <w:color w:val="000000" w:themeColor="text1"/>
          <w:sz w:val="22"/>
          <w:szCs w:val="22"/>
          <w:highlight w:val="none"/>
        </w:rPr>
        <w:t xml:space="preserve">附件</w:t>
      </w:r>
      <w:r>
        <w:rPr>
          <w:rFonts w:hint="eastAsia" w:ascii="宋体" w:hAnsi="宋体" w:cs="宋体"/>
          <w:color w:val="000000" w:themeColor="text1"/>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s="宋体"/>
          <w:color w:val="000000" w:themeColor="text1"/>
          <w:sz w:val="22"/>
          <w:szCs w:val="22"/>
          <w:highlight w:val="none"/>
        </w:rPr>
        <w:t xml:space="preserve">附件</w:t>
      </w:r>
      <w:r>
        <w:rPr>
          <w:rFonts w:hint="eastAsia" w:ascii="宋体" w:hAnsi="宋体" w:cs="宋体"/>
          <w:color w:val="000000" w:themeColor="text1"/>
          <w:sz w:val="22"/>
          <w:szCs w:val="22"/>
          <w:highlight w:val="none"/>
          <w:lang w:val="zh-CN"/>
        </w:rPr>
        <w:t xml:space="preserve">）。</w:t>
      </w:r>
      <w:r>
        <w:rPr>
          <w:color w:val="000000" w:themeColor="text1"/>
        </w:rPr>
      </w:r>
      <w:r/>
    </w:p>
    <w:p>
      <w:pPr>
        <w:pStyle w:val="1256"/>
        <w:ind w:firstLine="440"/>
        <w:jc w:val="left"/>
        <w:spacing w:line="324" w:lineRule="auto"/>
        <w:rPr>
          <w:rFonts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rPr>
        <w:t xml:space="preserve">（三）本项目的特定资格要求</w:t>
      </w:r>
      <w:r>
        <w:rPr>
          <w:rFonts w:hint="eastAsia" w:ascii="宋体" w:hAnsi="宋体" w:cs="宋体"/>
          <w:b/>
          <w:bCs/>
          <w:color w:val="000000" w:themeColor="text1"/>
          <w:sz w:val="22"/>
          <w:szCs w:val="22"/>
          <w:highlight w:val="none"/>
        </w:rPr>
        <w:t xml:space="preserve">：无</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（四）拒绝下列供应商参加本次采购活动：</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1.供应商单位负责人为同一人或者存在直接控股、管理关系的不同供应商，不得参加同一合同项下的政府采购活动。</w:t>
      </w:r>
      <w:r>
        <w:rPr>
          <w:color w:val="000000" w:themeColor="text1"/>
        </w:rPr>
      </w:r>
      <w:r/>
    </w:p>
    <w:p>
      <w:pPr>
        <w:pStyle w:val="1256"/>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2.凡为采购项目提供整体设计、规范编制或者项目管理、监理、检测等服务的供应商，不得再参加本项目的采购活动。</w:t>
      </w:r>
      <w:r>
        <w:rPr>
          <w:color w:val="000000" w:themeColor="text1"/>
        </w:rPr>
      </w:r>
      <w:r/>
    </w:p>
    <w:p>
      <w:pPr>
        <w:pStyle w:val="1373"/>
        <w:ind w:firstLine="44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3.供应商被列入失信被执行人、重大税收违法案件当事人名单、政府采购严重违法失信行为记录名单及其他不符合《中华人民共和国政府采购法》第二十二条规定条件的供应商参与政府采购活动。</w:t>
      </w:r>
      <w:r>
        <w:rPr>
          <w:color w:val="000000" w:themeColor="text1"/>
        </w:rPr>
      </w:r>
      <w:r/>
    </w:p>
    <w:p>
      <w:pPr>
        <w:pStyle w:val="1258"/>
        <w:numPr>
          <w:ilvl w:val="1"/>
          <w:numId w:val="0"/>
        </w:numPr>
        <w:spacing w:before="0" w:after="0" w:line="240" w:lineRule="auto"/>
        <w:tabs>
          <w:tab w:val="left" w:pos="840" w:leader="none"/>
        </w:tabs>
        <w:rPr>
          <w:rStyle w:val="1339"/>
          <w:rFonts w:hint="eastAsia"/>
          <w:b w:val="0"/>
          <w:bCs w:val="0"/>
          <w:color w:val="000000" w:themeColor="text1"/>
          <w:sz w:val="28"/>
          <w:szCs w:val="28"/>
          <w:highlight w:val="none"/>
        </w:rPr>
      </w:pPr>
      <w:r>
        <w:rPr>
          <w:rStyle w:val="1339"/>
          <w:rFonts w:hint="eastAsia"/>
          <w:b w:val="0"/>
          <w:bCs w:val="0"/>
          <w:color w:val="000000" w:themeColor="text1"/>
          <w:sz w:val="28"/>
          <w:szCs w:val="28"/>
          <w:highlight w:val="none"/>
          <w:lang w:val="zh-CN"/>
        </w:rPr>
      </w:r>
      <w:r>
        <w:rPr>
          <w:color w:val="000000" w:themeColor="text1"/>
        </w:rPr>
      </w:r>
      <w:r/>
    </w:p>
    <w:p>
      <w:pPr>
        <w:pStyle w:val="1256"/>
        <w:rPr>
          <w:rStyle w:val="1339"/>
          <w:rFonts w:hint="eastAsia"/>
          <w:b w:val="0"/>
          <w:bCs w:val="0"/>
          <w:color w:val="000000" w:themeColor="text1"/>
          <w:sz w:val="28"/>
          <w:szCs w:val="28"/>
          <w:highlight w:val="none"/>
        </w:rPr>
      </w:pPr>
      <w:r>
        <w:rPr>
          <w:rStyle w:val="1339"/>
          <w:rFonts w:hint="eastAsia"/>
          <w:b w:val="0"/>
          <w:bCs w:val="0"/>
          <w:color w:val="000000" w:themeColor="text1"/>
          <w:sz w:val="28"/>
          <w:szCs w:val="28"/>
          <w:highlight w:val="none"/>
          <w:lang w:val="zh-CN"/>
        </w:rPr>
      </w:r>
      <w:r>
        <w:rPr>
          <w:color w:val="000000" w:themeColor="text1"/>
        </w:rPr>
      </w:r>
      <w:r/>
    </w:p>
    <w:p>
      <w:pPr>
        <w:pStyle w:val="1294"/>
        <w:rPr>
          <w:rFonts w:hint="eastAsia"/>
          <w:color w:val="000000" w:themeColor="text1"/>
          <w:highlight w:val="none"/>
        </w:rPr>
      </w:pPr>
      <w:r>
        <w:rPr>
          <w:rFonts w:hint="eastAsia"/>
          <w:color w:val="000000" w:themeColor="text1"/>
          <w:highlight w:val="none"/>
          <w:lang w:val="zh-CN"/>
        </w:rPr>
      </w:r>
      <w:r>
        <w:rPr>
          <w:color w:val="000000" w:themeColor="text1"/>
        </w:rPr>
      </w:r>
      <w:r/>
    </w:p>
    <w:p>
      <w:pPr>
        <w:pStyle w:val="1258"/>
        <w:numPr>
          <w:ilvl w:val="1"/>
          <w:numId w:val="0"/>
        </w:numPr>
        <w:spacing w:before="0" w:after="0" w:line="240" w:lineRule="auto"/>
        <w:tabs>
          <w:tab w:val="left" w:pos="840" w:leader="none"/>
        </w:tabs>
        <w:rPr>
          <w:rStyle w:val="1339"/>
          <w:rFonts w:hint="eastAsia"/>
          <w:b w:val="0"/>
          <w:bCs w:val="0"/>
          <w:color w:val="000000" w:themeColor="text1"/>
          <w:sz w:val="28"/>
          <w:szCs w:val="28"/>
          <w:highlight w:val="none"/>
        </w:rPr>
      </w:pPr>
      <w:r>
        <w:rPr>
          <w:color w:val="000000" w:themeColor="text1"/>
        </w:rPr>
      </w:r>
      <w:bookmarkStart w:id="86" w:name="_Toc22836"/>
      <w:r>
        <w:rPr>
          <w:rStyle w:val="1339"/>
          <w:rFonts w:hint="eastAsia"/>
          <w:b w:val="0"/>
          <w:bCs w:val="0"/>
          <w:color w:val="000000" w:themeColor="text1"/>
          <w:sz w:val="28"/>
          <w:szCs w:val="28"/>
          <w:highlight w:val="none"/>
          <w:lang w:val="zh-CN"/>
        </w:rPr>
        <w:t xml:space="preserve">附件十</w:t>
      </w:r>
      <w:r>
        <w:rPr>
          <w:rStyle w:val="1339"/>
          <w:rFonts w:hint="eastAsia"/>
          <w:b w:val="0"/>
          <w:bCs w:val="0"/>
          <w:color w:val="000000" w:themeColor="text1"/>
          <w:sz w:val="28"/>
          <w:szCs w:val="28"/>
          <w:highlight w:val="none"/>
        </w:rPr>
        <w:t xml:space="preserve">二</w:t>
      </w:r>
      <w:r>
        <w:rPr>
          <w:rStyle w:val="1339"/>
          <w:rFonts w:hint="eastAsia"/>
          <w:b w:val="0"/>
          <w:bCs w:val="0"/>
          <w:color w:val="000000" w:themeColor="text1"/>
          <w:sz w:val="28"/>
          <w:szCs w:val="28"/>
          <w:highlight w:val="none"/>
          <w:lang w:val="zh-CN"/>
        </w:rPr>
        <w:t xml:space="preserve">、无重大违法记录声明格式</w:t>
      </w:r>
      <w:bookmarkEnd w:id="85"/>
      <w:r>
        <w:rPr>
          <w:color w:val="000000" w:themeColor="text1"/>
        </w:rPr>
      </w:r>
      <w:bookmarkEnd w:id="86"/>
      <w:r>
        <w:rPr>
          <w:color w:val="000000" w:themeColor="text1"/>
        </w:rPr>
      </w:r>
      <w:r/>
    </w:p>
    <w:p>
      <w:pPr>
        <w:pStyle w:val="1256"/>
        <w:spacing w:line="360" w:lineRule="auto"/>
        <w:rPr>
          <w:rFonts w:hint="eastAsia"/>
          <w:color w:val="000000" w:themeColor="text1"/>
          <w:highlight w:val="none"/>
        </w:rPr>
      </w:pPr>
      <w:r>
        <w:rPr>
          <w:rFonts w:hint="eastAsia"/>
          <w:color w:val="000000" w:themeColor="text1"/>
          <w:highlight w:val="none"/>
        </w:rPr>
      </w:r>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outlineLvl w:val="0"/>
      </w:pPr>
      <w:r>
        <w:rPr>
          <w:color w:val="000000" w:themeColor="text1"/>
        </w:rPr>
      </w:r>
      <w:bookmarkStart w:id="87" w:name="_Toc21981"/>
      <w:r>
        <w:rPr>
          <w:rFonts w:hint="eastAsia" w:ascii="宋体" w:hAnsi="宋体" w:cs="宋体"/>
          <w:b/>
          <w:bCs/>
          <w:color w:val="000000" w:themeColor="text1"/>
          <w:sz w:val="28"/>
          <w:highlight w:val="none"/>
          <w:lang w:val="zh-CN"/>
        </w:rPr>
        <w:t xml:space="preserve">无重大违法记录声明</w:t>
      </w:r>
      <w:bookmarkEnd w:id="87"/>
      <w:r>
        <w:rPr>
          <w:color w:val="000000" w:themeColor="text1"/>
        </w:rPr>
      </w:r>
      <w:r/>
    </w:p>
    <w:p>
      <w:pPr>
        <w:pStyle w:val="1256"/>
        <w:spacing w:line="300" w:lineRule="auto"/>
        <w:rPr>
          <w:rFonts w:hint="eastAsia"/>
          <w:color w:val="000000" w:themeColor="text1"/>
          <w:sz w:val="24"/>
          <w:highlight w:val="none"/>
        </w:rPr>
      </w:pPr>
      <w:r>
        <w:rPr>
          <w:rFonts w:hint="eastAsia"/>
          <w:color w:val="000000" w:themeColor="text1"/>
          <w:sz w:val="24"/>
          <w:highlight w:val="none"/>
        </w:rPr>
        <w:t xml:space="preserve">南京特殊教育师范学院：</w:t>
      </w:r>
      <w:r>
        <w:rPr>
          <w:color w:val="000000" w:themeColor="text1"/>
        </w:rPr>
      </w:r>
      <w:r/>
    </w:p>
    <w:p>
      <w:pPr>
        <w:pStyle w:val="1256"/>
        <w:spacing w:line="300" w:lineRule="auto"/>
        <w:rPr>
          <w:rFonts w:hint="eastAsia"/>
          <w:color w:val="000000" w:themeColor="text1"/>
          <w:sz w:val="24"/>
          <w:highlight w:val="none"/>
        </w:rPr>
      </w:pPr>
      <w:r>
        <w:rPr>
          <w:rFonts w:hint="eastAsia"/>
          <w:color w:val="000000" w:themeColor="text1"/>
          <w:sz w:val="24"/>
          <w:highlight w:val="none"/>
        </w:rPr>
        <w:t xml:space="preserve">    我单位</w:t>
      </w:r>
      <w:r>
        <w:rPr>
          <w:rFonts w:hint="eastAsia"/>
          <w:color w:val="000000" w:themeColor="text1"/>
          <w:sz w:val="24"/>
          <w:highlight w:val="none"/>
          <w:u w:val="single"/>
        </w:rPr>
        <w:t xml:space="preserve">                                       </w:t>
      </w:r>
      <w:r>
        <w:rPr>
          <w:rFonts w:hint="eastAsia"/>
          <w:color w:val="000000" w:themeColor="text1"/>
          <w:sz w:val="24"/>
          <w:highlight w:val="none"/>
        </w:rPr>
        <w:t xml:space="preserve">（</w:t>
      </w:r>
      <w:r>
        <w:rPr>
          <w:rFonts w:hint="eastAsia" w:ascii="宋体" w:hAnsi="宋体"/>
          <w:color w:val="000000" w:themeColor="text1"/>
          <w:sz w:val="24"/>
          <w:highlight w:val="none"/>
        </w:rPr>
        <w:t xml:space="preserve">供应商名称</w:t>
      </w:r>
      <w:r>
        <w:rPr>
          <w:rFonts w:hint="eastAsia"/>
          <w:color w:val="000000" w:themeColor="text1"/>
          <w:sz w:val="24"/>
          <w:highlight w:val="none"/>
        </w:rPr>
        <w:t xml:space="preserve">）郑重声明：</w:t>
      </w:r>
      <w:r>
        <w:rPr>
          <w:color w:val="000000" w:themeColor="text1"/>
        </w:rPr>
      </w:r>
      <w:r/>
    </w:p>
    <w:p>
      <w:pPr>
        <w:pStyle w:val="1256"/>
        <w:spacing w:line="300" w:lineRule="auto"/>
        <w:rPr>
          <w:rFonts w:hint="eastAsia"/>
          <w:color w:val="000000" w:themeColor="text1"/>
          <w:sz w:val="24"/>
          <w:highlight w:val="none"/>
        </w:rPr>
      </w:pPr>
      <w:r>
        <w:rPr>
          <w:rFonts w:hint="eastAsia"/>
          <w:color w:val="000000" w:themeColor="text1"/>
          <w:sz w:val="24"/>
          <w:highlight w:val="none"/>
        </w:rPr>
        <w:t xml:space="preserve">    参加政府采购活动前三年内在经营活动中</w:t>
      </w:r>
      <w:r>
        <w:rPr>
          <w:rFonts w:hint="eastAsia"/>
          <w:color w:val="000000" w:themeColor="text1"/>
          <w:sz w:val="24"/>
          <w:highlight w:val="none"/>
          <w:u w:val="single"/>
        </w:rPr>
        <w:t xml:space="preserve">        </w:t>
      </w:r>
      <w:r>
        <w:rPr>
          <w:rFonts w:hint="eastAsia"/>
          <w:color w:val="000000" w:themeColor="text1"/>
          <w:sz w:val="24"/>
          <w:highlight w:val="none"/>
        </w:rPr>
        <w:t xml:space="preserve">（在下划线上如实填写：有或没有）重大违法记录。</w:t>
      </w:r>
      <w:r>
        <w:rPr>
          <w:color w:val="000000" w:themeColor="text1"/>
        </w:rPr>
      </w:r>
      <w:r/>
    </w:p>
    <w:p>
      <w:pPr>
        <w:pStyle w:val="1256"/>
        <w:spacing w:line="300" w:lineRule="auto"/>
        <w:rPr>
          <w:rFonts w:hint="eastAsia"/>
          <w:color w:val="000000" w:themeColor="text1"/>
          <w:sz w:val="24"/>
          <w:highlight w:val="none"/>
        </w:rPr>
      </w:pPr>
      <w:r>
        <w:rPr>
          <w:rFonts w:hint="eastAsia"/>
          <w:color w:val="000000" w:themeColor="text1"/>
          <w:sz w:val="24"/>
          <w:highlight w:val="none"/>
        </w:rPr>
        <w:t xml:space="preserve">    （说明：政府采购法第二十二条第一款第五项所称重大违法记录，是指供应商因违法经营受到刑事处罚或者责令停产停业、吊销许可证或者执照、较大数额罚款等行政处罚。）</w:t>
      </w:r>
      <w:r>
        <w:rPr>
          <w:color w:val="000000" w:themeColor="text1"/>
        </w:rPr>
      </w:r>
      <w:r/>
    </w:p>
    <w:p>
      <w:pPr>
        <w:pStyle w:val="1256"/>
        <w:spacing w:line="300" w:lineRule="auto"/>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spacing w:line="360" w:lineRule="auto"/>
        <w:rPr>
          <w:rFonts w:hint="eastAsia"/>
          <w:color w:val="000000" w:themeColor="text1"/>
          <w:sz w:val="24"/>
          <w:highlight w:val="none"/>
        </w:rPr>
      </w:pPr>
      <w:r>
        <w:rPr>
          <w:rFonts w:hint="eastAsia"/>
          <w:color w:val="000000" w:themeColor="text1"/>
          <w:sz w:val="24"/>
          <w:highlight w:val="none"/>
        </w:rPr>
        <w:t xml:space="preserve">                                                      </w:t>
      </w:r>
      <w:r>
        <w:rPr>
          <w:color w:val="000000" w:themeColor="text1"/>
        </w:rPr>
      </w:r>
      <w:r/>
    </w:p>
    <w:p>
      <w:pPr>
        <w:pStyle w:val="1256"/>
        <w:ind w:firstLine="5040"/>
        <w:spacing w:line="360" w:lineRule="auto"/>
        <w:rPr>
          <w:rFonts w:hint="eastAsia"/>
          <w:color w:val="000000" w:themeColor="text1"/>
          <w:sz w:val="24"/>
          <w:highlight w:val="none"/>
        </w:rPr>
      </w:pPr>
      <w:r>
        <w:rPr>
          <w:rFonts w:hint="eastAsia"/>
          <w:color w:val="000000" w:themeColor="text1"/>
          <w:sz w:val="24"/>
          <w:highlight w:val="none"/>
        </w:rPr>
        <w:t xml:space="preserve">声明人（加盖电子公章）： </w:t>
      </w:r>
      <w:r>
        <w:rPr>
          <w:color w:val="000000" w:themeColor="text1"/>
        </w:rPr>
      </w:r>
      <w:r/>
    </w:p>
    <w:p>
      <w:pPr>
        <w:pStyle w:val="1256"/>
        <w:spacing w:line="360" w:lineRule="auto"/>
        <w:rPr>
          <w:rFonts w:hint="eastAsia"/>
          <w:color w:val="000000" w:themeColor="text1"/>
          <w:sz w:val="24"/>
          <w:highlight w:val="none"/>
        </w:rPr>
      </w:pPr>
      <w:r>
        <w:rPr>
          <w:rFonts w:hint="eastAsia"/>
          <w:color w:val="000000" w:themeColor="text1"/>
          <w:sz w:val="24"/>
          <w:highlight w:val="none"/>
        </w:rPr>
        <w:t xml:space="preserve">                                                 日  期：______年___月___日</w:t>
      </w:r>
      <w:r>
        <w:rPr>
          <w:color w:val="000000" w:themeColor="text1"/>
        </w:rPr>
      </w:r>
      <w:r/>
    </w:p>
    <w:p>
      <w:pPr>
        <w:pStyle w:val="1256"/>
        <w:spacing w:line="360" w:lineRule="auto"/>
        <w:rPr>
          <w:rFonts w:hint="eastAsia"/>
          <w:color w:val="000000" w:themeColor="text1"/>
          <w:highlight w:val="none"/>
        </w:rPr>
      </w:pPr>
      <w:r>
        <w:rPr>
          <w:rFonts w:hint="eastAsia"/>
          <w:color w:val="000000" w:themeColor="text1"/>
          <w:highlight w:val="none"/>
        </w:rPr>
      </w:r>
      <w:r>
        <w:rPr>
          <w:color w:val="000000" w:themeColor="text1"/>
        </w:rPr>
      </w:r>
      <w:r/>
    </w:p>
    <w:p>
      <w:pPr>
        <w:pStyle w:val="1256"/>
        <w:spacing w:line="360" w:lineRule="auto"/>
        <w:rPr>
          <w:rFonts w:hint="eastAsia"/>
          <w:b/>
          <w:color w:val="000000" w:themeColor="text1"/>
          <w:highlight w:val="none"/>
        </w:rPr>
      </w:pPr>
      <w:r>
        <w:rPr>
          <w:rFonts w:hint="eastAsia"/>
          <w:b/>
          <w:color w:val="000000" w:themeColor="text1"/>
          <w:highlight w:val="none"/>
        </w:rPr>
      </w:r>
      <w:r>
        <w:rPr>
          <w:color w:val="000000" w:themeColor="text1"/>
        </w:rPr>
      </w:r>
      <w:r/>
    </w:p>
    <w:p>
      <w:pPr>
        <w:pStyle w:val="1256"/>
        <w:spacing w:line="360" w:lineRule="auto"/>
        <w:rPr>
          <w:rFonts w:hint="eastAsia"/>
          <w:b/>
          <w:color w:val="000000" w:themeColor="text1"/>
          <w:highlight w:val="none"/>
        </w:rPr>
      </w:pPr>
      <w:r>
        <w:rPr>
          <w:rFonts w:hint="eastAsia"/>
          <w:b/>
          <w:color w:val="000000" w:themeColor="text1"/>
          <w:highlight w:val="none"/>
        </w:rPr>
      </w:r>
      <w:r>
        <w:rPr>
          <w:color w:val="000000" w:themeColor="text1"/>
        </w:rPr>
      </w:r>
      <w:r/>
    </w:p>
    <w:p>
      <w:pPr>
        <w:pStyle w:val="1258"/>
        <w:numPr>
          <w:ilvl w:val="1"/>
          <w:numId w:val="0"/>
        </w:numPr>
        <w:spacing w:before="0" w:after="0" w:line="240" w:lineRule="auto"/>
        <w:tabs>
          <w:tab w:val="left" w:pos="840" w:leader="none"/>
        </w:tabs>
        <w:rPr>
          <w:rStyle w:val="1339"/>
          <w:rFonts w:hint="eastAsia"/>
          <w:b w:val="0"/>
          <w:bCs w:val="0"/>
          <w:color w:val="000000" w:themeColor="text1"/>
          <w:sz w:val="28"/>
          <w:szCs w:val="28"/>
          <w:highlight w:val="none"/>
        </w:rPr>
      </w:pPr>
      <w:r>
        <w:rPr>
          <w:color w:val="000000" w:themeColor="text1"/>
        </w:rPr>
      </w:r>
      <w:bookmarkStart w:id="88" w:name="_Toc14680"/>
      <w:r>
        <w:rPr>
          <w:color w:val="000000" w:themeColor="text1"/>
        </w:rPr>
      </w:r>
      <w:bookmarkStart w:id="89" w:name="_Toc26142"/>
      <w:r>
        <w:rPr>
          <w:rStyle w:val="1339"/>
          <w:rFonts w:hint="eastAsia"/>
          <w:b w:val="0"/>
          <w:bCs w:val="0"/>
          <w:color w:val="000000" w:themeColor="text1"/>
          <w:sz w:val="28"/>
          <w:szCs w:val="28"/>
          <w:highlight w:val="none"/>
          <w:lang w:val="zh-CN"/>
        </w:rPr>
        <w:t xml:space="preserve">附件十</w:t>
      </w:r>
      <w:r>
        <w:rPr>
          <w:rStyle w:val="1339"/>
          <w:rFonts w:hint="eastAsia"/>
          <w:b w:val="0"/>
          <w:bCs w:val="0"/>
          <w:color w:val="000000" w:themeColor="text1"/>
          <w:sz w:val="28"/>
          <w:szCs w:val="28"/>
          <w:highlight w:val="none"/>
        </w:rPr>
        <w:t xml:space="preserve">三</w:t>
      </w:r>
      <w:r>
        <w:rPr>
          <w:rStyle w:val="1339"/>
          <w:rFonts w:hint="eastAsia"/>
          <w:b w:val="0"/>
          <w:bCs w:val="0"/>
          <w:color w:val="000000" w:themeColor="text1"/>
          <w:sz w:val="28"/>
          <w:szCs w:val="28"/>
          <w:highlight w:val="none"/>
          <w:lang w:val="zh-CN"/>
        </w:rPr>
        <w:t xml:space="preserve">、具备履行合同所必需的设备和专业技术能力的声明格式及证明材料</w:t>
      </w:r>
      <w:bookmarkEnd w:id="88"/>
      <w:r>
        <w:rPr>
          <w:color w:val="000000" w:themeColor="text1"/>
        </w:rPr>
      </w:r>
      <w:bookmarkEnd w:id="89"/>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outlineLvl w:val="0"/>
      </w:pPr>
      <w:r>
        <w:rPr>
          <w:color w:val="000000" w:themeColor="text1"/>
        </w:rPr>
      </w:r>
      <w:bookmarkStart w:id="90" w:name="_Toc11124"/>
      <w:r>
        <w:rPr>
          <w:rFonts w:hint="eastAsia" w:ascii="宋体" w:hAnsi="宋体" w:cs="宋体"/>
          <w:b/>
          <w:bCs/>
          <w:color w:val="000000" w:themeColor="text1"/>
          <w:sz w:val="28"/>
          <w:highlight w:val="none"/>
          <w:lang w:val="zh-CN"/>
        </w:rPr>
        <w:t xml:space="preserve">具备履行合同所必需的设备和专业技术能力的声明格式</w:t>
      </w:r>
      <w:bookmarkEnd w:id="90"/>
      <w:r>
        <w:rPr>
          <w:color w:val="000000" w:themeColor="text1"/>
        </w:rPr>
      </w:r>
      <w:r/>
    </w:p>
    <w:p>
      <w:pPr>
        <w:pStyle w:val="1256"/>
        <w:spacing w:line="300" w:lineRule="auto"/>
        <w:rPr>
          <w:rFonts w:hint="eastAsia"/>
          <w:color w:val="000000" w:themeColor="text1"/>
          <w:sz w:val="24"/>
          <w:highlight w:val="none"/>
        </w:rPr>
      </w:pPr>
      <w:r>
        <w:rPr>
          <w:rFonts w:hint="eastAsia"/>
          <w:color w:val="000000" w:themeColor="text1"/>
          <w:sz w:val="24"/>
          <w:highlight w:val="none"/>
        </w:rPr>
        <w:t xml:space="preserve">南京特殊教育师范学院：</w:t>
      </w:r>
      <w:r>
        <w:rPr>
          <w:color w:val="000000" w:themeColor="text1"/>
        </w:rPr>
      </w:r>
      <w:r/>
    </w:p>
    <w:p>
      <w:pPr>
        <w:pStyle w:val="1256"/>
        <w:ind w:firstLine="492"/>
        <w:spacing w:line="300" w:lineRule="auto"/>
        <w:rPr>
          <w:rFonts w:hint="eastAsia"/>
          <w:color w:val="000000" w:themeColor="text1"/>
          <w:sz w:val="24"/>
          <w:highlight w:val="none"/>
        </w:rPr>
      </w:pPr>
      <w:r>
        <w:rPr>
          <w:rFonts w:hint="eastAsia"/>
          <w:color w:val="000000" w:themeColor="text1"/>
          <w:sz w:val="24"/>
          <w:highlight w:val="none"/>
        </w:rPr>
        <w:t xml:space="preserve">我单位</w:t>
      </w:r>
      <w:r>
        <w:rPr>
          <w:rFonts w:hint="eastAsia"/>
          <w:color w:val="000000" w:themeColor="text1"/>
          <w:sz w:val="24"/>
          <w:highlight w:val="none"/>
          <w:u w:val="single"/>
        </w:rPr>
        <w:t xml:space="preserve">                             </w:t>
      </w:r>
      <w:r>
        <w:rPr>
          <w:rFonts w:hint="eastAsia"/>
          <w:color w:val="000000" w:themeColor="text1"/>
          <w:sz w:val="24"/>
          <w:highlight w:val="none"/>
        </w:rPr>
        <w:t xml:space="preserve">（</w:t>
      </w:r>
      <w:r>
        <w:rPr>
          <w:rFonts w:hint="eastAsia" w:ascii="宋体" w:hAnsi="宋体"/>
          <w:color w:val="000000" w:themeColor="text1"/>
          <w:sz w:val="24"/>
          <w:highlight w:val="none"/>
        </w:rPr>
        <w:t xml:space="preserve">供应商名称</w:t>
      </w:r>
      <w:r>
        <w:rPr>
          <w:rFonts w:hint="eastAsia"/>
          <w:color w:val="000000" w:themeColor="text1"/>
          <w:sz w:val="24"/>
          <w:highlight w:val="none"/>
        </w:rPr>
        <w:t xml:space="preserve">）郑重声明：</w:t>
      </w:r>
      <w:r>
        <w:rPr>
          <w:color w:val="000000" w:themeColor="text1"/>
        </w:rPr>
      </w:r>
      <w:r/>
    </w:p>
    <w:p>
      <w:pPr>
        <w:pStyle w:val="1256"/>
        <w:ind w:firstLine="492"/>
        <w:spacing w:line="300" w:lineRule="auto"/>
        <w:rPr>
          <w:rFonts w:hint="eastAsia"/>
          <w:color w:val="000000" w:themeColor="text1"/>
          <w:sz w:val="24"/>
          <w:highlight w:val="none"/>
        </w:rPr>
      </w:pPr>
      <w:r>
        <w:rPr>
          <w:rFonts w:hint="eastAsia"/>
          <w:color w:val="000000" w:themeColor="text1"/>
          <w:sz w:val="24"/>
          <w:highlight w:val="none"/>
        </w:rPr>
        <w:t xml:space="preserve">我公司具备履行本项采购合同所必需的设备和专业技术能力，为履行本项采购合同我单位具备如下主要设备和主要专业技术能力：</w:t>
      </w:r>
      <w:r>
        <w:rPr>
          <w:color w:val="000000" w:themeColor="text1"/>
        </w:rPr>
      </w:r>
      <w:r/>
    </w:p>
    <w:p>
      <w:pPr>
        <w:pStyle w:val="1256"/>
        <w:ind w:firstLine="492"/>
        <w:spacing w:line="300" w:lineRule="auto"/>
        <w:rPr>
          <w:rFonts w:hint="eastAsia"/>
          <w:color w:val="000000" w:themeColor="text1"/>
          <w:sz w:val="24"/>
          <w:highlight w:val="none"/>
        </w:rPr>
      </w:pPr>
      <w:r>
        <w:rPr>
          <w:rFonts w:hint="eastAsia"/>
          <w:color w:val="000000" w:themeColor="text1"/>
          <w:sz w:val="24"/>
          <w:highlight w:val="none"/>
        </w:rPr>
        <w:t xml:space="preserve">主要设备有：</w:t>
      </w:r>
      <w:r>
        <w:rPr>
          <w:rFonts w:hint="eastAsia"/>
          <w:color w:val="000000" w:themeColor="text1"/>
          <w:sz w:val="24"/>
          <w:highlight w:val="none"/>
          <w:u w:val="single"/>
        </w:rPr>
        <w:t xml:space="preserve">                         </w:t>
      </w:r>
      <w:r>
        <w:rPr>
          <w:rFonts w:hint="eastAsia"/>
          <w:color w:val="000000" w:themeColor="text1"/>
          <w:sz w:val="24"/>
          <w:highlight w:val="none"/>
        </w:rPr>
        <w:t xml:space="preserve"> ( 如有 )</w:t>
      </w:r>
      <w:r>
        <w:rPr>
          <w:color w:val="000000" w:themeColor="text1"/>
        </w:rPr>
      </w:r>
      <w:r/>
    </w:p>
    <w:p>
      <w:pPr>
        <w:pStyle w:val="1256"/>
        <w:ind w:firstLine="492"/>
        <w:spacing w:line="300" w:lineRule="auto"/>
        <w:rPr>
          <w:rFonts w:hint="eastAsia"/>
          <w:color w:val="000000" w:themeColor="text1"/>
          <w:sz w:val="24"/>
          <w:highlight w:val="none"/>
        </w:rPr>
      </w:pPr>
      <w:r>
        <w:rPr>
          <w:rFonts w:hint="eastAsia"/>
          <w:color w:val="000000" w:themeColor="text1"/>
          <w:sz w:val="24"/>
          <w:highlight w:val="none"/>
        </w:rPr>
        <w:t xml:space="preserve">主要专业技术能力有：</w:t>
      </w:r>
      <w:r>
        <w:rPr>
          <w:rFonts w:hint="eastAsia"/>
          <w:color w:val="000000" w:themeColor="text1"/>
          <w:sz w:val="24"/>
          <w:highlight w:val="none"/>
          <w:u w:val="single"/>
        </w:rPr>
        <w:t xml:space="preserve">                  </w:t>
      </w:r>
      <w:r>
        <w:rPr>
          <w:rFonts w:hint="eastAsia"/>
          <w:color w:val="000000" w:themeColor="text1"/>
          <w:sz w:val="24"/>
          <w:highlight w:val="none"/>
        </w:rPr>
        <w:t xml:space="preserve"> ( 如有 )</w:t>
      </w:r>
      <w:r>
        <w:rPr>
          <w:color w:val="000000" w:themeColor="text1"/>
        </w:rPr>
      </w:r>
      <w:r/>
    </w:p>
    <w:p>
      <w:pPr>
        <w:pStyle w:val="1256"/>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rPr>
      </w:r>
      <w:r/>
    </w:p>
    <w:p>
      <w:pPr>
        <w:pStyle w:val="1256"/>
        <w:spacing w:line="360" w:lineRule="auto"/>
        <w:rPr>
          <w:rFonts w:hint="eastAsia"/>
          <w:color w:val="000000" w:themeColor="text1"/>
          <w:sz w:val="24"/>
          <w:highlight w:val="none"/>
        </w:rPr>
      </w:pPr>
      <w:r>
        <w:rPr>
          <w:rFonts w:hint="eastAsia"/>
          <w:color w:val="000000" w:themeColor="text1"/>
          <w:sz w:val="24"/>
          <w:highlight w:val="none"/>
        </w:rPr>
        <w:t xml:space="preserve">                                                  声明人（加盖电子公章）： </w:t>
      </w:r>
      <w:r>
        <w:rPr>
          <w:color w:val="000000" w:themeColor="text1"/>
        </w:rPr>
      </w:r>
      <w:r/>
    </w:p>
    <w:p>
      <w:pPr>
        <w:pStyle w:val="1256"/>
        <w:spacing w:line="360" w:lineRule="auto"/>
        <w:rPr>
          <w:rFonts w:hint="eastAsia"/>
          <w:color w:val="000000" w:themeColor="text1"/>
          <w:sz w:val="24"/>
          <w:highlight w:val="none"/>
        </w:rPr>
      </w:pPr>
      <w:r>
        <w:rPr>
          <w:rFonts w:hint="eastAsia"/>
          <w:color w:val="000000" w:themeColor="text1"/>
          <w:sz w:val="24"/>
          <w:highlight w:val="none"/>
        </w:rPr>
        <w:t xml:space="preserve">                                                 日  期：______年___月___日</w:t>
      </w:r>
      <w:r>
        <w:rPr>
          <w:color w:val="000000" w:themeColor="text1"/>
        </w:rPr>
      </w:r>
      <w:r/>
    </w:p>
    <w:p>
      <w:pPr>
        <w:pStyle w:val="1256"/>
        <w:ind w:firstLine="492"/>
        <w:spacing w:line="460" w:lineRule="exact"/>
        <w:rPr>
          <w:rFonts w:hint="eastAsia"/>
          <w:color w:val="000000" w:themeColor="text1"/>
          <w:sz w:val="24"/>
          <w:highlight w:val="none"/>
        </w:rPr>
      </w:pPr>
      <w:r>
        <w:rPr>
          <w:rFonts w:hint="eastAsia"/>
          <w:color w:val="000000" w:themeColor="text1"/>
          <w:sz w:val="24"/>
          <w:highlight w:val="none"/>
        </w:rPr>
        <w:t xml:space="preserve">其他证明材料及文件（投标供应商认为需要提供的）</w:t>
      </w:r>
      <w:r>
        <w:rPr>
          <w:color w:val="000000" w:themeColor="text1"/>
        </w:rPr>
      </w:r>
      <w:r/>
    </w:p>
    <w:p>
      <w:pPr>
        <w:pStyle w:val="1256"/>
        <w:rPr>
          <w:rFonts w:hint="eastAsia"/>
          <w:color w:val="000000" w:themeColor="text1"/>
          <w:highlight w:val="none"/>
        </w:rPr>
      </w:pPr>
      <w:r>
        <w:rPr>
          <w:rFonts w:hint="eastAsia"/>
          <w:color w:val="000000" w:themeColor="text1"/>
          <w:highlight w:val="none"/>
        </w:rPr>
      </w:r>
      <w:r>
        <w:rPr>
          <w:color w:val="000000" w:themeColor="text1"/>
        </w:rPr>
      </w:r>
      <w:r/>
    </w:p>
    <w:p>
      <w:pPr>
        <w:pStyle w:val="1256"/>
        <w:rPr>
          <w:rFonts w:hint="eastAsia"/>
          <w:color w:val="000000" w:themeColor="text1"/>
          <w:highlight w:val="none"/>
        </w:rPr>
      </w:pPr>
      <w:r>
        <w:rPr>
          <w:rFonts w:hint="eastAsia"/>
          <w:color w:val="000000" w:themeColor="text1"/>
          <w:highlight w:val="none"/>
        </w:rPr>
      </w:r>
      <w:r>
        <w:rPr>
          <w:color w:val="000000" w:themeColor="text1"/>
        </w:rPr>
      </w:r>
      <w:r/>
    </w:p>
    <w:p>
      <w:pPr>
        <w:pStyle w:val="1256"/>
        <w:rPr>
          <w:rFonts w:hint="eastAsia"/>
          <w:color w:val="000000" w:themeColor="text1"/>
          <w:highlight w:val="none"/>
        </w:rPr>
      </w:pPr>
      <w:r>
        <w:rPr>
          <w:rFonts w:hint="eastAsia"/>
          <w:color w:val="000000" w:themeColor="text1"/>
          <w:highlight w:val="none"/>
        </w:rPr>
      </w:r>
      <w:r>
        <w:rPr>
          <w:color w:val="000000" w:themeColor="text1"/>
        </w:rPr>
      </w:r>
      <w:r/>
    </w:p>
    <w:p>
      <w:pPr>
        <w:pStyle w:val="1258"/>
        <w:numPr>
          <w:ilvl w:val="1"/>
          <w:numId w:val="0"/>
        </w:numPr>
        <w:spacing w:before="0" w:after="0" w:line="240" w:lineRule="auto"/>
        <w:tabs>
          <w:tab w:val="left" w:pos="840" w:leader="none"/>
        </w:tabs>
        <w:rPr>
          <w:rStyle w:val="1339"/>
          <w:rFonts w:hint="eastAsia"/>
          <w:b w:val="0"/>
          <w:bCs w:val="0"/>
          <w:color w:val="000000" w:themeColor="text1"/>
          <w:sz w:val="28"/>
          <w:szCs w:val="28"/>
          <w:highlight w:val="none"/>
        </w:rPr>
      </w:pPr>
      <w:r>
        <w:rPr>
          <w:color w:val="000000" w:themeColor="text1"/>
        </w:rPr>
      </w:r>
      <w:bookmarkStart w:id="91" w:name="_Toc17570"/>
      <w:r>
        <w:rPr>
          <w:color w:val="000000" w:themeColor="text1"/>
        </w:rPr>
      </w:r>
      <w:bookmarkStart w:id="92" w:name="_Toc16553"/>
      <w:r>
        <w:rPr>
          <w:rStyle w:val="1339"/>
          <w:rFonts w:hint="eastAsia"/>
          <w:b w:val="0"/>
          <w:bCs w:val="0"/>
          <w:color w:val="000000" w:themeColor="text1"/>
          <w:sz w:val="28"/>
          <w:szCs w:val="28"/>
          <w:highlight w:val="none"/>
          <w:lang w:val="zh-CN"/>
        </w:rPr>
        <w:t xml:space="preserve">附件十</w:t>
      </w:r>
      <w:r>
        <w:rPr>
          <w:rStyle w:val="1339"/>
          <w:rFonts w:hint="eastAsia"/>
          <w:b w:val="0"/>
          <w:bCs w:val="0"/>
          <w:color w:val="000000" w:themeColor="text1"/>
          <w:sz w:val="28"/>
          <w:szCs w:val="28"/>
          <w:highlight w:val="none"/>
        </w:rPr>
        <w:t xml:space="preserve">四</w:t>
      </w:r>
      <w:r>
        <w:rPr>
          <w:rStyle w:val="1339"/>
          <w:rFonts w:hint="eastAsia"/>
          <w:b w:val="0"/>
          <w:bCs w:val="0"/>
          <w:color w:val="000000" w:themeColor="text1"/>
          <w:sz w:val="28"/>
          <w:szCs w:val="28"/>
          <w:highlight w:val="none"/>
          <w:lang w:val="zh-CN"/>
        </w:rPr>
        <w:t xml:space="preserve">、中小企业声明函格式</w:t>
      </w:r>
      <w:bookmarkEnd w:id="91"/>
      <w:r>
        <w:rPr>
          <w:color w:val="000000" w:themeColor="text1"/>
        </w:rPr>
      </w:r>
      <w:bookmarkEnd w:id="92"/>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outlineLvl w:val="0"/>
      </w:pPr>
      <w:r>
        <w:rPr>
          <w:color w:val="000000" w:themeColor="text1"/>
        </w:rPr>
      </w:r>
      <w:bookmarkStart w:id="93" w:name="_Toc6917"/>
      <w:r>
        <w:rPr>
          <w:rFonts w:hint="eastAsia" w:ascii="宋体" w:hAnsi="宋体" w:cs="宋体"/>
          <w:b/>
          <w:bCs/>
          <w:color w:val="000000" w:themeColor="text1"/>
          <w:sz w:val="28"/>
          <w:highlight w:val="none"/>
        </w:rPr>
        <w:t xml:space="preserve">中小企业声明函（货物、服务）</w:t>
      </w:r>
      <w:bookmarkEnd w:id="93"/>
      <w:r>
        <w:rPr>
          <w:color w:val="000000" w:themeColor="text1"/>
        </w:rPr>
      </w:r>
      <w:r/>
    </w:p>
    <w:p>
      <w:pPr>
        <w:pStyle w:val="1256"/>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本公司（联合体）郑重声明，根据《政府采购促进中小企业发展管理办法》（财库﹝</w:t>
      </w:r>
      <w:r>
        <w:rPr>
          <w:rFonts w:ascii="宋体" w:hAnsi="宋体" w:cs="Calibri"/>
          <w:color w:val="000000" w:themeColor="text1"/>
          <w:sz w:val="24"/>
          <w:highlight w:val="none"/>
        </w:rPr>
        <w:t xml:space="preserve">2020</w:t>
      </w:r>
      <w:r>
        <w:rPr>
          <w:rFonts w:hint="eastAsia" w:ascii="宋体" w:hAnsi="宋体" w:cs="宋体"/>
          <w:color w:val="000000" w:themeColor="text1"/>
          <w:sz w:val="24"/>
          <w:highlight w:val="none"/>
        </w:rPr>
        <w:t xml:space="preserve">﹞</w:t>
      </w:r>
      <w:r>
        <w:rPr>
          <w:rFonts w:ascii="宋体" w:hAnsi="宋体" w:cs="Calibri"/>
          <w:color w:val="000000" w:themeColor="text1"/>
          <w:sz w:val="24"/>
          <w:highlight w:val="none"/>
        </w:rPr>
        <w:t xml:space="preserve">46 </w:t>
      </w:r>
      <w:r>
        <w:rPr>
          <w:rFonts w:hint="eastAsia" w:ascii="宋体" w:hAnsi="宋体" w:cs="宋体"/>
          <w:color w:val="000000" w:themeColor="text1"/>
          <w:sz w:val="24"/>
          <w:highlight w:val="none"/>
        </w:rPr>
        <w:t xml:space="preserve">号）的规定，本公司（联合体）参加</w:t>
      </w:r>
      <w:r>
        <w:rPr>
          <w:rFonts w:hint="eastAsia" w:ascii="宋体" w:hAnsi="宋体" w:cs="宋体"/>
          <w:color w:val="000000" w:themeColor="text1"/>
          <w:sz w:val="24"/>
          <w:highlight w:val="none"/>
          <w:u w:val="single"/>
        </w:rPr>
        <w:t xml:space="preserve">（单位名称）</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采购活动，提供的货物（服务）全部由符合政策要求的中小企业制造（承接）。相关企业（含联合体中的中小企业、签订分包意向协议的中小企业）的具体情况如下：</w:t>
      </w:r>
      <w:r>
        <w:rPr>
          <w:color w:val="000000" w:themeColor="text1"/>
        </w:rPr>
      </w:r>
      <w:r/>
    </w:p>
    <w:p>
      <w:pPr>
        <w:pStyle w:val="1256"/>
        <w:numPr>
          <w:ilvl w:val="0"/>
          <w:numId w:val="4"/>
        </w:numPr>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（标的名称）</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（招标文件中明确的所属行业）</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承接企业为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w:t>
      </w:r>
      <w:r>
        <w:rPr>
          <w:rFonts w:hint="eastAsia" w:ascii="宋体" w:hAnsi="宋体" w:cs="Calibri"/>
          <w:color w:val="000000" w:themeColor="text1"/>
          <w:sz w:val="24"/>
          <w:highlight w:val="none"/>
          <w:vertAlign w:val="superscript"/>
        </w:rPr>
        <w:t xml:space="preserve">【1】</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（中型企业、</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小型企业、微型企业）</w:t>
      </w:r>
      <w:r>
        <w:rPr>
          <w:rFonts w:hint="eastAsia" w:ascii="宋体" w:hAnsi="宋体" w:cs="宋体"/>
          <w:color w:val="000000" w:themeColor="text1"/>
          <w:sz w:val="24"/>
          <w:highlight w:val="none"/>
        </w:rPr>
        <w:t xml:space="preserve">；</w:t>
      </w:r>
      <w:r>
        <w:rPr>
          <w:color w:val="000000" w:themeColor="text1"/>
        </w:rPr>
      </w:r>
      <w:r/>
    </w:p>
    <w:p>
      <w:pPr>
        <w:pStyle w:val="1256"/>
        <w:numPr>
          <w:ilvl w:val="0"/>
          <w:numId w:val="4"/>
        </w:numPr>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（标的名称）</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（招标文件中明确的所属行业）</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承接企业为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w:t>
      </w:r>
      <w:r>
        <w:rPr>
          <w:rFonts w:hint="eastAsia" w:ascii="宋体" w:hAnsi="宋体" w:cs="Calibri"/>
          <w:color w:val="000000" w:themeColor="text1"/>
          <w:sz w:val="24"/>
          <w:highlight w:val="none"/>
          <w:vertAlign w:val="superscript"/>
        </w:rPr>
        <w:t xml:space="preserve">【1】</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（中型企业、</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小型企业、微型企业）</w:t>
      </w:r>
      <w:r>
        <w:rPr>
          <w:rFonts w:hint="eastAsia" w:ascii="宋体" w:hAnsi="宋体" w:cs="宋体"/>
          <w:color w:val="000000" w:themeColor="text1"/>
          <w:sz w:val="24"/>
          <w:highlight w:val="none"/>
        </w:rPr>
        <w:t xml:space="preserve">；</w:t>
      </w:r>
      <w:r>
        <w:rPr>
          <w:color w:val="000000" w:themeColor="text1"/>
        </w:rPr>
      </w:r>
      <w:r/>
    </w:p>
    <w:p>
      <w:pPr>
        <w:pStyle w:val="1256"/>
        <w:numPr>
          <w:ilvl w:val="0"/>
          <w:numId w:val="4"/>
        </w:numPr>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（标的名称）</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（招标文件中明确的所属行业）</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承接企业为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w:t>
      </w:r>
      <w:r>
        <w:rPr>
          <w:rFonts w:hint="eastAsia" w:ascii="宋体" w:hAnsi="宋体" w:cs="Calibri"/>
          <w:color w:val="000000" w:themeColor="text1"/>
          <w:sz w:val="24"/>
          <w:highlight w:val="none"/>
          <w:vertAlign w:val="superscript"/>
        </w:rPr>
        <w:t xml:space="preserve">【1】</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（中型企业、</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小型企业、微型企业）</w:t>
      </w:r>
      <w:r>
        <w:rPr>
          <w:rFonts w:hint="eastAsia" w:ascii="宋体" w:hAnsi="宋体" w:cs="宋体"/>
          <w:color w:val="000000" w:themeColor="text1"/>
          <w:sz w:val="24"/>
          <w:highlight w:val="none"/>
        </w:rPr>
        <w:t xml:space="preserve">；</w:t>
      </w:r>
      <w:r>
        <w:rPr>
          <w:color w:val="000000" w:themeColor="text1"/>
        </w:rPr>
      </w:r>
      <w:r/>
    </w:p>
    <w:p>
      <w:pPr>
        <w:pStyle w:val="1256"/>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rPr>
      </w:r>
      <w:r/>
    </w:p>
    <w:p>
      <w:pPr>
        <w:pStyle w:val="1256"/>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以上企业，不属于大企业的分支机构，不存在控股股东为大企业的情形，也不存在与大企业的负责人为同一人的情</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形。</w:t>
      </w:r>
      <w:r>
        <w:rPr>
          <w:color w:val="000000" w:themeColor="text1"/>
        </w:rPr>
      </w:r>
      <w:r/>
    </w:p>
    <w:p>
      <w:pPr>
        <w:pStyle w:val="1256"/>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本企业对上述声明内容的真实性负责。如有虚假，将依法承担相应责任。</w:t>
      </w:r>
      <w:r>
        <w:rPr>
          <w:color w:val="000000" w:themeColor="text1"/>
        </w:rPr>
      </w:r>
      <w:r/>
    </w:p>
    <w:p>
      <w:pPr>
        <w:pStyle w:val="1294"/>
        <w:rPr>
          <w:color w:val="000000" w:themeColor="text1"/>
          <w:highlight w:val="none"/>
        </w:rPr>
      </w:pPr>
      <w:r>
        <w:rPr>
          <w:color w:val="000000" w:themeColor="text1"/>
          <w:highlight w:val="none"/>
        </w:rPr>
      </w:r>
      <w:r>
        <w:rPr>
          <w:color w:val="000000" w:themeColor="text1"/>
        </w:rPr>
      </w:r>
      <w:r/>
    </w:p>
    <w:p>
      <w:pPr>
        <w:pStyle w:val="1256"/>
        <w:ind w:right="420"/>
        <w:jc w:val="righ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企业名称（加盖电子公章）：</w:t>
      </w:r>
      <w:r>
        <w:rPr>
          <w:color w:val="000000" w:themeColor="text1"/>
        </w:rPr>
      </w:r>
      <w:r/>
    </w:p>
    <w:p>
      <w:pPr>
        <w:pStyle w:val="1256"/>
        <w:ind w:right="840" w:firstLine="6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期：</w:t>
      </w:r>
      <w:r>
        <w:rPr>
          <w:color w:val="000000" w:themeColor="text1"/>
        </w:rPr>
      </w:r>
      <w:r/>
    </w:p>
    <w:p>
      <w:pPr>
        <w:pStyle w:val="1337"/>
        <w:rPr>
          <w:rFonts w:hint="eastAsia" w:cs="宋体"/>
          <w:color w:val="000000" w:themeColor="text1"/>
          <w:highlight w:val="none"/>
        </w:rPr>
      </w:pPr>
      <w:r>
        <w:rPr>
          <w:rFonts w:hint="eastAsia" w:cs="宋体"/>
          <w:color w:val="000000" w:themeColor="text1"/>
          <w:highlight w:val="none"/>
        </w:rPr>
      </w:r>
      <w:r>
        <w:rPr>
          <w:color w:val="000000" w:themeColor="text1"/>
        </w:rPr>
      </w:r>
      <w:r/>
    </w:p>
    <w:p>
      <w:pPr>
        <w:pStyle w:val="1337"/>
        <w:rPr>
          <w:rFonts w:hint="eastAsia" w:cs="宋体"/>
          <w:color w:val="000000" w:themeColor="text1"/>
          <w:highlight w:val="none"/>
        </w:rPr>
      </w:pPr>
      <w:r>
        <w:rPr>
          <w:rFonts w:hint="eastAsia" w:cs="宋体"/>
          <w:color w:val="000000" w:themeColor="text1"/>
          <w:highlight w:val="none"/>
        </w:rPr>
        <w:t xml:space="preserve">注：【1】从业人员、营业收入、资产总额填报上一年度数据，无上一年度数据的新成立企业可不填报。</w:t>
      </w:r>
      <w:r>
        <w:rPr>
          <w:color w:val="000000" w:themeColor="text1"/>
        </w:rPr>
      </w:r>
      <w:r/>
    </w:p>
    <w:p>
      <w:pPr>
        <w:pStyle w:val="1337"/>
        <w:rPr>
          <w:rFonts w:cs="宋体"/>
          <w:color w:val="000000" w:themeColor="text1"/>
          <w:highlight w:val="none"/>
        </w:rPr>
      </w:pPr>
      <w:r>
        <w:rPr>
          <w:rFonts w:hint="eastAsia" w:cs="宋体"/>
          <w:color w:val="000000" w:themeColor="text1"/>
          <w:highlight w:val="none"/>
        </w:rPr>
        <w:t xml:space="preserve">【2】所述行业类别：具体详见采购清单</w:t>
      </w:r>
      <w:r>
        <w:rPr>
          <w:color w:val="000000" w:themeColor="text1"/>
        </w:rPr>
      </w:r>
      <w:r/>
    </w:p>
    <w:p>
      <w:pPr>
        <w:pStyle w:val="1256"/>
        <w:ind w:firstLine="50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256"/>
        <w:ind w:firstLine="50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256"/>
        <w:spacing w:line="324" w:lineRule="auto"/>
        <w:rPr>
          <w:rFonts w:ascii="宋体" w:hAnsi="宋体"/>
          <w:b/>
          <w:bCs/>
          <w:color w:val="000000" w:themeColor="text1"/>
          <w:sz w:val="28"/>
          <w:highlight w:val="none"/>
        </w:rPr>
      </w:pPr>
      <w:r>
        <w:rPr>
          <w:rFonts w:hint="eastAsia" w:ascii="宋体" w:hAnsi="宋体" w:cs="宋体"/>
          <w:b/>
          <w:bCs/>
          <w:color w:val="000000" w:themeColor="text1"/>
          <w:szCs w:val="21"/>
          <w:highlight w:val="none"/>
        </w:rPr>
        <w:t xml:space="preserve">各行业划型标准为：</w:t>
      </w:r>
      <w:r>
        <w:rPr>
          <w:rFonts w:hint="eastAsia" w:ascii="宋体" w:hAnsi="宋体"/>
          <w:b/>
          <w:bCs/>
          <w:color w:val="000000" w:themeColor="text1"/>
          <w:szCs w:val="21"/>
          <w:highlight w:val="none"/>
        </w:rPr>
        <w:br w:type="textWrapping" w:clear="all"/>
      </w:r>
      <w:r>
        <w:rPr>
          <w:rFonts w:hint="eastAsia" w:ascii="宋体" w:hAnsi="宋体" w:cs="宋体"/>
          <w:color w:val="000000" w:themeColor="text1"/>
          <w:szCs w:val="21"/>
          <w:highlight w:val="none"/>
        </w:rPr>
        <w:t xml:space="preserve">　　（一）农、林、牧、渔业。营业收入</w:t>
      </w:r>
      <w:r>
        <w:rPr>
          <w:rFonts w:hint="eastAsia" w:ascii="宋体" w:hAnsi="宋体"/>
          <w:color w:val="000000" w:themeColor="text1"/>
          <w:szCs w:val="21"/>
          <w:highlight w:val="none"/>
        </w:rPr>
        <w:t xml:space="preserve">20000</w:t>
      </w:r>
      <w:r>
        <w:rPr>
          <w:rFonts w:hint="eastAsia" w:ascii="宋体" w:hAnsi="宋体" w:cs="宋体"/>
          <w:color w:val="000000" w:themeColor="text1"/>
          <w:szCs w:val="21"/>
          <w:highlight w:val="none"/>
        </w:rPr>
        <w:t xml:space="preserve">万元以下的为中小微型企业。其中，营业收入</w:t>
      </w:r>
      <w:r>
        <w:rPr>
          <w:rFonts w:hint="eastAsia" w:ascii="宋体" w:hAnsi="宋体"/>
          <w:color w:val="000000" w:themeColor="text1"/>
          <w:szCs w:val="21"/>
          <w:highlight w:val="none"/>
        </w:rPr>
        <w:t xml:space="preserve">500</w:t>
      </w:r>
      <w:r>
        <w:rPr>
          <w:rFonts w:hint="eastAsia" w:ascii="宋体" w:hAnsi="宋体" w:cs="宋体"/>
          <w:color w:val="000000" w:themeColor="text1"/>
          <w:szCs w:val="21"/>
          <w:highlight w:val="none"/>
        </w:rPr>
        <w:t xml:space="preserve">万元及以上的为中型企业，营业收入</w:t>
      </w:r>
      <w:r>
        <w:rPr>
          <w:rFonts w:hint="eastAsia" w:ascii="宋体" w:hAnsi="宋体"/>
          <w:color w:val="000000" w:themeColor="text1"/>
          <w:szCs w:val="21"/>
          <w:highlight w:val="none"/>
        </w:rPr>
        <w:t xml:space="preserve">50</w:t>
      </w:r>
      <w:r>
        <w:rPr>
          <w:rFonts w:hint="eastAsia" w:ascii="宋体" w:hAnsi="宋体" w:cs="宋体"/>
          <w:color w:val="000000" w:themeColor="text1"/>
          <w:szCs w:val="21"/>
          <w:highlight w:val="none"/>
        </w:rPr>
        <w:t xml:space="preserve">万元及以上的为小型企业，营业收入</w:t>
      </w:r>
      <w:r>
        <w:rPr>
          <w:rFonts w:hint="eastAsia" w:ascii="宋体" w:hAnsi="宋体"/>
          <w:color w:val="000000" w:themeColor="text1"/>
          <w:szCs w:val="21"/>
          <w:highlight w:val="none"/>
        </w:rPr>
        <w:t xml:space="preserve">50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（二）工业。从业人员</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40000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2000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20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20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（三）建筑业。营业收入</w:t>
      </w:r>
      <w:r>
        <w:rPr>
          <w:rFonts w:hint="eastAsia" w:ascii="宋体" w:hAnsi="宋体"/>
          <w:color w:val="000000" w:themeColor="text1"/>
          <w:szCs w:val="21"/>
          <w:highlight w:val="none"/>
        </w:rPr>
        <w:t xml:space="preserve">80000</w:t>
      </w:r>
      <w:r>
        <w:rPr>
          <w:rFonts w:hint="eastAsia" w:ascii="宋体" w:hAnsi="宋体" w:cs="宋体"/>
          <w:color w:val="000000" w:themeColor="text1"/>
          <w:szCs w:val="21"/>
          <w:highlight w:val="none"/>
        </w:rPr>
        <w:t xml:space="preserve">万元以下或资产总额</w:t>
      </w:r>
      <w:r>
        <w:rPr>
          <w:rFonts w:hint="eastAsia" w:ascii="宋体" w:hAnsi="宋体"/>
          <w:color w:val="000000" w:themeColor="text1"/>
          <w:szCs w:val="21"/>
          <w:highlight w:val="none"/>
        </w:rPr>
        <w:t xml:space="preserve">80000</w:t>
      </w:r>
      <w:r>
        <w:rPr>
          <w:rFonts w:hint="eastAsia" w:ascii="宋体" w:hAnsi="宋体" w:cs="宋体"/>
          <w:color w:val="000000" w:themeColor="text1"/>
          <w:szCs w:val="21"/>
          <w:highlight w:val="none"/>
        </w:rPr>
        <w:t xml:space="preserve">万元以下的为中小微型企业。其中，营业收入</w:t>
      </w:r>
      <w:r>
        <w:rPr>
          <w:rFonts w:hint="eastAsia" w:ascii="宋体" w:hAnsi="宋体"/>
          <w:color w:val="000000" w:themeColor="text1"/>
          <w:szCs w:val="21"/>
          <w:highlight w:val="none"/>
        </w:rPr>
        <w:t xml:space="preserve">6000</w:t>
      </w:r>
      <w:r>
        <w:rPr>
          <w:rFonts w:hint="eastAsia" w:ascii="宋体" w:hAnsi="宋体" w:cs="宋体"/>
          <w:color w:val="000000" w:themeColor="text1"/>
          <w:szCs w:val="21"/>
          <w:highlight w:val="none"/>
        </w:rPr>
        <w:t xml:space="preserve">万元及以上，且资产总额</w:t>
      </w:r>
      <w:r>
        <w:rPr>
          <w:rFonts w:hint="eastAsia" w:ascii="宋体" w:hAnsi="宋体"/>
          <w:color w:val="000000" w:themeColor="text1"/>
          <w:szCs w:val="21"/>
          <w:highlight w:val="none"/>
        </w:rPr>
        <w:t xml:space="preserve">5000</w:t>
      </w:r>
      <w:r>
        <w:rPr>
          <w:rFonts w:hint="eastAsia" w:ascii="宋体" w:hAnsi="宋体" w:cs="宋体"/>
          <w:color w:val="000000" w:themeColor="text1"/>
          <w:szCs w:val="21"/>
          <w:highlight w:val="none"/>
        </w:rPr>
        <w:t xml:space="preserve">万元及以上的为中型企业；营业收入</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万元及以上，且资产总额</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万元及以上的为小型企业；营业收入</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万元以下或资产总额</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（四）批发业。从业人员</w:t>
      </w:r>
      <w:r>
        <w:rPr>
          <w:rFonts w:hint="eastAsia" w:ascii="宋体" w:hAnsi="宋体"/>
          <w:color w:val="000000" w:themeColor="text1"/>
          <w:szCs w:val="21"/>
          <w:highlight w:val="none"/>
        </w:rPr>
        <w:t xml:space="preserve">200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40000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20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5000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5</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5</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（五）零售业。从业人员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20000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50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500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（六）交通运输业。从业人员</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30000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3000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20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200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20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200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（七）仓储业。从业人员</w:t>
      </w:r>
      <w:r>
        <w:rPr>
          <w:rFonts w:hint="eastAsia" w:ascii="宋体" w:hAnsi="宋体"/>
          <w:color w:val="000000" w:themeColor="text1"/>
          <w:szCs w:val="21"/>
          <w:highlight w:val="none"/>
        </w:rPr>
        <w:t xml:space="preserve">200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30000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20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20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（八）邮政业。从业人员</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30000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2000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20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20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（九）住宿业。从业人员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2000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（十）餐饮业。从业人员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2000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（十一）信息传输业。从业人员</w:t>
      </w:r>
      <w:r>
        <w:rPr>
          <w:rFonts w:hint="eastAsia" w:ascii="宋体" w:hAnsi="宋体"/>
          <w:color w:val="000000" w:themeColor="text1"/>
          <w:szCs w:val="21"/>
          <w:highlight w:val="none"/>
        </w:rPr>
        <w:t xml:space="preserve">2000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（十二）软件和信息技术服务业。从业人员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10000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50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50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（十三）房地产开发经营。营业收入</w:t>
      </w:r>
      <w:r>
        <w:rPr>
          <w:rFonts w:hint="eastAsia" w:ascii="宋体" w:hAnsi="宋体"/>
          <w:color w:val="000000" w:themeColor="text1"/>
          <w:szCs w:val="21"/>
          <w:highlight w:val="none"/>
        </w:rPr>
        <w:t xml:space="preserve">200000</w:t>
      </w:r>
      <w:r>
        <w:rPr>
          <w:rFonts w:hint="eastAsia" w:ascii="宋体" w:hAnsi="宋体" w:cs="宋体"/>
          <w:color w:val="000000" w:themeColor="text1"/>
          <w:szCs w:val="21"/>
          <w:highlight w:val="none"/>
        </w:rPr>
        <w:t xml:space="preserve">万元以下或资产总额</w:t>
      </w:r>
      <w:r>
        <w:rPr>
          <w:rFonts w:hint="eastAsia" w:ascii="宋体" w:hAnsi="宋体"/>
          <w:color w:val="000000" w:themeColor="text1"/>
          <w:szCs w:val="21"/>
          <w:highlight w:val="none"/>
        </w:rPr>
        <w:t xml:space="preserve">10000</w:t>
      </w:r>
      <w:r>
        <w:rPr>
          <w:rFonts w:hint="eastAsia" w:ascii="宋体" w:hAnsi="宋体" w:cs="宋体"/>
          <w:color w:val="000000" w:themeColor="text1"/>
          <w:szCs w:val="21"/>
          <w:highlight w:val="none"/>
        </w:rPr>
        <w:t xml:space="preserve">万元以下的为中小微型企业。其中，营业收入</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万元及以上，且资产总额</w:t>
      </w:r>
      <w:r>
        <w:rPr>
          <w:rFonts w:hint="eastAsia" w:ascii="宋体" w:hAnsi="宋体"/>
          <w:color w:val="000000" w:themeColor="text1"/>
          <w:szCs w:val="21"/>
          <w:highlight w:val="none"/>
        </w:rPr>
        <w:t xml:space="preserve">5000</w:t>
      </w:r>
      <w:r>
        <w:rPr>
          <w:rFonts w:hint="eastAsia" w:ascii="宋体" w:hAnsi="宋体" w:cs="宋体"/>
          <w:color w:val="000000" w:themeColor="text1"/>
          <w:szCs w:val="21"/>
          <w:highlight w:val="none"/>
        </w:rPr>
        <w:t xml:space="preserve">万元及以上的为中型企业；营业收入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万元及以上，且资产总额</w:t>
      </w:r>
      <w:r>
        <w:rPr>
          <w:rFonts w:hint="eastAsia" w:ascii="宋体" w:hAnsi="宋体"/>
          <w:color w:val="000000" w:themeColor="text1"/>
          <w:szCs w:val="21"/>
          <w:highlight w:val="none"/>
        </w:rPr>
        <w:t xml:space="preserve">2000</w:t>
      </w:r>
      <w:r>
        <w:rPr>
          <w:rFonts w:hint="eastAsia" w:ascii="宋体" w:hAnsi="宋体" w:cs="宋体"/>
          <w:color w:val="000000" w:themeColor="text1"/>
          <w:szCs w:val="21"/>
          <w:highlight w:val="none"/>
        </w:rPr>
        <w:t xml:space="preserve">万元及以上的为小型企业；营业收入</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万元以下或资产总额</w:t>
      </w:r>
      <w:r>
        <w:rPr>
          <w:rFonts w:hint="eastAsia" w:ascii="宋体" w:hAnsi="宋体"/>
          <w:color w:val="000000" w:themeColor="text1"/>
          <w:szCs w:val="21"/>
          <w:highlight w:val="none"/>
        </w:rPr>
        <w:t xml:space="preserve">2000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（十四）物业管理。从业人员</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5000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1000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人及以上，且营业收入</w:t>
      </w:r>
      <w:r>
        <w:rPr>
          <w:rFonts w:hint="eastAsia" w:ascii="宋体" w:hAnsi="宋体"/>
          <w:color w:val="000000" w:themeColor="text1"/>
          <w:szCs w:val="21"/>
          <w:highlight w:val="none"/>
        </w:rPr>
        <w:t xml:space="preserve">500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人以下或营业收入</w:t>
      </w:r>
      <w:r>
        <w:rPr>
          <w:rFonts w:hint="eastAsia" w:ascii="宋体" w:hAnsi="宋体"/>
          <w:color w:val="000000" w:themeColor="text1"/>
          <w:szCs w:val="21"/>
          <w:highlight w:val="none"/>
        </w:rPr>
        <w:t xml:space="preserve">500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（十五）租赁和商务服务业。从业人员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人以下或资产总额</w:t>
      </w:r>
      <w:r>
        <w:rPr>
          <w:rFonts w:hint="eastAsia" w:ascii="宋体" w:hAnsi="宋体"/>
          <w:color w:val="000000" w:themeColor="text1"/>
          <w:szCs w:val="21"/>
          <w:highlight w:val="none"/>
        </w:rPr>
        <w:t xml:space="preserve">120000</w:t>
      </w:r>
      <w:r>
        <w:rPr>
          <w:rFonts w:hint="eastAsia" w:ascii="宋体" w:hAnsi="宋体" w:cs="宋体"/>
          <w:color w:val="000000" w:themeColor="text1"/>
          <w:szCs w:val="21"/>
          <w:highlight w:val="none"/>
        </w:rPr>
        <w:t xml:space="preserve">万元以下的为中小微型企业。其中，从业人员</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人及以上，且资产总额</w:t>
      </w:r>
      <w:r>
        <w:rPr>
          <w:rFonts w:hint="eastAsia" w:ascii="宋体" w:hAnsi="宋体"/>
          <w:color w:val="000000" w:themeColor="text1"/>
          <w:szCs w:val="21"/>
          <w:highlight w:val="none"/>
        </w:rPr>
        <w:t xml:space="preserve">8000</w:t>
      </w:r>
      <w:r>
        <w:rPr>
          <w:rFonts w:hint="eastAsia" w:ascii="宋体" w:hAnsi="宋体" w:cs="宋体"/>
          <w:color w:val="000000" w:themeColor="text1"/>
          <w:szCs w:val="21"/>
          <w:highlight w:val="none"/>
        </w:rPr>
        <w:t xml:space="preserve">万元及以上的为中型企业；从业人员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人及以上，且资产总额</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万元及以上的为小型企业；从业人员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人以下或资产总额</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万元以下的为微型企业。</w:t>
      </w:r>
      <w:r>
        <w:rPr>
          <w:rFonts w:hint="eastAsia" w:ascii="宋体" w:hAnsi="宋体"/>
          <w:color w:val="000000" w:themeColor="text1"/>
          <w:szCs w:val="21"/>
          <w:highlight w:val="none"/>
        </w:rPr>
        <w:br w:type="textWrapping" w:clear="all"/>
      </w:r>
      <w:r>
        <w:rPr>
          <w:rFonts w:hint="eastAsia" w:ascii="宋体" w:hAnsi="宋体" w:cs="宋体"/>
          <w:color w:val="000000" w:themeColor="text1"/>
          <w:szCs w:val="21"/>
          <w:highlight w:val="none"/>
        </w:rPr>
        <w:t xml:space="preserve">　　（十六）其他未列明行业。从业人员</w:t>
      </w:r>
      <w:r>
        <w:rPr>
          <w:rFonts w:hint="eastAsia" w:ascii="宋体" w:hAnsi="宋体"/>
          <w:color w:val="000000" w:themeColor="text1"/>
          <w:szCs w:val="21"/>
          <w:highlight w:val="none"/>
        </w:rPr>
        <w:t xml:space="preserve">300</w:t>
      </w:r>
      <w:r>
        <w:rPr>
          <w:rFonts w:hint="eastAsia" w:ascii="宋体" w:hAnsi="宋体" w:cs="宋体"/>
          <w:color w:val="000000" w:themeColor="text1"/>
          <w:szCs w:val="21"/>
          <w:highlight w:val="none"/>
        </w:rPr>
        <w:t xml:space="preserve">人以下的为中小微型企业。其中，从业人员</w:t>
      </w:r>
      <w:r>
        <w:rPr>
          <w:rFonts w:hint="eastAsia" w:ascii="宋体" w:hAnsi="宋体"/>
          <w:color w:val="000000" w:themeColor="text1"/>
          <w:szCs w:val="21"/>
          <w:highlight w:val="none"/>
        </w:rPr>
        <w:t xml:space="preserve">100</w:t>
      </w:r>
      <w:r>
        <w:rPr>
          <w:rFonts w:hint="eastAsia" w:ascii="宋体" w:hAnsi="宋体" w:cs="宋体"/>
          <w:color w:val="000000" w:themeColor="text1"/>
          <w:szCs w:val="21"/>
          <w:highlight w:val="none"/>
        </w:rPr>
        <w:t xml:space="preserve">人及以上的为中型企业；从业人员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人及以上的为小型企业；从业人员</w:t>
      </w:r>
      <w:r>
        <w:rPr>
          <w:rFonts w:hint="eastAsia" w:ascii="宋体" w:hAnsi="宋体"/>
          <w:color w:val="000000" w:themeColor="text1"/>
          <w:szCs w:val="21"/>
          <w:highlight w:val="none"/>
        </w:rPr>
        <w:t xml:space="preserve">10</w:t>
      </w:r>
      <w:r>
        <w:rPr>
          <w:rFonts w:hint="eastAsia" w:ascii="宋体" w:hAnsi="宋体" w:cs="宋体"/>
          <w:color w:val="000000" w:themeColor="text1"/>
          <w:szCs w:val="21"/>
          <w:highlight w:val="none"/>
        </w:rPr>
        <w:t xml:space="preserve">人以下的为微型企业。</w:t>
      </w:r>
      <w:r>
        <w:rPr>
          <w:color w:val="000000" w:themeColor="text1"/>
        </w:rPr>
      </w:r>
      <w:r/>
    </w:p>
    <w:p>
      <w:pPr>
        <w:pStyle w:val="1256"/>
        <w:spacing w:line="360" w:lineRule="auto"/>
        <w:rPr>
          <w:rFonts w:hint="eastAsia"/>
          <w:b/>
          <w:color w:val="000000" w:themeColor="text1"/>
          <w:highlight w:val="none"/>
        </w:rPr>
      </w:pPr>
      <w:r>
        <w:rPr>
          <w:rFonts w:hint="eastAsia"/>
          <w:b/>
          <w:color w:val="000000" w:themeColor="text1"/>
          <w:highlight w:val="none"/>
        </w:rPr>
      </w:r>
      <w:r>
        <w:rPr>
          <w:color w:val="000000" w:themeColor="text1"/>
        </w:rPr>
      </w:r>
      <w:r/>
    </w:p>
    <w:p>
      <w:pPr>
        <w:pStyle w:val="1258"/>
        <w:numPr>
          <w:ilvl w:val="1"/>
          <w:numId w:val="0"/>
        </w:numPr>
        <w:spacing w:before="0" w:after="0" w:line="240" w:lineRule="auto"/>
        <w:tabs>
          <w:tab w:val="left" w:pos="840" w:leader="none"/>
        </w:tabs>
        <w:rPr>
          <w:rStyle w:val="1339"/>
          <w:rFonts w:hint="eastAsia"/>
          <w:b w:val="0"/>
          <w:bCs w:val="0"/>
          <w:color w:val="000000" w:themeColor="text1"/>
          <w:sz w:val="28"/>
          <w:szCs w:val="28"/>
          <w:highlight w:val="none"/>
        </w:rPr>
      </w:pPr>
      <w:r>
        <w:rPr>
          <w:color w:val="000000" w:themeColor="text1"/>
        </w:rPr>
      </w:r>
      <w:bookmarkStart w:id="94" w:name="_Toc8393"/>
      <w:r>
        <w:rPr>
          <w:color w:val="000000" w:themeColor="text1"/>
        </w:rPr>
      </w:r>
      <w:bookmarkStart w:id="95" w:name="_Toc25747"/>
      <w:r>
        <w:rPr>
          <w:rStyle w:val="1339"/>
          <w:rFonts w:hint="eastAsia"/>
          <w:b w:val="0"/>
          <w:bCs w:val="0"/>
          <w:color w:val="000000" w:themeColor="text1"/>
          <w:sz w:val="28"/>
          <w:szCs w:val="28"/>
          <w:highlight w:val="none"/>
          <w:lang w:val="zh-CN"/>
        </w:rPr>
        <w:t xml:space="preserve">附件十</w:t>
      </w:r>
      <w:r>
        <w:rPr>
          <w:rStyle w:val="1339"/>
          <w:rFonts w:hint="eastAsia"/>
          <w:b w:val="0"/>
          <w:bCs w:val="0"/>
          <w:color w:val="000000" w:themeColor="text1"/>
          <w:sz w:val="28"/>
          <w:szCs w:val="28"/>
          <w:highlight w:val="none"/>
        </w:rPr>
        <w:t xml:space="preserve">五</w:t>
      </w:r>
      <w:r>
        <w:rPr>
          <w:rStyle w:val="1339"/>
          <w:rFonts w:hint="eastAsia"/>
          <w:b w:val="0"/>
          <w:bCs w:val="0"/>
          <w:color w:val="000000" w:themeColor="text1"/>
          <w:sz w:val="28"/>
          <w:szCs w:val="28"/>
          <w:highlight w:val="none"/>
          <w:lang w:val="zh-CN"/>
        </w:rPr>
        <w:t xml:space="preserve">、残疾人福利性单位声明函、属于监狱企业的证明文件</w:t>
      </w:r>
      <w:bookmarkEnd w:id="94"/>
      <w:r>
        <w:rPr>
          <w:color w:val="000000" w:themeColor="text1"/>
        </w:rPr>
      </w:r>
      <w:bookmarkEnd w:id="95"/>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outlineLvl w:val="0"/>
      </w:pPr>
      <w:r>
        <w:rPr>
          <w:color w:val="000000" w:themeColor="text1"/>
        </w:rPr>
      </w:r>
      <w:bookmarkStart w:id="96" w:name="_Toc26790"/>
      <w:r>
        <w:rPr>
          <w:rFonts w:hint="eastAsia" w:ascii="宋体" w:hAnsi="宋体" w:cs="宋体"/>
          <w:b/>
          <w:bCs/>
          <w:color w:val="000000" w:themeColor="text1"/>
          <w:sz w:val="28"/>
          <w:highlight w:val="none"/>
          <w:lang w:val="zh-CN"/>
        </w:rPr>
        <w:t xml:space="preserve">残疾人福利性单位声明函</w:t>
      </w:r>
      <w:bookmarkEnd w:id="96"/>
      <w:r>
        <w:rPr>
          <w:color w:val="000000" w:themeColor="text1"/>
        </w:rPr>
      </w:r>
      <w:r/>
    </w:p>
    <w:p>
      <w:pPr>
        <w:pStyle w:val="1373"/>
        <w:rPr>
          <w:color w:val="000000" w:themeColor="text1"/>
          <w:highlight w:val="none"/>
        </w:rPr>
      </w:pPr>
      <w:r>
        <w:rPr>
          <w:color w:val="000000" w:themeColor="text1"/>
          <w:highlight w:val="none"/>
        </w:rPr>
      </w:r>
      <w:r>
        <w:rPr>
          <w:color w:val="000000" w:themeColor="text1"/>
        </w:rPr>
      </w:r>
      <w:r/>
    </w:p>
    <w:p>
      <w:pPr>
        <w:pStyle w:val="1256"/>
        <w:ind w:firstLine="504"/>
        <w:spacing w:line="300" w:lineRule="auto"/>
        <w:rPr>
          <w:rFonts w:ascii="宋体" w:hAnsi="宋体" w:cs="仿宋"/>
          <w:color w:val="000000" w:themeColor="text1"/>
          <w:spacing w:val="6"/>
          <w:sz w:val="24"/>
          <w:highlight w:val="none"/>
        </w:rPr>
      </w:pPr>
      <w:r>
        <w:rPr>
          <w:rFonts w:hint="eastAsia" w:ascii="宋体" w:hAnsi="宋体" w:cs="仿宋"/>
          <w:color w:val="000000" w:themeColor="text1"/>
          <w:spacing w:val="6"/>
          <w:sz w:val="24"/>
          <w:highlight w:val="none"/>
        </w:rPr>
        <w:t xml:space="preserve">本单位郑重声明，根据《财政部 民政部 中国残疾人联合会关于促进残疾人就业政府采购政策的通知》（财库</w:t>
      </w:r>
      <w:r>
        <w:rPr>
          <w:rFonts w:hint="eastAsia" w:ascii="宋体" w:hAnsi="宋体" w:cs="仿宋"/>
          <w:color w:val="000000" w:themeColor="text1"/>
          <w:sz w:val="24"/>
          <w:highlight w:val="none"/>
        </w:rPr>
        <w:t xml:space="preserve">〔2017〕 141</w:t>
      </w:r>
      <w:r>
        <w:rPr>
          <w:rFonts w:hint="eastAsia" w:ascii="宋体" w:hAnsi="宋体" w:cs="仿宋"/>
          <w:color w:val="000000" w:themeColor="text1"/>
          <w:spacing w:val="6"/>
          <w:sz w:val="24"/>
          <w:highlight w:val="none"/>
        </w:rPr>
        <w:t xml:space="preserve">号）的规定，本单位为符合条件的残疾人福利性单位，且本单位参加</w:t>
      </w:r>
      <w:r>
        <w:rPr>
          <w:rFonts w:hint="eastAsia" w:ascii="宋体" w:hAnsi="宋体" w:cs="仿宋"/>
          <w:color w:val="000000" w:themeColor="text1"/>
          <w:sz w:val="24"/>
          <w:highlight w:val="none"/>
        </w:rPr>
        <w:t xml:space="preserve">______</w:t>
      </w:r>
      <w:r>
        <w:rPr>
          <w:rFonts w:hint="eastAsia" w:ascii="宋体" w:hAnsi="宋体" w:cs="仿宋"/>
          <w:color w:val="000000" w:themeColor="text1"/>
          <w:spacing w:val="6"/>
          <w:sz w:val="24"/>
          <w:highlight w:val="none"/>
        </w:rPr>
        <w:t xml:space="preserve">单位的项目采购活动提供本单位制造的货物（由本单位承担工程/提供服务），或者提供其他残疾人福利性单位制造的货物（不包括使用非残疾人福利性单位注册商标的货物）。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256"/>
        <w:ind w:firstLine="504"/>
        <w:spacing w:line="300" w:lineRule="auto"/>
        <w:rPr>
          <w:rFonts w:ascii="宋体" w:hAnsi="宋体" w:cs="仿宋"/>
          <w:color w:val="000000" w:themeColor="text1"/>
          <w:spacing w:val="6"/>
          <w:sz w:val="24"/>
          <w:highlight w:val="none"/>
        </w:rPr>
      </w:pPr>
      <w:r>
        <w:rPr>
          <w:rFonts w:hint="eastAsia" w:ascii="宋体" w:hAnsi="宋体" w:cs="仿宋"/>
          <w:color w:val="000000" w:themeColor="text1"/>
          <w:spacing w:val="6"/>
          <w:sz w:val="24"/>
          <w:highlight w:val="none"/>
        </w:rPr>
        <w:t xml:space="preserve">本单位对上述声明的真实性负责。如有虚假，将依法承担相应责任。</w:t>
      </w:r>
      <w:r>
        <w:rPr>
          <w:color w:val="000000" w:themeColor="text1"/>
        </w:rPr>
      </w:r>
      <w:r/>
    </w:p>
    <w:p>
      <w:pPr>
        <w:pStyle w:val="1256"/>
        <w:ind w:firstLine="504"/>
        <w:spacing w:line="588" w:lineRule="exact"/>
        <w:rPr>
          <w:rFonts w:ascii="宋体" w:hAnsi="宋体" w:cs="仿宋"/>
          <w:color w:val="000000" w:themeColor="text1"/>
          <w:spacing w:val="6"/>
          <w:sz w:val="24"/>
          <w:highlight w:val="none"/>
        </w:rPr>
      </w:pPr>
      <w:r>
        <w:rPr>
          <w:rFonts w:ascii="宋体" w:hAnsi="宋体" w:cs="仿宋"/>
          <w:color w:val="000000" w:themeColor="text1"/>
          <w:spacing w:val="6"/>
          <w:sz w:val="24"/>
          <w:highlight w:val="none"/>
        </w:rPr>
      </w:r>
      <w:r>
        <w:rPr>
          <w:color w:val="000000" w:themeColor="text1"/>
        </w:rPr>
      </w:r>
      <w:r/>
    </w:p>
    <w:p>
      <w:pPr>
        <w:pStyle w:val="1256"/>
        <w:ind w:firstLine="4320"/>
        <w:spacing w:line="360" w:lineRule="auto"/>
        <w:rPr>
          <w:rFonts w:hint="eastAsia"/>
          <w:color w:val="000000" w:themeColor="text1"/>
          <w:sz w:val="24"/>
          <w:highlight w:val="none"/>
        </w:rPr>
      </w:pPr>
      <w:r>
        <w:rPr>
          <w:rFonts w:hint="eastAsia"/>
          <w:color w:val="000000" w:themeColor="text1"/>
          <w:sz w:val="24"/>
          <w:highlight w:val="none"/>
        </w:rPr>
        <w:t xml:space="preserve">声明人（加盖电子公章）： </w:t>
      </w:r>
      <w:r>
        <w:rPr>
          <w:color w:val="000000" w:themeColor="text1"/>
        </w:rPr>
      </w:r>
      <w:r/>
    </w:p>
    <w:p>
      <w:pPr>
        <w:pStyle w:val="1256"/>
        <w:spacing w:line="360" w:lineRule="auto"/>
        <w:rPr>
          <w:rFonts w:hint="eastAsia"/>
          <w:color w:val="000000" w:themeColor="text1"/>
          <w:sz w:val="24"/>
          <w:highlight w:val="none"/>
        </w:rPr>
      </w:pPr>
      <w:r>
        <w:rPr>
          <w:rFonts w:hint="eastAsia"/>
          <w:color w:val="000000" w:themeColor="text1"/>
          <w:sz w:val="24"/>
          <w:highlight w:val="none"/>
        </w:rPr>
        <w:t xml:space="preserve">                                    日  期：______年___月___日</w:t>
      </w:r>
      <w:r>
        <w:rPr>
          <w:color w:val="000000" w:themeColor="text1"/>
        </w:rPr>
      </w:r>
      <w:r/>
    </w:p>
    <w:p>
      <w:pPr>
        <w:pStyle w:val="1256"/>
        <w:ind w:firstLine="470"/>
        <w:jc w:val="center"/>
        <w:spacing w:line="360" w:lineRule="auto"/>
        <w:rPr>
          <w:rFonts w:ascii="仿宋_GB2312" w:hAnsi="仿宋" w:eastAsia="仿宋_GB2312" w:cs="仿宋_GB2312"/>
          <w:bCs/>
          <w:color w:val="000000" w:themeColor="text1"/>
          <w:sz w:val="24"/>
          <w:highlight w:val="none"/>
        </w:rPr>
      </w:pPr>
      <w:r>
        <w:rPr>
          <w:rFonts w:ascii="仿宋_GB2312" w:hAnsi="仿宋" w:eastAsia="仿宋_GB2312" w:cs="仿宋_GB2312"/>
          <w:bCs/>
          <w:color w:val="000000" w:themeColor="text1"/>
          <w:sz w:val="24"/>
          <w:highlight w:val="none"/>
        </w:rPr>
      </w:r>
      <w:r>
        <w:rPr>
          <w:color w:val="000000" w:themeColor="text1"/>
        </w:rPr>
      </w:r>
      <w:r/>
    </w:p>
    <w:p>
      <w:pPr>
        <w:pStyle w:val="1256"/>
        <w:rPr>
          <w:rFonts w:ascii="宋体" w:hAnsi="宋体"/>
          <w:color w:val="000000" w:themeColor="text1"/>
          <w:sz w:val="24"/>
          <w:highlight w:val="none"/>
        </w:rPr>
      </w:pPr>
      <w:r>
        <w:rPr>
          <w:rFonts w:hint="eastAsia" w:ascii="宋体" w:hAnsi="宋体"/>
          <w:color w:val="000000" w:themeColor="text1"/>
          <w:sz w:val="24"/>
          <w:highlight w:val="none"/>
        </w:rPr>
        <w:t xml:space="preserve">注：具体以《关于促进残疾人就业政府采购政策的通知》（财库〔2017〕141号）的规定为准。</w:t>
      </w:r>
      <w:r>
        <w:rPr>
          <w:color w:val="000000" w:themeColor="text1"/>
        </w:rPr>
      </w:r>
      <w:r/>
    </w:p>
    <w:p>
      <w:pPr>
        <w:pStyle w:val="1256"/>
        <w:spacing w:line="588"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pStyle w:val="1288"/>
        <w:rPr>
          <w:rFonts w:hint="eastAsia"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r>
      <w:r>
        <w:rPr>
          <w:color w:val="000000" w:themeColor="text1"/>
        </w:rPr>
      </w:r>
      <w:r/>
    </w:p>
    <w:p>
      <w:pPr>
        <w:pStyle w:val="1256"/>
        <w:rPr>
          <w:rFonts w:hint="eastAsia"/>
          <w:color w:val="000000" w:themeColor="text1"/>
          <w:highlight w:val="none"/>
        </w:rPr>
      </w:pPr>
      <w:r>
        <w:rPr>
          <w:rFonts w:hint="eastAsia"/>
          <w:color w:val="000000" w:themeColor="text1"/>
          <w:highlight w:val="none"/>
        </w:rPr>
      </w:r>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outlineLvl w:val="0"/>
      </w:pPr>
      <w:r>
        <w:rPr>
          <w:color w:val="000000" w:themeColor="text1"/>
        </w:rPr>
      </w:r>
      <w:bookmarkStart w:id="97" w:name="_Toc27070"/>
      <w:r>
        <w:rPr>
          <w:rFonts w:hint="eastAsia" w:ascii="宋体" w:hAnsi="宋体" w:cs="宋体"/>
          <w:b/>
          <w:bCs/>
          <w:color w:val="000000" w:themeColor="text1"/>
          <w:sz w:val="28"/>
          <w:highlight w:val="none"/>
          <w:lang w:val="zh-CN"/>
        </w:rPr>
        <w:t xml:space="preserve">属于监狱企业的证明文件</w:t>
      </w:r>
      <w:bookmarkEnd w:id="97"/>
      <w:r>
        <w:rPr>
          <w:color w:val="000000" w:themeColor="text1"/>
        </w:rPr>
      </w:r>
      <w:r/>
    </w:p>
    <w:p>
      <w:pPr>
        <w:pStyle w:val="1337"/>
        <w:rPr>
          <w:color w:val="000000" w:themeColor="text1"/>
          <w:highlight w:val="none"/>
        </w:rPr>
      </w:pPr>
      <w:r>
        <w:rPr>
          <w:color w:val="000000" w:themeColor="text1"/>
          <w:highlight w:val="none"/>
        </w:rPr>
      </w:r>
      <w:r>
        <w:rPr>
          <w:color w:val="000000" w:themeColor="text1"/>
        </w:rPr>
      </w:r>
      <w:r/>
    </w:p>
    <w:p>
      <w:pPr>
        <w:pStyle w:val="1256"/>
        <w:spacing w:line="360" w:lineRule="auto"/>
        <w:rPr>
          <w:rFonts w:hint="eastAsia"/>
          <w:color w:val="000000" w:themeColor="text1"/>
          <w:sz w:val="24"/>
          <w:highlight w:val="none"/>
        </w:rPr>
      </w:pPr>
      <w:r>
        <w:rPr>
          <w:rFonts w:hint="eastAsia" w:ascii="宋体" w:hAnsi="宋体" w:cs="宋体"/>
          <w:color w:val="000000" w:themeColor="text1"/>
          <w:sz w:val="24"/>
          <w:highlight w:val="none"/>
        </w:rPr>
        <w:t xml:space="preserve">（提供由省级以上监狱管理局、戒毒管理局（含新疆生产建设兵团）出具的属于监狱企业的证明文件）</w:t>
      </w:r>
      <w:bookmarkStart w:id="98" w:name="_Toc1577"/>
      <w:r>
        <w:rPr>
          <w:color w:val="000000" w:themeColor="text1"/>
        </w:rPr>
      </w:r>
      <w:r/>
    </w:p>
    <w:p>
      <w:pPr>
        <w:pStyle w:val="1256"/>
        <w:rPr>
          <w:rFonts w:hint="eastAsia"/>
          <w:color w:val="000000" w:themeColor="text1"/>
          <w:highlight w:val="none"/>
        </w:rPr>
      </w:pPr>
      <w:r>
        <w:rPr>
          <w:rFonts w:hint="eastAsia"/>
          <w:color w:val="000000" w:themeColor="text1"/>
          <w:highlight w:val="none"/>
          <w:lang w:val="zh-CN"/>
        </w:rPr>
      </w:r>
      <w:r>
        <w:rPr>
          <w:color w:val="000000" w:themeColor="text1"/>
        </w:rPr>
      </w:r>
      <w:r/>
    </w:p>
    <w:p>
      <w:pPr>
        <w:pStyle w:val="1256"/>
        <w:rPr>
          <w:rFonts w:hint="eastAsia"/>
          <w:color w:val="000000" w:themeColor="text1"/>
          <w:highlight w:val="none"/>
        </w:rPr>
      </w:pPr>
      <w:r>
        <w:rPr>
          <w:rFonts w:hint="eastAsia"/>
          <w:color w:val="000000" w:themeColor="text1"/>
          <w:highlight w:val="none"/>
          <w:lang w:val="zh-CN"/>
        </w:rPr>
      </w:r>
      <w:r>
        <w:rPr>
          <w:color w:val="000000" w:themeColor="text1"/>
        </w:rPr>
      </w:r>
      <w:r/>
    </w:p>
    <w:p>
      <w:pPr>
        <w:pStyle w:val="1256"/>
        <w:rPr>
          <w:rFonts w:hint="eastAsia"/>
          <w:color w:val="000000" w:themeColor="text1"/>
          <w:highlight w:val="none"/>
        </w:rPr>
      </w:pPr>
      <w:r>
        <w:rPr>
          <w:rFonts w:hint="eastAsia"/>
          <w:color w:val="000000" w:themeColor="text1"/>
          <w:highlight w:val="none"/>
          <w:lang w:val="zh-CN"/>
        </w:rPr>
      </w:r>
      <w:r>
        <w:rPr>
          <w:color w:val="000000" w:themeColor="text1"/>
        </w:rPr>
      </w:r>
      <w:r/>
    </w:p>
    <w:p>
      <w:pPr>
        <w:pStyle w:val="1288"/>
        <w:rPr>
          <w:rFonts w:hint="eastAsia"/>
          <w:color w:val="000000" w:themeColor="text1"/>
          <w:highlight w:val="none"/>
        </w:rPr>
      </w:pPr>
      <w:r>
        <w:rPr>
          <w:rFonts w:hint="eastAsia"/>
          <w:color w:val="000000" w:themeColor="text1"/>
          <w:highlight w:val="none"/>
          <w:lang w:val="zh-CN"/>
        </w:rPr>
      </w:r>
      <w:r>
        <w:rPr>
          <w:color w:val="000000" w:themeColor="text1"/>
        </w:rPr>
      </w:r>
      <w:r/>
    </w:p>
    <w:p>
      <w:pPr>
        <w:pStyle w:val="1256"/>
        <w:rPr>
          <w:rFonts w:hint="eastAsia"/>
          <w:color w:val="000000" w:themeColor="text1"/>
          <w:highlight w:val="none"/>
        </w:rPr>
      </w:pPr>
      <w:r>
        <w:rPr>
          <w:rFonts w:hint="eastAsia"/>
          <w:color w:val="000000" w:themeColor="text1"/>
          <w:highlight w:val="none"/>
          <w:lang w:val="zh-CN"/>
        </w:rPr>
      </w:r>
      <w:r>
        <w:rPr>
          <w:color w:val="000000" w:themeColor="text1"/>
        </w:rPr>
      </w:r>
      <w:r/>
    </w:p>
    <w:p>
      <w:pPr>
        <w:pStyle w:val="1256"/>
        <w:rPr>
          <w:rFonts w:hint="eastAsia"/>
          <w:color w:val="000000" w:themeColor="text1"/>
          <w:highlight w:val="none"/>
        </w:rPr>
      </w:pPr>
      <w:r>
        <w:rPr>
          <w:rFonts w:hint="eastAsia"/>
          <w:color w:val="000000" w:themeColor="text1"/>
          <w:highlight w:val="none"/>
          <w:lang w:val="zh-CN"/>
        </w:rPr>
      </w:r>
      <w:r>
        <w:rPr>
          <w:color w:val="000000" w:themeColor="text1"/>
        </w:rPr>
      </w:r>
      <w:r/>
    </w:p>
    <w:p>
      <w:pPr>
        <w:pStyle w:val="1258"/>
        <w:numPr>
          <w:ilvl w:val="1"/>
          <w:numId w:val="0"/>
        </w:numPr>
        <w:spacing w:before="0" w:after="0" w:line="240" w:lineRule="auto"/>
        <w:tabs>
          <w:tab w:val="left" w:pos="840" w:leader="none"/>
        </w:tabs>
        <w:rPr>
          <w:rStyle w:val="1339"/>
          <w:rFonts w:hint="eastAsia"/>
          <w:b w:val="0"/>
          <w:bCs w:val="0"/>
          <w:color w:val="000000" w:themeColor="text1"/>
          <w:sz w:val="28"/>
          <w:szCs w:val="28"/>
          <w:highlight w:val="none"/>
        </w:rPr>
      </w:pPr>
      <w:r>
        <w:rPr>
          <w:color w:val="000000" w:themeColor="text1"/>
        </w:rPr>
      </w:r>
      <w:bookmarkStart w:id="99" w:name="_Toc28636"/>
      <w:r>
        <w:rPr>
          <w:rStyle w:val="1339"/>
          <w:rFonts w:hint="eastAsia"/>
          <w:b w:val="0"/>
          <w:bCs w:val="0"/>
          <w:color w:val="000000" w:themeColor="text1"/>
          <w:sz w:val="28"/>
          <w:szCs w:val="28"/>
          <w:highlight w:val="none"/>
          <w:lang w:val="zh-CN"/>
        </w:rPr>
        <w:t xml:space="preserve">附件十</w:t>
      </w:r>
      <w:r>
        <w:rPr>
          <w:rStyle w:val="1339"/>
          <w:rFonts w:hint="eastAsia"/>
          <w:b w:val="0"/>
          <w:bCs w:val="0"/>
          <w:color w:val="000000" w:themeColor="text1"/>
          <w:sz w:val="28"/>
          <w:szCs w:val="28"/>
          <w:highlight w:val="none"/>
        </w:rPr>
        <w:t xml:space="preserve">六</w:t>
      </w:r>
      <w:r>
        <w:rPr>
          <w:rStyle w:val="1339"/>
          <w:rFonts w:hint="eastAsia"/>
          <w:b w:val="0"/>
          <w:bCs w:val="0"/>
          <w:color w:val="000000" w:themeColor="text1"/>
          <w:sz w:val="28"/>
          <w:szCs w:val="28"/>
          <w:highlight w:val="none"/>
          <w:lang w:val="zh-CN"/>
        </w:rPr>
        <w:t xml:space="preserve">、节能产品认证证书、环境标志产品认证证书</w:t>
      </w:r>
      <w:bookmarkEnd w:id="98"/>
      <w:r>
        <w:rPr>
          <w:color w:val="000000" w:themeColor="text1"/>
        </w:rPr>
      </w:r>
      <w:bookmarkEnd w:id="99"/>
      <w:r>
        <w:rPr>
          <w:color w:val="000000" w:themeColor="text1"/>
        </w:rPr>
      </w:r>
      <w:r/>
    </w:p>
    <w:p>
      <w:pPr>
        <w:pStyle w:val="1256"/>
        <w:jc w:val="center"/>
        <w:spacing w:before="312" w:line="360" w:lineRule="auto"/>
        <w:shd w:val="clear" w:color="auto" w:fill="ffffff"/>
        <w:rPr>
          <w:rStyle w:val="1359"/>
          <w:rFonts w:ascii="宋体" w:hAnsi="宋体"/>
          <w:bCs/>
          <w:color w:val="000000" w:themeColor="text1"/>
          <w:sz w:val="28"/>
          <w:szCs w:val="28"/>
          <w:highlight w:val="none"/>
        </w:rPr>
      </w:pPr>
      <w:r>
        <w:rPr>
          <w:rStyle w:val="1359"/>
          <w:rFonts w:ascii="宋体" w:hAnsi="宋体"/>
          <w:bCs/>
          <w:color w:val="000000" w:themeColor="text1"/>
          <w:sz w:val="28"/>
          <w:szCs w:val="28"/>
          <w:highlight w:val="none"/>
        </w:rPr>
      </w:r>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outlineLvl w:val="0"/>
      </w:pPr>
      <w:r>
        <w:rPr>
          <w:color w:val="000000" w:themeColor="text1"/>
        </w:rPr>
      </w:r>
      <w:bookmarkStart w:id="100" w:name="_Toc18177"/>
      <w:r>
        <w:rPr>
          <w:rFonts w:hint="eastAsia" w:ascii="宋体" w:hAnsi="宋体" w:cs="宋体"/>
          <w:b/>
          <w:bCs/>
          <w:color w:val="000000" w:themeColor="text1"/>
          <w:sz w:val="28"/>
          <w:highlight w:val="none"/>
          <w:lang w:val="zh-CN"/>
        </w:rPr>
        <w:t xml:space="preserve">节能产品认证证书</w:t>
      </w:r>
      <w:bookmarkEnd w:id="100"/>
      <w:r>
        <w:rPr>
          <w:color w:val="000000" w:themeColor="text1"/>
        </w:rPr>
      </w:r>
      <w:r/>
    </w:p>
    <w:p>
      <w:pPr>
        <w:pStyle w:val="1256"/>
        <w:ind w:firstLine="960"/>
        <w:spacing w:line="360" w:lineRule="auto"/>
        <w:rPr>
          <w:rFonts w:ascii="宋体" w:hAnsi="宋体" w:cs="宋体"/>
          <w:b/>
          <w:bCs/>
          <w:color w:val="000000" w:themeColor="text1"/>
          <w:sz w:val="24"/>
          <w:highlight w:val="none"/>
        </w:rPr>
      </w:pPr>
      <w:r>
        <w:rPr>
          <w:rFonts w:hint="eastAsia" w:ascii="宋体" w:hAnsi="宋体" w:cs="宋体"/>
          <w:bCs/>
          <w:color w:val="000000" w:themeColor="text1"/>
          <w:sz w:val="24"/>
          <w:highlight w:val="none"/>
        </w:rPr>
        <w:t xml:space="preserve">（提供国家确定的认证机构出具的、处于有效期之内的产品认证证书）</w:t>
      </w:r>
      <w:r>
        <w:rPr>
          <w:color w:val="000000" w:themeColor="text1"/>
        </w:rPr>
      </w:r>
      <w:r/>
    </w:p>
    <w:p>
      <w:pPr>
        <w:pStyle w:val="1256"/>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pStyle w:val="1256"/>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pStyle w:val="1256"/>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pStyle w:val="1256"/>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rPr>
      </w:r>
      <w:r/>
    </w:p>
    <w:p>
      <w:pPr>
        <w:pStyle w:val="1256"/>
        <w:ind w:firstLine="562"/>
        <w:jc w:val="center"/>
        <w:spacing w:line="360" w:lineRule="auto"/>
        <w:rPr>
          <w:rFonts w:hint="eastAsia" w:ascii="宋体" w:hAnsi="宋体" w:cs="宋体"/>
          <w:b/>
          <w:bCs/>
          <w:color w:val="000000" w:themeColor="text1"/>
          <w:sz w:val="28"/>
          <w:highlight w:val="none"/>
        </w:rPr>
        <w:outlineLvl w:val="0"/>
      </w:pPr>
      <w:r>
        <w:rPr>
          <w:color w:val="000000" w:themeColor="text1"/>
        </w:rPr>
      </w:r>
      <w:bookmarkStart w:id="101" w:name="_Toc13317"/>
      <w:r>
        <w:rPr>
          <w:rFonts w:hint="eastAsia" w:ascii="宋体" w:hAnsi="宋体" w:cs="宋体"/>
          <w:b/>
          <w:bCs/>
          <w:color w:val="000000" w:themeColor="text1"/>
          <w:sz w:val="28"/>
          <w:highlight w:val="none"/>
          <w:lang w:val="zh-CN"/>
        </w:rPr>
        <w:t xml:space="preserve">环境标志产品认证证书</w:t>
      </w:r>
      <w:bookmarkEnd w:id="101"/>
      <w:r>
        <w:rPr>
          <w:color w:val="000000" w:themeColor="text1"/>
        </w:rPr>
      </w:r>
      <w:r/>
    </w:p>
    <w:p>
      <w:pPr>
        <w:pStyle w:val="1256"/>
        <w:ind w:firstLine="480"/>
        <w:spacing w:line="360" w:lineRule="auto"/>
        <w:rPr>
          <w:rFonts w:ascii="宋体" w:hAnsi="宋体" w:cs="宋体"/>
          <w:b/>
          <w:bCs/>
          <w:color w:val="000000" w:themeColor="text1"/>
          <w:sz w:val="24"/>
          <w:highlight w:val="none"/>
        </w:rPr>
      </w:pPr>
      <w:r>
        <w:rPr>
          <w:rFonts w:hint="eastAsia" w:ascii="宋体" w:hAnsi="宋体" w:cs="宋体"/>
          <w:bCs/>
          <w:color w:val="000000" w:themeColor="text1"/>
          <w:sz w:val="24"/>
          <w:highlight w:val="none"/>
        </w:rPr>
        <w:t xml:space="preserve">（提供国家确定的认证机构出具的、处于有效期之内的产品认证证书）</w:t>
      </w:r>
      <w:r>
        <w:rPr>
          <w:color w:val="000000" w:themeColor="text1"/>
        </w:rPr>
      </w:r>
      <w:r/>
    </w:p>
    <w:p>
      <w:pPr>
        <w:pStyle w:val="1256"/>
        <w:spacing w:line="360" w:lineRule="auto"/>
        <w:rPr>
          <w:rFonts w:hint="eastAsia"/>
          <w:b/>
          <w:color w:val="000000" w:themeColor="text1"/>
          <w:highlight w:val="none"/>
        </w:rPr>
      </w:pPr>
      <w:r>
        <w:rPr>
          <w:rFonts w:hint="eastAsia"/>
          <w:b/>
          <w:color w:val="000000" w:themeColor="text1"/>
          <w:highlight w:val="none"/>
          <w:lang w:val="zh-CN"/>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256"/>
        <w:jc w:val="center"/>
        <w:spacing w:line="360" w:lineRule="auto"/>
        <w:rPr>
          <w:rFonts w:hint="eastAsia" w:ascii="黑体" w:eastAsia="黑体"/>
          <w:color w:val="000000" w:themeColor="text1"/>
          <w:sz w:val="32"/>
          <w:szCs w:val="32"/>
          <w:highlight w:val="none"/>
        </w:rPr>
      </w:pPr>
      <w:r>
        <w:rPr>
          <w:rFonts w:hint="eastAsia" w:ascii="黑体" w:eastAsia="黑体"/>
          <w:color w:val="000000" w:themeColor="text1"/>
          <w:sz w:val="32"/>
          <w:szCs w:val="32"/>
          <w:highlight w:val="none"/>
          <w:lang w:val="zh-CN"/>
        </w:rPr>
      </w:r>
      <w:r>
        <w:rPr>
          <w:color w:val="000000" w:themeColor="text1"/>
        </w:rPr>
      </w:r>
      <w:r/>
    </w:p>
    <w:p>
      <w:pPr>
        <w:pStyle w:val="1258"/>
        <w:numPr>
          <w:ilvl w:val="1"/>
          <w:numId w:val="0"/>
        </w:numPr>
        <w:spacing w:before="0" w:after="0" w:line="240" w:lineRule="auto"/>
        <w:tabs>
          <w:tab w:val="left" w:pos="840" w:leader="none"/>
        </w:tabs>
        <w:rPr>
          <w:rStyle w:val="1339"/>
          <w:rFonts w:hint="eastAsia" w:eastAsia="宋体" w:cs="Times New Roman"/>
          <w:b/>
          <w:bCs/>
          <w:color w:val="000000" w:themeColor="text1"/>
          <w:sz w:val="28"/>
          <w:szCs w:val="28"/>
          <w:highlight w:val="none"/>
        </w:rPr>
      </w:pPr>
      <w:r>
        <w:rPr>
          <w:rStyle w:val="1339"/>
          <w:rFonts w:hint="eastAsia" w:eastAsia="宋体" w:cs="Times New Roman"/>
          <w:b/>
          <w:bCs/>
          <w:color w:val="000000" w:themeColor="text1"/>
          <w:sz w:val="28"/>
          <w:szCs w:val="28"/>
          <w:highlight w:val="none"/>
          <w:lang w:val="zh-CN"/>
        </w:rPr>
        <w:t xml:space="preserve">附件十七、采购本国产品的支持政策（如符合需提供）</w:t>
      </w:r>
      <w:r>
        <w:rPr>
          <w:color w:val="000000" w:themeColor="text1"/>
        </w:rPr>
      </w:r>
      <w:r/>
    </w:p>
    <w:p>
      <w:pPr>
        <w:pStyle w:val="1256"/>
        <w:spacing w:line="85"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rPr>
      </w:r>
      <w:r/>
    </w:p>
    <w:p>
      <w:pPr>
        <w:pStyle w:val="1256"/>
        <w:jc w:val="center"/>
        <w:keepLines/>
        <w:keepNext/>
        <w:spacing w:line="360" w:lineRule="auto"/>
        <w:rPr>
          <w:rFonts w:eastAsia="仿宋"/>
          <w:b/>
          <w:color w:val="000000" w:themeColor="text1"/>
          <w:sz w:val="24"/>
          <w:highlight w:val="none"/>
        </w:rPr>
        <w:outlineLvl w:val="2"/>
      </w:pPr>
      <w:r>
        <w:rPr>
          <w:color w:val="000000" w:themeColor="text1"/>
        </w:rPr>
      </w:r>
      <w:bookmarkStart w:id="102" w:name="_Toc21845"/>
      <w:r>
        <w:rPr>
          <w:rFonts w:eastAsia="仿宋"/>
          <w:b/>
          <w:color w:val="000000" w:themeColor="text1"/>
          <w:sz w:val="24"/>
          <w:highlight w:val="none"/>
        </w:rPr>
        <w:t xml:space="preserve">关于符合本国产品标准的声明函</w:t>
      </w:r>
      <w:bookmarkEnd w:id="102"/>
      <w:r>
        <w:rPr>
          <w:color w:val="000000" w:themeColor="text1"/>
        </w:rPr>
      </w:r>
      <w:r/>
    </w:p>
    <w:p>
      <w:pPr>
        <w:pStyle w:val="1429"/>
        <w:ind w:firstLine="420"/>
        <w:spacing w:before="0" w:beforeAutospacing="0" w:after="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1429"/>
        <w:ind w:firstLine="420"/>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1.</w:t>
      </w:r>
      <w:r>
        <w:rPr>
          <w:rStyle w:val="1336"/>
          <w:rFonts w:hint="eastAsia" w:ascii="宋体" w:hAnsi="宋体" w:cs="宋体"/>
          <w:color w:val="000000" w:themeColor="text1"/>
          <w:szCs w:val="21"/>
          <w:highlight w:val="none"/>
          <w:u w:val="single"/>
          <w:shd w:val="clear" w:color="auto" w:fill="ffffff"/>
        </w:rPr>
        <w:t xml:space="preserve">（产品名称1）</w:t>
      </w:r>
      <w:r>
        <w:rPr>
          <w:rStyle w:val="1336"/>
          <w:rFonts w:hint="eastAsia" w:ascii="宋体" w:hAnsi="宋体" w:cs="宋体"/>
          <w:color w:val="000000" w:themeColor="text1"/>
          <w:szCs w:val="21"/>
          <w:highlight w:val="none"/>
          <w:shd w:val="clear" w:color="auto" w:fill="ffffff"/>
          <w:vertAlign w:val="superscript"/>
        </w:rPr>
        <w:t xml:space="preserve">1</w:t>
      </w:r>
      <w:r>
        <w:rPr>
          <w:rFonts w:hint="eastAsia" w:ascii="宋体" w:hAnsi="宋体" w:cs="宋体"/>
          <w:color w:val="000000" w:themeColor="text1"/>
          <w:sz w:val="21"/>
          <w:szCs w:val="21"/>
          <w:highlight w:val="none"/>
          <w:shd w:val="clear" w:color="auto" w:fill="ffffff"/>
        </w:rPr>
        <w:t xml:space="preserve">，生产厂为</w:t>
      </w:r>
      <w:r>
        <w:rPr>
          <w:rStyle w:val="1336"/>
          <w:rFonts w:hint="eastAsia" w:ascii="宋体" w:hAnsi="宋体" w:cs="宋体"/>
          <w:color w:val="000000" w:themeColor="text1"/>
          <w:szCs w:val="21"/>
          <w:highlight w:val="none"/>
          <w:u w:val="single"/>
          <w:shd w:val="clear" w:color="auto" w:fill="ffffff"/>
        </w:rPr>
        <w:t xml:space="preserve">（厂名）</w:t>
      </w:r>
      <w:r>
        <w:rPr>
          <w:rStyle w:val="1336"/>
          <w:rFonts w:hint="eastAsia" w:ascii="宋体" w:hAnsi="宋体" w:cs="宋体"/>
          <w:color w:val="000000" w:themeColor="text1"/>
          <w:szCs w:val="21"/>
          <w:highlight w:val="none"/>
          <w:shd w:val="clear" w:color="auto" w:fill="ffffff"/>
          <w:vertAlign w:val="superscript"/>
        </w:rPr>
        <w:t xml:space="preserve">2</w:t>
      </w:r>
      <w:r>
        <w:rPr>
          <w:rFonts w:hint="eastAsia" w:ascii="宋体" w:hAnsi="宋体" w:cs="宋体"/>
          <w:color w:val="000000" w:themeColor="text1"/>
          <w:sz w:val="21"/>
          <w:szCs w:val="21"/>
          <w:highlight w:val="none"/>
          <w:shd w:val="clear" w:color="auto" w:fill="ffffff"/>
        </w:rPr>
        <w:t xml:space="preserve">，厂址为</w:t>
      </w:r>
      <w:r>
        <w:rPr>
          <w:rStyle w:val="1336"/>
          <w:rFonts w:hint="eastAsia" w:ascii="宋体" w:hAnsi="宋体" w:cs="宋体"/>
          <w:color w:val="000000" w:themeColor="text1"/>
          <w:szCs w:val="21"/>
          <w:highlight w:val="none"/>
          <w:u w:val="single"/>
          <w:shd w:val="clear" w:color="auto" w:fill="ffffff"/>
        </w:rPr>
        <w:t xml:space="preserve">（生产厂址）</w:t>
      </w:r>
      <w:r>
        <w:rPr>
          <w:rFonts w:hint="eastAsia" w:ascii="宋体" w:hAnsi="宋体" w:cs="宋体"/>
          <w:color w:val="000000" w:themeColor="text1"/>
          <w:sz w:val="21"/>
          <w:szCs w:val="21"/>
          <w:highlight w:val="none"/>
          <w:shd w:val="clear" w:color="auto" w:fill="ffffff"/>
        </w:rPr>
        <w:t xml:space="preserve">。</w:t>
      </w:r>
      <w:r>
        <w:rPr>
          <w:rFonts w:hint="eastAsia" w:ascii="宋体" w:hAnsi="宋体" w:cs="宋体"/>
          <w:color w:val="000000" w:themeColor="text1"/>
          <w:sz w:val="21"/>
          <w:szCs w:val="21"/>
          <w:highlight w:val="none"/>
          <w:u w:val="single"/>
          <w:shd w:val="clear" w:color="auto" w:fill="ffffff"/>
        </w:rPr>
        <w:t xml:space="preserve"> </w:t>
      </w:r>
      <w:r>
        <w:rPr>
          <w:rStyle w:val="1336"/>
          <w:rFonts w:hint="eastAsia" w:ascii="宋体" w:hAnsi="宋体" w:cs="宋体"/>
          <w:color w:val="000000" w:themeColor="text1"/>
          <w:szCs w:val="21"/>
          <w:highlight w:val="none"/>
          <w:u w:val="single"/>
          <w:shd w:val="clear" w:color="auto" w:fill="ffffff"/>
        </w:rPr>
        <w:t xml:space="preserve">（产品名称1） </w:t>
      </w:r>
      <w:r>
        <w:rPr>
          <w:rFonts w:hint="eastAsia" w:ascii="宋体" w:hAnsi="宋体" w:cs="宋体"/>
          <w:color w:val="000000" w:themeColor="text1"/>
          <w:sz w:val="21"/>
          <w:szCs w:val="21"/>
          <w:highlight w:val="none"/>
          <w:shd w:val="clear" w:color="auto" w:fill="ffffff"/>
        </w:rPr>
        <w:t xml:space="preserve">的中国境内生产的组件成本占比≥</w:t>
      </w:r>
      <w:r>
        <w:rPr>
          <w:rStyle w:val="1336"/>
          <w:rFonts w:hint="eastAsia" w:ascii="宋体" w:hAnsi="宋体" w:cs="宋体"/>
          <w:color w:val="000000" w:themeColor="text1"/>
          <w:szCs w:val="21"/>
          <w:highlight w:val="none"/>
          <w:u w:val="single"/>
          <w:shd w:val="clear" w:color="auto" w:fill="ffffff"/>
        </w:rPr>
        <w:t xml:space="preserve">（规定比例）</w:t>
      </w:r>
      <w:r>
        <w:rPr>
          <w:rStyle w:val="1336"/>
          <w:rFonts w:hint="eastAsia" w:ascii="宋体" w:hAnsi="宋体" w:cs="宋体"/>
          <w:color w:val="000000" w:themeColor="text1"/>
          <w:szCs w:val="21"/>
          <w:highlight w:val="none"/>
          <w:shd w:val="clear" w:color="auto" w:fill="ffffff"/>
          <w:vertAlign w:val="superscript"/>
        </w:rPr>
        <w:t xml:space="preserve">3</w:t>
      </w:r>
      <w:r>
        <w:rPr>
          <w:rFonts w:hint="eastAsia" w:ascii="宋体" w:hAnsi="宋体" w:cs="宋体"/>
          <w:color w:val="000000" w:themeColor="text1"/>
          <w:sz w:val="21"/>
          <w:szCs w:val="21"/>
          <w:highlight w:val="none"/>
          <w:shd w:val="clear" w:color="auto" w:fill="ffffff"/>
        </w:rPr>
        <w:t xml:space="preserve">。</w:t>
      </w:r>
      <w:r>
        <w:rPr>
          <w:rStyle w:val="1336"/>
          <w:rFonts w:hint="eastAsia" w:ascii="宋体" w:hAnsi="宋体" w:cs="宋体"/>
          <w:color w:val="000000" w:themeColor="text1"/>
          <w:szCs w:val="21"/>
          <w:highlight w:val="none"/>
          <w:u w:val="single"/>
          <w:shd w:val="clear" w:color="auto" w:fill="ffffff"/>
        </w:rPr>
        <w:t xml:space="preserve">（产品名称1）</w:t>
      </w:r>
      <w:r>
        <w:rPr>
          <w:rFonts w:hint="eastAsia" w:ascii="宋体" w:hAnsi="宋体" w:cs="宋体"/>
          <w:color w:val="000000" w:themeColor="text1"/>
          <w:sz w:val="21"/>
          <w:szCs w:val="21"/>
          <w:highlight w:val="none"/>
          <w:shd w:val="clear" w:color="auto" w:fill="ffffff"/>
        </w:rPr>
        <w:t xml:space="preserve">的</w:t>
      </w:r>
      <w:r>
        <w:rPr>
          <w:rStyle w:val="1336"/>
          <w:rFonts w:hint="eastAsia" w:ascii="宋体" w:hAnsi="宋体" w:cs="宋体"/>
          <w:color w:val="000000" w:themeColor="text1"/>
          <w:szCs w:val="21"/>
          <w:highlight w:val="none"/>
          <w:u w:val="single"/>
          <w:shd w:val="clear" w:color="auto" w:fill="ffffff"/>
        </w:rPr>
        <w:t xml:space="preserve">（关键组件）</w:t>
      </w:r>
      <w:r>
        <w:rPr>
          <w:rStyle w:val="1336"/>
          <w:rFonts w:hint="eastAsia" w:ascii="宋体" w:hAnsi="宋体" w:cs="宋体"/>
          <w:color w:val="000000" w:themeColor="text1"/>
          <w:szCs w:val="21"/>
          <w:highlight w:val="none"/>
          <w:shd w:val="clear" w:color="auto" w:fill="ffffff"/>
          <w:vertAlign w:val="superscript"/>
        </w:rPr>
        <w:t xml:space="preserve">4</w:t>
      </w:r>
      <w:r>
        <w:rPr>
          <w:rFonts w:hint="eastAsia" w:ascii="宋体" w:hAnsi="宋体" w:cs="宋体"/>
          <w:color w:val="000000" w:themeColor="text1"/>
          <w:sz w:val="21"/>
          <w:szCs w:val="21"/>
          <w:highlight w:val="none"/>
          <w:shd w:val="clear" w:color="auto" w:fill="ffffff"/>
        </w:rPr>
        <w:t xml:space="preserve">在中国境内生产。</w:t>
      </w:r>
      <w:r>
        <w:rPr>
          <w:rStyle w:val="1336"/>
          <w:rFonts w:hint="eastAsia" w:ascii="宋体" w:hAnsi="宋体" w:cs="宋体"/>
          <w:color w:val="000000" w:themeColor="text1"/>
          <w:szCs w:val="21"/>
          <w:highlight w:val="none"/>
          <w:u w:val="single"/>
          <w:shd w:val="clear" w:color="auto" w:fill="ffffff"/>
        </w:rPr>
        <w:t xml:space="preserve">（产品名称1）</w:t>
      </w:r>
      <w:r>
        <w:rPr>
          <w:rFonts w:hint="eastAsia" w:ascii="宋体" w:hAnsi="宋体" w:cs="宋体"/>
          <w:color w:val="000000" w:themeColor="text1"/>
          <w:sz w:val="21"/>
          <w:szCs w:val="21"/>
          <w:highlight w:val="none"/>
          <w:shd w:val="clear" w:color="auto" w:fill="ffffff"/>
        </w:rPr>
        <w:t xml:space="preserve">的</w:t>
      </w:r>
      <w:r>
        <w:rPr>
          <w:rStyle w:val="1336"/>
          <w:rFonts w:hint="eastAsia" w:ascii="宋体" w:hAnsi="宋体" w:cs="宋体"/>
          <w:color w:val="000000" w:themeColor="text1"/>
          <w:szCs w:val="21"/>
          <w:highlight w:val="none"/>
          <w:u w:val="single"/>
          <w:shd w:val="clear" w:color="auto" w:fill="ffffff"/>
        </w:rPr>
        <w:t xml:space="preserve">（关键工序）</w:t>
      </w:r>
      <w:r>
        <w:rPr>
          <w:rStyle w:val="1336"/>
          <w:rFonts w:hint="eastAsia" w:ascii="宋体" w:hAnsi="宋体" w:cs="宋体"/>
          <w:color w:val="000000" w:themeColor="text1"/>
          <w:szCs w:val="21"/>
          <w:highlight w:val="none"/>
          <w:shd w:val="clear" w:color="auto" w:fill="ffffff"/>
          <w:vertAlign w:val="superscript"/>
        </w:rPr>
        <w:t xml:space="preserve">5</w:t>
      </w:r>
      <w:r>
        <w:rPr>
          <w:rFonts w:hint="eastAsia" w:ascii="宋体" w:hAnsi="宋体" w:cs="宋体"/>
          <w:color w:val="000000" w:themeColor="text1"/>
          <w:sz w:val="21"/>
          <w:szCs w:val="21"/>
          <w:highlight w:val="none"/>
          <w:shd w:val="clear" w:color="auto" w:fill="ffffff"/>
        </w:rPr>
        <w:t xml:space="preserve">在中国境内完成。</w:t>
      </w:r>
      <w:r>
        <w:rPr>
          <w:color w:val="000000" w:themeColor="text1"/>
        </w:rPr>
      </w:r>
      <w:r/>
    </w:p>
    <w:p>
      <w:pPr>
        <w:pStyle w:val="1429"/>
        <w:ind w:firstLine="420"/>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2.</w:t>
      </w:r>
      <w:r>
        <w:rPr>
          <w:rStyle w:val="1336"/>
          <w:rFonts w:hint="eastAsia" w:ascii="宋体" w:hAnsi="宋体" w:cs="宋体"/>
          <w:color w:val="000000" w:themeColor="text1"/>
          <w:szCs w:val="21"/>
          <w:highlight w:val="none"/>
          <w:u w:val="single"/>
          <w:shd w:val="clear" w:color="auto" w:fill="ffffff"/>
        </w:rPr>
        <w:t xml:space="preserve">（产品名称2）</w:t>
      </w:r>
      <w:r>
        <w:rPr>
          <w:rFonts w:hint="eastAsia" w:ascii="宋体" w:hAnsi="宋体" w:cs="宋体"/>
          <w:color w:val="000000" w:themeColor="text1"/>
          <w:sz w:val="21"/>
          <w:szCs w:val="21"/>
          <w:highlight w:val="none"/>
          <w:shd w:val="clear" w:color="auto" w:fill="ffffff"/>
        </w:rPr>
        <w:t xml:space="preserve">，生产厂为</w:t>
      </w:r>
      <w:r>
        <w:rPr>
          <w:rStyle w:val="1336"/>
          <w:rFonts w:hint="eastAsia" w:ascii="宋体" w:hAnsi="宋体" w:cs="宋体"/>
          <w:color w:val="000000" w:themeColor="text1"/>
          <w:szCs w:val="21"/>
          <w:highlight w:val="none"/>
          <w:u w:val="single"/>
          <w:shd w:val="clear" w:color="auto" w:fill="ffffff"/>
        </w:rPr>
        <w:t xml:space="preserve">（厂名）</w:t>
      </w:r>
      <w:r>
        <w:rPr>
          <w:rFonts w:hint="eastAsia" w:ascii="宋体" w:hAnsi="宋体" w:cs="宋体"/>
          <w:color w:val="000000" w:themeColor="text1"/>
          <w:sz w:val="21"/>
          <w:szCs w:val="21"/>
          <w:highlight w:val="none"/>
          <w:shd w:val="clear" w:color="auto" w:fill="ffffff"/>
        </w:rPr>
        <w:t xml:space="preserve">，厂址为</w:t>
      </w:r>
      <w:r>
        <w:rPr>
          <w:rStyle w:val="1336"/>
          <w:rFonts w:hint="eastAsia" w:ascii="宋体" w:hAnsi="宋体" w:cs="宋体"/>
          <w:color w:val="000000" w:themeColor="text1"/>
          <w:szCs w:val="21"/>
          <w:highlight w:val="none"/>
          <w:u w:val="single"/>
          <w:shd w:val="clear" w:color="auto" w:fill="ffffff"/>
        </w:rPr>
        <w:t xml:space="preserve">（生产厂址）</w:t>
      </w:r>
      <w:r>
        <w:rPr>
          <w:rFonts w:hint="eastAsia" w:ascii="宋体" w:hAnsi="宋体" w:cs="宋体"/>
          <w:color w:val="000000" w:themeColor="text1"/>
          <w:sz w:val="21"/>
          <w:szCs w:val="21"/>
          <w:highlight w:val="none"/>
          <w:shd w:val="clear" w:color="auto" w:fill="ffffff"/>
        </w:rPr>
        <w:t xml:space="preserve">。</w:t>
      </w:r>
      <w:r>
        <w:rPr>
          <w:rStyle w:val="1336"/>
          <w:rFonts w:hint="eastAsia" w:ascii="宋体" w:hAnsi="宋体" w:cs="宋体"/>
          <w:color w:val="000000" w:themeColor="text1"/>
          <w:szCs w:val="21"/>
          <w:highlight w:val="none"/>
          <w:u w:val="single"/>
          <w:shd w:val="clear" w:color="auto" w:fill="ffffff"/>
        </w:rPr>
        <w:t xml:space="preserve">（产品名称2）</w:t>
      </w:r>
      <w:r>
        <w:rPr>
          <w:rFonts w:hint="eastAsia" w:ascii="宋体" w:hAnsi="宋体" w:cs="宋体"/>
          <w:color w:val="000000" w:themeColor="text1"/>
          <w:sz w:val="21"/>
          <w:szCs w:val="21"/>
          <w:highlight w:val="none"/>
          <w:shd w:val="clear" w:color="auto" w:fill="ffffff"/>
        </w:rPr>
        <w:t xml:space="preserve">的中国境内生产的组件成本占比≥</w:t>
      </w:r>
      <w:r>
        <w:rPr>
          <w:rStyle w:val="1336"/>
          <w:rFonts w:hint="eastAsia" w:ascii="宋体" w:hAnsi="宋体" w:cs="宋体"/>
          <w:color w:val="000000" w:themeColor="text1"/>
          <w:szCs w:val="21"/>
          <w:highlight w:val="none"/>
          <w:u w:val="single"/>
          <w:shd w:val="clear" w:color="auto" w:fill="ffffff"/>
        </w:rPr>
        <w:t xml:space="preserve">（规定比例）</w:t>
      </w:r>
      <w:r>
        <w:rPr>
          <w:rFonts w:hint="eastAsia" w:ascii="宋体" w:hAnsi="宋体" w:cs="宋体"/>
          <w:color w:val="000000" w:themeColor="text1"/>
          <w:sz w:val="21"/>
          <w:szCs w:val="21"/>
          <w:highlight w:val="none"/>
          <w:shd w:val="clear" w:color="auto" w:fill="ffffff"/>
        </w:rPr>
        <w:t xml:space="preserve">。</w:t>
      </w:r>
      <w:r>
        <w:rPr>
          <w:rStyle w:val="1336"/>
          <w:rFonts w:hint="eastAsia" w:ascii="宋体" w:hAnsi="宋体" w:cs="宋体"/>
          <w:color w:val="000000" w:themeColor="text1"/>
          <w:szCs w:val="21"/>
          <w:highlight w:val="none"/>
          <w:u w:val="single"/>
          <w:shd w:val="clear" w:color="auto" w:fill="ffffff"/>
        </w:rPr>
        <w:t xml:space="preserve">（产品名称2）</w:t>
      </w:r>
      <w:r>
        <w:rPr>
          <w:rFonts w:hint="eastAsia" w:ascii="宋体" w:hAnsi="宋体" w:cs="宋体"/>
          <w:color w:val="000000" w:themeColor="text1"/>
          <w:sz w:val="21"/>
          <w:szCs w:val="21"/>
          <w:highlight w:val="none"/>
          <w:shd w:val="clear" w:color="auto" w:fill="ffffff"/>
        </w:rPr>
        <w:t xml:space="preserve">的</w:t>
      </w:r>
      <w:r>
        <w:rPr>
          <w:rStyle w:val="1336"/>
          <w:rFonts w:hint="eastAsia" w:ascii="宋体" w:hAnsi="宋体" w:cs="宋体"/>
          <w:color w:val="000000" w:themeColor="text1"/>
          <w:szCs w:val="21"/>
          <w:highlight w:val="none"/>
          <w:u w:val="single"/>
          <w:shd w:val="clear" w:color="auto" w:fill="ffffff"/>
        </w:rPr>
        <w:t xml:space="preserve">（关键组件）</w:t>
      </w:r>
      <w:r>
        <w:rPr>
          <w:rFonts w:hint="eastAsia" w:ascii="宋体" w:hAnsi="宋体" w:cs="宋体"/>
          <w:color w:val="000000" w:themeColor="text1"/>
          <w:sz w:val="21"/>
          <w:szCs w:val="21"/>
          <w:highlight w:val="none"/>
          <w:shd w:val="clear" w:color="auto" w:fill="ffffff"/>
        </w:rPr>
        <w:t xml:space="preserve">在中国境内生产。</w:t>
      </w:r>
      <w:r>
        <w:rPr>
          <w:rStyle w:val="1336"/>
          <w:rFonts w:hint="eastAsia" w:ascii="宋体" w:hAnsi="宋体" w:cs="宋体"/>
          <w:color w:val="000000" w:themeColor="text1"/>
          <w:szCs w:val="21"/>
          <w:highlight w:val="none"/>
          <w:u w:val="single"/>
          <w:shd w:val="clear" w:color="auto" w:fill="ffffff"/>
        </w:rPr>
        <w:t xml:space="preserve">（产品名称1）</w:t>
      </w:r>
      <w:r>
        <w:rPr>
          <w:rFonts w:hint="eastAsia" w:ascii="宋体" w:hAnsi="宋体" w:cs="宋体"/>
          <w:color w:val="000000" w:themeColor="text1"/>
          <w:sz w:val="21"/>
          <w:szCs w:val="21"/>
          <w:highlight w:val="none"/>
          <w:shd w:val="clear" w:color="auto" w:fill="ffffff"/>
        </w:rPr>
        <w:t xml:space="preserve">的</w:t>
      </w:r>
      <w:r>
        <w:rPr>
          <w:rStyle w:val="1336"/>
          <w:rFonts w:hint="eastAsia" w:ascii="宋体" w:hAnsi="宋体" w:cs="宋体"/>
          <w:color w:val="000000" w:themeColor="text1"/>
          <w:szCs w:val="21"/>
          <w:highlight w:val="none"/>
          <w:u w:val="single"/>
          <w:shd w:val="clear" w:color="auto" w:fill="ffffff"/>
        </w:rPr>
        <w:t xml:space="preserve">（关键工序）</w:t>
      </w:r>
      <w:r>
        <w:rPr>
          <w:rFonts w:hint="eastAsia" w:ascii="宋体" w:hAnsi="宋体" w:cs="宋体"/>
          <w:color w:val="000000" w:themeColor="text1"/>
          <w:sz w:val="21"/>
          <w:szCs w:val="21"/>
          <w:highlight w:val="none"/>
          <w:shd w:val="clear" w:color="auto" w:fill="ffffff"/>
        </w:rPr>
        <w:t xml:space="preserve">在中国境内完成。</w:t>
      </w:r>
      <w:r>
        <w:rPr>
          <w:color w:val="000000" w:themeColor="text1"/>
        </w:rPr>
      </w:r>
      <w:r/>
    </w:p>
    <w:p>
      <w:pPr>
        <w:pStyle w:val="1429"/>
        <w:ind w:firstLine="420"/>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w:t>
      </w:r>
      <w:r>
        <w:rPr>
          <w:color w:val="000000" w:themeColor="text1"/>
        </w:rPr>
      </w:r>
      <w:r/>
    </w:p>
    <w:p>
      <w:pPr>
        <w:pStyle w:val="1429"/>
        <w:ind w:firstLine="420"/>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本公司（单位）对上述声明内容的真实性负责。如有虚假，愿承担相应法律责任。</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p>
      <w:pPr>
        <w:pStyle w:val="1429"/>
        <w:ind w:right="480" w:firstLine="4515"/>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公司（单位）名称（加盖电子公章）：　        </w:t>
      </w:r>
      <w:r>
        <w:rPr>
          <w:color w:val="000000" w:themeColor="text1"/>
        </w:rPr>
      </w:r>
      <w:r/>
    </w:p>
    <w:p>
      <w:pPr>
        <w:pStyle w:val="1429"/>
        <w:jc w:val="center"/>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                                日期：　   年　  月　  日         </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__________________</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1.产品如有型号，请在“产品名称”栏一并填写。</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2.生产厂名与厂址应与生产厂营业执照载明的相关信息保持一致。</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3.该产品的中国境内生产的组件成本占比相关要求实施前，“规定比例”栏可不填，下同。</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4.该产品的关键组件要求实施前，“关键组件”栏可不填，下同。</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shd w:val="clear" w:color="auto" w:fill="ffffff"/>
        </w:rPr>
      </w:pPr>
      <w:r>
        <w:rPr>
          <w:rFonts w:hint="eastAsia" w:ascii="宋体" w:hAnsi="宋体" w:cs="宋体"/>
          <w:color w:val="000000" w:themeColor="text1"/>
          <w:sz w:val="21"/>
          <w:szCs w:val="21"/>
          <w:highlight w:val="none"/>
          <w:shd w:val="clear" w:color="auto" w:fill="ffffff"/>
        </w:rPr>
        <w:t xml:space="preserve">5.该产品的关键工序要求实施前，“关键工序”栏可不填，下同。</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shd w:val="clear" w:color="auto" w:fill="ffffff"/>
        </w:rPr>
      </w:pPr>
      <w:r>
        <w:rPr>
          <w:rFonts w:hint="eastAsia" w:ascii="宋体" w:hAnsi="宋体" w:cs="宋体"/>
          <w:color w:val="000000" w:themeColor="text1"/>
          <w:sz w:val="21"/>
          <w:szCs w:val="21"/>
          <w:highlight w:val="none"/>
          <w:shd w:val="clear" w:color="auto" w:fill="ffffff"/>
        </w:rPr>
        <w:t xml:space="preserve">6.用斜线划除的地方无需填写。</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shd w:val="clear" w:color="auto" w:fill="ffffff"/>
        </w:rPr>
      </w:pPr>
      <w:r>
        <w:rPr>
          <w:rFonts w:hint="eastAsia" w:ascii="宋体" w:hAnsi="宋体" w:cs="宋体"/>
          <w:color w:val="000000" w:themeColor="text1"/>
          <w:sz w:val="21"/>
          <w:szCs w:val="21"/>
          <w:highlight w:val="none"/>
          <w:shd w:val="clear" w:color="auto" w:fill="ffffff"/>
        </w:rPr>
        <w:t xml:space="preserve">7.供应商提供虚假《声明函》、虚假证明文件谋取中标、成交的，依照《中华人民共和国政府采购法》等法律法规规定追究相应责任。</w:t>
      </w:r>
      <w:r>
        <w:rPr>
          <w:color w:val="000000" w:themeColor="text1"/>
        </w:rPr>
      </w:r>
      <w:r/>
    </w:p>
    <w:p>
      <w:pPr>
        <w:pStyle w:val="1429"/>
        <w:spacing w:before="30" w:beforeAutospacing="0" w:after="30" w:afterAutospacing="0" w:line="360" w:lineRule="auto"/>
        <w:rPr>
          <w:rFonts w:hint="eastAsia" w:ascii="宋体" w:hAnsi="宋体" w:cs="宋体"/>
          <w:color w:val="000000" w:themeColor="text1"/>
          <w:sz w:val="21"/>
          <w:szCs w:val="21"/>
          <w:highlight w:val="none"/>
          <w:shd w:val="clear" w:color="auto" w:fill="ffffff"/>
        </w:rPr>
      </w:pPr>
      <w:r>
        <w:rPr>
          <w:rFonts w:hint="eastAsia" w:ascii="宋体" w:hAnsi="宋体" w:cs="宋体"/>
          <w:color w:val="000000" w:themeColor="text1"/>
          <w:sz w:val="21"/>
          <w:szCs w:val="21"/>
          <w:highlight w:val="none"/>
          <w:shd w:val="clear" w:color="auto" w:fill="ffffff"/>
        </w:rPr>
        <w:t xml:space="preserve">8.中标供应商提供的《声明函》或有关证明文件将随中标结果同时公告。</w:t>
      </w:r>
      <w:r>
        <w:rPr>
          <w:color w:val="000000" w:themeColor="text1"/>
        </w:rPr>
      </w:r>
      <w:r/>
    </w:p>
    <w:p>
      <w:pPr>
        <w:pStyle w:val="1256"/>
        <w:spacing w:line="85"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rPr>
      </w:r>
      <w:r/>
    </w:p>
    <w:p>
      <w:pPr>
        <w:pStyle w:val="1256"/>
        <w:spacing w:line="360" w:lineRule="auto"/>
        <w:rPr>
          <w:rFonts w:hint="eastAsia"/>
          <w:color w:val="000000" w:themeColor="text1"/>
          <w:highlight w:val="none"/>
        </w:rPr>
      </w:pPr>
      <w:r>
        <w:rPr>
          <w:rFonts w:hint="eastAsia"/>
          <w:color w:val="000000" w:themeColor="text1"/>
          <w:highlight w:val="none"/>
        </w:rPr>
      </w:r>
      <w:r>
        <w:rPr>
          <w:color w:val="000000" w:themeColor="text1"/>
        </w:rPr>
      </w:r>
      <w:r/>
    </w:p>
    <w:p>
      <w:pPr>
        <w:pStyle w:val="1256"/>
        <w:spacing w:line="360" w:lineRule="auto"/>
        <w:rPr>
          <w:rFonts w:hint="eastAsia"/>
          <w:color w:val="000000" w:themeColor="text1"/>
          <w:highlight w:val="none"/>
        </w:rPr>
      </w:pPr>
      <w:r>
        <w:rPr>
          <w:rFonts w:hint="eastAsia"/>
          <w:color w:val="000000" w:themeColor="text1"/>
          <w:highlight w:val="none"/>
        </w:rPr>
      </w:r>
      <w:r>
        <w:rPr>
          <w:color w:val="000000" w:themeColor="text1"/>
        </w:rPr>
      </w:r>
      <w:r/>
    </w:p>
    <w:p>
      <w:pPr>
        <w:pStyle w:val="1256"/>
        <w:jc w:val="center"/>
        <w:spacing w:line="360" w:lineRule="auto"/>
        <w:rPr>
          <w:rFonts w:hint="eastAsia" w:ascii="黑体" w:eastAsia="黑体"/>
          <w:color w:val="000000" w:themeColor="text1"/>
          <w:sz w:val="32"/>
          <w:szCs w:val="32"/>
          <w:highlight w:val="none"/>
        </w:rPr>
      </w:pPr>
      <w:r>
        <w:rPr>
          <w:rFonts w:hint="eastAsia" w:ascii="黑体" w:eastAsia="黑体"/>
          <w:color w:val="000000" w:themeColor="text1"/>
          <w:sz w:val="32"/>
          <w:szCs w:val="32"/>
          <w:highlight w:val="none"/>
          <w:lang w:val="zh-CN"/>
        </w:rPr>
      </w:r>
      <w:r>
        <w:rPr>
          <w:color w:val="000000" w:themeColor="text1"/>
        </w:rPr>
      </w:r>
      <w:r/>
    </w:p>
    <w:p>
      <w:pPr>
        <w:pStyle w:val="1256"/>
        <w:spacing w:line="460" w:lineRule="exact"/>
        <w:rPr>
          <w:rFonts w:hint="eastAsia"/>
          <w:b/>
          <w:color w:val="000000" w:themeColor="text1"/>
          <w:highlight w:val="none"/>
        </w:rPr>
      </w:pPr>
      <w:r>
        <w:rPr>
          <w:rFonts w:hint="eastAsia"/>
          <w:b/>
          <w:color w:val="000000" w:themeColor="text1"/>
          <w:highlight w:val="none"/>
        </w:rPr>
      </w:r>
      <w:r>
        <w:rPr>
          <w:color w:val="000000" w:themeColor="text1"/>
        </w:rPr>
      </w:r>
      <w:r/>
    </w:p>
    <w:p>
      <w:pPr>
        <w:pStyle w:val="1256"/>
        <w:spacing w:line="360" w:lineRule="auto"/>
        <w:rPr>
          <w:rFonts w:hint="eastAsia"/>
          <w:b/>
          <w:color w:val="000000" w:themeColor="text1"/>
          <w:highlight w:val="none"/>
        </w:rPr>
      </w:pPr>
      <w:r>
        <w:rPr>
          <w:rFonts w:hint="eastAsia"/>
          <w:b/>
          <w:color w:val="000000" w:themeColor="text1"/>
          <w:highlight w:val="none"/>
        </w:rPr>
      </w:r>
      <w:r>
        <w:rPr>
          <w:color w:val="000000" w:themeColor="text1"/>
        </w:rPr>
      </w:r>
      <w:r/>
    </w:p>
    <w:p>
      <w:pPr>
        <w:pStyle w:val="1256"/>
        <w:spacing w:line="360" w:lineRule="auto"/>
        <w:rPr>
          <w:rFonts w:hint="eastAsia"/>
          <w:b/>
          <w:color w:val="000000" w:themeColor="text1"/>
          <w:highlight w:val="none"/>
        </w:rPr>
      </w:pPr>
      <w:r>
        <w:rPr>
          <w:rFonts w:hint="eastAsia"/>
          <w:b/>
          <w:color w:val="000000" w:themeColor="text1"/>
          <w:highlight w:val="none"/>
        </w:rPr>
      </w:r>
      <w:r>
        <w:rPr>
          <w:color w:val="000000" w:themeColor="text1"/>
        </w:rPr>
      </w:r>
      <w:r/>
    </w:p>
    <w:sectPr>
      <w:headerReference w:type="default" r:id="rId13"/>
      <w:footerReference w:type="default" r:id="rId19"/>
      <w:footerReference w:type="first" r:id="rId20"/>
      <w:footnotePr/>
      <w:endnotePr/>
      <w:type w:val="nextPage"/>
      <w:pgSz w:w="11906" w:h="16838" w:orient="portrait"/>
      <w:pgMar w:top="1123" w:right="1179" w:bottom="1123" w:left="1179"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Calibri">
    <w:panose1 w:val="020F0502020204030204"/>
  </w:font>
  <w:font w:name="微软雅黑">
    <w:panose1 w:val="020B0503020204020204"/>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Microsoft New Tai Lue">
    <w:panose1 w:val="020B0502040204020203"/>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wps:txbx>
                    <wps:bodyPr wrap="none" lIns="0" tIns="0" rIns="0" bIns="0" upright="1">
                      <a:spAutoFit/>
                    </wps:bodyPr>
                  </wps:wsp>
                </a:graphicData>
              </a:graphic>
            </wp:anchor>
          </w:drawing>
        </mc:Choice>
        <mc:Fallback>
          <w:pict>
            <v:shape id="shape 5" o:spid="_x0000_s5"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tabs>
        <w:tab w:val="center" w:pos="487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wps:txbx>
                    <wps:bodyPr wrap="none" lIns="0" tIns="0" rIns="0" bIns="0" upright="1">
                      <a:spAutoFit/>
                    </wps:bodyPr>
                  </wps:wsp>
                </a:graphicData>
              </a:graphic>
            </wp:anchor>
          </w:drawing>
        </mc:Choice>
        <mc:Fallback>
          <w:pict>
            <v:shape id="shape 6" o:spid="_x0000_s6"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wps:txbx>
                    <wps:bodyPr wrap="none" lIns="0" tIns="0" rIns="0" bIns="0" upright="1">
                      <a:spAutoFit/>
                    </wps:bodyPr>
                  </wps:wsp>
                </a:graphicData>
              </a:graphic>
            </wp:anchor>
          </w:drawing>
        </mc:Choice>
        <mc:Fallback>
          <w:pict>
            <v:shape id="shape 7" o:spid="_x0000_s7"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tabs>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25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256"/>
                    </w:pPr>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303"/>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90</w:t>
                          </w:r>
                          <w:r>
                            <w:rPr>
                              <w:b/>
                              <w:bCs/>
                              <w:sz w:val="21"/>
                              <w:szCs w:val="21"/>
                            </w:rPr>
                            <w:fldChar w:fldCharType="end"/>
                          </w:r>
                          <w:r>
                            <w:rPr>
                              <w:b/>
                              <w:bCs/>
                              <w:sz w:val="21"/>
                              <w:szCs w:val="21"/>
                            </w:rPr>
                            <w:t xml:space="preserve"> 页</w:t>
                          </w:r>
                          <w:r>
                            <w:rPr>
                              <w:b/>
                              <w:bCs/>
                              <w:sz w:val="21"/>
                              <w:szCs w:val="21"/>
                            </w:rPr>
                          </w:r>
                          <w:r/>
                        </w:p>
                        <w:p>
                          <w:pPr>
                            <w:pStyle w:val="1256"/>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3"/>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90</w:t>
                    </w:r>
                    <w:r>
                      <w:rPr>
                        <w:b/>
                        <w:bCs/>
                        <w:sz w:val="21"/>
                        <w:szCs w:val="21"/>
                      </w:rPr>
                      <w:fldChar w:fldCharType="end"/>
                    </w:r>
                    <w:r>
                      <w:rPr>
                        <w:b/>
                        <w:bCs/>
                        <w:sz w:val="21"/>
                        <w:szCs w:val="21"/>
                      </w:rPr>
                      <w:t xml:space="preserve"> 页</w:t>
                    </w:r>
                    <w:r>
                      <w:rPr>
                        <w:b/>
                        <w:bCs/>
                        <w:sz w:val="21"/>
                        <w:szCs w:val="21"/>
                      </w:rPr>
                    </w:r>
                    <w:r/>
                  </w:p>
                  <w:p>
                    <w:pPr>
                      <w:pStyle w:val="125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2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南京特殊教育师范学院人工智能+软件工程专业特色实验室项目公开招标文件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margin">
                <wp:posOffset>1914843</wp:posOffset>
              </wp:positionH>
              <wp:positionV relativeFrom="margin">
                <wp:posOffset>2018983</wp:posOffset>
              </wp:positionV>
              <wp:extent cx="2228215" cy="5274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0;o:allowoverlap:true;o:allowincell:true;mso-position-horizontal-relative:margin;margin-left:150.8pt;mso-position-horizontal:absolute;mso-position-vertical-relative:margin;margin-top:159.0pt;mso-position-vertical:absolute;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南京特殊教育师范学院人工智能+软件工程专业特色实验室项目公开招标文件</w:t>
    </w:r>
    <w:r>
      <w:rPr>
        <w:szCs w:val="20"/>
      </w:rPr>
    </w:r>
    <w:r/>
  </w:p>
  <w:p>
    <w:pPr>
      <w:pStyle w:val="1305"/>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align>center</wp:align>
              </wp:positionH>
              <wp:positionV relativeFrom="margin">
                <wp:align>center</wp:align>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1;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2"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南京特殊教育师范学院人工智能+软件工程专业特色实验室项目公开招标文件</w:t>
    </w:r>
    <w:r>
      <w:rPr>
        <w:b/>
        <w:bCs/>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jc w:val="both"/>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228215" cy="5274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2;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南京特殊教育师范院人工智能+软件工程专业特色实验室项目公开招标文件</w:t>
    </w:r>
    <w:r>
      <w:rPr>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pStyle w:val="12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57"/>
      <w:isLgl w:val="false"/>
      <w:suff w:val="nothing"/>
      <w:lvlText w:val="第%1章"/>
      <w:lvlJc w:val="left"/>
      <w:pPr>
        <w:pStyle w:val="1256"/>
        <w:ind w:left="3402" w:firstLine="0"/>
      </w:pPr>
    </w:lvl>
    <w:lvl w:ilvl="1">
      <w:start w:val="1"/>
      <w:numFmt w:val="lowerLetter"/>
      <w:pStyle w:val="1258"/>
      <w:isLgl w:val="false"/>
      <w:suff w:val="tab"/>
      <w:lvlText w:val="%2)"/>
      <w:lvlJc w:val="left"/>
      <w:pPr>
        <w:pStyle w:val="1256"/>
        <w:ind w:left="988" w:hanging="420"/>
        <w:tabs>
          <w:tab w:val="num" w:pos="840" w:leader="none"/>
        </w:tabs>
      </w:pPr>
    </w:lvl>
    <w:lvl w:ilvl="2">
      <w:start w:val="1"/>
      <w:numFmt w:val="lowerRoman"/>
      <w:pStyle w:val="1259"/>
      <w:isLgl w:val="false"/>
      <w:suff w:val="tab"/>
      <w:lvlText w:val="%3."/>
      <w:lvlJc w:val="right"/>
      <w:pPr>
        <w:pStyle w:val="1256"/>
        <w:ind w:left="1260" w:hanging="420"/>
        <w:tabs>
          <w:tab w:val="num" w:pos="1260" w:leader="none"/>
        </w:tabs>
      </w:pPr>
    </w:lvl>
    <w:lvl w:ilvl="3">
      <w:start w:val="1"/>
      <w:numFmt w:val="decimal"/>
      <w:pStyle w:val="1260"/>
      <w:isLgl w:val="false"/>
      <w:suff w:val="tab"/>
      <w:lvlText w:val="%4."/>
      <w:lvlJc w:val="left"/>
      <w:pPr>
        <w:pStyle w:val="1256"/>
        <w:ind w:left="1680" w:hanging="420"/>
        <w:tabs>
          <w:tab w:val="num" w:pos="1680" w:leader="none"/>
        </w:tabs>
      </w:pPr>
    </w:lvl>
    <w:lvl w:ilvl="4">
      <w:start w:val="1"/>
      <w:numFmt w:val="lowerLetter"/>
      <w:pStyle w:val="1261"/>
      <w:isLgl w:val="false"/>
      <w:suff w:val="tab"/>
      <w:lvlText w:val="%5)"/>
      <w:lvlJc w:val="left"/>
      <w:pPr>
        <w:pStyle w:val="1256"/>
        <w:ind w:left="2100" w:hanging="420"/>
        <w:tabs>
          <w:tab w:val="num" w:pos="2100" w:leader="none"/>
        </w:tabs>
      </w:pPr>
    </w:lvl>
    <w:lvl w:ilvl="5">
      <w:start w:val="1"/>
      <w:numFmt w:val="lowerRoman"/>
      <w:pStyle w:val="1262"/>
      <w:isLgl w:val="false"/>
      <w:suff w:val="tab"/>
      <w:lvlText w:val="%6."/>
      <w:lvlJc w:val="right"/>
      <w:pPr>
        <w:pStyle w:val="1256"/>
        <w:ind w:left="2520" w:hanging="420"/>
        <w:tabs>
          <w:tab w:val="num" w:pos="2520" w:leader="none"/>
        </w:tabs>
      </w:pPr>
    </w:lvl>
    <w:lvl w:ilvl="6">
      <w:start w:val="1"/>
      <w:numFmt w:val="decimal"/>
      <w:pStyle w:val="1263"/>
      <w:isLgl w:val="false"/>
      <w:suff w:val="tab"/>
      <w:lvlText w:val="%7."/>
      <w:lvlJc w:val="left"/>
      <w:pPr>
        <w:pStyle w:val="1256"/>
        <w:ind w:left="2940" w:hanging="420"/>
        <w:tabs>
          <w:tab w:val="num" w:pos="2940" w:leader="none"/>
        </w:tabs>
      </w:pPr>
    </w:lvl>
    <w:lvl w:ilvl="7">
      <w:start w:val="1"/>
      <w:numFmt w:val="lowerLetter"/>
      <w:pStyle w:val="1264"/>
      <w:isLgl w:val="false"/>
      <w:suff w:val="tab"/>
      <w:lvlText w:val="%8)"/>
      <w:lvlJc w:val="left"/>
      <w:pPr>
        <w:pStyle w:val="1256"/>
        <w:ind w:left="3360" w:hanging="420"/>
        <w:tabs>
          <w:tab w:val="num" w:pos="3360" w:leader="none"/>
        </w:tabs>
      </w:pPr>
    </w:lvl>
    <w:lvl w:ilvl="8">
      <w:start w:val="1"/>
      <w:numFmt w:val="lowerRoman"/>
      <w:pStyle w:val="1265"/>
      <w:isLgl w:val="false"/>
      <w:suff w:val="tab"/>
      <w:lvlText w:val="%9."/>
      <w:lvlJc w:val="right"/>
      <w:pPr>
        <w:pStyle w:val="1256"/>
        <w:ind w:left="3780" w:hanging="420"/>
        <w:tabs>
          <w:tab w:val="num" w:pos="3780" w:leader="none"/>
        </w:tabs>
      </w:pPr>
    </w:lvl>
  </w:abstractNum>
  <w:abstractNum w:abstractNumId="2">
    <w:multiLevelType w:val="hybridMultilevel"/>
    <w:lvl w:ilvl="0">
      <w:start w:val="1"/>
      <w:numFmt w:val="upperLetter"/>
      <w:pStyle w:val="1370"/>
      <w:isLgl w:val="false"/>
      <w:suff w:val="tab"/>
      <w:lvlText w:val="%1."/>
      <w:lvlJc w:val="left"/>
      <w:pPr>
        <w:pStyle w:val="1256"/>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2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9">
    <w:name w:val="Heading 1"/>
    <w:basedOn w:val="1256"/>
    <w:next w:val="1256"/>
    <w:link w:val="1080"/>
    <w:uiPriority w:val="9"/>
    <w:qFormat/>
    <w:pPr>
      <w:keepLines/>
      <w:keepNext/>
      <w:spacing w:before="480" w:after="200"/>
      <w:outlineLvl w:val="0"/>
    </w:pPr>
    <w:rPr>
      <w:rFonts w:ascii="Arial" w:hAnsi="Arial" w:eastAsia="Arial" w:cs="Arial"/>
      <w:sz w:val="40"/>
      <w:szCs w:val="40"/>
    </w:rPr>
  </w:style>
  <w:style w:type="character" w:styleId="1080">
    <w:name w:val="Heading 1 Char"/>
    <w:link w:val="1079"/>
    <w:uiPriority w:val="9"/>
    <w:rPr>
      <w:rFonts w:ascii="Arial" w:hAnsi="Arial" w:eastAsia="Arial" w:cs="Arial"/>
      <w:sz w:val="40"/>
      <w:szCs w:val="40"/>
    </w:rPr>
  </w:style>
  <w:style w:type="paragraph" w:styleId="1081">
    <w:name w:val="Heading 2"/>
    <w:basedOn w:val="1256"/>
    <w:next w:val="1256"/>
    <w:link w:val="1082"/>
    <w:uiPriority w:val="9"/>
    <w:unhideWhenUsed/>
    <w:qFormat/>
    <w:pPr>
      <w:keepLines/>
      <w:keepNext/>
      <w:spacing w:before="360" w:after="200"/>
      <w:outlineLvl w:val="1"/>
    </w:pPr>
    <w:rPr>
      <w:rFonts w:ascii="Arial" w:hAnsi="Arial" w:eastAsia="Arial" w:cs="Arial"/>
      <w:sz w:val="34"/>
    </w:rPr>
  </w:style>
  <w:style w:type="character" w:styleId="1082">
    <w:name w:val="Heading 2 Char"/>
    <w:link w:val="1081"/>
    <w:uiPriority w:val="9"/>
    <w:rPr>
      <w:rFonts w:ascii="Arial" w:hAnsi="Arial" w:eastAsia="Arial" w:cs="Arial"/>
      <w:sz w:val="34"/>
    </w:rPr>
  </w:style>
  <w:style w:type="paragraph" w:styleId="1083">
    <w:name w:val="Heading 3"/>
    <w:basedOn w:val="1256"/>
    <w:next w:val="1256"/>
    <w:link w:val="1084"/>
    <w:uiPriority w:val="9"/>
    <w:unhideWhenUsed/>
    <w:qFormat/>
    <w:pPr>
      <w:keepLines/>
      <w:keepNext/>
      <w:spacing w:before="320" w:after="200"/>
      <w:outlineLvl w:val="2"/>
    </w:pPr>
    <w:rPr>
      <w:rFonts w:ascii="Arial" w:hAnsi="Arial" w:eastAsia="Arial" w:cs="Arial"/>
      <w:sz w:val="30"/>
      <w:szCs w:val="30"/>
    </w:rPr>
  </w:style>
  <w:style w:type="character" w:styleId="1084">
    <w:name w:val="Heading 3 Char"/>
    <w:link w:val="1083"/>
    <w:uiPriority w:val="9"/>
    <w:rPr>
      <w:rFonts w:ascii="Arial" w:hAnsi="Arial" w:eastAsia="Arial" w:cs="Arial"/>
      <w:sz w:val="30"/>
      <w:szCs w:val="30"/>
    </w:rPr>
  </w:style>
  <w:style w:type="paragraph" w:styleId="1085">
    <w:name w:val="Heading 4"/>
    <w:basedOn w:val="1256"/>
    <w:next w:val="1256"/>
    <w:link w:val="1086"/>
    <w:uiPriority w:val="9"/>
    <w:unhideWhenUsed/>
    <w:qFormat/>
    <w:pPr>
      <w:keepLines/>
      <w:keepNext/>
      <w:spacing w:before="320" w:after="200"/>
      <w:outlineLvl w:val="3"/>
    </w:pPr>
    <w:rPr>
      <w:rFonts w:ascii="Arial" w:hAnsi="Arial" w:eastAsia="Arial" w:cs="Arial"/>
      <w:b/>
      <w:bCs/>
      <w:sz w:val="26"/>
      <w:szCs w:val="26"/>
    </w:rPr>
  </w:style>
  <w:style w:type="character" w:styleId="1086">
    <w:name w:val="Heading 4 Char"/>
    <w:link w:val="1085"/>
    <w:uiPriority w:val="9"/>
    <w:rPr>
      <w:rFonts w:ascii="Arial" w:hAnsi="Arial" w:eastAsia="Arial" w:cs="Arial"/>
      <w:b/>
      <w:bCs/>
      <w:sz w:val="26"/>
      <w:szCs w:val="26"/>
    </w:rPr>
  </w:style>
  <w:style w:type="paragraph" w:styleId="1087">
    <w:name w:val="Heading 5"/>
    <w:basedOn w:val="1256"/>
    <w:next w:val="1256"/>
    <w:link w:val="1088"/>
    <w:uiPriority w:val="9"/>
    <w:unhideWhenUsed/>
    <w:qFormat/>
    <w:pPr>
      <w:keepLines/>
      <w:keepNext/>
      <w:spacing w:before="320" w:after="200"/>
      <w:outlineLvl w:val="4"/>
    </w:pPr>
    <w:rPr>
      <w:rFonts w:ascii="Arial" w:hAnsi="Arial" w:eastAsia="Arial" w:cs="Arial"/>
      <w:b/>
      <w:bCs/>
      <w:sz w:val="24"/>
      <w:szCs w:val="24"/>
    </w:rPr>
  </w:style>
  <w:style w:type="character" w:styleId="1088">
    <w:name w:val="Heading 5 Char"/>
    <w:link w:val="1087"/>
    <w:uiPriority w:val="9"/>
    <w:rPr>
      <w:rFonts w:ascii="Arial" w:hAnsi="Arial" w:eastAsia="Arial" w:cs="Arial"/>
      <w:b/>
      <w:bCs/>
      <w:sz w:val="24"/>
      <w:szCs w:val="24"/>
    </w:rPr>
  </w:style>
  <w:style w:type="paragraph" w:styleId="1089">
    <w:name w:val="Heading 6"/>
    <w:basedOn w:val="1256"/>
    <w:next w:val="1256"/>
    <w:link w:val="1090"/>
    <w:uiPriority w:val="9"/>
    <w:unhideWhenUsed/>
    <w:qFormat/>
    <w:pPr>
      <w:keepLines/>
      <w:keepNext/>
      <w:spacing w:before="320" w:after="200"/>
      <w:outlineLvl w:val="5"/>
    </w:pPr>
    <w:rPr>
      <w:rFonts w:ascii="Arial" w:hAnsi="Arial" w:eastAsia="Arial" w:cs="Arial"/>
      <w:b/>
      <w:bCs/>
      <w:sz w:val="22"/>
      <w:szCs w:val="22"/>
    </w:rPr>
  </w:style>
  <w:style w:type="character" w:styleId="1090">
    <w:name w:val="Heading 6 Char"/>
    <w:link w:val="1089"/>
    <w:uiPriority w:val="9"/>
    <w:rPr>
      <w:rFonts w:ascii="Arial" w:hAnsi="Arial" w:eastAsia="Arial" w:cs="Arial"/>
      <w:b/>
      <w:bCs/>
      <w:sz w:val="22"/>
      <w:szCs w:val="22"/>
    </w:rPr>
  </w:style>
  <w:style w:type="paragraph" w:styleId="1091">
    <w:name w:val="Heading 7"/>
    <w:basedOn w:val="1256"/>
    <w:next w:val="1256"/>
    <w:link w:val="1092"/>
    <w:uiPriority w:val="9"/>
    <w:unhideWhenUsed/>
    <w:qFormat/>
    <w:pPr>
      <w:keepLines/>
      <w:keepNext/>
      <w:spacing w:before="320" w:after="200"/>
      <w:outlineLvl w:val="6"/>
    </w:pPr>
    <w:rPr>
      <w:rFonts w:ascii="Arial" w:hAnsi="Arial" w:eastAsia="Arial" w:cs="Arial"/>
      <w:b/>
      <w:bCs/>
      <w:i/>
      <w:iCs/>
      <w:sz w:val="22"/>
      <w:szCs w:val="22"/>
    </w:rPr>
  </w:style>
  <w:style w:type="character" w:styleId="1092">
    <w:name w:val="Heading 7 Char"/>
    <w:link w:val="1091"/>
    <w:uiPriority w:val="9"/>
    <w:rPr>
      <w:rFonts w:ascii="Arial" w:hAnsi="Arial" w:eastAsia="Arial" w:cs="Arial"/>
      <w:b/>
      <w:bCs/>
      <w:i/>
      <w:iCs/>
      <w:sz w:val="22"/>
      <w:szCs w:val="22"/>
    </w:rPr>
  </w:style>
  <w:style w:type="paragraph" w:styleId="1093">
    <w:name w:val="Heading 8"/>
    <w:basedOn w:val="1256"/>
    <w:next w:val="1256"/>
    <w:link w:val="1094"/>
    <w:uiPriority w:val="9"/>
    <w:unhideWhenUsed/>
    <w:qFormat/>
    <w:pPr>
      <w:keepLines/>
      <w:keepNext/>
      <w:spacing w:before="320" w:after="200"/>
      <w:outlineLvl w:val="7"/>
    </w:pPr>
    <w:rPr>
      <w:rFonts w:ascii="Arial" w:hAnsi="Arial" w:eastAsia="Arial" w:cs="Arial"/>
      <w:i/>
      <w:iCs/>
      <w:sz w:val="22"/>
      <w:szCs w:val="22"/>
    </w:rPr>
  </w:style>
  <w:style w:type="character" w:styleId="1094">
    <w:name w:val="Heading 8 Char"/>
    <w:link w:val="1093"/>
    <w:uiPriority w:val="9"/>
    <w:rPr>
      <w:rFonts w:ascii="Arial" w:hAnsi="Arial" w:eastAsia="Arial" w:cs="Arial"/>
      <w:i/>
      <w:iCs/>
      <w:sz w:val="22"/>
      <w:szCs w:val="22"/>
    </w:rPr>
  </w:style>
  <w:style w:type="paragraph" w:styleId="1095">
    <w:name w:val="Heading 9"/>
    <w:basedOn w:val="1256"/>
    <w:next w:val="1256"/>
    <w:link w:val="1096"/>
    <w:uiPriority w:val="9"/>
    <w:unhideWhenUsed/>
    <w:qFormat/>
    <w:pPr>
      <w:keepLines/>
      <w:keepNext/>
      <w:spacing w:before="320" w:after="200"/>
      <w:outlineLvl w:val="8"/>
    </w:pPr>
    <w:rPr>
      <w:rFonts w:ascii="Arial" w:hAnsi="Arial" w:eastAsia="Arial" w:cs="Arial"/>
      <w:i/>
      <w:iCs/>
      <w:sz w:val="21"/>
      <w:szCs w:val="21"/>
    </w:rPr>
  </w:style>
  <w:style w:type="character" w:styleId="1096">
    <w:name w:val="Heading 9 Char"/>
    <w:link w:val="1095"/>
    <w:uiPriority w:val="9"/>
    <w:rPr>
      <w:rFonts w:ascii="Arial" w:hAnsi="Arial" w:eastAsia="Arial" w:cs="Arial"/>
      <w:i/>
      <w:iCs/>
      <w:sz w:val="21"/>
      <w:szCs w:val="21"/>
    </w:rPr>
  </w:style>
  <w:style w:type="paragraph" w:styleId="1097">
    <w:name w:val="No Spacing"/>
    <w:uiPriority w:val="1"/>
    <w:qFormat/>
    <w:pPr>
      <w:spacing w:before="0" w:after="0" w:line="240" w:lineRule="auto"/>
    </w:pPr>
  </w:style>
  <w:style w:type="paragraph" w:styleId="1098">
    <w:name w:val="Title"/>
    <w:basedOn w:val="1256"/>
    <w:next w:val="1256"/>
    <w:link w:val="1099"/>
    <w:uiPriority w:val="10"/>
    <w:qFormat/>
    <w:pPr>
      <w:contextualSpacing/>
      <w:spacing w:before="300" w:after="200"/>
    </w:pPr>
    <w:rPr>
      <w:sz w:val="48"/>
      <w:szCs w:val="48"/>
    </w:rPr>
  </w:style>
  <w:style w:type="character" w:styleId="1099">
    <w:name w:val="Title Char"/>
    <w:link w:val="1098"/>
    <w:uiPriority w:val="10"/>
    <w:rPr>
      <w:sz w:val="48"/>
      <w:szCs w:val="48"/>
    </w:rPr>
  </w:style>
  <w:style w:type="paragraph" w:styleId="1100">
    <w:name w:val="Subtitle"/>
    <w:basedOn w:val="1256"/>
    <w:next w:val="1256"/>
    <w:link w:val="1101"/>
    <w:uiPriority w:val="11"/>
    <w:qFormat/>
    <w:pPr>
      <w:spacing w:before="200" w:after="200"/>
    </w:pPr>
    <w:rPr>
      <w:sz w:val="24"/>
      <w:szCs w:val="24"/>
    </w:rPr>
  </w:style>
  <w:style w:type="character" w:styleId="1101">
    <w:name w:val="Subtitle Char"/>
    <w:link w:val="1100"/>
    <w:uiPriority w:val="11"/>
    <w:rPr>
      <w:sz w:val="24"/>
      <w:szCs w:val="24"/>
    </w:rPr>
  </w:style>
  <w:style w:type="paragraph" w:styleId="1102">
    <w:name w:val="Quote"/>
    <w:basedOn w:val="1256"/>
    <w:next w:val="1256"/>
    <w:link w:val="1103"/>
    <w:uiPriority w:val="29"/>
    <w:qFormat/>
    <w:pPr>
      <w:ind w:left="720" w:right="720"/>
    </w:pPr>
    <w:rPr>
      <w:i/>
    </w:rPr>
  </w:style>
  <w:style w:type="character" w:styleId="1103">
    <w:name w:val="Quote Char"/>
    <w:link w:val="1102"/>
    <w:uiPriority w:val="29"/>
    <w:rPr>
      <w:i/>
    </w:rPr>
  </w:style>
  <w:style w:type="paragraph" w:styleId="1104">
    <w:name w:val="Intense Quote"/>
    <w:basedOn w:val="1256"/>
    <w:next w:val="1256"/>
    <w:link w:val="11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5">
    <w:name w:val="Intense Quote Char"/>
    <w:link w:val="1104"/>
    <w:uiPriority w:val="30"/>
    <w:rPr>
      <w:i/>
    </w:rPr>
  </w:style>
  <w:style w:type="paragraph" w:styleId="1106">
    <w:name w:val="Header"/>
    <w:basedOn w:val="1256"/>
    <w:link w:val="1107"/>
    <w:uiPriority w:val="99"/>
    <w:unhideWhenUsed/>
    <w:pPr>
      <w:spacing w:after="0" w:line="240" w:lineRule="auto"/>
      <w:tabs>
        <w:tab w:val="center" w:pos="7143" w:leader="none"/>
        <w:tab w:val="right" w:pos="14287" w:leader="none"/>
      </w:tabs>
    </w:pPr>
  </w:style>
  <w:style w:type="character" w:styleId="1107">
    <w:name w:val="Header Char"/>
    <w:link w:val="1106"/>
    <w:uiPriority w:val="99"/>
  </w:style>
  <w:style w:type="paragraph" w:styleId="1108">
    <w:name w:val="Footer"/>
    <w:basedOn w:val="1256"/>
    <w:link w:val="1111"/>
    <w:uiPriority w:val="99"/>
    <w:unhideWhenUsed/>
    <w:pPr>
      <w:spacing w:after="0" w:line="240" w:lineRule="auto"/>
      <w:tabs>
        <w:tab w:val="center" w:pos="7143" w:leader="none"/>
        <w:tab w:val="right" w:pos="14287" w:leader="none"/>
      </w:tabs>
    </w:pPr>
  </w:style>
  <w:style w:type="character" w:styleId="1109">
    <w:name w:val="Footer Char"/>
    <w:link w:val="1108"/>
    <w:uiPriority w:val="99"/>
  </w:style>
  <w:style w:type="paragraph" w:styleId="1110">
    <w:name w:val="Caption"/>
    <w:basedOn w:val="1256"/>
    <w:next w:val="1256"/>
    <w:uiPriority w:val="35"/>
    <w:semiHidden/>
    <w:unhideWhenUsed/>
    <w:qFormat/>
    <w:pPr>
      <w:spacing w:line="276" w:lineRule="auto"/>
    </w:pPr>
    <w:rPr>
      <w:b/>
      <w:bCs/>
      <w:color w:val="4f81bd" w:themeColor="accent1"/>
      <w:sz w:val="18"/>
      <w:szCs w:val="18"/>
    </w:rPr>
  </w:style>
  <w:style w:type="character" w:styleId="1111">
    <w:name w:val="Caption Char"/>
    <w:basedOn w:val="1110"/>
    <w:link w:val="1108"/>
    <w:uiPriority w:val="99"/>
  </w:style>
  <w:style w:type="table" w:styleId="11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38">
    <w:name w:val="Hyperlink"/>
    <w:uiPriority w:val="99"/>
    <w:unhideWhenUsed/>
    <w:rPr>
      <w:color w:val="0000ff" w:themeColor="hyperlink"/>
      <w:u w:val="single"/>
    </w:rPr>
  </w:style>
  <w:style w:type="paragraph" w:styleId="1239">
    <w:name w:val="footnote text"/>
    <w:basedOn w:val="1256"/>
    <w:link w:val="1240"/>
    <w:uiPriority w:val="99"/>
    <w:semiHidden/>
    <w:unhideWhenUsed/>
    <w:pPr>
      <w:spacing w:after="40" w:line="240" w:lineRule="auto"/>
    </w:pPr>
    <w:rPr>
      <w:sz w:val="18"/>
    </w:rPr>
  </w:style>
  <w:style w:type="character" w:styleId="1240">
    <w:name w:val="Footnote Text Char"/>
    <w:link w:val="1239"/>
    <w:uiPriority w:val="99"/>
    <w:rPr>
      <w:sz w:val="18"/>
    </w:rPr>
  </w:style>
  <w:style w:type="character" w:styleId="1241">
    <w:name w:val="footnote reference"/>
    <w:uiPriority w:val="99"/>
    <w:unhideWhenUsed/>
    <w:rPr>
      <w:vertAlign w:val="superscript"/>
    </w:rPr>
  </w:style>
  <w:style w:type="paragraph" w:styleId="1242">
    <w:name w:val="endnote text"/>
    <w:basedOn w:val="1256"/>
    <w:link w:val="1243"/>
    <w:uiPriority w:val="99"/>
    <w:semiHidden/>
    <w:unhideWhenUsed/>
    <w:pPr>
      <w:spacing w:after="0" w:line="240" w:lineRule="auto"/>
    </w:pPr>
    <w:rPr>
      <w:sz w:val="20"/>
    </w:rPr>
  </w:style>
  <w:style w:type="character" w:styleId="1243">
    <w:name w:val="Endnote Text Char"/>
    <w:link w:val="1242"/>
    <w:uiPriority w:val="99"/>
    <w:rPr>
      <w:sz w:val="20"/>
    </w:rPr>
  </w:style>
  <w:style w:type="character" w:styleId="1244">
    <w:name w:val="endnote reference"/>
    <w:uiPriority w:val="99"/>
    <w:semiHidden/>
    <w:unhideWhenUsed/>
    <w:rPr>
      <w:vertAlign w:val="superscript"/>
    </w:rPr>
  </w:style>
  <w:style w:type="paragraph" w:styleId="1245">
    <w:name w:val="toc 1"/>
    <w:basedOn w:val="1256"/>
    <w:next w:val="1256"/>
    <w:uiPriority w:val="39"/>
    <w:unhideWhenUsed/>
    <w:pPr>
      <w:ind w:left="0" w:right="0" w:firstLine="0"/>
      <w:spacing w:after="57"/>
    </w:pPr>
  </w:style>
  <w:style w:type="paragraph" w:styleId="1246">
    <w:name w:val="toc 2"/>
    <w:basedOn w:val="1256"/>
    <w:next w:val="1256"/>
    <w:uiPriority w:val="39"/>
    <w:unhideWhenUsed/>
    <w:pPr>
      <w:ind w:left="283" w:right="0" w:firstLine="0"/>
      <w:spacing w:after="57"/>
    </w:pPr>
  </w:style>
  <w:style w:type="paragraph" w:styleId="1247">
    <w:name w:val="toc 3"/>
    <w:basedOn w:val="1256"/>
    <w:next w:val="1256"/>
    <w:uiPriority w:val="39"/>
    <w:unhideWhenUsed/>
    <w:pPr>
      <w:ind w:left="567" w:right="0" w:firstLine="0"/>
      <w:spacing w:after="57"/>
    </w:pPr>
  </w:style>
  <w:style w:type="paragraph" w:styleId="1248">
    <w:name w:val="toc 4"/>
    <w:basedOn w:val="1256"/>
    <w:next w:val="1256"/>
    <w:uiPriority w:val="39"/>
    <w:unhideWhenUsed/>
    <w:pPr>
      <w:ind w:left="850" w:right="0" w:firstLine="0"/>
      <w:spacing w:after="57"/>
    </w:pPr>
  </w:style>
  <w:style w:type="paragraph" w:styleId="1249">
    <w:name w:val="toc 5"/>
    <w:basedOn w:val="1256"/>
    <w:next w:val="1256"/>
    <w:uiPriority w:val="39"/>
    <w:unhideWhenUsed/>
    <w:pPr>
      <w:ind w:left="1134" w:right="0" w:firstLine="0"/>
      <w:spacing w:after="57"/>
    </w:pPr>
  </w:style>
  <w:style w:type="paragraph" w:styleId="1250">
    <w:name w:val="toc 6"/>
    <w:basedOn w:val="1256"/>
    <w:next w:val="1256"/>
    <w:uiPriority w:val="39"/>
    <w:unhideWhenUsed/>
    <w:pPr>
      <w:ind w:left="1417" w:right="0" w:firstLine="0"/>
      <w:spacing w:after="57"/>
    </w:pPr>
  </w:style>
  <w:style w:type="paragraph" w:styleId="1251">
    <w:name w:val="toc 7"/>
    <w:basedOn w:val="1256"/>
    <w:next w:val="1256"/>
    <w:uiPriority w:val="39"/>
    <w:unhideWhenUsed/>
    <w:pPr>
      <w:ind w:left="1701" w:right="0" w:firstLine="0"/>
      <w:spacing w:after="57"/>
    </w:pPr>
  </w:style>
  <w:style w:type="paragraph" w:styleId="1252">
    <w:name w:val="toc 8"/>
    <w:basedOn w:val="1256"/>
    <w:next w:val="1256"/>
    <w:uiPriority w:val="39"/>
    <w:unhideWhenUsed/>
    <w:pPr>
      <w:ind w:left="1984" w:right="0" w:firstLine="0"/>
      <w:spacing w:after="57"/>
    </w:pPr>
  </w:style>
  <w:style w:type="paragraph" w:styleId="1253">
    <w:name w:val="toc 9"/>
    <w:basedOn w:val="1256"/>
    <w:next w:val="1256"/>
    <w:uiPriority w:val="39"/>
    <w:unhideWhenUsed/>
    <w:pPr>
      <w:ind w:left="2268" w:right="0" w:firstLine="0"/>
      <w:spacing w:after="57"/>
    </w:pPr>
  </w:style>
  <w:style w:type="paragraph" w:styleId="1254">
    <w:name w:val="TOC Heading"/>
    <w:uiPriority w:val="39"/>
    <w:unhideWhenUsed/>
  </w:style>
  <w:style w:type="paragraph" w:styleId="1255">
    <w:name w:val="table of figures"/>
    <w:basedOn w:val="1256"/>
    <w:next w:val="1256"/>
    <w:uiPriority w:val="99"/>
    <w:unhideWhenUsed/>
    <w:pPr>
      <w:spacing w:after="0" w:afterAutospacing="0"/>
    </w:pPr>
  </w:style>
  <w:style w:type="paragraph" w:styleId="1256" w:default="1">
    <w:name w:val="Normal"/>
    <w:next w:val="1256"/>
    <w:link w:val="1256"/>
    <w:qFormat/>
    <w:pPr>
      <w:jc w:val="both"/>
      <w:widowControl w:val="off"/>
    </w:pPr>
    <w:rPr>
      <w:sz w:val="21"/>
      <w:szCs w:val="24"/>
      <w:lang w:val="en-US" w:eastAsia="zh-CN" w:bidi="ar-SA"/>
    </w:rPr>
  </w:style>
  <w:style w:type="paragraph" w:styleId="1257">
    <w:name w:val="标题 1"/>
    <w:basedOn w:val="1256"/>
    <w:next w:val="1256"/>
    <w:link w:val="1270"/>
    <w:uiPriority w:val="99"/>
    <w:qFormat/>
    <w:pPr>
      <w:numPr>
        <w:ilvl w:val="0"/>
        <w:numId w:val="1"/>
      </w:numPr>
      <w:jc w:val="center"/>
      <w:keepLines/>
      <w:keepNext/>
      <w:spacing w:before="340" w:after="330" w:line="578" w:lineRule="auto"/>
      <w:outlineLvl w:val="0"/>
    </w:pPr>
    <w:rPr>
      <w:b/>
      <w:bCs/>
      <w:sz w:val="32"/>
      <w:szCs w:val="44"/>
    </w:rPr>
  </w:style>
  <w:style w:type="paragraph" w:styleId="1258">
    <w:name w:val="标题 2"/>
    <w:basedOn w:val="1256"/>
    <w:next w:val="1256"/>
    <w:link w:val="1271"/>
    <w:uiPriority w:val="1"/>
    <w:qFormat/>
    <w:pPr>
      <w:numPr>
        <w:ilvl w:val="1"/>
        <w:numId w:val="1"/>
      </w:numPr>
      <w:keepLines/>
      <w:keepNext/>
      <w:spacing w:before="260" w:after="260" w:line="416" w:lineRule="auto"/>
      <w:tabs>
        <w:tab w:val="left" w:pos="840" w:leader="none"/>
      </w:tabs>
      <w:outlineLvl w:val="1"/>
    </w:pPr>
    <w:rPr>
      <w:rFonts w:ascii="黑体" w:hAnsi="黑体"/>
      <w:b/>
      <w:bCs/>
      <w:sz w:val="24"/>
      <w:szCs w:val="36"/>
    </w:rPr>
  </w:style>
  <w:style w:type="paragraph" w:styleId="1259">
    <w:name w:val="标题 3"/>
    <w:basedOn w:val="1256"/>
    <w:next w:val="1256"/>
    <w:link w:val="1272"/>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1260">
    <w:name w:val="标题 4"/>
    <w:basedOn w:val="1256"/>
    <w:next w:val="1256"/>
    <w:link w:val="1273"/>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261">
    <w:name w:val="标题 5"/>
    <w:basedOn w:val="1256"/>
    <w:next w:val="1256"/>
    <w:link w:val="1274"/>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1262">
    <w:name w:val="标题 6"/>
    <w:basedOn w:val="1256"/>
    <w:next w:val="1256"/>
    <w:link w:val="1275"/>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1263">
    <w:name w:val="标题 7"/>
    <w:basedOn w:val="1256"/>
    <w:next w:val="1256"/>
    <w:link w:val="1276"/>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1264">
    <w:name w:val="标题 8"/>
    <w:basedOn w:val="1256"/>
    <w:next w:val="1256"/>
    <w:link w:val="1277"/>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1265">
    <w:name w:val="标题 9"/>
    <w:basedOn w:val="1256"/>
    <w:next w:val="1256"/>
    <w:link w:val="1278"/>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1266">
    <w:name w:val="默认段落字体"/>
    <w:next w:val="1266"/>
    <w:link w:val="1256"/>
  </w:style>
  <w:style w:type="table" w:styleId="1267">
    <w:name w:val="普通表格"/>
    <w:next w:val="1267"/>
    <w:link w:val="125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268">
    <w:name w:val="宏文本"/>
    <w:next w:val="1268"/>
    <w:link w:val="1269"/>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269">
    <w:name w:val="宏文本 字符"/>
    <w:next w:val="1269"/>
    <w:link w:val="1268"/>
    <w:semiHidden/>
    <w:rPr>
      <w:rFonts w:ascii="Courier New" w:hAnsi="Courier New"/>
      <w:lang w:val="en-US" w:eastAsia="zh-CN" w:bidi="ar-SA"/>
    </w:rPr>
  </w:style>
  <w:style w:type="character" w:styleId="1270">
    <w:name w:val="标题 1 字符"/>
    <w:next w:val="1270"/>
    <w:link w:val="1257"/>
    <w:uiPriority w:val="99"/>
    <w:rPr>
      <w:b/>
      <w:bCs/>
      <w:sz w:val="32"/>
      <w:szCs w:val="44"/>
    </w:rPr>
  </w:style>
  <w:style w:type="character" w:styleId="1271">
    <w:name w:val="标题 2 字符1"/>
    <w:next w:val="1271"/>
    <w:link w:val="1258"/>
    <w:uiPriority w:val="1"/>
    <w:rPr>
      <w:rFonts w:ascii="黑体" w:hAnsi="黑体" w:eastAsia="宋体"/>
      <w:b/>
      <w:bCs/>
      <w:sz w:val="24"/>
      <w:szCs w:val="36"/>
    </w:rPr>
  </w:style>
  <w:style w:type="character" w:styleId="1272">
    <w:name w:val="标题 3 字符"/>
    <w:next w:val="1272"/>
    <w:link w:val="1259"/>
    <w:uiPriority w:val="99"/>
    <w:rPr>
      <w:b/>
      <w:bCs/>
      <w:sz w:val="32"/>
      <w:szCs w:val="32"/>
    </w:rPr>
  </w:style>
  <w:style w:type="character" w:styleId="1273">
    <w:name w:val="标题 4 字符"/>
    <w:next w:val="1273"/>
    <w:link w:val="1260"/>
    <w:uiPriority w:val="99"/>
    <w:rPr>
      <w:rFonts w:ascii="Cambria" w:hAnsi="Cambria"/>
      <w:b/>
      <w:bCs/>
      <w:sz w:val="28"/>
      <w:szCs w:val="28"/>
    </w:rPr>
  </w:style>
  <w:style w:type="character" w:styleId="1274">
    <w:name w:val="标题 5 字符"/>
    <w:next w:val="1274"/>
    <w:link w:val="1261"/>
    <w:uiPriority w:val="99"/>
    <w:rPr>
      <w:b/>
      <w:bCs/>
      <w:sz w:val="28"/>
      <w:szCs w:val="28"/>
    </w:rPr>
  </w:style>
  <w:style w:type="character" w:styleId="1275">
    <w:name w:val="标题 6 字符"/>
    <w:next w:val="1275"/>
    <w:link w:val="1262"/>
    <w:uiPriority w:val="99"/>
    <w:rPr>
      <w:rFonts w:ascii="Cambria" w:hAnsi="Cambria"/>
      <w:b/>
      <w:bCs/>
      <w:sz w:val="24"/>
      <w:szCs w:val="24"/>
    </w:rPr>
  </w:style>
  <w:style w:type="character" w:styleId="1276">
    <w:name w:val="标题 7 字符"/>
    <w:next w:val="1276"/>
    <w:link w:val="1263"/>
    <w:uiPriority w:val="99"/>
    <w:rPr>
      <w:b/>
      <w:bCs/>
      <w:sz w:val="24"/>
      <w:szCs w:val="24"/>
    </w:rPr>
  </w:style>
  <w:style w:type="character" w:styleId="1277">
    <w:name w:val="标题 8 字符"/>
    <w:next w:val="1277"/>
    <w:link w:val="1264"/>
    <w:uiPriority w:val="99"/>
    <w:rPr>
      <w:rFonts w:ascii="Cambria" w:hAnsi="Cambria"/>
      <w:sz w:val="24"/>
      <w:szCs w:val="24"/>
    </w:rPr>
  </w:style>
  <w:style w:type="character" w:styleId="1278">
    <w:name w:val="标题 9 字符"/>
    <w:next w:val="1278"/>
    <w:link w:val="1265"/>
    <w:uiPriority w:val="99"/>
    <w:rPr>
      <w:rFonts w:ascii="Cambria" w:hAnsi="Cambria"/>
      <w:sz w:val="21"/>
      <w:szCs w:val="21"/>
    </w:rPr>
  </w:style>
  <w:style w:type="paragraph" w:styleId="1279">
    <w:name w:val="正文缩进"/>
    <w:basedOn w:val="1256"/>
    <w:next w:val="1279"/>
    <w:link w:val="1280"/>
    <w:uiPriority w:val="99"/>
    <w:pPr>
      <w:ind w:firstLine="420"/>
    </w:pPr>
  </w:style>
  <w:style w:type="character" w:styleId="1280">
    <w:name w:val="正文缩进 字符"/>
    <w:next w:val="1280"/>
    <w:link w:val="1279"/>
    <w:uiPriority w:val="99"/>
    <w:rPr>
      <w:sz w:val="21"/>
      <w:szCs w:val="24"/>
    </w:rPr>
  </w:style>
  <w:style w:type="paragraph" w:styleId="1281">
    <w:name w:val="列表项目符号"/>
    <w:basedOn w:val="1256"/>
    <w:next w:val="1281"/>
    <w:link w:val="1256"/>
    <w:uiPriority w:val="99"/>
    <w:pPr>
      <w:tabs>
        <w:tab w:val="left" w:pos="0" w:leader="none"/>
      </w:tabs>
    </w:pPr>
    <w:rPr>
      <w:szCs w:val="20"/>
    </w:rPr>
  </w:style>
  <w:style w:type="paragraph" w:styleId="1282">
    <w:name w:val="文档结构图"/>
    <w:basedOn w:val="1256"/>
    <w:next w:val="1282"/>
    <w:link w:val="1283"/>
    <w:rPr>
      <w:rFonts w:ascii="宋体"/>
      <w:sz w:val="18"/>
      <w:szCs w:val="18"/>
    </w:rPr>
  </w:style>
  <w:style w:type="character" w:styleId="1283">
    <w:name w:val="文档结构图 字符"/>
    <w:next w:val="1283"/>
    <w:link w:val="1282"/>
    <w:rPr>
      <w:rFonts w:ascii="宋体"/>
      <w:sz w:val="18"/>
      <w:szCs w:val="18"/>
    </w:rPr>
  </w:style>
  <w:style w:type="paragraph" w:styleId="1284">
    <w:name w:val="批注文字"/>
    <w:basedOn w:val="1256"/>
    <w:next w:val="1284"/>
    <w:link w:val="1285"/>
    <w:pPr>
      <w:jc w:val="left"/>
    </w:pPr>
  </w:style>
  <w:style w:type="character" w:styleId="1285">
    <w:name w:val="批注文字 字符"/>
    <w:next w:val="1285"/>
    <w:link w:val="1284"/>
    <w:rPr>
      <w:sz w:val="21"/>
      <w:szCs w:val="24"/>
    </w:rPr>
  </w:style>
  <w:style w:type="paragraph" w:styleId="1286">
    <w:name w:val="正文文本 3"/>
    <w:basedOn w:val="1256"/>
    <w:next w:val="1286"/>
    <w:link w:val="1287"/>
    <w:uiPriority w:val="99"/>
    <w:pPr>
      <w:spacing w:after="120"/>
    </w:pPr>
    <w:rPr>
      <w:sz w:val="16"/>
      <w:szCs w:val="16"/>
    </w:rPr>
  </w:style>
  <w:style w:type="character" w:styleId="1287">
    <w:name w:val="正文文本 3 字符"/>
    <w:next w:val="1287"/>
    <w:link w:val="1286"/>
    <w:uiPriority w:val="99"/>
    <w:rPr>
      <w:sz w:val="16"/>
      <w:szCs w:val="16"/>
    </w:rPr>
  </w:style>
  <w:style w:type="paragraph" w:styleId="1288">
    <w:name w:val="正文文本"/>
    <w:basedOn w:val="1256"/>
    <w:next w:val="1256"/>
    <w:link w:val="1289"/>
    <w:uiPriority w:val="99"/>
    <w:pPr>
      <w:jc w:val="center"/>
    </w:pPr>
    <w:rPr>
      <w:rFonts w:eastAsia="幼圆"/>
      <w:b/>
      <w:bCs/>
      <w:sz w:val="44"/>
    </w:rPr>
  </w:style>
  <w:style w:type="character" w:styleId="1289">
    <w:name w:val="正文文本 字符"/>
    <w:next w:val="1289"/>
    <w:link w:val="1288"/>
    <w:uiPriority w:val="99"/>
    <w:rPr>
      <w:rFonts w:eastAsia="幼圆"/>
      <w:b/>
      <w:bCs/>
      <w:sz w:val="44"/>
      <w:szCs w:val="24"/>
    </w:rPr>
  </w:style>
  <w:style w:type="paragraph" w:styleId="1290">
    <w:name w:val="正文文本缩进"/>
    <w:basedOn w:val="1256"/>
    <w:next w:val="1292"/>
    <w:link w:val="1291"/>
    <w:uiPriority w:val="99"/>
    <w:pPr>
      <w:ind w:left="420"/>
      <w:spacing w:after="120"/>
    </w:pPr>
  </w:style>
  <w:style w:type="character" w:styleId="1291">
    <w:name w:val="正文文本缩进 字符"/>
    <w:next w:val="1291"/>
    <w:link w:val="1290"/>
    <w:uiPriority w:val="99"/>
    <w:rPr>
      <w:sz w:val="21"/>
      <w:szCs w:val="24"/>
    </w:rPr>
  </w:style>
  <w:style w:type="paragraph" w:styleId="1292">
    <w:name w:val="寄信人地址"/>
    <w:basedOn w:val="1256"/>
    <w:next w:val="1292"/>
    <w:link w:val="1256"/>
    <w:uiPriority w:val="99"/>
    <w:unhideWhenUsed/>
    <w:qFormat/>
    <w:rPr>
      <w:rFonts w:ascii="Arial" w:hAnsi="Arial"/>
    </w:rPr>
  </w:style>
  <w:style w:type="paragraph" w:styleId="1293">
    <w:name w:val="文本块"/>
    <w:basedOn w:val="1256"/>
    <w:next w:val="1293"/>
    <w:link w:val="1256"/>
    <w:uiPriority w:val="99"/>
    <w:unhideWhenUsed/>
    <w:qFormat/>
    <w:pPr>
      <w:ind w:left="1440" w:right="700"/>
    </w:pPr>
  </w:style>
  <w:style w:type="paragraph" w:styleId="1294">
    <w:name w:val="索引 4"/>
    <w:basedOn w:val="1256"/>
    <w:next w:val="1256"/>
    <w:link w:val="1256"/>
    <w:qFormat/>
    <w:pPr>
      <w:ind w:left="840" w:hanging="210"/>
      <w:jc w:val="left"/>
    </w:pPr>
    <w:rPr>
      <w:sz w:val="20"/>
    </w:rPr>
  </w:style>
  <w:style w:type="paragraph" w:styleId="1295">
    <w:name w:val="纯文本"/>
    <w:basedOn w:val="1256"/>
    <w:next w:val="1295"/>
    <w:link w:val="1296"/>
    <w:uiPriority w:val="99"/>
    <w:rPr>
      <w:rFonts w:ascii="Ari"/>
      <w:sz w:val="20"/>
      <w:szCs w:val="20"/>
    </w:rPr>
  </w:style>
  <w:style w:type="character" w:styleId="1296">
    <w:name w:val="纯文本 字符"/>
    <w:next w:val="1296"/>
    <w:link w:val="1295"/>
    <w:uiPriority w:val="99"/>
    <w:rPr>
      <w:rFonts w:ascii="Ari"/>
      <w:lang w:val="en-US" w:eastAsia="zh-CN" w:bidi="ar-SA"/>
    </w:rPr>
  </w:style>
  <w:style w:type="paragraph" w:styleId="1297">
    <w:name w:val="日期"/>
    <w:basedOn w:val="1256"/>
    <w:next w:val="1256"/>
    <w:link w:val="1298"/>
  </w:style>
  <w:style w:type="character" w:styleId="1298">
    <w:name w:val="日期 字符"/>
    <w:next w:val="1298"/>
    <w:link w:val="1297"/>
    <w:rPr>
      <w:sz w:val="21"/>
      <w:szCs w:val="24"/>
    </w:rPr>
  </w:style>
  <w:style w:type="paragraph" w:styleId="1299">
    <w:name w:val="正文文本缩进 2"/>
    <w:basedOn w:val="1256"/>
    <w:next w:val="1299"/>
    <w:link w:val="1300"/>
    <w:uiPriority w:val="99"/>
    <w:pPr>
      <w:ind w:left="-210" w:hanging="20"/>
      <w:spacing w:line="500" w:lineRule="exact"/>
    </w:pPr>
    <w:rPr>
      <w:rFonts w:ascii="宋体" w:hAnsi="Arial"/>
      <w:sz w:val="28"/>
      <w:szCs w:val="28"/>
    </w:rPr>
  </w:style>
  <w:style w:type="character" w:styleId="1300">
    <w:name w:val="正文文本缩进 2 字符"/>
    <w:next w:val="1300"/>
    <w:link w:val="1299"/>
    <w:uiPriority w:val="99"/>
    <w:rPr>
      <w:rFonts w:ascii="宋体" w:hAnsi="Arial"/>
      <w:sz w:val="28"/>
      <w:szCs w:val="28"/>
    </w:rPr>
  </w:style>
  <w:style w:type="paragraph" w:styleId="1301">
    <w:name w:val="批注框文本"/>
    <w:basedOn w:val="1256"/>
    <w:next w:val="1301"/>
    <w:link w:val="1302"/>
    <w:uiPriority w:val="99"/>
    <w:rPr>
      <w:sz w:val="18"/>
      <w:szCs w:val="18"/>
    </w:rPr>
  </w:style>
  <w:style w:type="character" w:styleId="1302">
    <w:name w:val="批注框文本 字符"/>
    <w:next w:val="1302"/>
    <w:link w:val="1301"/>
    <w:uiPriority w:val="99"/>
    <w:rPr>
      <w:sz w:val="18"/>
      <w:szCs w:val="18"/>
    </w:rPr>
  </w:style>
  <w:style w:type="paragraph" w:styleId="1303">
    <w:name w:val="页脚"/>
    <w:basedOn w:val="1256"/>
    <w:next w:val="1303"/>
    <w:link w:val="1304"/>
    <w:uiPriority w:val="99"/>
    <w:pPr>
      <w:jc w:val="left"/>
      <w:tabs>
        <w:tab w:val="center" w:pos="4153" w:leader="none"/>
        <w:tab w:val="right" w:pos="8306" w:leader="none"/>
      </w:tabs>
    </w:pPr>
    <w:rPr>
      <w:sz w:val="18"/>
      <w:szCs w:val="18"/>
    </w:rPr>
  </w:style>
  <w:style w:type="character" w:styleId="1304">
    <w:name w:val="页脚 字符"/>
    <w:next w:val="1304"/>
    <w:link w:val="1303"/>
    <w:uiPriority w:val="99"/>
    <w:rPr>
      <w:sz w:val="18"/>
      <w:szCs w:val="18"/>
    </w:rPr>
  </w:style>
  <w:style w:type="paragraph" w:styleId="1305">
    <w:name w:val="页眉"/>
    <w:basedOn w:val="1256"/>
    <w:next w:val="1305"/>
    <w:link w:val="1306"/>
    <w:uiPriority w:val="99"/>
    <w:pPr>
      <w:jc w:val="center"/>
      <w:tabs>
        <w:tab w:val="center" w:pos="4153" w:leader="none"/>
        <w:tab w:val="right" w:pos="8306" w:leader="none"/>
      </w:tabs>
      <w:pBdr>
        <w:bottom w:val="single" w:color="000000" w:sz="6" w:space="1"/>
      </w:pBdr>
    </w:pPr>
    <w:rPr>
      <w:sz w:val="18"/>
      <w:szCs w:val="18"/>
    </w:rPr>
  </w:style>
  <w:style w:type="character" w:styleId="1306">
    <w:name w:val="页眉 字符"/>
    <w:next w:val="1306"/>
    <w:link w:val="1305"/>
    <w:uiPriority w:val="99"/>
    <w:rPr>
      <w:sz w:val="18"/>
      <w:szCs w:val="18"/>
    </w:rPr>
  </w:style>
  <w:style w:type="paragraph" w:styleId="1307">
    <w:name w:val="目录 1"/>
    <w:basedOn w:val="1256"/>
    <w:next w:val="1256"/>
    <w:link w:val="1256"/>
  </w:style>
  <w:style w:type="paragraph" w:styleId="1308">
    <w:name w:val="列表"/>
    <w:basedOn w:val="1288"/>
    <w:next w:val="1308"/>
    <w:link w:val="1256"/>
    <w:uiPriority w:val="99"/>
    <w:pPr>
      <w:jc w:val="left"/>
      <w:spacing w:after="120"/>
    </w:pPr>
    <w:rPr>
      <w:rFonts w:eastAsia="MS P 明朝"/>
      <w:b w:val="0"/>
      <w:bCs w:val="0"/>
      <w:sz w:val="24"/>
    </w:rPr>
  </w:style>
  <w:style w:type="paragraph" w:styleId="1309">
    <w:name w:val="脚注文本"/>
    <w:basedOn w:val="1256"/>
    <w:next w:val="1309"/>
    <w:link w:val="1256"/>
    <w:uiPriority w:val="99"/>
    <w:semiHidden/>
    <w:qFormat/>
    <w:pPr>
      <w:ind w:firstLine="0"/>
      <w:jc w:val="left"/>
    </w:pPr>
    <w:rPr>
      <w:rFonts w:ascii="Times New Roman" w:hAnsi="Times New Roman"/>
      <w:sz w:val="18"/>
      <w:szCs w:val="18"/>
    </w:rPr>
  </w:style>
  <w:style w:type="paragraph" w:styleId="1310">
    <w:name w:val="正文文本缩进 3"/>
    <w:basedOn w:val="1256"/>
    <w:next w:val="1310"/>
    <w:link w:val="1311"/>
    <w:uiPriority w:val="99"/>
    <w:pPr>
      <w:ind w:left="420"/>
      <w:spacing w:after="120"/>
    </w:pPr>
    <w:rPr>
      <w:sz w:val="16"/>
      <w:szCs w:val="16"/>
    </w:rPr>
  </w:style>
  <w:style w:type="character" w:styleId="1311">
    <w:name w:val="正文文本缩进 3 字符"/>
    <w:next w:val="1311"/>
    <w:link w:val="1310"/>
    <w:uiPriority w:val="99"/>
    <w:rPr>
      <w:sz w:val="16"/>
      <w:szCs w:val="16"/>
    </w:rPr>
  </w:style>
  <w:style w:type="paragraph" w:styleId="1312">
    <w:name w:val="正文文本 2"/>
    <w:basedOn w:val="1256"/>
    <w:next w:val="1312"/>
    <w:link w:val="1313"/>
    <w:uiPriority w:val="99"/>
    <w:pPr>
      <w:spacing w:after="120" w:line="480" w:lineRule="auto"/>
    </w:pPr>
    <w:rPr>
      <w:szCs w:val="21"/>
    </w:rPr>
  </w:style>
  <w:style w:type="character" w:styleId="1313">
    <w:name w:val="正文文本 2 字符"/>
    <w:next w:val="1313"/>
    <w:link w:val="1312"/>
    <w:uiPriority w:val="99"/>
    <w:rPr>
      <w:sz w:val="21"/>
      <w:szCs w:val="21"/>
    </w:rPr>
  </w:style>
  <w:style w:type="paragraph" w:styleId="1314">
    <w:name w:val="HTML 预设格式"/>
    <w:basedOn w:val="1256"/>
    <w:next w:val="1314"/>
    <w:link w:val="1256"/>
    <w:uiPriority w:val="99"/>
    <w:unhideWhenUsed/>
    <w:rPr>
      <w:rFonts w:ascii="Courier New" w:hAnsi="Courier New" w:cs="Courier New"/>
      <w:sz w:val="20"/>
      <w:szCs w:val="20"/>
    </w:rPr>
  </w:style>
  <w:style w:type="paragraph" w:styleId="1315">
    <w:name w:val="普通(网站)"/>
    <w:basedOn w:val="1256"/>
    <w:next w:val="1315"/>
    <w:link w:val="1256"/>
    <w:uiPriority w:val="99"/>
    <w:pPr>
      <w:jc w:val="left"/>
      <w:spacing w:before="100" w:beforeAutospacing="1" w:after="100" w:afterAutospacing="1"/>
      <w:widowControl/>
    </w:pPr>
    <w:rPr>
      <w:rFonts w:ascii="宋体" w:hAnsi="宋体" w:cs="宋体"/>
      <w:sz w:val="24"/>
    </w:rPr>
  </w:style>
  <w:style w:type="paragraph" w:styleId="1316">
    <w:name w:val="标题"/>
    <w:basedOn w:val="1256"/>
    <w:next w:val="1256"/>
    <w:link w:val="1317"/>
    <w:uiPriority w:val="99"/>
    <w:qFormat/>
    <w:pPr>
      <w:jc w:val="center"/>
    </w:pPr>
    <w:rPr>
      <w:b/>
      <w:sz w:val="30"/>
      <w:szCs w:val="20"/>
    </w:rPr>
  </w:style>
  <w:style w:type="character" w:styleId="1317">
    <w:name w:val="标题 字符"/>
    <w:next w:val="1317"/>
    <w:link w:val="1316"/>
    <w:uiPriority w:val="99"/>
    <w:rPr>
      <w:b/>
      <w:sz w:val="30"/>
    </w:rPr>
  </w:style>
  <w:style w:type="paragraph" w:styleId="1318">
    <w:name w:val="批注主题"/>
    <w:basedOn w:val="1284"/>
    <w:next w:val="1284"/>
    <w:link w:val="1319"/>
    <w:uiPriority w:val="99"/>
    <w:rPr>
      <w:b/>
      <w:bCs/>
    </w:rPr>
  </w:style>
  <w:style w:type="character" w:styleId="1319">
    <w:name w:val="批注主题 字符"/>
    <w:next w:val="1319"/>
    <w:link w:val="1318"/>
    <w:uiPriority w:val="99"/>
    <w:rPr>
      <w:b/>
      <w:bCs/>
      <w:sz w:val="21"/>
      <w:szCs w:val="24"/>
    </w:rPr>
  </w:style>
  <w:style w:type="paragraph" w:styleId="1320">
    <w:name w:val="正文首行缩进"/>
    <w:basedOn w:val="1288"/>
    <w:next w:val="1320"/>
    <w:link w:val="1256"/>
    <w:uiPriority w:val="99"/>
    <w:qFormat/>
    <w:pPr>
      <w:ind w:firstLine="420"/>
      <w:jc w:val="left"/>
      <w:spacing w:after="120"/>
      <w:tabs>
        <w:tab w:val="left" w:pos="993" w:leader="none"/>
        <w:tab w:val="left" w:pos="1134" w:leader="none"/>
      </w:tabs>
    </w:pPr>
    <w:rPr>
      <w:rFonts w:ascii="宋体" w:hAnsi="宋体" w:eastAsia="Calibri"/>
      <w:sz w:val="22"/>
      <w:szCs w:val="22"/>
    </w:rPr>
  </w:style>
  <w:style w:type="paragraph" w:styleId="1321">
    <w:name w:val="正文首行缩进 2"/>
    <w:basedOn w:val="1290"/>
    <w:next w:val="1256"/>
    <w:link w:val="1256"/>
    <w:uiPriority w:val="99"/>
    <w:unhideWhenUsed/>
    <w:pPr>
      <w:ind w:firstLine="420"/>
    </w:pPr>
  </w:style>
  <w:style w:type="table" w:styleId="1322">
    <w:name w:val="网格型"/>
    <w:basedOn w:val="1267"/>
    <w:next w:val="1322"/>
    <w:link w:val="1256"/>
    <w:uiPriority w:val="59"/>
    <w:pPr>
      <w:jc w:val="both"/>
      <w:widowControl w:val="off"/>
    </w:pPr>
    <w:tblPr/>
  </w:style>
  <w:style w:type="character" w:styleId="1323">
    <w:name w:val="要点"/>
    <w:next w:val="1323"/>
    <w:link w:val="1256"/>
    <w:uiPriority w:val="22"/>
    <w:qFormat/>
    <w:rPr>
      <w:b/>
    </w:rPr>
  </w:style>
  <w:style w:type="character" w:styleId="1324">
    <w:name w:val="页码"/>
    <w:next w:val="1324"/>
    <w:link w:val="1256"/>
    <w:uiPriority w:val="99"/>
    <w:rPr>
      <w:rFonts w:eastAsia="宋体"/>
      <w:b/>
      <w:spacing w:val="0"/>
      <w:sz w:val="24"/>
      <w:szCs w:val="24"/>
      <w:vertAlign w:val="baseline"/>
      <w:lang w:val="en-US" w:eastAsia="zh-CN" w:bidi="ar-SA"/>
    </w:rPr>
  </w:style>
  <w:style w:type="character" w:styleId="1325">
    <w:name w:val="已访问的超链接"/>
    <w:next w:val="1325"/>
    <w:link w:val="1256"/>
    <w:uiPriority w:val="99"/>
    <w:unhideWhenUsed/>
    <w:rPr>
      <w:color w:val="2d64b3"/>
      <w:u w:val="none"/>
    </w:rPr>
  </w:style>
  <w:style w:type="character" w:styleId="1326">
    <w:name w:val="强调"/>
    <w:next w:val="1326"/>
    <w:link w:val="1256"/>
    <w:qFormat/>
    <w:rPr>
      <w:i w:val="0"/>
      <w:color w:val="cc0000"/>
    </w:rPr>
  </w:style>
  <w:style w:type="character" w:styleId="1327">
    <w:name w:val="HTML 定义"/>
    <w:next w:val="1327"/>
    <w:link w:val="1256"/>
    <w:uiPriority w:val="99"/>
    <w:unhideWhenUsed/>
    <w:rPr>
      <w:i w:val="0"/>
      <w:iCs w:val="0"/>
    </w:rPr>
  </w:style>
  <w:style w:type="character" w:styleId="1328">
    <w:name w:val="HTML 变量"/>
    <w:next w:val="1328"/>
    <w:link w:val="1256"/>
    <w:uiPriority w:val="99"/>
    <w:unhideWhenUsed/>
    <w:rPr>
      <w:i w:val="0"/>
      <w:iCs w:val="0"/>
    </w:rPr>
  </w:style>
  <w:style w:type="character" w:styleId="1329">
    <w:name w:val="超链接"/>
    <w:next w:val="1329"/>
    <w:link w:val="1256"/>
    <w:uiPriority w:val="99"/>
    <w:rPr>
      <w:color w:val="2d64b3"/>
      <w:u w:val="none"/>
    </w:rPr>
  </w:style>
  <w:style w:type="character" w:styleId="1330">
    <w:name w:val="HTML 代码"/>
    <w:next w:val="1330"/>
    <w:link w:val="1256"/>
    <w:uiPriority w:val="99"/>
    <w:unhideWhenUsed/>
    <w:rPr>
      <w:rFonts w:ascii="Arial" w:hAnsi="Arial" w:cs="Arial"/>
      <w:sz w:val="20"/>
    </w:rPr>
  </w:style>
  <w:style w:type="character" w:styleId="1331">
    <w:name w:val="批注引用"/>
    <w:next w:val="1331"/>
    <w:link w:val="1256"/>
    <w:rPr>
      <w:sz w:val="21"/>
      <w:szCs w:val="21"/>
    </w:rPr>
  </w:style>
  <w:style w:type="character" w:styleId="1332">
    <w:name w:val="HTML 引文"/>
    <w:next w:val="1332"/>
    <w:link w:val="1256"/>
    <w:rPr>
      <w:i w:val="0"/>
      <w:color w:val="008000"/>
    </w:rPr>
  </w:style>
  <w:style w:type="character" w:styleId="1333">
    <w:name w:val="脚注引用"/>
    <w:next w:val="1333"/>
    <w:link w:val="1256"/>
    <w:uiPriority w:val="99"/>
    <w:semiHidden/>
    <w:rPr>
      <w:vertAlign w:val="superscript"/>
    </w:rPr>
  </w:style>
  <w:style w:type="character" w:styleId="1334">
    <w:name w:val="HTML 键盘"/>
    <w:next w:val="1334"/>
    <w:link w:val="1256"/>
    <w:uiPriority w:val="99"/>
    <w:unhideWhenUsed/>
    <w:rPr>
      <w:rFonts w:hint="eastAsia" w:ascii="Arial" w:hAnsi="Arial" w:cs="Arial"/>
      <w:sz w:val="20"/>
    </w:rPr>
  </w:style>
  <w:style w:type="character" w:styleId="1335">
    <w:name w:val="HTML 样本"/>
    <w:next w:val="1335"/>
    <w:link w:val="1256"/>
    <w:uiPriority w:val="99"/>
    <w:unhideWhenUsed/>
    <w:rPr>
      <w:rFonts w:ascii="Arial" w:hAnsi="Arial" w:cs="Arial"/>
    </w:rPr>
  </w:style>
  <w:style w:type="character" w:styleId="1336">
    <w:name w:val="强调1"/>
    <w:next w:val="1336"/>
    <w:link w:val="1256"/>
    <w:uiPriority w:val="20"/>
    <w:qFormat/>
    <w:rPr>
      <w:sz w:val="21"/>
      <w:szCs w:val="24"/>
      <w:lang w:val="en-US" w:eastAsia="zh-CN" w:bidi="ar-SA"/>
    </w:rPr>
  </w:style>
  <w:style w:type="paragraph" w:styleId="1337">
    <w:name w:val="首行缩进"/>
    <w:basedOn w:val="1256"/>
    <w:next w:val="1337"/>
    <w:link w:val="1256"/>
    <w:uiPriority w:val="99"/>
    <w:qFormat/>
    <w:pPr>
      <w:ind w:firstLine="480"/>
      <w:jc w:val="left"/>
      <w:spacing w:line="360" w:lineRule="auto"/>
    </w:pPr>
    <w:rPr>
      <w:rFonts w:ascii="宋体" w:hAnsi="宋体"/>
      <w:sz w:val="24"/>
      <w:szCs w:val="24"/>
    </w:rPr>
  </w:style>
  <w:style w:type="paragraph" w:styleId="1338">
    <w:name w:val="_Style 1"/>
    <w:basedOn w:val="1256"/>
    <w:next w:val="1338"/>
    <w:link w:val="1256"/>
    <w:qFormat/>
    <w:pPr>
      <w:ind w:firstLine="420"/>
    </w:pPr>
    <w:rPr>
      <w:sz w:val="20"/>
    </w:rPr>
  </w:style>
  <w:style w:type="character" w:styleId="1339">
    <w:name w:val="标题 2 字符"/>
    <w:next w:val="1339"/>
    <w:link w:val="1256"/>
    <w:uiPriority w:val="99"/>
    <w:rPr>
      <w:rFonts w:ascii="Cambria" w:hAnsi="Cambria"/>
      <w:b/>
      <w:bCs/>
      <w:sz w:val="32"/>
      <w:szCs w:val="32"/>
    </w:rPr>
  </w:style>
  <w:style w:type="character" w:styleId="1340">
    <w:name w:val="fo Char1,footer odd Char1,odd Char1,footer Final Char1,Footer-Even Char Char1"/>
    <w:next w:val="1340"/>
    <w:link w:val="1256"/>
    <w:uiPriority w:val="99"/>
    <w:rPr>
      <w:rFonts w:eastAsia="宋体"/>
      <w:sz w:val="18"/>
      <w:szCs w:val="18"/>
      <w:lang w:val="en-US" w:eastAsia="zh-CN" w:bidi="ar-SA"/>
    </w:rPr>
  </w:style>
  <w:style w:type="character" w:styleId="1341">
    <w:name w:val="font61"/>
    <w:next w:val="1341"/>
    <w:link w:val="1256"/>
    <w:qFormat/>
    <w:rPr>
      <w:rFonts w:hint="eastAsia" w:ascii="宋体" w:hAnsi="宋体" w:eastAsia="宋体" w:cs="宋体"/>
      <w:color w:val="000000"/>
      <w:sz w:val="21"/>
      <w:szCs w:val="21"/>
      <w:u w:val="none"/>
    </w:rPr>
  </w:style>
  <w:style w:type="character" w:styleId="1342">
    <w:name w:val="Char Char"/>
    <w:next w:val="1342"/>
    <w:link w:val="1256"/>
    <w:rPr>
      <w:rFonts w:eastAsia="宋体"/>
      <w:sz w:val="24"/>
      <w:lang w:val="en-US" w:eastAsia="zh-CN" w:bidi="ar-SA"/>
    </w:rPr>
  </w:style>
  <w:style w:type="character" w:styleId="1343">
    <w:name w:val="Formatvorlage Links:  0&quot; Hängend:  13.5 ch Zchn"/>
    <w:next w:val="1343"/>
    <w:link w:val="1344"/>
    <w:rPr>
      <w:rFonts w:ascii="Arial" w:hAnsi="Arial"/>
      <w:sz w:val="24"/>
    </w:rPr>
  </w:style>
  <w:style w:type="paragraph" w:styleId="1344">
    <w:name w:val="Formatvorlage Links:  0&quot; Hängend:  13.5 ch"/>
    <w:basedOn w:val="1256"/>
    <w:next w:val="1344"/>
    <w:link w:val="1343"/>
    <w:pPr>
      <w:ind w:left="3240" w:hanging="3240"/>
    </w:pPr>
    <w:rPr>
      <w:rFonts w:ascii="Arial" w:hAnsi="Arial"/>
      <w:sz w:val="24"/>
      <w:szCs w:val="20"/>
    </w:rPr>
  </w:style>
  <w:style w:type="character" w:styleId="1345">
    <w:name w:val="font21"/>
    <w:next w:val="1345"/>
    <w:link w:val="1256"/>
    <w:qFormat/>
    <w:rPr>
      <w:rFonts w:hint="eastAsia" w:ascii="宋体" w:hAnsi="宋体" w:eastAsia="宋体" w:cs="宋体"/>
      <w:color w:val="000000"/>
      <w:sz w:val="24"/>
      <w:szCs w:val="24"/>
      <w:u w:val="none"/>
    </w:rPr>
  </w:style>
  <w:style w:type="character" w:styleId="1346">
    <w:name w:val="font11"/>
    <w:next w:val="1346"/>
    <w:link w:val="1256"/>
    <w:qFormat/>
    <w:rPr>
      <w:rFonts w:hint="eastAsia" w:ascii="宋体" w:hAnsi="宋体" w:eastAsia="宋体" w:cs="宋体"/>
      <w:color w:val="000000"/>
      <w:sz w:val="22"/>
      <w:szCs w:val="22"/>
      <w:u w:val="none"/>
    </w:rPr>
  </w:style>
  <w:style w:type="character" w:styleId="1347">
    <w:name w:val="font01"/>
    <w:next w:val="1347"/>
    <w:link w:val="1256"/>
    <w:qFormat/>
    <w:rPr>
      <w:rFonts w:ascii="Times New Roman" w:hAnsi="Times New Roman" w:cs="Times New Roman"/>
      <w:color w:val="000000"/>
      <w:sz w:val="21"/>
      <w:szCs w:val="21"/>
      <w:u w:val="none"/>
    </w:rPr>
  </w:style>
  <w:style w:type="character" w:styleId="1348">
    <w:name w:val="Default Char"/>
    <w:next w:val="1348"/>
    <w:link w:val="1349"/>
    <w:rPr>
      <w:rFonts w:ascii="宋体"/>
      <w:color w:val="000000"/>
      <w:sz w:val="24"/>
      <w:szCs w:val="24"/>
      <w:lang w:val="en-US" w:eastAsia="zh-CN" w:bidi="ar-SA"/>
    </w:rPr>
  </w:style>
  <w:style w:type="paragraph" w:styleId="1349">
    <w:name w:val="Default"/>
    <w:next w:val="1349"/>
    <w:link w:val="1348"/>
    <w:qFormat/>
    <w:pPr>
      <w:widowControl w:val="off"/>
    </w:pPr>
    <w:rPr>
      <w:rFonts w:ascii="宋体"/>
      <w:color w:val="000000"/>
      <w:sz w:val="24"/>
      <w:szCs w:val="24"/>
      <w:lang w:val="en-US" w:eastAsia="zh-CN" w:bidi="ar-SA"/>
    </w:rPr>
  </w:style>
  <w:style w:type="character" w:styleId="1350">
    <w:name w:val="样式 首行缩进:  2 字符 Char Char Char"/>
    <w:next w:val="1350"/>
    <w:link w:val="1256"/>
    <w:rPr>
      <w:rFonts w:eastAsia="宋体"/>
      <w:sz w:val="24"/>
      <w:lang w:val="en-US" w:eastAsia="zh-CN"/>
    </w:rPr>
  </w:style>
  <w:style w:type="character" w:styleId="1351">
    <w:name w:val="Plain Text Char"/>
    <w:next w:val="1351"/>
    <w:link w:val="1352"/>
    <w:rPr>
      <w:rFonts w:ascii="宋体" w:hAnsi="Courier New" w:eastAsia="楷体_GB2312"/>
      <w:sz w:val="26"/>
    </w:rPr>
  </w:style>
  <w:style w:type="paragraph" w:styleId="1352">
    <w:name w:val="纯文本1"/>
    <w:basedOn w:val="1256"/>
    <w:next w:val="1352"/>
    <w:link w:val="1351"/>
    <w:rPr>
      <w:rFonts w:ascii="宋体" w:hAnsi="Courier New" w:eastAsia="楷体_GB2312"/>
      <w:sz w:val="26"/>
      <w:szCs w:val="20"/>
    </w:rPr>
  </w:style>
  <w:style w:type="character" w:styleId="1353">
    <w:name w:val="正文文本 Char,NICMAN Body Text Char1,正文文字 Char"/>
    <w:next w:val="1353"/>
    <w:link w:val="1256"/>
    <w:uiPriority w:val="99"/>
    <w:rPr>
      <w:rFonts w:ascii="Times New Roman" w:hAnsi="Times New Roman" w:eastAsia="宋体" w:cs="Times New Roman"/>
      <w:szCs w:val="24"/>
    </w:rPr>
  </w:style>
  <w:style w:type="character" w:styleId="1354">
    <w:name w:val="font91"/>
    <w:next w:val="1354"/>
    <w:link w:val="1256"/>
    <w:qFormat/>
    <w:rPr>
      <w:rFonts w:hint="eastAsia" w:ascii="宋体" w:hAnsi="宋体" w:eastAsia="宋体" w:cs="宋体"/>
      <w:color w:val="000000"/>
      <w:sz w:val="20"/>
      <w:szCs w:val="20"/>
      <w:u w:val="none"/>
    </w:rPr>
  </w:style>
  <w:style w:type="character" w:styleId="1355">
    <w:name w:val="占位符文本"/>
    <w:next w:val="1355"/>
    <w:link w:val="1256"/>
    <w:uiPriority w:val="99"/>
    <w:semiHidden/>
    <w:rPr>
      <w:color w:val="808080"/>
    </w:rPr>
  </w:style>
  <w:style w:type="character" w:styleId="1356">
    <w:name w:val="style11"/>
    <w:next w:val="1356"/>
    <w:link w:val="1256"/>
    <w:rPr>
      <w:rFonts w:ascii="Verdana" w:hAnsi="Verdana"/>
      <w:sz w:val="21"/>
    </w:rPr>
  </w:style>
  <w:style w:type="character" w:styleId="1357">
    <w:name w:val="Formatvorlage Formatvorlage Links:  0&quot; Hängend:  13.5 ch + MingLiU Zchn"/>
    <w:next w:val="1357"/>
    <w:link w:val="1358"/>
    <w:rPr>
      <w:rFonts w:ascii="Arial" w:hAnsi="Arial"/>
      <w:sz w:val="24"/>
    </w:rPr>
  </w:style>
  <w:style w:type="paragraph" w:styleId="1358">
    <w:name w:val="Formatvorlage Formatvorlage Links:  0&quot; Hängend:  13.5 ch + MingLiU"/>
    <w:basedOn w:val="1344"/>
    <w:next w:val="1358"/>
    <w:link w:val="1357"/>
  </w:style>
  <w:style w:type="character" w:styleId="1359">
    <w:name w:val="NormalCharacter1"/>
    <w:next w:val="1359"/>
    <w:link w:val="1256"/>
    <w:qFormat/>
  </w:style>
  <w:style w:type="character" w:styleId="1360">
    <w:name w:val="headline-content2"/>
    <w:next w:val="1360"/>
    <w:link w:val="1256"/>
    <w:qFormat/>
    <w:rPr>
      <w:rFonts w:cs="Times New Roman"/>
    </w:rPr>
  </w:style>
  <w:style w:type="character" w:styleId="1361">
    <w:name w:val="font41"/>
    <w:next w:val="1361"/>
    <w:link w:val="1256"/>
    <w:qFormat/>
    <w:rPr>
      <w:rFonts w:ascii="Calibri" w:hAnsi="Calibri" w:cs="Calibri"/>
      <w:color w:val="000000"/>
      <w:sz w:val="24"/>
      <w:szCs w:val="24"/>
      <w:u w:val="none"/>
    </w:rPr>
  </w:style>
  <w:style w:type="character" w:styleId="1362">
    <w:name w:val="text Char"/>
    <w:next w:val="1362"/>
    <w:link w:val="1363"/>
    <w:uiPriority w:val="99"/>
    <w:rPr>
      <w:sz w:val="24"/>
      <w:szCs w:val="24"/>
    </w:rPr>
  </w:style>
  <w:style w:type="paragraph" w:styleId="1363">
    <w:name w:val="text"/>
    <w:basedOn w:val="1256"/>
    <w:next w:val="1363"/>
    <w:link w:val="1362"/>
    <w:uiPriority w:val="99"/>
    <w:pPr>
      <w:ind w:left="1098" w:hanging="2"/>
      <w:spacing w:after="60" w:line="264" w:lineRule="auto"/>
      <w:widowControl/>
      <w:tabs>
        <w:tab w:val="left" w:pos="1020" w:leader="none"/>
        <w:tab w:val="left" w:pos="1090" w:leader="none"/>
      </w:tabs>
    </w:pPr>
    <w:rPr>
      <w:sz w:val="24"/>
    </w:rPr>
  </w:style>
  <w:style w:type="character" w:styleId="1364">
    <w:name w:val="Char Char5"/>
    <w:next w:val="1364"/>
    <w:link w:val="1256"/>
    <w:rPr>
      <w:rFonts w:eastAsia="宋体"/>
      <w:sz w:val="24"/>
      <w:lang w:val="en-US" w:eastAsia="zh-CN" w:bidi="ar-SA"/>
    </w:rPr>
  </w:style>
  <w:style w:type="character" w:styleId="1365">
    <w:name w:val="NICMAN Body Text Char Char"/>
    <w:next w:val="1365"/>
    <w:link w:val="1256"/>
    <w:rPr>
      <w:rFonts w:eastAsia="宋体"/>
      <w:sz w:val="24"/>
      <w:lang w:val="en-US" w:eastAsia="zh-CN"/>
    </w:rPr>
  </w:style>
  <w:style w:type="character" w:styleId="1366">
    <w:name w:val="h Char Char"/>
    <w:next w:val="1366"/>
    <w:link w:val="1256"/>
    <w:uiPriority w:val="99"/>
    <w:rPr>
      <w:rFonts w:eastAsia="宋体"/>
      <w:sz w:val="18"/>
      <w:szCs w:val="18"/>
      <w:lang w:val="en-US" w:eastAsia="zh-CN" w:bidi="ar-SA"/>
    </w:rPr>
  </w:style>
  <w:style w:type="character" w:styleId="1367">
    <w:name w:val="NICMAN Body Text Char,正文文字 Char Char"/>
    <w:next w:val="1367"/>
    <w:link w:val="1256"/>
    <w:rPr>
      <w:rFonts w:eastAsia="宋体"/>
      <w:sz w:val="24"/>
      <w:lang w:val="en-US" w:eastAsia="zh-CN" w:bidi="ar-SA"/>
    </w:rPr>
  </w:style>
  <w:style w:type="character" w:styleId="1368">
    <w:name w:val="feature"/>
    <w:next w:val="1368"/>
    <w:link w:val="1256"/>
  </w:style>
  <w:style w:type="character" w:styleId="1369">
    <w:name w:val="1名 Char"/>
    <w:next w:val="1369"/>
    <w:link w:val="1370"/>
    <w:uiPriority w:val="99"/>
    <w:rPr>
      <w:rFonts w:ascii="宋体"/>
      <w:sz w:val="28"/>
    </w:rPr>
  </w:style>
  <w:style w:type="paragraph" w:styleId="1370">
    <w:name w:val="1名"/>
    <w:basedOn w:val="1256"/>
    <w:next w:val="1370"/>
    <w:link w:val="1369"/>
    <w:uiPriority w:val="99"/>
    <w:pPr>
      <w:numPr>
        <w:ilvl w:val="0"/>
        <w:numId w:val="2"/>
      </w:numPr>
      <w:ind w:left="0" w:firstLine="0"/>
      <w:spacing w:before="120"/>
      <w:tabs>
        <w:tab w:val="left" w:pos="720" w:leader="none"/>
      </w:tabs>
    </w:pPr>
    <w:rPr>
      <w:rFonts w:ascii="宋体"/>
      <w:sz w:val="28"/>
      <w:szCs w:val="20"/>
    </w:rPr>
  </w:style>
  <w:style w:type="paragraph" w:styleId="1371">
    <w:name w:val="无间隔1"/>
    <w:basedOn w:val="1256"/>
    <w:next w:val="1371"/>
    <w:link w:val="1256"/>
    <w:qFormat/>
    <w:pPr>
      <w:spacing w:line="400" w:lineRule="exact"/>
    </w:pPr>
    <w:rPr>
      <w:sz w:val="24"/>
    </w:rPr>
  </w:style>
  <w:style w:type="paragraph" w:styleId="1372">
    <w:name w:val="修订"/>
    <w:next w:val="1372"/>
    <w:link w:val="1256"/>
    <w:rPr>
      <w:sz w:val="21"/>
      <w:szCs w:val="24"/>
      <w:lang w:val="en-US" w:eastAsia="zh-CN" w:bidi="ar-SA"/>
    </w:rPr>
  </w:style>
  <w:style w:type="paragraph" w:styleId="1373">
    <w:name w:val="NormalIndent1"/>
    <w:basedOn w:val="1256"/>
    <w:next w:val="1373"/>
    <w:link w:val="1256"/>
    <w:qFormat/>
    <w:pPr>
      <w:ind w:firstLine="420"/>
    </w:pPr>
    <w:rPr>
      <w:sz w:val="20"/>
    </w:rPr>
  </w:style>
  <w:style w:type="paragraph" w:styleId="1374">
    <w:name w:val="p0"/>
    <w:basedOn w:val="1256"/>
    <w:next w:val="1374"/>
    <w:link w:val="1256"/>
    <w:pPr>
      <w:widowControl/>
    </w:pPr>
    <w:rPr>
      <w:b/>
      <w:bCs/>
      <w:sz w:val="24"/>
    </w:rPr>
  </w:style>
  <w:style w:type="paragraph" w:styleId="1375">
    <w:name w:val=" Char Char Char Char"/>
    <w:basedOn w:val="1256"/>
    <w:next w:val="1375"/>
    <w:link w:val="1256"/>
    <w:pPr>
      <w:jc w:val="left"/>
      <w:spacing w:after="160" w:line="240" w:lineRule="exact"/>
      <w:widowControl/>
    </w:pPr>
  </w:style>
  <w:style w:type="paragraph" w:styleId="1376">
    <w:name w:val="星非-小"/>
    <w:basedOn w:val="1256"/>
    <w:next w:val="1376"/>
    <w:link w:val="1256"/>
    <w:pPr>
      <w:ind w:left="830" w:hanging="534"/>
      <w:jc w:val="left"/>
      <w:spacing w:line="480" w:lineRule="exact"/>
    </w:pPr>
    <w:rPr>
      <w:rFonts w:ascii="仿宋_GB2312" w:hAnsi="仿宋_GB2312" w:eastAsia="仿宋_GB2312" w:cs="宋体"/>
      <w:sz w:val="28"/>
      <w:szCs w:val="20"/>
    </w:rPr>
  </w:style>
  <w:style w:type="paragraph" w:styleId="1377">
    <w:name w:val="op_mapdots_left"/>
    <w:basedOn w:val="1256"/>
    <w:next w:val="1377"/>
    <w:link w:val="1256"/>
    <w:pPr>
      <w:jc w:val="left"/>
      <w:spacing w:before="100" w:beforeAutospacing="1" w:after="100" w:afterAutospacing="1"/>
      <w:widowControl/>
    </w:pPr>
    <w:rPr>
      <w:rFonts w:ascii="宋体" w:hAnsi="宋体" w:cs="宋体"/>
      <w:sz w:val="24"/>
    </w:rPr>
  </w:style>
  <w:style w:type="paragraph" w:styleId="1378">
    <w:name w:val="p18"/>
    <w:basedOn w:val="1256"/>
    <w:next w:val="1378"/>
    <w:link w:val="1256"/>
    <w:pPr>
      <w:ind w:firstLine="420"/>
      <w:jc w:val="left"/>
      <w:widowControl/>
    </w:pPr>
    <w:rPr>
      <w:sz w:val="24"/>
    </w:rPr>
  </w:style>
  <w:style w:type="paragraph" w:styleId="1379">
    <w:name w:val="内容样式"/>
    <w:basedOn w:val="1256"/>
    <w:next w:val="1379"/>
    <w:link w:val="1256"/>
    <w:pPr>
      <w:ind w:firstLine="560"/>
      <w:jc w:val="left"/>
      <w:spacing w:line="460" w:lineRule="exact"/>
    </w:pPr>
    <w:rPr>
      <w:rFonts w:ascii="仿宋_GB2312" w:hAnsi="仿宋_GB2312" w:eastAsia="仿宋_GB2312" w:cs="宋体"/>
      <w:sz w:val="28"/>
      <w:szCs w:val="20"/>
    </w:rPr>
  </w:style>
  <w:style w:type="paragraph" w:styleId="1380">
    <w:name w:val="列表段落"/>
    <w:basedOn w:val="1256"/>
    <w:next w:val="1380"/>
    <w:link w:val="1256"/>
    <w:uiPriority w:val="34"/>
    <w:qFormat/>
    <w:pPr>
      <w:ind w:firstLine="420"/>
    </w:pPr>
  </w:style>
  <w:style w:type="paragraph" w:styleId="1381">
    <w:name w:val="普通正文"/>
    <w:basedOn w:val="1256"/>
    <w:next w:val="1381"/>
    <w:link w:val="1256"/>
    <w:qFormat/>
    <w:pPr>
      <w:ind w:firstLine="480"/>
      <w:jc w:val="left"/>
      <w:spacing w:before="120" w:after="120" w:line="360" w:lineRule="auto"/>
    </w:pPr>
    <w:rPr>
      <w:rFonts w:ascii="Arial" w:hAnsi="Arial"/>
      <w:sz w:val="24"/>
      <w:szCs w:val="24"/>
    </w:rPr>
  </w:style>
  <w:style w:type="paragraph" w:styleId="1382">
    <w:name w:val="文档正文"/>
    <w:basedOn w:val="1256"/>
    <w:next w:val="1382"/>
    <w:link w:val="1256"/>
    <w:pPr>
      <w:ind w:firstLine="567"/>
      <w:spacing w:line="480" w:lineRule="atLeast"/>
    </w:pPr>
    <w:rPr>
      <w:rFonts w:ascii="Ari" w:eastAsia="Ari"/>
      <w:sz w:val="28"/>
      <w:szCs w:val="20"/>
    </w:rPr>
  </w:style>
  <w:style w:type="paragraph" w:styleId="1383">
    <w:name w:val="man"/>
    <w:next w:val="1256"/>
    <w:link w:val="1256"/>
    <w:uiPriority w:val="99"/>
    <w:pPr>
      <w:widowControl w:val="off"/>
    </w:pPr>
    <w:rPr>
      <w:rFonts w:ascii="Arial" w:hAnsi="Arial" w:cs="Arial"/>
      <w:sz w:val="22"/>
      <w:szCs w:val="22"/>
      <w:lang w:val="de-DE" w:eastAsia="de-DE" w:bidi="ar-SA"/>
    </w:rPr>
  </w:style>
  <w:style w:type="paragraph" w:styleId="1384">
    <w:name w:val="列出段落1"/>
    <w:basedOn w:val="1256"/>
    <w:next w:val="1384"/>
    <w:link w:val="1256"/>
    <w:uiPriority w:val="34"/>
    <w:qFormat/>
    <w:pPr>
      <w:contextualSpacing/>
      <w:ind w:left="720"/>
      <w:jc w:val="left"/>
      <w:widowControl/>
    </w:pPr>
    <w:rPr>
      <w:rFonts w:ascii="Arial" w:hAnsi="Arial" w:eastAsia="黑体"/>
      <w:sz w:val="24"/>
      <w:lang w:eastAsia="en-US"/>
    </w:rPr>
  </w:style>
  <w:style w:type="paragraph" w:styleId="1385">
    <w:name w:val="样式 标题 3 + (中文) 黑体 小四 非加粗 段前: 7.8 磅 段后: 0 磅 行距: 固定值 20 磅"/>
    <w:basedOn w:val="1259"/>
    <w:next w:val="1256"/>
    <w:link w:val="1256"/>
    <w:pPr>
      <w:spacing w:before="0" w:after="0" w:line="400" w:lineRule="exact"/>
      <w:tabs>
        <w:tab w:val="left" w:pos="1260" w:leader="none"/>
      </w:tabs>
    </w:pPr>
    <w:rPr>
      <w:rFonts w:eastAsia="黑体" w:cs="宋体"/>
      <w:b w:val="0"/>
      <w:bCs w:val="0"/>
      <w:sz w:val="24"/>
      <w:szCs w:val="20"/>
    </w:rPr>
  </w:style>
  <w:style w:type="paragraph" w:styleId="1386">
    <w:name w:val="默认段落字体 Para Char Char Char Char"/>
    <w:basedOn w:val="1256"/>
    <w:next w:val="1386"/>
    <w:link w:val="1256"/>
  </w:style>
  <w:style w:type="paragraph" w:styleId="1387">
    <w:name w:val="WPSOffice手动目录 1"/>
    <w:next w:val="1387"/>
    <w:link w:val="1256"/>
    <w:rPr>
      <w:lang w:val="en-US" w:eastAsia="zh-CN" w:bidi="ar-SA"/>
    </w:rPr>
  </w:style>
  <w:style w:type="paragraph" w:styleId="1388">
    <w:name w:val="段"/>
    <w:next w:val="1256"/>
    <w:link w:val="1256"/>
    <w:uiPriority w:val="99"/>
    <w:qFormat/>
    <w:pPr>
      <w:ind w:firstLine="200"/>
      <w:jc w:val="both"/>
    </w:pPr>
    <w:rPr>
      <w:rFonts w:ascii="宋体" w:cs="宋体"/>
      <w:sz w:val="21"/>
      <w:szCs w:val="21"/>
      <w:lang w:val="en-US" w:eastAsia="zh-CN" w:bidi="ar-SA"/>
    </w:rPr>
  </w:style>
  <w:style w:type="paragraph" w:styleId="1389">
    <w:name w:val="Char"/>
    <w:basedOn w:val="1256"/>
    <w:next w:val="1389"/>
    <w:link w:val="1256"/>
    <w:pPr>
      <w:jc w:val="left"/>
      <w:spacing w:after="160" w:line="240" w:lineRule="exact"/>
      <w:widowControl/>
    </w:pPr>
    <w:rPr>
      <w:rFonts w:ascii="Verdana" w:hAnsi="Verdana" w:eastAsia="仿宋_GB2312"/>
      <w:sz w:val="24"/>
      <w:szCs w:val="20"/>
      <w:lang w:eastAsia="en-US"/>
    </w:rPr>
  </w:style>
  <w:style w:type="paragraph" w:styleId="1390">
    <w:name w:val="absatz4"/>
    <w:basedOn w:val="1256"/>
    <w:next w:val="1390"/>
    <w:link w:val="1256"/>
    <w:pPr>
      <w:ind w:left="2268" w:hanging="2268"/>
      <w:widowControl/>
      <w:tabs>
        <w:tab w:val="left" w:pos="709" w:leader="none"/>
        <w:tab w:val="left" w:pos="2268" w:leader="none"/>
        <w:tab w:val="right" w:pos="10206" w:leader="none"/>
      </w:tabs>
    </w:pPr>
    <w:rPr>
      <w:sz w:val="24"/>
      <w:szCs w:val="20"/>
      <w:lang w:val="de-DE" w:eastAsia="de-DE"/>
    </w:rPr>
  </w:style>
  <w:style w:type="paragraph" w:styleId="1391">
    <w:name w:val="Table Paragraph"/>
    <w:basedOn w:val="1256"/>
    <w:next w:val="1391"/>
    <w:link w:val="1256"/>
    <w:uiPriority w:val="1"/>
    <w:qFormat/>
    <w:pPr>
      <w:jc w:val="left"/>
    </w:pPr>
    <w:rPr>
      <w:rFonts w:eastAsia="Calibri"/>
      <w:sz w:val="22"/>
      <w:szCs w:val="22"/>
      <w:lang w:eastAsia="en-US"/>
    </w:rPr>
  </w:style>
  <w:style w:type="paragraph" w:styleId="1392">
    <w:name w:val="TOC 标题"/>
    <w:basedOn w:val="1257"/>
    <w:next w:val="1256"/>
    <w:link w:val="1256"/>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393">
    <w:name w:val="正文段"/>
    <w:basedOn w:val="1256"/>
    <w:next w:val="1393"/>
    <w:link w:val="1256"/>
    <w:pPr>
      <w:ind w:firstLine="200"/>
      <w:widowControl/>
    </w:pPr>
    <w:rPr>
      <w:sz w:val="24"/>
      <w:szCs w:val="20"/>
    </w:rPr>
  </w:style>
  <w:style w:type="paragraph" w:styleId="1394">
    <w:name w:val="_Style 13"/>
    <w:basedOn w:val="1256"/>
    <w:next w:val="1256"/>
    <w:link w:val="1256"/>
    <w:rPr>
      <w:sz w:val="24"/>
      <w:szCs w:val="20"/>
    </w:rPr>
  </w:style>
  <w:style w:type="paragraph" w:styleId="1395">
    <w:name w:val="List Paragraph"/>
    <w:basedOn w:val="1256"/>
    <w:next w:val="1395"/>
    <w:link w:val="1256"/>
    <w:pPr>
      <w:contextualSpacing/>
      <w:ind w:left="720"/>
      <w:jc w:val="left"/>
      <w:widowControl/>
    </w:pPr>
    <w:rPr>
      <w:rFonts w:ascii="Arial" w:hAnsi="Arial" w:eastAsia="黑体"/>
      <w:sz w:val="24"/>
      <w:lang w:eastAsia="en-US"/>
    </w:rPr>
  </w:style>
  <w:style w:type="paragraph" w:styleId="1396">
    <w:name w:val="Char Char Char"/>
    <w:basedOn w:val="1256"/>
    <w:next w:val="1396"/>
    <w:link w:val="1256"/>
    <w:pPr>
      <w:ind w:left="360" w:hanging="360"/>
      <w:tabs>
        <w:tab w:val="left" w:pos="360" w:leader="none"/>
        <w:tab w:val="left" w:pos="1545" w:leader="none"/>
      </w:tabs>
    </w:pPr>
    <w:rPr>
      <w:szCs w:val="20"/>
    </w:rPr>
  </w:style>
  <w:style w:type="paragraph" w:styleId="1397">
    <w:name w:val="标题2"/>
    <w:basedOn w:val="1258"/>
    <w:next w:val="1288"/>
    <w:link w:val="1256"/>
    <w:pPr>
      <w:spacing w:before="156" w:after="156" w:line="360" w:lineRule="auto"/>
      <w:tabs>
        <w:tab w:val="left" w:pos="840" w:leader="none"/>
      </w:tabs>
    </w:pPr>
    <w:rPr>
      <w:bCs w:val="0"/>
      <w:sz w:val="24"/>
    </w:rPr>
  </w:style>
  <w:style w:type="paragraph" w:styleId="1398">
    <w:name w:val="样式1"/>
    <w:basedOn w:val="1256"/>
    <w:next w:val="1398"/>
    <w:link w:val="1256"/>
    <w:pPr>
      <w:tabs>
        <w:tab w:val="left" w:pos="0" w:leader="none"/>
        <w:tab w:val="left" w:pos="420" w:leader="none"/>
        <w:tab w:val="left" w:pos="709" w:leader="none"/>
      </w:tabs>
    </w:pPr>
    <w:rPr>
      <w:rFonts w:ascii="宋体" w:hAnsi="宋体"/>
      <w:szCs w:val="20"/>
    </w:rPr>
  </w:style>
  <w:style w:type="paragraph" w:styleId="1399">
    <w:name w:val="格式３"/>
    <w:basedOn w:val="1256"/>
    <w:next w:val="1399"/>
    <w:link w:val="1256"/>
    <w:pPr>
      <w:ind w:left="600" w:hanging="600"/>
      <w:spacing w:line="420" w:lineRule="exact"/>
    </w:pPr>
    <w:rPr>
      <w:rFonts w:ascii="宋体" w:hAnsi="宋体"/>
      <w:color w:val="000000"/>
      <w:sz w:val="24"/>
      <w:szCs w:val="20"/>
    </w:rPr>
  </w:style>
  <w:style w:type="paragraph" w:styleId="1400">
    <w:name w:val="无缩进正文"/>
    <w:basedOn w:val="1256"/>
    <w:next w:val="1400"/>
    <w:link w:val="1256"/>
    <w:rPr>
      <w:szCs w:val="20"/>
    </w:rPr>
  </w:style>
  <w:style w:type="paragraph" w:styleId="1401">
    <w:name w:val="Char1 Char Char Char"/>
    <w:basedOn w:val="1256"/>
    <w:next w:val="1401"/>
    <w:link w:val="1256"/>
    <w:pPr>
      <w:jc w:val="left"/>
      <w:widowControl/>
    </w:pPr>
    <w:rPr>
      <w:sz w:val="24"/>
    </w:rPr>
  </w:style>
  <w:style w:type="paragraph" w:styleId="1402">
    <w:name w:val="Char Char Char Char"/>
    <w:basedOn w:val="1282"/>
    <w:next w:val="1402"/>
    <w:link w:val="1256"/>
    <w:pPr>
      <w:spacing w:line="360" w:lineRule="auto"/>
      <w:shd w:val="clear" w:color="auto" w:fill="000080"/>
    </w:pPr>
    <w:rPr>
      <w:rFonts w:ascii="Times New Roman"/>
      <w:sz w:val="21"/>
      <w:szCs w:val="20"/>
      <w:lang w:val="en-US" w:eastAsia="zh-CN"/>
    </w:rPr>
  </w:style>
  <w:style w:type="paragraph" w:styleId="1403">
    <w:name w:val="+正文 Char"/>
    <w:basedOn w:val="1256"/>
    <w:next w:val="1403"/>
    <w:link w:val="1256"/>
    <w:pPr>
      <w:ind w:firstLine="200"/>
      <w:spacing w:line="360" w:lineRule="auto"/>
    </w:pPr>
    <w:rPr>
      <w:sz w:val="24"/>
      <w:szCs w:val="28"/>
    </w:rPr>
  </w:style>
  <w:style w:type="paragraph" w:styleId="1404">
    <w:name w:val="Char Char Char Char Char Char Char Char Char Char"/>
    <w:basedOn w:val="1256"/>
    <w:next w:val="1404"/>
    <w:link w:val="1256"/>
    <w:pPr>
      <w:ind w:left="795" w:hanging="360"/>
      <w:tabs>
        <w:tab w:val="left" w:pos="795" w:leader="none"/>
      </w:tabs>
    </w:pPr>
    <w:rPr>
      <w:sz w:val="24"/>
    </w:rPr>
  </w:style>
  <w:style w:type="character" w:styleId="1405">
    <w:name w:val="font31"/>
    <w:next w:val="1405"/>
    <w:link w:val="1256"/>
    <w:qFormat/>
    <w:rPr>
      <w:rFonts w:hint="eastAsia" w:ascii="宋体" w:hAnsi="宋体" w:eastAsia="宋体" w:cs="宋体"/>
      <w:color w:val="000000"/>
      <w:sz w:val="20"/>
      <w:szCs w:val="20"/>
      <w:u w:val="none"/>
    </w:rPr>
  </w:style>
  <w:style w:type="character" w:styleId="1406">
    <w:name w:val="redfilefwwh"/>
    <w:next w:val="1406"/>
    <w:link w:val="1256"/>
    <w:rPr>
      <w:color w:val="ba2636"/>
      <w:sz w:val="18"/>
      <w:szCs w:val="18"/>
    </w:rPr>
  </w:style>
  <w:style w:type="character" w:styleId="1407">
    <w:name w:val="cfdate"/>
    <w:next w:val="1407"/>
    <w:link w:val="1256"/>
    <w:rPr>
      <w:color w:val="333333"/>
      <w:sz w:val="18"/>
      <w:szCs w:val="18"/>
    </w:rPr>
  </w:style>
  <w:style w:type="character" w:styleId="1408">
    <w:name w:val="qxdate"/>
    <w:next w:val="1408"/>
    <w:link w:val="1256"/>
    <w:rPr>
      <w:color w:val="333333"/>
      <w:sz w:val="18"/>
      <w:szCs w:val="18"/>
    </w:rPr>
  </w:style>
  <w:style w:type="character" w:styleId="1409">
    <w:name w:val="gjfg"/>
    <w:next w:val="1409"/>
    <w:link w:val="1256"/>
  </w:style>
  <w:style w:type="character" w:styleId="1410">
    <w:name w:val="next2"/>
    <w:next w:val="1410"/>
    <w:link w:val="1256"/>
    <w:rPr>
      <w:rFonts w:ascii="微软雅黑" w:hAnsi="微软雅黑" w:eastAsia="微软雅黑" w:cs="微软雅黑"/>
      <w:sz w:val="21"/>
      <w:szCs w:val="21"/>
    </w:rPr>
  </w:style>
  <w:style w:type="character" w:styleId="1411">
    <w:name w:val="next3"/>
    <w:next w:val="1411"/>
    <w:link w:val="1256"/>
    <w:rPr>
      <w:color w:val="888888"/>
    </w:rPr>
  </w:style>
  <w:style w:type="character" w:styleId="1412">
    <w:name w:val="displayarti"/>
    <w:next w:val="1412"/>
    <w:link w:val="1256"/>
    <w:rPr>
      <w:color w:val="ffffff"/>
      <w:shd w:val="clear" w:color="auto" w:fill="a00000"/>
    </w:rPr>
  </w:style>
  <w:style w:type="character" w:styleId="1413">
    <w:name w:val="redfilenumber"/>
    <w:next w:val="1413"/>
    <w:link w:val="1256"/>
    <w:rPr>
      <w:color w:val="ba2636"/>
      <w:sz w:val="18"/>
      <w:szCs w:val="18"/>
    </w:rPr>
  </w:style>
  <w:style w:type="character" w:styleId="1414">
    <w:name w:val="prev2"/>
    <w:next w:val="1414"/>
    <w:link w:val="1256"/>
    <w:rPr>
      <w:rFonts w:hint="eastAsia" w:ascii="微软雅黑" w:hAnsi="微软雅黑" w:eastAsia="微软雅黑" w:cs="微软雅黑"/>
      <w:sz w:val="21"/>
      <w:szCs w:val="21"/>
    </w:rPr>
  </w:style>
  <w:style w:type="character" w:styleId="1415">
    <w:name w:val="prev3"/>
    <w:next w:val="1415"/>
    <w:link w:val="1256"/>
    <w:rPr>
      <w:color w:val="888888"/>
    </w:rPr>
  </w:style>
  <w:style w:type="character" w:styleId="1416">
    <w:name w:val="prev"/>
    <w:next w:val="1416"/>
    <w:link w:val="1256"/>
    <w:rPr>
      <w:color w:val="888888"/>
    </w:rPr>
  </w:style>
  <w:style w:type="character" w:styleId="1417">
    <w:name w:val="prev1"/>
    <w:next w:val="1417"/>
    <w:link w:val="1256"/>
    <w:rPr>
      <w:rFonts w:ascii="微软雅黑" w:hAnsi="微软雅黑" w:eastAsia="微软雅黑" w:cs="微软雅黑"/>
      <w:sz w:val="21"/>
      <w:szCs w:val="21"/>
    </w:rPr>
  </w:style>
  <w:style w:type="character" w:styleId="1418">
    <w:name w:val="next"/>
    <w:next w:val="1418"/>
    <w:link w:val="1256"/>
    <w:rPr>
      <w:color w:val="888888"/>
    </w:rPr>
  </w:style>
  <w:style w:type="character" w:styleId="1419">
    <w:name w:val="next1"/>
    <w:next w:val="1419"/>
    <w:link w:val="1256"/>
    <w:rPr>
      <w:rFonts w:hint="eastAsia" w:ascii="微软雅黑" w:hAnsi="微软雅黑" w:eastAsia="微软雅黑" w:cs="微软雅黑"/>
      <w:sz w:val="21"/>
      <w:szCs w:val="21"/>
    </w:rPr>
  </w:style>
  <w:style w:type="paragraph" w:styleId="1420">
    <w:name w:val="_Style 14"/>
    <w:basedOn w:val="1256"/>
    <w:next w:val="1380"/>
    <w:link w:val="1256"/>
    <w:uiPriority w:val="34"/>
    <w:qFormat/>
    <w:pPr>
      <w:ind w:left="0" w:firstLine="420"/>
      <w:spacing w:line="240" w:lineRule="auto"/>
    </w:pPr>
    <w:rPr>
      <w:rFonts w:ascii="等线" w:hAnsi="等线" w:eastAsia="等线"/>
      <w:szCs w:val="22"/>
    </w:rPr>
  </w:style>
  <w:style w:type="paragraph" w:styleId="1421">
    <w:name w:val="_Style 8"/>
    <w:basedOn w:val="1256"/>
    <w:next w:val="1380"/>
    <w:link w:val="1256"/>
    <w:uiPriority w:val="34"/>
    <w:qFormat/>
    <w:pPr>
      <w:ind w:left="0" w:firstLine="420"/>
      <w:spacing w:line="240" w:lineRule="auto"/>
    </w:pPr>
    <w:rPr>
      <w:rFonts w:ascii="等线" w:hAnsi="等线" w:eastAsia="等线"/>
      <w:szCs w:val="22"/>
    </w:rPr>
  </w:style>
  <w:style w:type="paragraph" w:styleId="1422">
    <w:name w:val="列出段落2"/>
    <w:basedOn w:val="1256"/>
    <w:next w:val="1422"/>
    <w:link w:val="1256"/>
    <w:qFormat/>
    <w:pPr>
      <w:ind w:firstLine="420"/>
    </w:pPr>
    <w:rPr>
      <w:lang w:val="zh-CN"/>
    </w:rPr>
  </w:style>
  <w:style w:type="paragraph" w:styleId="1423">
    <w:name w:val="列出段落3"/>
    <w:basedOn w:val="1256"/>
    <w:next w:val="1423"/>
    <w:link w:val="1256"/>
    <w:uiPriority w:val="34"/>
    <w:qFormat/>
    <w:pPr>
      <w:ind w:firstLine="420"/>
    </w:pPr>
    <w:rPr>
      <w:rFonts w:ascii="Times New Roman" w:hAnsi="Times New Roman"/>
      <w:szCs w:val="24"/>
    </w:rPr>
  </w:style>
  <w:style w:type="paragraph" w:styleId="1424">
    <w:name w:val="List Paragraph1"/>
    <w:basedOn w:val="1256"/>
    <w:next w:val="1424"/>
    <w:link w:val="1256"/>
    <w:qFormat/>
    <w:pPr>
      <w:contextualSpacing/>
      <w:ind w:left="720"/>
      <w:jc w:val="left"/>
      <w:widowControl/>
    </w:pPr>
    <w:rPr>
      <w:rFonts w:ascii="Arial" w:hAnsi="Arial" w:eastAsia="黑体"/>
      <w:sz w:val="24"/>
      <w:szCs w:val="24"/>
      <w:lang w:eastAsia="en-US"/>
    </w:rPr>
  </w:style>
  <w:style w:type="character" w:styleId="1425">
    <w:name w:val="无 A"/>
    <w:next w:val="1425"/>
    <w:link w:val="1256"/>
    <w:qFormat/>
  </w:style>
  <w:style w:type="paragraph" w:styleId="1426">
    <w:name w:val="样式 首行缩进:  2 字符"/>
    <w:basedOn w:val="1256"/>
    <w:next w:val="1426"/>
    <w:link w:val="1256"/>
    <w:qFormat/>
    <w:pPr>
      <w:ind w:firstLine="200"/>
      <w:spacing w:line="400" w:lineRule="exact"/>
    </w:pPr>
    <w:rPr>
      <w:rFonts w:cs="宋体"/>
      <w:sz w:val="24"/>
      <w:szCs w:val="24"/>
    </w:rPr>
  </w:style>
  <w:style w:type="paragraph" w:styleId="1427">
    <w:name w:val="正文 A"/>
    <w:next w:val="1427"/>
    <w:link w:val="1256"/>
    <w:uiPriority w:val="99"/>
    <w:qFormat/>
    <w:rPr>
      <w:rFonts w:ascii="Arial Unicode MS" w:hAnsi="Arial Unicode MS" w:cs="Arial Unicode MS"/>
      <w:color w:val="000000"/>
      <w:lang w:val="en-US" w:eastAsia="zh-CN" w:bidi="ar-SA"/>
    </w:rPr>
  </w:style>
  <w:style w:type="character" w:styleId="1428">
    <w:name w:val="font51"/>
    <w:next w:val="1428"/>
    <w:link w:val="1256"/>
    <w:qFormat/>
    <w:rPr>
      <w:rFonts w:ascii="Calibri" w:hAnsi="Calibri" w:cs="Calibri"/>
      <w:color w:val="000000"/>
      <w:sz w:val="21"/>
      <w:szCs w:val="21"/>
      <w:u w:val="none"/>
    </w:rPr>
  </w:style>
  <w:style w:type="paragraph" w:styleId="1429">
    <w:name w:val="普通(网站)1"/>
    <w:basedOn w:val="1256"/>
    <w:next w:val="1429"/>
    <w:link w:val="1256"/>
    <w:uiPriority w:val="99"/>
    <w:qFormat/>
    <w:pPr>
      <w:spacing w:before="100" w:beforeAutospacing="1" w:after="100" w:afterAutospacing="1"/>
      <w:widowControl/>
    </w:pPr>
    <w:rPr>
      <w:rFonts w:ascii="Times New Roman"/>
      <w:sz w:val="24"/>
      <w:szCs w:val="24"/>
    </w:rPr>
  </w:style>
  <w:style w:type="character" w:styleId="1430" w:default="1">
    <w:name w:val="Default Paragraph Font"/>
    <w:uiPriority w:val="1"/>
    <w:semiHidden/>
    <w:unhideWhenUsed/>
  </w:style>
  <w:style w:type="numbering" w:styleId="1431" w:default="1">
    <w:name w:val="No List"/>
    <w:uiPriority w:val="99"/>
    <w:semiHidden/>
    <w:unhideWhenUsed/>
  </w:style>
  <w:style w:type="table" w:styleId="14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Wind</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高婷（江城）</cp:lastModifiedBy>
  <cp:revision>11</cp:revision>
  <dcterms:created xsi:type="dcterms:W3CDTF">2025-09-11T09:09:00Z</dcterms:created>
  <dcterms:modified xsi:type="dcterms:W3CDTF">2026-07-02T07:57:26Z</dcterms:modified>
</cp:coreProperties>
</file>