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A85AA">
      <w:pPr>
        <w:pStyle w:val="4"/>
        <w:rPr>
          <w:rFonts w:hint="eastAsia" w:ascii="仿宋_GB2312" w:hAnsi="仿宋_GB2312" w:eastAsia="仿宋_GB2312" w:cs="仿宋_GB2312"/>
          <w:color w:val="auto"/>
          <w:highlight w:val="none"/>
        </w:rPr>
      </w:pPr>
    </w:p>
    <w:p w14:paraId="55DC5913">
      <w:pPr>
        <w:jc w:val="center"/>
        <w:rPr>
          <w:rFonts w:hint="eastAsia" w:ascii="仿宋_GB2312" w:hAnsi="仿宋_GB2312" w:eastAsia="仿宋_GB2312" w:cs="仿宋_GB2312"/>
          <w:color w:val="auto"/>
          <w:sz w:val="32"/>
          <w:szCs w:val="32"/>
          <w:highlight w:val="none"/>
        </w:rPr>
      </w:pPr>
    </w:p>
    <w:p w14:paraId="202C247F">
      <w:pPr>
        <w:tabs>
          <w:tab w:val="left" w:pos="5985"/>
        </w:tabs>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36"/>
          <w:szCs w:val="36"/>
          <w:highlight w:val="none"/>
          <w:lang w:eastAsia="zh-CN"/>
          <w14:textFill>
            <w14:solidFill>
              <w14:schemeClr w14:val="tx1"/>
            </w14:solidFill>
          </w14:textFill>
        </w:rPr>
        <w:t>浙江国际海运职业技术学院办公电脑采购项目</w:t>
      </w:r>
    </w:p>
    <w:p w14:paraId="78112B18">
      <w:pPr>
        <w:jc w:val="center"/>
        <w:rPr>
          <w:rFonts w:hint="default" w:ascii="仿宋_GB2312" w:hAnsi="仿宋_GB2312" w:eastAsia="仿宋_GB2312" w:cs="仿宋_GB2312"/>
          <w:b/>
          <w:color w:val="FF0000"/>
          <w:sz w:val="36"/>
          <w:szCs w:val="36"/>
          <w:highlight w:val="none"/>
          <w:lang w:val="en-US" w:eastAsia="zh-CN"/>
        </w:rPr>
      </w:pPr>
    </w:p>
    <w:p w14:paraId="0D123DD5">
      <w:pPr>
        <w:tabs>
          <w:tab w:val="left" w:pos="5985"/>
        </w:tabs>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b/>
      </w:r>
    </w:p>
    <w:p w14:paraId="47C021F4">
      <w:pPr>
        <w:pStyle w:val="2"/>
        <w:rPr>
          <w:rFonts w:hint="eastAsia"/>
        </w:rPr>
      </w:pPr>
    </w:p>
    <w:p w14:paraId="7A080417">
      <w:pPr>
        <w:pStyle w:val="2"/>
        <w:jc w:val="center"/>
        <w:rPr>
          <w:rFonts w:hint="eastAsia" w:ascii="仿宋_GB2312" w:hAnsi="仿宋_GB2312" w:eastAsia="仿宋_GB2312" w:cs="仿宋_GB2312"/>
          <w:color w:val="auto"/>
          <w:highlight w:val="none"/>
        </w:rPr>
      </w:pPr>
    </w:p>
    <w:p w14:paraId="63120A17">
      <w:pPr>
        <w:jc w:val="center"/>
        <w:rPr>
          <w:rFonts w:hint="eastAsia" w:ascii="仿宋_GB2312" w:hAnsi="仿宋_GB2312" w:eastAsia="仿宋_GB2312" w:cs="仿宋_GB2312"/>
          <w:color w:val="auto"/>
          <w:sz w:val="24"/>
          <w:szCs w:val="24"/>
          <w:highlight w:val="none"/>
        </w:rPr>
      </w:pPr>
    </w:p>
    <w:p w14:paraId="6E3548CC">
      <w:pPr>
        <w:jc w:val="center"/>
        <w:rPr>
          <w:rFonts w:hint="eastAsia" w:ascii="仿宋_GB2312" w:hAnsi="仿宋_GB2312" w:eastAsia="仿宋_GB2312" w:cs="仿宋_GB2312"/>
          <w:color w:val="auto"/>
          <w:sz w:val="24"/>
          <w:szCs w:val="24"/>
          <w:highlight w:val="none"/>
        </w:rPr>
      </w:pPr>
    </w:p>
    <w:p w14:paraId="7FD05FED">
      <w:pPr>
        <w:spacing w:line="600" w:lineRule="exact"/>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公开招标文件</w:t>
      </w:r>
    </w:p>
    <w:p w14:paraId="1EEEBA1D">
      <w:pPr>
        <w:spacing w:line="600" w:lineRule="exact"/>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（电子招投标）</w:t>
      </w:r>
    </w:p>
    <w:p w14:paraId="6CA87A4A">
      <w:pPr>
        <w:spacing w:line="600" w:lineRule="exact"/>
        <w:jc w:val="center"/>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编号:</w:t>
      </w:r>
      <w:r>
        <w:rPr>
          <w:rFonts w:hint="eastAsia" w:ascii="仿宋_GB2312" w:hAnsi="仿宋_GB2312" w:eastAsia="仿宋_GB2312" w:cs="仿宋_GB2312"/>
          <w:color w:val="auto"/>
          <w:sz w:val="30"/>
          <w:szCs w:val="30"/>
          <w:highlight w:val="none"/>
          <w:lang w:eastAsia="zh-CN"/>
        </w:rPr>
        <w:t>ZSZFCG2026-ZB-0</w:t>
      </w:r>
      <w:r>
        <w:rPr>
          <w:rFonts w:hint="eastAsia" w:ascii="仿宋_GB2312" w:hAnsi="仿宋_GB2312" w:eastAsia="仿宋_GB2312" w:cs="仿宋_GB2312"/>
          <w:color w:val="auto"/>
          <w:sz w:val="30"/>
          <w:szCs w:val="30"/>
          <w:highlight w:val="none"/>
          <w:lang w:val="en-US" w:eastAsia="zh-CN"/>
        </w:rPr>
        <w:t>45</w:t>
      </w:r>
    </w:p>
    <w:p w14:paraId="5A526703">
      <w:pPr>
        <w:spacing w:line="600" w:lineRule="exact"/>
        <w:jc w:val="center"/>
        <w:rPr>
          <w:rFonts w:hint="eastAsia" w:ascii="仿宋_GB2312" w:hAnsi="仿宋_GB2312" w:eastAsia="仿宋_GB2312" w:cs="仿宋_GB2312"/>
          <w:color w:val="auto"/>
          <w:sz w:val="30"/>
          <w:szCs w:val="30"/>
          <w:highlight w:val="none"/>
        </w:rPr>
      </w:pPr>
    </w:p>
    <w:p w14:paraId="104EBF23">
      <w:pPr>
        <w:spacing w:line="600" w:lineRule="exact"/>
        <w:jc w:val="center"/>
        <w:rPr>
          <w:rFonts w:hint="eastAsia" w:ascii="仿宋_GB2312" w:hAnsi="仿宋_GB2312" w:eastAsia="仿宋_GB2312" w:cs="仿宋_GB2312"/>
          <w:color w:val="auto"/>
          <w:sz w:val="30"/>
          <w:szCs w:val="30"/>
          <w:highlight w:val="none"/>
        </w:rPr>
      </w:pPr>
    </w:p>
    <w:p w14:paraId="0D394D95">
      <w:pPr>
        <w:spacing w:line="600" w:lineRule="exact"/>
        <w:jc w:val="center"/>
        <w:rPr>
          <w:rFonts w:hint="eastAsia" w:ascii="仿宋_GB2312" w:hAnsi="仿宋_GB2312" w:eastAsia="仿宋_GB2312" w:cs="仿宋_GB2312"/>
          <w:color w:val="auto"/>
          <w:sz w:val="30"/>
          <w:szCs w:val="30"/>
          <w:highlight w:val="none"/>
        </w:rPr>
      </w:pPr>
    </w:p>
    <w:p w14:paraId="7A3009D3">
      <w:pPr>
        <w:spacing w:line="600" w:lineRule="exact"/>
        <w:jc w:val="center"/>
        <w:rPr>
          <w:rFonts w:hint="eastAsia" w:ascii="仿宋_GB2312" w:hAnsi="仿宋_GB2312" w:eastAsia="仿宋_GB2312" w:cs="仿宋_GB2312"/>
          <w:color w:val="auto"/>
          <w:sz w:val="30"/>
          <w:szCs w:val="30"/>
          <w:highlight w:val="none"/>
        </w:rPr>
      </w:pPr>
    </w:p>
    <w:p w14:paraId="79E23193">
      <w:pPr>
        <w:pStyle w:val="2"/>
        <w:rPr>
          <w:rFonts w:hint="eastAsia"/>
        </w:rPr>
      </w:pPr>
    </w:p>
    <w:p w14:paraId="5B0DAE1D">
      <w:pPr>
        <w:pStyle w:val="2"/>
        <w:rPr>
          <w:rFonts w:hint="eastAsia" w:ascii="仿宋_GB2312" w:hAnsi="仿宋_GB2312" w:eastAsia="仿宋_GB2312" w:cs="仿宋_GB2312"/>
          <w:color w:val="auto"/>
          <w:sz w:val="30"/>
          <w:szCs w:val="30"/>
          <w:highlight w:val="none"/>
        </w:rPr>
      </w:pPr>
    </w:p>
    <w:p w14:paraId="6DF9D020">
      <w:pPr>
        <w:rPr>
          <w:rFonts w:hint="eastAsia"/>
        </w:rPr>
      </w:pPr>
    </w:p>
    <w:p w14:paraId="2CCC11E8">
      <w:pPr>
        <w:adjustRightInd w:val="0"/>
        <w:snapToGrid w:val="0"/>
        <w:spacing w:line="600" w:lineRule="exact"/>
        <w:jc w:val="center"/>
        <w:rPr>
          <w:rFonts w:hint="eastAsia" w:ascii="仿宋_GB2312" w:hAnsi="仿宋_GB2312" w:eastAsia="仿宋_GB2312" w:cs="仿宋_GB2312"/>
          <w:color w:val="auto"/>
          <w:sz w:val="30"/>
          <w:szCs w:val="30"/>
          <w:highlight w:val="none"/>
          <w:shd w:val="clear" w:color="auto" w:fill="FFFFFF"/>
          <w:lang w:eastAsia="zh-CN"/>
        </w:rPr>
      </w:pPr>
      <w:r>
        <w:rPr>
          <w:rFonts w:hint="eastAsia" w:ascii="仿宋_GB2312" w:hAnsi="仿宋_GB2312" w:eastAsia="仿宋_GB2312" w:cs="仿宋_GB2312"/>
          <w:color w:val="auto"/>
          <w:sz w:val="30"/>
          <w:szCs w:val="30"/>
          <w:highlight w:val="none"/>
          <w:shd w:val="clear" w:color="auto" w:fill="FFFFFF"/>
          <w:lang w:eastAsia="zh-CN"/>
        </w:rPr>
        <w:t>浙江国际海运职业技术学院</w:t>
      </w:r>
    </w:p>
    <w:p w14:paraId="73ED9935">
      <w:pPr>
        <w:adjustRightInd w:val="0"/>
        <w:snapToGrid w:val="0"/>
        <w:spacing w:line="600" w:lineRule="exact"/>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舟山市公共资源交易中心</w:t>
      </w:r>
    </w:p>
    <w:p w14:paraId="5044E24E">
      <w:pPr>
        <w:adjustRightInd w:val="0"/>
        <w:snapToGrid w:val="0"/>
        <w:spacing w:line="600" w:lineRule="exact"/>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202</w:t>
      </w:r>
      <w:r>
        <w:rPr>
          <w:rFonts w:hint="eastAsia" w:ascii="仿宋_GB2312" w:hAnsi="仿宋_GB2312" w:eastAsia="仿宋_GB2312" w:cs="仿宋_GB2312"/>
          <w:color w:val="auto"/>
          <w:sz w:val="30"/>
          <w:szCs w:val="30"/>
          <w:highlight w:val="none"/>
          <w:lang w:val="en-US" w:eastAsia="zh-CN"/>
        </w:rPr>
        <w:t>6</w:t>
      </w:r>
      <w:r>
        <w:rPr>
          <w:rFonts w:hint="eastAsia" w:ascii="仿宋_GB2312" w:hAnsi="仿宋_GB2312" w:eastAsia="仿宋_GB2312" w:cs="仿宋_GB2312"/>
          <w:color w:val="auto"/>
          <w:sz w:val="30"/>
          <w:szCs w:val="30"/>
          <w:highlight w:val="none"/>
        </w:rPr>
        <w:t>年</w:t>
      </w:r>
      <w:r>
        <w:rPr>
          <w:rFonts w:hint="eastAsia" w:ascii="仿宋_GB2312" w:hAnsi="仿宋_GB2312" w:eastAsia="仿宋_GB2312" w:cs="仿宋_GB2312"/>
          <w:color w:val="auto"/>
          <w:sz w:val="30"/>
          <w:szCs w:val="30"/>
          <w:highlight w:val="none"/>
          <w:lang w:val="en-US" w:eastAsia="zh-CN"/>
        </w:rPr>
        <w:t>7</w:t>
      </w:r>
      <w:r>
        <w:rPr>
          <w:rFonts w:hint="eastAsia" w:ascii="仿宋_GB2312" w:hAnsi="仿宋_GB2312" w:eastAsia="仿宋_GB2312" w:cs="仿宋_GB2312"/>
          <w:color w:val="auto"/>
          <w:sz w:val="30"/>
          <w:szCs w:val="30"/>
          <w:highlight w:val="none"/>
        </w:rPr>
        <w:t>月</w:t>
      </w:r>
    </w:p>
    <w:p w14:paraId="610C506B">
      <w:pPr>
        <w:adjustRightInd w:val="0"/>
        <w:snapToGrid w:val="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br w:type="page"/>
      </w:r>
      <w:bookmarkStart w:id="0" w:name="_Hlt67893495"/>
      <w:bookmarkEnd w:id="0"/>
    </w:p>
    <w:p w14:paraId="75655FF8">
      <w:pPr>
        <w:rPr>
          <w:rFonts w:hint="eastAsia" w:ascii="仿宋_GB2312" w:hAnsi="仿宋_GB2312" w:eastAsia="仿宋_GB2312" w:cs="仿宋_GB2312"/>
          <w:color w:val="auto"/>
          <w:sz w:val="24"/>
          <w:szCs w:val="24"/>
          <w:highlight w:val="none"/>
        </w:rPr>
      </w:pPr>
    </w:p>
    <w:p w14:paraId="3D8941A6">
      <w:pPr>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目录</w:t>
      </w:r>
    </w:p>
    <w:p w14:paraId="51685C03">
      <w:pPr>
        <w:rPr>
          <w:rFonts w:hint="eastAsia" w:ascii="仿宋_GB2312" w:hAnsi="仿宋_GB2312" w:eastAsia="仿宋_GB2312" w:cs="仿宋_GB2312"/>
          <w:color w:val="auto"/>
          <w:sz w:val="28"/>
          <w:szCs w:val="28"/>
          <w:highlight w:val="none"/>
        </w:rPr>
      </w:pPr>
    </w:p>
    <w:p w14:paraId="78C47055">
      <w:pPr>
        <w:spacing w:line="360" w:lineRule="auto"/>
        <w:rPr>
          <w:rFonts w:hint="eastAsia" w:ascii="仿宋_GB2312" w:hAnsi="仿宋_GB2312" w:eastAsia="仿宋_GB2312" w:cs="仿宋_GB2312"/>
          <w:color w:val="auto"/>
          <w:sz w:val="28"/>
          <w:szCs w:val="28"/>
          <w:highlight w:val="none"/>
        </w:rPr>
      </w:pPr>
    </w:p>
    <w:p w14:paraId="6FC3308B">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第一部分  招标公告</w:t>
      </w:r>
    </w:p>
    <w:p w14:paraId="5360698B">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第二部分  投标人须知</w:t>
      </w:r>
    </w:p>
    <w:p w14:paraId="0BCEDDD9">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第三部分  采购需求</w:t>
      </w:r>
    </w:p>
    <w:p w14:paraId="1FDB34C6">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第四部分  评标办法</w:t>
      </w:r>
    </w:p>
    <w:p w14:paraId="29E75C45">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第五部分  拟签订的合同文本</w:t>
      </w:r>
    </w:p>
    <w:p w14:paraId="04F1C5BF">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第六部分  应提交的有关格式范例</w:t>
      </w:r>
    </w:p>
    <w:p w14:paraId="340C22C2">
      <w:pPr>
        <w:rPr>
          <w:rFonts w:hint="eastAsia" w:ascii="仿宋_GB2312" w:hAnsi="仿宋_GB2312" w:eastAsia="仿宋_GB2312" w:cs="仿宋_GB2312"/>
          <w:color w:val="auto"/>
          <w:sz w:val="24"/>
          <w:szCs w:val="24"/>
          <w:highlight w:val="none"/>
        </w:rPr>
      </w:pPr>
      <w:bookmarkStart w:id="1" w:name="_Hlt91233176"/>
      <w:bookmarkEnd w:id="1"/>
      <w:bookmarkStart w:id="2" w:name="_Toc91899869"/>
    </w:p>
    <w:p w14:paraId="53B23B6B">
      <w:pPr>
        <w:rPr>
          <w:rFonts w:hint="eastAsia" w:ascii="仿宋_GB2312" w:hAnsi="仿宋_GB2312" w:eastAsia="仿宋_GB2312" w:cs="仿宋_GB2312"/>
          <w:color w:val="auto"/>
          <w:sz w:val="24"/>
          <w:szCs w:val="24"/>
          <w:highlight w:val="none"/>
        </w:rPr>
      </w:pPr>
    </w:p>
    <w:p w14:paraId="20D3BD02">
      <w:pPr>
        <w:rPr>
          <w:rFonts w:hint="eastAsia" w:ascii="仿宋_GB2312" w:hAnsi="仿宋_GB2312" w:eastAsia="仿宋_GB2312" w:cs="仿宋_GB2312"/>
          <w:color w:val="auto"/>
          <w:sz w:val="24"/>
          <w:szCs w:val="24"/>
          <w:highlight w:val="none"/>
        </w:rPr>
      </w:pPr>
    </w:p>
    <w:p w14:paraId="403973B1">
      <w:pPr>
        <w:rPr>
          <w:rFonts w:hint="eastAsia" w:ascii="仿宋_GB2312" w:hAnsi="仿宋_GB2312" w:eastAsia="仿宋_GB2312" w:cs="仿宋_GB2312"/>
          <w:color w:val="auto"/>
          <w:sz w:val="24"/>
          <w:szCs w:val="24"/>
          <w:highlight w:val="none"/>
        </w:rPr>
      </w:pPr>
    </w:p>
    <w:p w14:paraId="0B0BE0B7">
      <w:pPr>
        <w:rPr>
          <w:rFonts w:hint="eastAsia" w:ascii="仿宋_GB2312" w:hAnsi="仿宋_GB2312" w:eastAsia="仿宋_GB2312" w:cs="仿宋_GB2312"/>
          <w:color w:val="auto"/>
          <w:sz w:val="24"/>
          <w:szCs w:val="24"/>
          <w:highlight w:val="none"/>
        </w:rPr>
      </w:pPr>
    </w:p>
    <w:p w14:paraId="7F89B330">
      <w:pPr>
        <w:rPr>
          <w:rFonts w:hint="eastAsia" w:ascii="仿宋_GB2312" w:hAnsi="仿宋_GB2312" w:eastAsia="仿宋_GB2312" w:cs="仿宋_GB2312"/>
          <w:color w:val="auto"/>
          <w:sz w:val="24"/>
          <w:szCs w:val="24"/>
          <w:highlight w:val="none"/>
        </w:rPr>
      </w:pPr>
    </w:p>
    <w:p w14:paraId="615751F1">
      <w:pPr>
        <w:rPr>
          <w:rFonts w:hint="eastAsia" w:ascii="仿宋_GB2312" w:hAnsi="仿宋_GB2312" w:eastAsia="仿宋_GB2312" w:cs="仿宋_GB2312"/>
          <w:color w:val="auto"/>
          <w:sz w:val="24"/>
          <w:szCs w:val="24"/>
          <w:highlight w:val="none"/>
        </w:rPr>
      </w:pPr>
    </w:p>
    <w:p w14:paraId="0804D5A0">
      <w:pPr>
        <w:rPr>
          <w:rFonts w:hint="eastAsia" w:ascii="仿宋_GB2312" w:hAnsi="仿宋_GB2312" w:eastAsia="仿宋_GB2312" w:cs="仿宋_GB2312"/>
          <w:color w:val="auto"/>
          <w:sz w:val="24"/>
          <w:szCs w:val="24"/>
          <w:highlight w:val="none"/>
        </w:rPr>
      </w:pPr>
    </w:p>
    <w:p w14:paraId="6D1A43B2">
      <w:pPr>
        <w:rPr>
          <w:rFonts w:hint="eastAsia" w:ascii="仿宋_GB2312" w:hAnsi="仿宋_GB2312" w:eastAsia="仿宋_GB2312" w:cs="仿宋_GB2312"/>
          <w:color w:val="auto"/>
          <w:sz w:val="24"/>
          <w:szCs w:val="24"/>
          <w:highlight w:val="none"/>
        </w:rPr>
      </w:pPr>
    </w:p>
    <w:p w14:paraId="42B08938">
      <w:pPr>
        <w:rPr>
          <w:rFonts w:hint="eastAsia" w:ascii="仿宋_GB2312" w:hAnsi="仿宋_GB2312" w:eastAsia="仿宋_GB2312" w:cs="仿宋_GB2312"/>
          <w:color w:val="auto"/>
          <w:sz w:val="24"/>
          <w:szCs w:val="24"/>
          <w:highlight w:val="none"/>
        </w:rPr>
      </w:pPr>
    </w:p>
    <w:p w14:paraId="684737AD">
      <w:pPr>
        <w:rPr>
          <w:rFonts w:hint="eastAsia" w:ascii="仿宋_GB2312" w:hAnsi="仿宋_GB2312" w:eastAsia="仿宋_GB2312" w:cs="仿宋_GB2312"/>
          <w:color w:val="auto"/>
          <w:sz w:val="24"/>
          <w:szCs w:val="24"/>
          <w:highlight w:val="none"/>
        </w:rPr>
      </w:pPr>
    </w:p>
    <w:p w14:paraId="79395AD9">
      <w:pPr>
        <w:rPr>
          <w:rFonts w:hint="eastAsia" w:ascii="仿宋_GB2312" w:hAnsi="仿宋_GB2312" w:eastAsia="仿宋_GB2312" w:cs="仿宋_GB2312"/>
          <w:color w:val="auto"/>
          <w:sz w:val="24"/>
          <w:szCs w:val="24"/>
          <w:highlight w:val="none"/>
        </w:rPr>
      </w:pPr>
    </w:p>
    <w:p w14:paraId="7182BA6D">
      <w:pPr>
        <w:rPr>
          <w:rFonts w:hint="eastAsia" w:ascii="仿宋_GB2312" w:hAnsi="仿宋_GB2312" w:eastAsia="仿宋_GB2312" w:cs="仿宋_GB2312"/>
          <w:color w:val="auto"/>
          <w:sz w:val="24"/>
          <w:szCs w:val="24"/>
          <w:highlight w:val="none"/>
        </w:rPr>
      </w:pPr>
    </w:p>
    <w:p w14:paraId="7D039DFE">
      <w:pPr>
        <w:rPr>
          <w:rFonts w:hint="eastAsia" w:ascii="仿宋_GB2312" w:hAnsi="仿宋_GB2312" w:eastAsia="仿宋_GB2312" w:cs="仿宋_GB2312"/>
          <w:color w:val="auto"/>
          <w:sz w:val="24"/>
          <w:szCs w:val="24"/>
          <w:highlight w:val="none"/>
        </w:rPr>
      </w:pPr>
    </w:p>
    <w:p w14:paraId="7FE9D312">
      <w:pPr>
        <w:ind w:firstLine="3360" w:firstLineChars="1400"/>
        <w:outlineLvl w:val="0"/>
        <w:rPr>
          <w:rFonts w:hint="eastAsia" w:ascii="仿宋_GB2312" w:hAnsi="仿宋_GB2312" w:eastAsia="仿宋_GB2312" w:cs="仿宋_GB2312"/>
          <w:b/>
          <w:color w:val="auto"/>
          <w:sz w:val="28"/>
          <w:szCs w:val="28"/>
          <w:highlight w:val="none"/>
        </w:rPr>
      </w:pPr>
      <w:bookmarkStart w:id="3" w:name="第一部分"/>
      <w:r>
        <w:rPr>
          <w:rFonts w:hint="eastAsia" w:ascii="仿宋_GB2312" w:hAnsi="仿宋_GB2312" w:eastAsia="仿宋_GB2312" w:cs="仿宋_GB2312"/>
          <w:color w:val="auto"/>
          <w:sz w:val="24"/>
          <w:szCs w:val="24"/>
          <w:highlight w:val="none"/>
        </w:rPr>
        <w:br w:type="page"/>
      </w:r>
      <w:bookmarkEnd w:id="2"/>
      <w:bookmarkEnd w:id="3"/>
      <w:bookmarkStart w:id="4" w:name="_Hlt74728647"/>
      <w:bookmarkEnd w:id="4"/>
      <w:bookmarkStart w:id="5" w:name="_Hlt74707423"/>
      <w:bookmarkEnd w:id="5"/>
      <w:bookmarkStart w:id="6" w:name="_Hlt74649545"/>
      <w:bookmarkEnd w:id="6"/>
      <w:bookmarkStart w:id="7" w:name="_Hlt74729822"/>
      <w:bookmarkEnd w:id="7"/>
      <w:bookmarkStart w:id="8" w:name="第二部分"/>
      <w:bookmarkStart w:id="9" w:name="_Toc91899870"/>
      <w:bookmarkStart w:id="10" w:name="_Toc91899871"/>
      <w:r>
        <w:rPr>
          <w:rFonts w:hint="eastAsia" w:ascii="仿宋_GB2312" w:hAnsi="仿宋_GB2312" w:eastAsia="仿宋_GB2312" w:cs="仿宋_GB2312"/>
          <w:color w:val="auto"/>
          <w:sz w:val="32"/>
          <w:szCs w:val="32"/>
          <w:highlight w:val="none"/>
        </w:rPr>
        <w:t>第一部分</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招标公告</w:t>
      </w:r>
    </w:p>
    <w:p w14:paraId="49414DAA">
      <w:pPr>
        <w:spacing w:line="420" w:lineRule="exact"/>
        <w:ind w:firstLine="482" w:firstLineChars="200"/>
        <w:contextualSpacing/>
        <w:rPr>
          <w:rFonts w:hint="eastAsia" w:ascii="仿宋_GB2312" w:hAnsi="仿宋_GB2312" w:eastAsia="仿宋_GB2312" w:cs="仿宋_GB2312"/>
          <w:b/>
          <w:color w:val="auto"/>
          <w:sz w:val="24"/>
          <w:szCs w:val="24"/>
          <w:highlight w:val="none"/>
        </w:rPr>
      </w:pPr>
    </w:p>
    <w:p w14:paraId="4786178F">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Cs/>
          <w:color w:val="000000" w:themeColor="text1"/>
          <w:sz w:val="24"/>
          <w:szCs w:val="24"/>
          <w:highlight w:val="none"/>
          <w:lang w:eastAsia="zh-CN"/>
          <w14:textFill>
            <w14:solidFill>
              <w14:schemeClr w14:val="tx1"/>
            </w14:solidFill>
          </w14:textFill>
        </w:rPr>
        <w:t>浙江国际海运职业技术学院办公电脑采购项目</w:t>
      </w:r>
      <w:r>
        <w:rPr>
          <w:rFonts w:hint="eastAsia" w:ascii="仿宋_GB2312" w:hAnsi="仿宋_GB2312" w:eastAsia="仿宋_GB2312" w:cs="仿宋_GB2312"/>
          <w:color w:val="auto"/>
          <w:sz w:val="24"/>
          <w:szCs w:val="24"/>
          <w:highlight w:val="none"/>
        </w:rPr>
        <w:t>的潜在投标人应在政采云平台</w:t>
      </w: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b w:val="0"/>
          <w:bCs w:val="0"/>
          <w:color w:val="auto"/>
          <w:highlight w:val="none"/>
        </w:rPr>
        <w:fldChar w:fldCharType="begin"/>
      </w:r>
      <w:r>
        <w:rPr>
          <w:rFonts w:hint="eastAsia" w:ascii="仿宋_GB2312" w:hAnsi="仿宋_GB2312" w:eastAsia="仿宋_GB2312" w:cs="仿宋_GB2312"/>
          <w:b w:val="0"/>
          <w:bCs w:val="0"/>
          <w:color w:val="auto"/>
          <w:highlight w:val="none"/>
        </w:rPr>
        <w:instrText xml:space="preserve"> HYPERLINK "https://www.zcygov.cn/）获取（下载）招标文件，并于2024年8月9日9点%2015分00秒" </w:instrText>
      </w:r>
      <w:r>
        <w:rPr>
          <w:rFonts w:hint="eastAsia" w:ascii="仿宋_GB2312" w:hAnsi="仿宋_GB2312" w:eastAsia="仿宋_GB2312" w:cs="仿宋_GB2312"/>
          <w:b w:val="0"/>
          <w:bCs w:val="0"/>
          <w:color w:val="auto"/>
          <w:highlight w:val="none"/>
        </w:rPr>
        <w:fldChar w:fldCharType="separate"/>
      </w:r>
      <w:r>
        <w:rPr>
          <w:rStyle w:val="32"/>
          <w:rFonts w:hint="eastAsia" w:ascii="仿宋_GB2312" w:hAnsi="仿宋_GB2312" w:eastAsia="仿宋_GB2312" w:cs="仿宋_GB2312"/>
          <w:b w:val="0"/>
          <w:bCs w:val="0"/>
          <w:color w:val="auto"/>
          <w:sz w:val="24"/>
          <w:szCs w:val="24"/>
          <w:highlight w:val="none"/>
        </w:rPr>
        <w:t>https://www.zcygov.cn/）获取（下载）招标文件，并于202</w:t>
      </w:r>
      <w:r>
        <w:rPr>
          <w:rStyle w:val="32"/>
          <w:rFonts w:hint="eastAsia" w:ascii="仿宋_GB2312" w:hAnsi="仿宋_GB2312" w:eastAsia="仿宋_GB2312" w:cs="仿宋_GB2312"/>
          <w:b w:val="0"/>
          <w:bCs w:val="0"/>
          <w:color w:val="auto"/>
          <w:sz w:val="24"/>
          <w:szCs w:val="24"/>
          <w:highlight w:val="none"/>
          <w:lang w:val="en-US" w:eastAsia="zh-CN"/>
        </w:rPr>
        <w:t>6</w:t>
      </w:r>
      <w:r>
        <w:rPr>
          <w:rStyle w:val="32"/>
          <w:rFonts w:hint="eastAsia" w:ascii="仿宋_GB2312" w:hAnsi="仿宋_GB2312" w:eastAsia="仿宋_GB2312" w:cs="仿宋_GB2312"/>
          <w:b w:val="0"/>
          <w:bCs w:val="0"/>
          <w:color w:val="auto"/>
          <w:sz w:val="24"/>
          <w:szCs w:val="24"/>
          <w:highlight w:val="none"/>
        </w:rPr>
        <w:t>年</w:t>
      </w:r>
      <w:r>
        <w:rPr>
          <w:rStyle w:val="32"/>
          <w:rFonts w:hint="eastAsia" w:ascii="仿宋_GB2312" w:hAnsi="仿宋_GB2312" w:eastAsia="仿宋_GB2312" w:cs="仿宋_GB2312"/>
          <w:b w:val="0"/>
          <w:bCs w:val="0"/>
          <w:color w:val="auto"/>
          <w:sz w:val="24"/>
          <w:szCs w:val="24"/>
          <w:highlight w:val="none"/>
          <w:lang w:val="en-US" w:eastAsia="zh-CN"/>
        </w:rPr>
        <w:t>7</w:t>
      </w:r>
      <w:r>
        <w:rPr>
          <w:rStyle w:val="32"/>
          <w:rFonts w:hint="eastAsia" w:ascii="仿宋_GB2312" w:hAnsi="仿宋_GB2312" w:eastAsia="仿宋_GB2312" w:cs="仿宋_GB2312"/>
          <w:b w:val="0"/>
          <w:bCs w:val="0"/>
          <w:color w:val="auto"/>
          <w:sz w:val="24"/>
          <w:szCs w:val="24"/>
          <w:highlight w:val="none"/>
        </w:rPr>
        <w:t>月</w:t>
      </w:r>
      <w:r>
        <w:rPr>
          <w:rStyle w:val="32"/>
          <w:rFonts w:hint="eastAsia" w:ascii="仿宋_GB2312" w:hAnsi="仿宋_GB2312" w:eastAsia="仿宋_GB2312" w:cs="仿宋_GB2312"/>
          <w:b w:val="0"/>
          <w:bCs w:val="0"/>
          <w:color w:val="auto"/>
          <w:sz w:val="24"/>
          <w:szCs w:val="24"/>
          <w:highlight w:val="none"/>
          <w:lang w:val="en-US" w:eastAsia="zh-CN"/>
        </w:rPr>
        <w:t>31</w:t>
      </w:r>
      <w:r>
        <w:rPr>
          <w:rStyle w:val="32"/>
          <w:rFonts w:hint="eastAsia" w:ascii="仿宋_GB2312" w:hAnsi="仿宋_GB2312" w:eastAsia="仿宋_GB2312" w:cs="仿宋_GB2312"/>
          <w:b w:val="0"/>
          <w:bCs w:val="0"/>
          <w:color w:val="auto"/>
          <w:sz w:val="24"/>
          <w:szCs w:val="24"/>
          <w:highlight w:val="none"/>
        </w:rPr>
        <w:t>日9点 15分00秒</w:t>
      </w:r>
      <w:r>
        <w:rPr>
          <w:rStyle w:val="32"/>
          <w:rFonts w:hint="eastAsia" w:ascii="仿宋_GB2312" w:hAnsi="仿宋_GB2312" w:eastAsia="仿宋_GB2312" w:cs="仿宋_GB2312"/>
          <w:b w:val="0"/>
          <w:bCs w:val="0"/>
          <w:color w:val="auto"/>
          <w:sz w:val="24"/>
          <w:szCs w:val="24"/>
          <w:highlight w:val="none"/>
        </w:rPr>
        <w:fldChar w:fldCharType="end"/>
      </w:r>
      <w:r>
        <w:rPr>
          <w:rFonts w:hint="eastAsia" w:ascii="仿宋_GB2312" w:hAnsi="仿宋_GB2312" w:eastAsia="仿宋_GB2312" w:cs="仿宋_GB2312"/>
          <w:color w:val="auto"/>
          <w:sz w:val="24"/>
          <w:szCs w:val="24"/>
          <w:highlight w:val="none"/>
        </w:rPr>
        <w:t>（北京时间）前递交（上传）投标文件。</w:t>
      </w:r>
    </w:p>
    <w:p w14:paraId="2846568A">
      <w:pPr>
        <w:spacing w:line="420" w:lineRule="exact"/>
        <w:ind w:firstLine="482" w:firstLineChars="200"/>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一、项目基本情况</w:t>
      </w:r>
    </w:p>
    <w:p w14:paraId="6D870FD6">
      <w:pPr>
        <w:spacing w:line="420" w:lineRule="exact"/>
        <w:ind w:firstLine="480" w:firstLineChars="200"/>
        <w:contextualSpacing/>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项目编号：</w:t>
      </w:r>
      <w:r>
        <w:rPr>
          <w:rFonts w:hint="eastAsia" w:ascii="仿宋_GB2312" w:hAnsi="仿宋_GB2312" w:eastAsia="仿宋_GB2312" w:cs="仿宋_GB2312"/>
          <w:color w:val="auto"/>
          <w:sz w:val="24"/>
          <w:szCs w:val="24"/>
          <w:highlight w:val="none"/>
          <w:lang w:eastAsia="zh-CN"/>
        </w:rPr>
        <w:t>ZSZFCG2026-ZB-0</w:t>
      </w:r>
      <w:r>
        <w:rPr>
          <w:rFonts w:hint="eastAsia" w:ascii="仿宋_GB2312" w:hAnsi="仿宋_GB2312" w:eastAsia="仿宋_GB2312" w:cs="仿宋_GB2312"/>
          <w:color w:val="auto"/>
          <w:sz w:val="24"/>
          <w:szCs w:val="24"/>
          <w:highlight w:val="none"/>
          <w:lang w:val="en-US" w:eastAsia="zh-CN"/>
        </w:rPr>
        <w:t>45</w:t>
      </w:r>
    </w:p>
    <w:p w14:paraId="6F2056AB">
      <w:pPr>
        <w:spacing w:line="420" w:lineRule="exact"/>
        <w:ind w:firstLine="480" w:firstLineChars="200"/>
        <w:contextualSpacing/>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bCs/>
          <w:color w:val="000000" w:themeColor="text1"/>
          <w:sz w:val="24"/>
          <w:szCs w:val="24"/>
          <w:highlight w:val="none"/>
          <w:lang w:eastAsia="zh-CN"/>
          <w14:textFill>
            <w14:solidFill>
              <w14:schemeClr w14:val="tx1"/>
            </w14:solidFill>
          </w14:textFill>
        </w:rPr>
        <w:t>浙江国际海运职业技术学院办公电脑采购项目</w:t>
      </w:r>
    </w:p>
    <w:p w14:paraId="3944203E">
      <w:pPr>
        <w:spacing w:line="420" w:lineRule="exact"/>
        <w:ind w:firstLine="480" w:firstLineChars="200"/>
        <w:contextualSpacing/>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lang w:eastAsia="zh-CN"/>
        </w:rPr>
        <w:t>预算金额（元）:</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500800</w:t>
      </w:r>
    </w:p>
    <w:p w14:paraId="40B28A04">
      <w:pPr>
        <w:spacing w:line="420" w:lineRule="exact"/>
        <w:ind w:firstLine="480" w:firstLineChars="200"/>
        <w:contextualSpacing/>
        <w:rPr>
          <w:rFonts w:hint="default" w:ascii="仿宋_GB2312" w:hAnsi="仿宋_GB2312" w:eastAsia="宋体" w:cs="仿宋_GB2312"/>
          <w:bCs/>
          <w:color w:val="auto"/>
          <w:sz w:val="24"/>
          <w:szCs w:val="24"/>
          <w:highlight w:val="yellow"/>
          <w:lang w:val="en-US" w:eastAsia="zh-CN"/>
        </w:rPr>
      </w:pPr>
      <w:r>
        <w:rPr>
          <w:rFonts w:hint="eastAsia" w:ascii="仿宋_GB2312" w:hAnsi="仿宋_GB2312" w:eastAsia="仿宋_GB2312" w:cs="仿宋_GB2312"/>
          <w:bCs/>
          <w:color w:val="auto"/>
          <w:sz w:val="24"/>
          <w:szCs w:val="24"/>
          <w:highlight w:val="none"/>
          <w:lang w:eastAsia="zh-CN"/>
        </w:rPr>
        <w:t>最高限价（元）:</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500800</w:t>
      </w:r>
    </w:p>
    <w:p w14:paraId="69DD81EB">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采购需求：详见招标文件第三部分采购需求</w:t>
      </w:r>
    </w:p>
    <w:p w14:paraId="562C1B4A">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合同履约期限：详见采购文件</w:t>
      </w:r>
    </w:p>
    <w:p w14:paraId="3240C753">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本项目接受联合体投标：</w:t>
      </w:r>
      <w:r>
        <w:rPr>
          <w:rFonts w:hint="eastAsia" w:ascii="仿宋_GB2312" w:hAnsi="仿宋_GB2312" w:eastAsia="仿宋_GB2312" w:cs="仿宋_GB2312"/>
          <w:color w:val="auto"/>
          <w:sz w:val="24"/>
          <w:szCs w:val="24"/>
          <w:highlight w:val="none"/>
        </w:rPr>
        <w:sym w:font="Wingdings" w:char="00A8"/>
      </w:r>
      <w:r>
        <w:rPr>
          <w:rFonts w:hint="eastAsia" w:ascii="仿宋_GB2312" w:hAnsi="仿宋_GB2312" w:eastAsia="仿宋_GB2312" w:cs="仿宋_GB2312"/>
          <w:color w:val="auto"/>
          <w:sz w:val="24"/>
          <w:szCs w:val="24"/>
          <w:highlight w:val="none"/>
        </w:rPr>
        <w:t>否</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是</w:t>
      </w:r>
    </w:p>
    <w:p w14:paraId="15E0F83D">
      <w:pPr>
        <w:spacing w:line="420" w:lineRule="exact"/>
        <w:ind w:firstLine="482" w:firstLineChars="200"/>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二、申请人的资格要求：</w:t>
      </w:r>
    </w:p>
    <w:p w14:paraId="1971A311">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 满足《中华人民共和国政府采购法》第二十二条规定；未被“信用中国”（www.creditchina.gov.cn)、中国政府采购网（www.ccgp.gov.cn）列入失信被执行人、重大税收违法失信主体、政府采购严重违法失信行为记录名单；</w:t>
      </w:r>
    </w:p>
    <w:p w14:paraId="7D03AE52">
      <w:pPr>
        <w:spacing w:line="420" w:lineRule="exact"/>
        <w:ind w:firstLine="552"/>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2.落实政府采购政策需满足的资格要求：</w:t>
      </w:r>
    </w:p>
    <w:p w14:paraId="7E616C91">
      <w:pPr>
        <w:spacing w:line="420" w:lineRule="exact"/>
        <w:ind w:firstLine="42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auto"/>
          <w:sz w:val="24"/>
          <w:szCs w:val="24"/>
          <w:highlight w:val="none"/>
        </w:rPr>
        <w:t>无</w:t>
      </w:r>
    </w:p>
    <w:p w14:paraId="065B45EA">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☐专门面向中小企业</w:t>
      </w:r>
    </w:p>
    <w:p w14:paraId="4F185972">
      <w:pPr>
        <w:spacing w:line="420" w:lineRule="exact"/>
        <w:ind w:firstLine="960" w:firstLineChars="4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☐货物全部由符合政策要求的中小企业制造，提供中小企业声明函；</w:t>
      </w:r>
    </w:p>
    <w:p w14:paraId="0BF666C5">
      <w:pPr>
        <w:spacing w:line="420" w:lineRule="exact"/>
        <w:ind w:firstLine="960" w:firstLineChars="4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☐货物全部由符合政策要求的小微企业制造，提供中小企业声明函；</w:t>
      </w:r>
    </w:p>
    <w:p w14:paraId="6B1EFBEF">
      <w:pPr>
        <w:spacing w:line="420" w:lineRule="exact"/>
        <w:ind w:firstLine="960" w:firstLineChars="4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☐服务全部由符合政策要求的中小企业承接，提供中小企业声明函；</w:t>
      </w:r>
    </w:p>
    <w:p w14:paraId="4E9739FB">
      <w:pPr>
        <w:spacing w:line="420" w:lineRule="exact"/>
        <w:ind w:firstLine="960" w:firstLineChars="4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☐服务全部由符合政策要求的小微企业承接，提供中小企业声明函；</w:t>
      </w:r>
    </w:p>
    <w:p w14:paraId="53811736">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☐要求以联合体形式参加，提供联合协议和中小企业声明函，联合协议中中小企业合同金额应当</w:t>
      </w:r>
      <w:r>
        <w:rPr>
          <w:rFonts w:hint="eastAsia" w:ascii="仿宋_GB2312" w:hAnsi="仿宋_GB2312" w:eastAsia="仿宋_GB2312" w:cs="仿宋_GB2312"/>
          <w:color w:val="auto"/>
          <w:sz w:val="24"/>
          <w:szCs w:val="24"/>
          <w:highlight w:val="none"/>
          <w:lang w:eastAsia="zh-CN"/>
        </w:rPr>
        <w:t>达到合同总金额的</w:t>
      </w:r>
      <w:r>
        <w:rPr>
          <w:rFonts w:hint="eastAsia" w:ascii="仿宋_GB2312" w:hAnsi="仿宋_GB2312" w:eastAsia="仿宋_GB2312" w:cs="仿宋_GB2312"/>
          <w:color w:val="auto"/>
          <w:sz w:val="24"/>
          <w:szCs w:val="24"/>
          <w:highlight w:val="none"/>
          <w:lang w:val="en-US" w:eastAsia="zh-CN"/>
        </w:rPr>
        <w:t>40%</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其中，</w:t>
      </w:r>
      <w:r>
        <w:rPr>
          <w:rFonts w:hint="eastAsia" w:ascii="仿宋_GB2312" w:hAnsi="仿宋_GB2312" w:eastAsia="仿宋_GB2312" w:cs="仿宋_GB2312"/>
          <w:color w:val="auto"/>
          <w:sz w:val="24"/>
          <w:szCs w:val="24"/>
          <w:highlight w:val="none"/>
        </w:rPr>
        <w:t>小微企业合同金额应当</w:t>
      </w:r>
      <w:r>
        <w:rPr>
          <w:rFonts w:hint="eastAsia" w:ascii="仿宋_GB2312" w:hAnsi="仿宋_GB2312" w:eastAsia="仿宋_GB2312" w:cs="仿宋_GB2312"/>
          <w:color w:val="auto"/>
          <w:sz w:val="24"/>
          <w:szCs w:val="24"/>
          <w:highlight w:val="none"/>
          <w:lang w:eastAsia="zh-CN"/>
        </w:rPr>
        <w:t>达到合同总金额的</w:t>
      </w:r>
      <w:r>
        <w:rPr>
          <w:rFonts w:hint="eastAsia" w:ascii="仿宋_GB2312" w:hAnsi="仿宋_GB2312" w:eastAsia="仿宋_GB2312" w:cs="仿宋_GB2312"/>
          <w:color w:val="auto"/>
          <w:sz w:val="24"/>
          <w:szCs w:val="24"/>
          <w:highlight w:val="none"/>
          <w:lang w:val="en-US" w:eastAsia="zh-CN"/>
        </w:rPr>
        <w:t>70</w:t>
      </w:r>
      <w:r>
        <w:rPr>
          <w:rFonts w:hint="eastAsia" w:ascii="仿宋_GB2312" w:hAnsi="仿宋_GB2312" w:eastAsia="仿宋_GB2312" w:cs="仿宋_GB2312"/>
          <w:color w:val="auto"/>
          <w:sz w:val="24"/>
          <w:szCs w:val="24"/>
          <w:highlight w:val="none"/>
        </w:rPr>
        <w:t>%;如果供应商本身提供所有标的均由中小企业制造，视同符合了资格条件，无需再与其他中小企业组成联合体参加政府采购活动，无需提供联合协议；</w:t>
      </w:r>
    </w:p>
    <w:p w14:paraId="0ECF01DC">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☐要求合同分包，提供分包意向协议和中小企业声明函，分包意向协议中中小企业合同份额应当</w:t>
      </w:r>
      <w:r>
        <w:rPr>
          <w:rFonts w:hint="eastAsia" w:ascii="仿宋_GB2312" w:hAnsi="仿宋_GB2312" w:eastAsia="仿宋_GB2312" w:cs="仿宋_GB2312"/>
          <w:color w:val="auto"/>
          <w:sz w:val="24"/>
          <w:szCs w:val="24"/>
          <w:highlight w:val="none"/>
          <w:lang w:eastAsia="zh-CN"/>
        </w:rPr>
        <w:t>达到合同总金额的</w:t>
      </w:r>
      <w:r>
        <w:rPr>
          <w:rFonts w:hint="eastAsia" w:ascii="仿宋_GB2312" w:hAnsi="仿宋_GB2312" w:eastAsia="仿宋_GB2312" w:cs="仿宋_GB2312"/>
          <w:color w:val="auto"/>
          <w:sz w:val="24"/>
          <w:szCs w:val="24"/>
          <w:highlight w:val="none"/>
          <w:lang w:val="en-US" w:eastAsia="zh-CN"/>
        </w:rPr>
        <w:t>40</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其中，</w:t>
      </w:r>
      <w:r>
        <w:rPr>
          <w:rFonts w:hint="eastAsia" w:ascii="仿宋_GB2312" w:hAnsi="仿宋_GB2312" w:eastAsia="仿宋_GB2312" w:cs="仿宋_GB2312"/>
          <w:color w:val="auto"/>
          <w:sz w:val="24"/>
          <w:szCs w:val="24"/>
          <w:highlight w:val="none"/>
        </w:rPr>
        <w:t>小微企业合同金额应当</w:t>
      </w:r>
      <w:r>
        <w:rPr>
          <w:rFonts w:hint="eastAsia" w:ascii="仿宋_GB2312" w:hAnsi="仿宋_GB2312" w:eastAsia="仿宋_GB2312" w:cs="仿宋_GB2312"/>
          <w:color w:val="auto"/>
          <w:sz w:val="24"/>
          <w:szCs w:val="24"/>
          <w:highlight w:val="none"/>
          <w:lang w:eastAsia="zh-CN"/>
        </w:rPr>
        <w:t>达到合同总金额的</w:t>
      </w:r>
      <w:r>
        <w:rPr>
          <w:rFonts w:hint="eastAsia" w:ascii="仿宋_GB2312" w:hAnsi="仿宋_GB2312" w:eastAsia="仿宋_GB2312" w:cs="仿宋_GB2312"/>
          <w:color w:val="auto"/>
          <w:sz w:val="24"/>
          <w:szCs w:val="24"/>
          <w:highlight w:val="none"/>
          <w:lang w:val="en-US" w:eastAsia="zh-CN"/>
        </w:rPr>
        <w:t>70</w:t>
      </w:r>
      <w:r>
        <w:rPr>
          <w:rFonts w:hint="eastAsia" w:ascii="仿宋_GB2312" w:hAnsi="仿宋_GB2312" w:eastAsia="仿宋_GB2312" w:cs="仿宋_GB2312"/>
          <w:color w:val="auto"/>
          <w:sz w:val="24"/>
          <w:szCs w:val="24"/>
          <w:highlight w:val="none"/>
        </w:rPr>
        <w:t>%;如果供应商本身提供所有标的均由中</w:t>
      </w:r>
      <w:r>
        <w:rPr>
          <w:rFonts w:hint="eastAsia" w:ascii="仿宋_GB2312" w:hAnsi="仿宋_GB2312" w:eastAsia="仿宋_GB2312" w:cs="仿宋_GB2312"/>
          <w:color w:val="auto"/>
          <w:sz w:val="24"/>
          <w:szCs w:val="24"/>
          <w:highlight w:val="none"/>
          <w:lang w:eastAsia="zh-CN"/>
        </w:rPr>
        <w:t>小</w:t>
      </w:r>
      <w:r>
        <w:rPr>
          <w:rFonts w:hint="eastAsia" w:ascii="仿宋_GB2312" w:hAnsi="仿宋_GB2312" w:eastAsia="仿宋_GB2312" w:cs="仿宋_GB2312"/>
          <w:color w:val="auto"/>
          <w:sz w:val="24"/>
          <w:szCs w:val="24"/>
          <w:highlight w:val="none"/>
        </w:rPr>
        <w:t>企业制造、承建或承接，视同符合了资格条件，无需再向中小微企业分包，无需提供分包意向协议；</w:t>
      </w:r>
    </w:p>
    <w:p w14:paraId="687D739D">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3.本项目的特定资格要求：无</w:t>
      </w:r>
    </w:p>
    <w:p w14:paraId="39AD4464">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65EC8FA1">
      <w:pPr>
        <w:spacing w:line="420" w:lineRule="exact"/>
        <w:ind w:firstLine="482" w:firstLineChars="200"/>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三、获取招标文件</w:t>
      </w:r>
    </w:p>
    <w:p w14:paraId="2EA70FBE">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时间：/至202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31</w:t>
      </w:r>
      <w:r>
        <w:rPr>
          <w:rFonts w:hint="eastAsia" w:ascii="仿宋_GB2312" w:hAnsi="仿宋_GB2312" w:eastAsia="仿宋_GB2312" w:cs="仿宋_GB2312"/>
          <w:color w:val="auto"/>
          <w:sz w:val="24"/>
          <w:szCs w:val="24"/>
          <w:highlight w:val="none"/>
        </w:rPr>
        <w:t>日，每天上午00:00至12:00 ，下午12:00至23:59（北京时间，线上获取法定节假日均可，线下获取文件法定节假日除外的工作时间）</w:t>
      </w:r>
    </w:p>
    <w:p w14:paraId="1AFF4BE1">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地点（网址）：政采云平台（https://www.zcygov.cn/）</w:t>
      </w:r>
    </w:p>
    <w:p w14:paraId="2574123B">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方式：供应商登录政采云平台https://www.zcygov.cn/在线申请获取采购文件（进入“项目采购”应用，在获取采购文件菜单中选择项目，申请获取采购文件）。</w:t>
      </w:r>
    </w:p>
    <w:p w14:paraId="323666E8">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售价（元）：0 </w:t>
      </w:r>
      <w:r>
        <w:rPr>
          <w:rFonts w:hint="eastAsia" w:ascii="仿宋_GB2312" w:hAnsi="仿宋_GB2312" w:eastAsia="仿宋_GB2312" w:cs="仿宋_GB2312"/>
          <w:color w:val="auto"/>
          <w:sz w:val="24"/>
          <w:szCs w:val="24"/>
          <w:highlight w:val="none"/>
        </w:rPr>
        <w:tab/>
      </w:r>
    </w:p>
    <w:p w14:paraId="75E68585">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四、提交投标文件截止时间、开标时间和地点</w:t>
      </w:r>
    </w:p>
    <w:p w14:paraId="7F6DD6FB">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提交投标文件截止时间：202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31</w:t>
      </w:r>
      <w:r>
        <w:rPr>
          <w:rFonts w:hint="eastAsia" w:ascii="仿宋_GB2312" w:hAnsi="仿宋_GB2312" w:eastAsia="仿宋_GB2312" w:cs="仿宋_GB2312"/>
          <w:color w:val="auto"/>
          <w:sz w:val="24"/>
          <w:szCs w:val="24"/>
          <w:highlight w:val="none"/>
        </w:rPr>
        <w:t>日9点15分 （北京时间）</w:t>
      </w:r>
    </w:p>
    <w:p w14:paraId="61BDD152">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投标地点（网址）：政采云平台（https://www.zcygov.cn/） </w:t>
      </w:r>
    </w:p>
    <w:p w14:paraId="0A1FDBEF">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开标时间：202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31</w:t>
      </w:r>
      <w:r>
        <w:rPr>
          <w:rFonts w:hint="eastAsia" w:ascii="仿宋_GB2312" w:hAnsi="仿宋_GB2312" w:eastAsia="仿宋_GB2312" w:cs="仿宋_GB2312"/>
          <w:color w:val="auto"/>
          <w:sz w:val="24"/>
          <w:szCs w:val="24"/>
          <w:highlight w:val="none"/>
        </w:rPr>
        <w:t xml:space="preserve">日9点15分 </w:t>
      </w:r>
    </w:p>
    <w:p w14:paraId="7B0BF0FC">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开标地点（网址）：政采云平台（https://www.zcygov.cn/）</w:t>
      </w:r>
    </w:p>
    <w:p w14:paraId="214A1AFF">
      <w:pPr>
        <w:spacing w:line="420" w:lineRule="exact"/>
        <w:ind w:firstLine="482" w:firstLineChars="200"/>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五、公告期限</w:t>
      </w:r>
    </w:p>
    <w:p w14:paraId="3F484546">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自本公告发布之日起5个工作日。</w:t>
      </w:r>
    </w:p>
    <w:p w14:paraId="71548EF5">
      <w:pPr>
        <w:spacing w:line="420" w:lineRule="exact"/>
        <w:ind w:firstLine="482"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六、其他补充事宜</w:t>
      </w:r>
    </w:p>
    <w:p w14:paraId="1071FFFF">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099CC57B">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5040834E">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74269482">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没有在电子交易平台传输递交投标文件的，投标无效；⑩具体操作指南：详见政采云平台“服务中心-帮助文档-项目采购-操作流程-电子招投标-政府采购项目电子交易管理操作指南-供应商”。</w:t>
      </w:r>
    </w:p>
    <w:p w14:paraId="47A35555">
      <w:pPr>
        <w:spacing w:line="420" w:lineRule="exact"/>
        <w:ind w:firstLine="602" w:firstLineChars="250"/>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七、对本次采购提出询问、质疑、投诉，请按以下方式联系</w:t>
      </w:r>
    </w:p>
    <w:p w14:paraId="13508FED">
      <w:pPr>
        <w:spacing w:line="360" w:lineRule="auto"/>
        <w:ind w:left="479" w:leftChars="228"/>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1.采购人信息</w:t>
      </w:r>
    </w:p>
    <w:p w14:paraId="6C908B2B">
      <w:pPr>
        <w:spacing w:line="360" w:lineRule="auto"/>
        <w:ind w:left="479" w:leftChars="228"/>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名称:</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浙江国际海运职业技术学院</w:t>
      </w:r>
    </w:p>
    <w:p w14:paraId="55695C50">
      <w:pPr>
        <w:spacing w:line="360" w:lineRule="auto"/>
        <w:ind w:left="479" w:leftChars="228"/>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地址:浙江省舟山市临城新区海天大道268号</w:t>
      </w:r>
    </w:p>
    <w:p w14:paraId="763BCEE5">
      <w:pPr>
        <w:spacing w:line="360" w:lineRule="auto"/>
        <w:ind w:left="479" w:leftChars="228"/>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传真:</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0580-2095003</w:t>
      </w:r>
    </w:p>
    <w:p w14:paraId="7EB5F39F">
      <w:pPr>
        <w:spacing w:line="360" w:lineRule="auto"/>
        <w:ind w:firstLine="48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项目联系人（询问）:</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王艺桦</w:t>
      </w:r>
    </w:p>
    <w:p w14:paraId="3AC455F3">
      <w:pPr>
        <w:spacing w:line="360" w:lineRule="auto"/>
        <w:ind w:firstLine="48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项目联系方式（询问）：</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0580-2095006</w:t>
      </w:r>
    </w:p>
    <w:p w14:paraId="79D58DB2">
      <w:pPr>
        <w:spacing w:line="360" w:lineRule="auto"/>
        <w:ind w:firstLine="48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质疑联系人：</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邱玲玲</w:t>
      </w:r>
    </w:p>
    <w:p w14:paraId="6924D715">
      <w:pPr>
        <w:spacing w:line="360" w:lineRule="auto"/>
        <w:ind w:firstLine="48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质疑联系方式：</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0580-2095005</w:t>
      </w:r>
    </w:p>
    <w:p w14:paraId="5610971C">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2.采购代理机构信息</w:t>
      </w:r>
    </w:p>
    <w:p w14:paraId="5F482039">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名称：舟山市公共资源交易中心</w:t>
      </w:r>
    </w:p>
    <w:p w14:paraId="4109509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地址：舟山市新城翁山路555号四楼（大宗商品交易中心同幢西边）</w:t>
      </w:r>
    </w:p>
    <w:p w14:paraId="71A5D5B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传真：/             </w:t>
      </w:r>
    </w:p>
    <w:p w14:paraId="493115D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项目联系人（询问）：</w:t>
      </w:r>
      <w:r>
        <w:rPr>
          <w:rFonts w:hint="eastAsia" w:ascii="仿宋_GB2312" w:hAnsi="仿宋_GB2312" w:eastAsia="仿宋_GB2312" w:cs="仿宋_GB2312"/>
          <w:color w:val="auto"/>
          <w:sz w:val="24"/>
          <w:highlight w:val="none"/>
          <w:lang w:eastAsia="zh-CN"/>
        </w:rPr>
        <w:t>陈女士</w:t>
      </w:r>
    </w:p>
    <w:p w14:paraId="1720CCE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项目联系方式（询问）：</w:t>
      </w:r>
      <w:r>
        <w:rPr>
          <w:rFonts w:hint="eastAsia" w:ascii="仿宋_GB2312" w:hAnsi="仿宋_GB2312" w:eastAsia="仿宋_GB2312" w:cs="仿宋_GB2312"/>
          <w:color w:val="auto"/>
          <w:sz w:val="24"/>
          <w:highlight w:val="none"/>
          <w:lang w:val="en-US" w:eastAsia="zh-CN"/>
        </w:rPr>
        <w:t>0580-2280969</w:t>
      </w:r>
    </w:p>
    <w:p w14:paraId="52BBC14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质疑联系人：丁先生</w:t>
      </w:r>
    </w:p>
    <w:p w14:paraId="0817FDF1">
      <w:pPr>
        <w:keepNext w:val="0"/>
        <w:keepLines w:val="0"/>
        <w:pageBreakBefore w:val="0"/>
        <w:kinsoku/>
        <w:wordWrap/>
        <w:overflowPunct/>
        <w:topLinePunct w:val="0"/>
        <w:autoSpaceDE/>
        <w:autoSpaceDN/>
        <w:bidi w:val="0"/>
        <w:adjustRightInd/>
        <w:snapToGrid/>
        <w:spacing w:line="360" w:lineRule="auto"/>
        <w:ind w:firstLine="480"/>
        <w:contextualSpacing/>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质疑联系方式：0580-2280948　</w:t>
      </w:r>
    </w:p>
    <w:p w14:paraId="2267A8FE">
      <w:pPr>
        <w:keepNext w:val="0"/>
        <w:keepLines w:val="0"/>
        <w:pageBreakBefore w:val="0"/>
        <w:numPr>
          <w:ilvl w:val="0"/>
          <w:numId w:val="3"/>
        </w:numPr>
        <w:kinsoku/>
        <w:wordWrap/>
        <w:overflowPunct/>
        <w:topLinePunct w:val="0"/>
        <w:autoSpaceDE/>
        <w:autoSpaceDN/>
        <w:bidi w:val="0"/>
        <w:adjustRightInd/>
        <w:snapToGrid/>
        <w:spacing w:line="360" w:lineRule="auto"/>
        <w:ind w:firstLine="48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同级政府采购监督管理部门</w:t>
      </w:r>
    </w:p>
    <w:p w14:paraId="65476617">
      <w:pPr>
        <w:keepNext w:val="0"/>
        <w:keepLines w:val="0"/>
        <w:pageBreakBefore w:val="0"/>
        <w:kinsoku/>
        <w:wordWrap/>
        <w:overflowPunct/>
        <w:topLinePunct w:val="0"/>
        <w:autoSpaceDE/>
        <w:autoSpaceDN/>
        <w:bidi w:val="0"/>
        <w:adjustRightInd/>
        <w:snapToGrid/>
        <w:spacing w:line="360" w:lineRule="auto"/>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名称：舟山市财政局政府采购监管处</w:t>
      </w:r>
    </w:p>
    <w:p w14:paraId="6657497B">
      <w:pPr>
        <w:keepNext w:val="0"/>
        <w:keepLines w:val="0"/>
        <w:pageBreakBefore w:val="0"/>
        <w:kinsoku/>
        <w:wordWrap/>
        <w:overflowPunct/>
        <w:topLinePunct w:val="0"/>
        <w:autoSpaceDE/>
        <w:autoSpaceDN/>
        <w:bidi w:val="0"/>
        <w:adjustRightInd/>
        <w:snapToGrid/>
        <w:spacing w:line="360" w:lineRule="auto"/>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地址：舟山市定海区新城海天大道681号</w:t>
      </w:r>
    </w:p>
    <w:p w14:paraId="327AE107">
      <w:pPr>
        <w:keepNext w:val="0"/>
        <w:keepLines w:val="0"/>
        <w:pageBreakBefore w:val="0"/>
        <w:kinsoku/>
        <w:wordWrap/>
        <w:overflowPunct/>
        <w:topLinePunct w:val="0"/>
        <w:autoSpaceDE/>
        <w:autoSpaceDN/>
        <w:bidi w:val="0"/>
        <w:adjustRightInd/>
        <w:snapToGrid/>
        <w:spacing w:line="360" w:lineRule="auto"/>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传真：0580-2282591</w:t>
      </w:r>
    </w:p>
    <w:p w14:paraId="6BF3C4AC">
      <w:pPr>
        <w:keepNext w:val="0"/>
        <w:keepLines w:val="0"/>
        <w:pageBreakBefore w:val="0"/>
        <w:kinsoku/>
        <w:wordWrap/>
        <w:overflowPunct/>
        <w:topLinePunct w:val="0"/>
        <w:autoSpaceDE/>
        <w:autoSpaceDN/>
        <w:bidi w:val="0"/>
        <w:adjustRightInd/>
        <w:snapToGrid/>
        <w:spacing w:line="360" w:lineRule="auto"/>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联系人：王女士</w:t>
      </w:r>
    </w:p>
    <w:p w14:paraId="2D6838F6">
      <w:pPr>
        <w:keepNext w:val="0"/>
        <w:keepLines w:val="0"/>
        <w:pageBreakBefore w:val="0"/>
        <w:kinsoku/>
        <w:wordWrap/>
        <w:overflowPunct/>
        <w:topLinePunct w:val="0"/>
        <w:autoSpaceDE/>
        <w:autoSpaceDN/>
        <w:bidi w:val="0"/>
        <w:adjustRightInd/>
        <w:snapToGrid/>
        <w:spacing w:line="360" w:lineRule="auto"/>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监督投诉电话：0580-2282591</w:t>
      </w:r>
    </w:p>
    <w:p w14:paraId="2D083EA3">
      <w:pPr>
        <w:keepNext w:val="0"/>
        <w:keepLines w:val="0"/>
        <w:pageBreakBefore w:val="0"/>
        <w:kinsoku/>
        <w:wordWrap/>
        <w:overflowPunct/>
        <w:topLinePunct w:val="0"/>
        <w:autoSpaceDE/>
        <w:autoSpaceDN/>
        <w:bidi w:val="0"/>
        <w:adjustRightInd/>
        <w:snapToGrid/>
        <w:spacing w:line="360" w:lineRule="auto"/>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若对项目采购电子交易系统操作有疑问，可登录政采云（https://www.zcygov.cn/），点击右侧咨询小采，获取采小蜜智能服务管家帮助，或拨打政采云服务热线95763获取热线服务帮助。</w:t>
      </w:r>
    </w:p>
    <w:p w14:paraId="2B5EDF1B">
      <w:pPr>
        <w:keepNext w:val="0"/>
        <w:keepLines w:val="0"/>
        <w:pageBreakBefore w:val="0"/>
        <w:kinsoku/>
        <w:wordWrap/>
        <w:overflowPunct/>
        <w:topLinePunct w:val="0"/>
        <w:autoSpaceDE/>
        <w:autoSpaceDN/>
        <w:bidi w:val="0"/>
        <w:adjustRightInd/>
        <w:snapToGrid/>
        <w:spacing w:line="360" w:lineRule="auto"/>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CA问题联系电话（人工）：汇信CA 400-888-4636；天谷CA 400-087-8198。</w:t>
      </w:r>
    </w:p>
    <w:p w14:paraId="6B39FBEF">
      <w:pPr>
        <w:spacing w:line="540" w:lineRule="exact"/>
        <w:contextualSpacing/>
        <w:rPr>
          <w:rFonts w:hint="eastAsia" w:ascii="仿宋_GB2312" w:hAnsi="仿宋_GB2312" w:eastAsia="仿宋_GB2312" w:cs="仿宋_GB2312"/>
          <w:color w:val="auto"/>
          <w:sz w:val="28"/>
          <w:szCs w:val="28"/>
          <w:highlight w:val="none"/>
        </w:rPr>
      </w:pPr>
    </w:p>
    <w:p w14:paraId="3B7C9BDE">
      <w:pPr>
        <w:ind w:firstLine="2380" w:firstLineChars="850"/>
        <w:outlineLvl w:val="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br w:type="page"/>
      </w:r>
      <w:r>
        <w:rPr>
          <w:rFonts w:hint="eastAsia" w:ascii="仿宋_GB2312" w:hAnsi="仿宋_GB2312" w:eastAsia="仿宋_GB2312" w:cs="仿宋_GB2312"/>
          <w:color w:val="auto"/>
          <w:sz w:val="32"/>
          <w:szCs w:val="32"/>
          <w:highlight w:val="none"/>
        </w:rPr>
        <w:t>第二部分</w:t>
      </w:r>
      <w:bookmarkEnd w:id="8"/>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投标人须知</w:t>
      </w:r>
      <w:bookmarkEnd w:id="9"/>
    </w:p>
    <w:p w14:paraId="05F3593E">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前附表</w:t>
      </w:r>
    </w:p>
    <w:tbl>
      <w:tblPr>
        <w:tblStyle w:val="27"/>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7735A1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noWrap w:val="0"/>
            <w:vAlign w:val="top"/>
          </w:tcPr>
          <w:p w14:paraId="570074C4">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noWrap w:val="0"/>
            <w:vAlign w:val="center"/>
          </w:tcPr>
          <w:p w14:paraId="5D84850B">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noWrap w:val="0"/>
            <w:vAlign w:val="center"/>
          </w:tcPr>
          <w:p w14:paraId="728F1487">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本项目的特别规定</w:t>
            </w:r>
          </w:p>
        </w:tc>
      </w:tr>
      <w:tr w14:paraId="1925F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291" w:hRule="atLeast"/>
          <w:tblHeader/>
        </w:trPr>
        <w:tc>
          <w:tcPr>
            <w:tcW w:w="629" w:type="dxa"/>
            <w:tcBorders>
              <w:top w:val="single" w:color="auto" w:sz="4" w:space="0"/>
              <w:left w:val="single" w:color="auto" w:sz="4" w:space="0"/>
              <w:bottom w:val="single" w:color="auto" w:sz="4" w:space="0"/>
              <w:right w:val="single" w:color="auto" w:sz="4" w:space="0"/>
            </w:tcBorders>
            <w:noWrap w:val="0"/>
            <w:vAlign w:val="center"/>
          </w:tcPr>
          <w:p w14:paraId="23AB0D80">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843" w:type="dxa"/>
            <w:tcBorders>
              <w:top w:val="single" w:color="000000" w:sz="8" w:space="0"/>
              <w:left w:val="single" w:color="auto" w:sz="4" w:space="0"/>
              <w:bottom w:val="single" w:color="000000" w:sz="8" w:space="0"/>
              <w:right w:val="single" w:color="000000" w:sz="8" w:space="0"/>
            </w:tcBorders>
            <w:noWrap w:val="0"/>
            <w:vAlign w:val="center"/>
          </w:tcPr>
          <w:p w14:paraId="599870FE">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noWrap w:val="0"/>
            <w:vAlign w:val="center"/>
          </w:tcPr>
          <w:p w14:paraId="7E83A1EB">
            <w:pPr>
              <w:keepNext w:val="0"/>
              <w:keepLines w:val="0"/>
              <w:pageBreakBefore w:val="0"/>
              <w:numPr>
                <w:ilvl w:val="0"/>
                <w:numId w:val="0"/>
              </w:numPr>
              <w:kinsoku/>
              <w:wordWrap/>
              <w:overflowPunct/>
              <w:topLinePunct w:val="0"/>
              <w:autoSpaceDE/>
              <w:autoSpaceDN/>
              <w:bidi w:val="0"/>
              <w:adjustRightInd/>
              <w:snapToGrid/>
              <w:spacing w:line="240" w:lineRule="auto"/>
              <w:contextualSpacing/>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有关本项目实施所需的所有费用（含税费）均计入报价。</w:t>
            </w:r>
            <w:r>
              <w:rPr>
                <w:rFonts w:hint="eastAsia" w:ascii="仿宋_GB2312" w:hAnsi="仿宋_GB2312" w:eastAsia="仿宋_GB2312" w:cs="仿宋_GB2312"/>
                <w:b/>
                <w:color w:val="auto"/>
                <w:sz w:val="24"/>
                <w:szCs w:val="24"/>
                <w:highlight w:val="none"/>
              </w:rPr>
              <w:t>投标文件开标一览表（报价表）是报价的唯一载体，如投标人在政府采购云平台填写的投标报价与投标文件报价文件中开标一览表（报价表）不一致的，以报价文件中开标一览表（报价表）为准。</w:t>
            </w:r>
            <w:r>
              <w:rPr>
                <w:rFonts w:hint="eastAsia" w:ascii="仿宋_GB2312" w:hAnsi="仿宋_GB2312" w:eastAsia="仿宋_GB2312" w:cs="仿宋_GB2312"/>
                <w:color w:val="auto"/>
                <w:sz w:val="24"/>
                <w:szCs w:val="24"/>
                <w:highlight w:val="none"/>
              </w:rPr>
              <w:t>投标文件中价格全部采用人民币报价。招标文件未列明，而投标人认为必需的费用也需列入报价。</w:t>
            </w:r>
            <w:r>
              <w:rPr>
                <w:rFonts w:hint="eastAsia" w:ascii="仿宋_GB2312" w:hAnsi="仿宋_GB2312" w:eastAsia="仿宋_GB2312" w:cs="仿宋_GB2312"/>
                <w:b/>
                <w:color w:val="auto"/>
                <w:sz w:val="24"/>
                <w:szCs w:val="24"/>
                <w:highlight w:val="none"/>
              </w:rPr>
              <w:t>提醒：验收时检测费用由采购人承担，不包含在投标总价中。</w:t>
            </w:r>
          </w:p>
          <w:p w14:paraId="6A252758">
            <w:pPr>
              <w:pStyle w:val="25"/>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color w:val="auto"/>
                <w:lang w:eastAsia="zh-CN"/>
              </w:rPr>
              <w:t>（</w:t>
            </w:r>
            <w:r>
              <w:rPr>
                <w:rFonts w:hint="eastAsia" w:ascii="仿宋_GB2312" w:hAnsi="仿宋_GB2312" w:eastAsia="仿宋_GB2312" w:cs="仿宋_GB2312"/>
                <w:color w:val="auto"/>
                <w:kern w:val="2"/>
                <w:sz w:val="24"/>
                <w:szCs w:val="24"/>
                <w:highlight w:val="none"/>
                <w:lang w:val="en-US" w:eastAsia="zh-CN" w:bidi="ar-SA"/>
              </w:rPr>
              <w:t>2）政府采购评审中出现下列情形之一的，评审委员会应当启动异常低价投标（响应）审查程序：</w:t>
            </w:r>
          </w:p>
          <w:p w14:paraId="0F3AF1E0">
            <w:pPr>
              <w:pStyle w:val="25"/>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1.投标（响应）报价低于全部通过符合性审查供应商投标（响应）报价平均值 50 %的，即投标（响应）报价&lt;全部通过符合性审查供应商投标（响应）报价平均值× 50 %；</w:t>
            </w:r>
          </w:p>
          <w:p w14:paraId="082FE6F0">
            <w:pPr>
              <w:pStyle w:val="25"/>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2.投标（响应）报价低于通过符合性审查的次低报价供应商投标（响应）报价 50 %的，即投标（响应）报价&lt;通过符合性审查的次低报价供应商投标（响应）报价× 50 %；</w:t>
            </w:r>
          </w:p>
          <w:p w14:paraId="16122BEF">
            <w:pPr>
              <w:pStyle w:val="25"/>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3.投标（响应）报价低于采购项目最高限价 45 %的，即投标（响应）报价&lt;采购项目最高限价× 45 %；</w:t>
            </w:r>
          </w:p>
          <w:p w14:paraId="5313F84B">
            <w:pPr>
              <w:pStyle w:val="25"/>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4.评审委员会基于专业判断，认为供应商报价过低，有可能影响产品质量或者不能诚信履约的其他情形。</w:t>
            </w:r>
          </w:p>
          <w:p w14:paraId="1BC2BAA4">
            <w:pPr>
              <w:pStyle w:val="25"/>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评标委员会发起询标后，投标人必须在评审现场合理的时间内提供书面说明及必要的证明材料，对投标价格作出解释。书面说明、证明材料主要是项目具体成本测算等与报价合理性相关的说明、材料，包括但不限于原材料成本、人工成本、制造费用等。</w:t>
            </w:r>
          </w:p>
          <w:p w14:paraId="43153B51">
            <w:pPr>
              <w:keepNext w:val="0"/>
              <w:keepLines w:val="0"/>
              <w:pageBreakBefore w:val="0"/>
              <w:kinsoku/>
              <w:wordWrap/>
              <w:overflowPunct/>
              <w:topLinePunct w:val="0"/>
              <w:autoSpaceDE/>
              <w:autoSpaceDN/>
              <w:bidi w:val="0"/>
              <w:adjustRightInd/>
              <w:snapToGrid/>
              <w:spacing w:line="240" w:lineRule="auto"/>
              <w:contextualSpacing/>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（3）投标报价出现下列情形的，投标无效：</w:t>
            </w:r>
          </w:p>
          <w:p w14:paraId="7DF1A644">
            <w:pPr>
              <w:keepNext w:val="0"/>
              <w:keepLines w:val="0"/>
              <w:pageBreakBefore w:val="0"/>
              <w:kinsoku/>
              <w:wordWrap/>
              <w:overflowPunct/>
              <w:topLinePunct w:val="0"/>
              <w:autoSpaceDE/>
              <w:autoSpaceDN/>
              <w:bidi w:val="0"/>
              <w:adjustRightInd/>
              <w:snapToGrid/>
              <w:spacing w:line="240" w:lineRule="auto"/>
              <w:contextualSpacing/>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1.投标文件出现不是唯一的、有选择性投标报价的；</w:t>
            </w:r>
          </w:p>
          <w:p w14:paraId="10C9B51A">
            <w:pPr>
              <w:keepNext w:val="0"/>
              <w:keepLines w:val="0"/>
              <w:pageBreakBefore w:val="0"/>
              <w:kinsoku/>
              <w:wordWrap/>
              <w:overflowPunct/>
              <w:topLinePunct w:val="0"/>
              <w:autoSpaceDE/>
              <w:autoSpaceDN/>
              <w:bidi w:val="0"/>
              <w:adjustRightInd/>
              <w:snapToGrid/>
              <w:spacing w:line="240" w:lineRule="auto"/>
              <w:contextualSpacing/>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2.投标报价超过招标文件中规定的预算金额或者最高限价的;</w:t>
            </w:r>
          </w:p>
          <w:p w14:paraId="0810DC15">
            <w:pPr>
              <w:keepNext w:val="0"/>
              <w:keepLines w:val="0"/>
              <w:pageBreakBefore w:val="0"/>
              <w:kinsoku/>
              <w:wordWrap/>
              <w:overflowPunct/>
              <w:topLinePunct w:val="0"/>
              <w:autoSpaceDE/>
              <w:autoSpaceDN/>
              <w:bidi w:val="0"/>
              <w:adjustRightInd/>
              <w:snapToGrid/>
              <w:spacing w:line="240" w:lineRule="auto"/>
              <w:contextualSpacing/>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3.报价明显低于其他通过符合性审查投标人的报价，有可能影响产品质量或者不能诚信履约的，未能按要求提供书面说明或者提交相关证明材料证明其报价合理性的;</w:t>
            </w:r>
          </w:p>
          <w:p w14:paraId="2A5C8482">
            <w:pPr>
              <w:keepNext w:val="0"/>
              <w:keepLines w:val="0"/>
              <w:pageBreakBefore w:val="0"/>
              <w:kinsoku/>
              <w:wordWrap/>
              <w:overflowPunct/>
              <w:topLinePunct w:val="0"/>
              <w:autoSpaceDE/>
              <w:autoSpaceDN/>
              <w:bidi w:val="0"/>
              <w:adjustRightInd/>
              <w:snapToGrid/>
              <w:spacing w:line="240" w:lineRule="auto"/>
              <w:contextualSpacing/>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4.启动异常低价审查后，投标人不能在合理的时间内提供书面说明、证明材料，或者提供的书面说明、证明材料不能证明其报价合理性的。</w:t>
            </w:r>
          </w:p>
          <w:p w14:paraId="02A337DB">
            <w:pPr>
              <w:keepNext w:val="0"/>
              <w:keepLines w:val="0"/>
              <w:pageBreakBefore w:val="0"/>
              <w:kinsoku/>
              <w:wordWrap/>
              <w:overflowPunct/>
              <w:topLinePunct w:val="0"/>
              <w:autoSpaceDE/>
              <w:autoSpaceDN/>
              <w:bidi w:val="0"/>
              <w:adjustRightInd/>
              <w:snapToGrid/>
              <w:spacing w:line="240" w:lineRule="auto"/>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5.投标人对根据修正原则修正后的报价不确认的。</w:t>
            </w:r>
          </w:p>
        </w:tc>
      </w:tr>
      <w:tr w14:paraId="68E848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63" w:hRule="atLeast"/>
          <w:tblHeader/>
        </w:trPr>
        <w:tc>
          <w:tcPr>
            <w:tcW w:w="629" w:type="dxa"/>
            <w:tcBorders>
              <w:top w:val="single" w:color="auto" w:sz="4" w:space="0"/>
              <w:left w:val="single" w:color="auto" w:sz="4" w:space="0"/>
              <w:bottom w:val="single" w:color="auto" w:sz="4" w:space="0"/>
              <w:right w:val="single" w:color="auto" w:sz="4" w:space="0"/>
            </w:tcBorders>
            <w:noWrap w:val="0"/>
            <w:vAlign w:val="center"/>
          </w:tcPr>
          <w:p w14:paraId="2CC90E5C">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843" w:type="dxa"/>
            <w:tcBorders>
              <w:top w:val="single" w:color="000000" w:sz="8" w:space="0"/>
              <w:left w:val="single" w:color="auto" w:sz="4" w:space="0"/>
              <w:bottom w:val="single" w:color="000000" w:sz="8" w:space="0"/>
              <w:right w:val="single" w:color="000000" w:sz="8" w:space="0"/>
            </w:tcBorders>
            <w:noWrap w:val="0"/>
            <w:vAlign w:val="center"/>
          </w:tcPr>
          <w:p w14:paraId="5753205E">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noWrap w:val="0"/>
            <w:vAlign w:val="center"/>
          </w:tcPr>
          <w:p w14:paraId="7666D4CA">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sz w:val="24"/>
                <w:szCs w:val="24"/>
                <w:highlight w:val="none"/>
              </w:rPr>
              <w:t>A同意将非主、非关键性的</w:t>
            </w:r>
            <w:r>
              <w:rPr>
                <w:rFonts w:hint="eastAsia" w:ascii="仿宋_GB2312" w:hAnsi="仿宋_GB2312" w:eastAsia="仿宋_GB2312" w:cs="仿宋_GB2312"/>
                <w:color w:val="auto"/>
                <w:sz w:val="24"/>
                <w:szCs w:val="24"/>
                <w:highlight w:val="none"/>
                <w:u w:val="single"/>
                <w:lang w:val="en-US" w:eastAsia="zh-CN"/>
              </w:rPr>
              <w:t xml:space="preserve"> 调试  </w:t>
            </w:r>
            <w:r>
              <w:rPr>
                <w:rFonts w:hint="eastAsia" w:ascii="仿宋_GB2312" w:hAnsi="仿宋_GB2312" w:eastAsia="仿宋_GB2312" w:cs="仿宋_GB2312"/>
                <w:color w:val="auto"/>
                <w:sz w:val="24"/>
                <w:szCs w:val="24"/>
                <w:highlight w:val="none"/>
                <w:u w:val="none"/>
              </w:rPr>
              <w:t>分</w:t>
            </w:r>
            <w:r>
              <w:rPr>
                <w:rFonts w:hint="eastAsia" w:ascii="仿宋_GB2312" w:hAnsi="仿宋_GB2312" w:eastAsia="仿宋_GB2312" w:cs="仿宋_GB2312"/>
                <w:color w:val="auto"/>
                <w:sz w:val="24"/>
                <w:szCs w:val="24"/>
                <w:highlight w:val="none"/>
              </w:rPr>
              <w:t>包。</w:t>
            </w:r>
          </w:p>
          <w:p w14:paraId="505B4B3C">
            <w:pPr>
              <w:spacing w:line="400" w:lineRule="exact"/>
              <w:contextualSpacing/>
              <w:rPr>
                <w:rFonts w:hint="eastAsia" w:ascii="仿宋_GB2312" w:hAnsi="仿宋_GB2312" w:eastAsia="仿宋_GB2312" w:cs="仿宋_GB2312"/>
                <w:color w:val="FF0000"/>
                <w:sz w:val="24"/>
                <w:highlight w:val="none"/>
              </w:rPr>
            </w:pPr>
            <w:r>
              <w:rPr>
                <w:rFonts w:hint="eastAsia" w:ascii="仿宋_GB2312" w:eastAsia="仿宋_GB2312"/>
                <w:color w:val="auto"/>
                <w:sz w:val="24"/>
              </w:rPr>
              <w:t>本项目上述允许分包的合同份额所占合同总金额小于30%。</w:t>
            </w:r>
          </w:p>
          <w:p w14:paraId="5D15AF32">
            <w:pPr>
              <w:spacing w:line="400" w:lineRule="exact"/>
              <w:contextualSpacing/>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sym w:font="Wingdings" w:char="00A8"/>
            </w:r>
            <w:r>
              <w:rPr>
                <w:rFonts w:hint="eastAsia" w:ascii="仿宋_GB2312" w:hAnsi="仿宋_GB2312" w:eastAsia="仿宋_GB2312" w:cs="仿宋_GB2312"/>
                <w:color w:val="auto"/>
                <w:sz w:val="24"/>
                <w:szCs w:val="24"/>
                <w:highlight w:val="none"/>
              </w:rPr>
              <w:t>B不同意分包。</w:t>
            </w:r>
          </w:p>
          <w:p w14:paraId="6B91E52A">
            <w:pPr>
              <w:pStyle w:val="2"/>
              <w:ind w:firstLine="0" w:firstLineChars="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注：不得限制大中型企业向小微企业合理分包。</w:t>
            </w:r>
          </w:p>
        </w:tc>
      </w:tr>
      <w:tr w14:paraId="79801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noWrap w:val="0"/>
            <w:vAlign w:val="center"/>
          </w:tcPr>
          <w:p w14:paraId="561940BD">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1843" w:type="dxa"/>
            <w:vMerge w:val="restart"/>
            <w:tcBorders>
              <w:top w:val="single" w:color="000000" w:sz="8" w:space="0"/>
              <w:left w:val="single" w:color="auto" w:sz="4" w:space="0"/>
              <w:right w:val="single" w:color="000000" w:sz="8" w:space="0"/>
            </w:tcBorders>
            <w:noWrap w:val="0"/>
            <w:vAlign w:val="center"/>
          </w:tcPr>
          <w:p w14:paraId="0C0256E6">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noWrap w:val="0"/>
            <w:vAlign w:val="center"/>
          </w:tcPr>
          <w:p w14:paraId="07AC3DEC">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（1）资格证明文件：见招标文件第二部分11.1。</w:t>
            </w:r>
          </w:p>
          <w:p w14:paraId="206EE048">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投标人未提供有效的资格证明文件的，视为投标人不具备招标文件中规定的资格要求，投标无效。</w:t>
            </w:r>
          </w:p>
        </w:tc>
      </w:tr>
      <w:tr w14:paraId="6CAC6A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8" w:hRule="atLeast"/>
          <w:tblHeader/>
        </w:trPr>
        <w:tc>
          <w:tcPr>
            <w:tcW w:w="629" w:type="dxa"/>
            <w:vMerge w:val="continue"/>
            <w:tcBorders>
              <w:left w:val="single" w:color="auto" w:sz="4" w:space="0"/>
              <w:bottom w:val="single" w:color="auto" w:sz="4" w:space="0"/>
              <w:right w:val="single" w:color="auto" w:sz="4" w:space="0"/>
            </w:tcBorders>
            <w:noWrap w:val="0"/>
            <w:vAlign w:val="top"/>
          </w:tcPr>
          <w:p w14:paraId="4CEB19BD">
            <w:pPr>
              <w:spacing w:line="540" w:lineRule="exact"/>
              <w:contextualSpacing/>
              <w:rPr>
                <w:rFonts w:hint="eastAsia" w:ascii="仿宋_GB2312" w:hAnsi="仿宋_GB2312" w:eastAsia="仿宋_GB2312" w:cs="仿宋_GB2312"/>
                <w:color w:val="auto"/>
                <w:sz w:val="24"/>
                <w:szCs w:val="24"/>
                <w:highlight w:val="none"/>
              </w:rPr>
            </w:pPr>
          </w:p>
        </w:tc>
        <w:tc>
          <w:tcPr>
            <w:tcW w:w="1843" w:type="dxa"/>
            <w:vMerge w:val="continue"/>
            <w:tcBorders>
              <w:left w:val="single" w:color="auto" w:sz="4" w:space="0"/>
              <w:bottom w:val="single" w:color="000000" w:sz="8" w:space="0"/>
              <w:right w:val="single" w:color="000000" w:sz="8" w:space="0"/>
            </w:tcBorders>
            <w:noWrap w:val="0"/>
            <w:vAlign w:val="center"/>
          </w:tcPr>
          <w:p w14:paraId="426189B8">
            <w:pPr>
              <w:spacing w:line="400" w:lineRule="exact"/>
              <w:contextualSpacing/>
              <w:rPr>
                <w:rFonts w:hint="eastAsia" w:ascii="仿宋_GB2312" w:hAnsi="仿宋_GB2312" w:eastAsia="仿宋_GB2312" w:cs="仿宋_GB2312"/>
                <w:color w:val="auto"/>
                <w:sz w:val="24"/>
                <w:szCs w:val="24"/>
                <w:highlight w:val="none"/>
              </w:rPr>
            </w:pPr>
          </w:p>
        </w:tc>
        <w:tc>
          <w:tcPr>
            <w:tcW w:w="6095" w:type="dxa"/>
            <w:tcBorders>
              <w:top w:val="single" w:color="auto" w:sz="4" w:space="0"/>
              <w:left w:val="single" w:color="000000" w:sz="2" w:space="0"/>
              <w:bottom w:val="single" w:color="000000" w:sz="8" w:space="0"/>
              <w:right w:val="single" w:color="000000" w:sz="8" w:space="0"/>
            </w:tcBorders>
            <w:noWrap w:val="0"/>
            <w:vAlign w:val="center"/>
          </w:tcPr>
          <w:p w14:paraId="28631825">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（2）资信证明文件：根据招标文件第四部分评标标准提供。</w:t>
            </w:r>
          </w:p>
        </w:tc>
      </w:tr>
      <w:tr w14:paraId="77CE0E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 w:hRule="atLeast"/>
          <w:tblHeader/>
        </w:trPr>
        <w:tc>
          <w:tcPr>
            <w:tcW w:w="629" w:type="dxa"/>
            <w:tcBorders>
              <w:top w:val="single" w:color="auto" w:sz="4" w:space="0"/>
              <w:left w:val="single" w:color="auto" w:sz="4" w:space="0"/>
              <w:bottom w:val="single" w:color="auto" w:sz="4" w:space="0"/>
              <w:right w:val="single" w:color="auto" w:sz="4" w:space="0"/>
            </w:tcBorders>
            <w:noWrap w:val="0"/>
            <w:vAlign w:val="center"/>
          </w:tcPr>
          <w:p w14:paraId="2D230BAB">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1843" w:type="dxa"/>
            <w:tcBorders>
              <w:top w:val="single" w:color="000000" w:sz="8" w:space="0"/>
              <w:left w:val="single" w:color="auto" w:sz="4" w:space="0"/>
              <w:bottom w:val="single" w:color="000000" w:sz="8" w:space="0"/>
              <w:right w:val="single" w:color="000000" w:sz="8" w:space="0"/>
            </w:tcBorders>
            <w:noWrap w:val="0"/>
            <w:vAlign w:val="center"/>
          </w:tcPr>
          <w:p w14:paraId="40A343A4">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开标前答疑会或现场</w:t>
            </w:r>
            <w:r>
              <w:rPr>
                <w:rFonts w:hint="eastAsia" w:ascii="仿宋_GB2312" w:hAnsi="仿宋_GB2312" w:eastAsia="仿宋_GB2312" w:cs="仿宋_GB2312"/>
                <w:color w:val="auto"/>
                <w:sz w:val="24"/>
                <w:szCs w:val="24"/>
                <w:highlight w:val="none"/>
                <w:lang w:eastAsia="zh-CN"/>
              </w:rPr>
              <w:t>勘</w:t>
            </w:r>
            <w:r>
              <w:rPr>
                <w:rFonts w:hint="eastAsia" w:ascii="仿宋_GB2312" w:hAnsi="仿宋_GB2312" w:eastAsia="仿宋_GB2312" w:cs="仿宋_GB2312"/>
                <w:color w:val="auto"/>
                <w:sz w:val="24"/>
                <w:szCs w:val="24"/>
                <w:highlight w:val="none"/>
              </w:rPr>
              <w:t>察</w:t>
            </w:r>
          </w:p>
        </w:tc>
        <w:tc>
          <w:tcPr>
            <w:tcW w:w="6095" w:type="dxa"/>
            <w:tcBorders>
              <w:top w:val="single" w:color="000000" w:sz="8" w:space="0"/>
              <w:left w:val="single" w:color="000000" w:sz="2" w:space="0"/>
              <w:bottom w:val="single" w:color="000000" w:sz="8" w:space="0"/>
              <w:right w:val="single" w:color="000000" w:sz="8" w:space="0"/>
            </w:tcBorders>
            <w:noWrap w:val="0"/>
            <w:vAlign w:val="center"/>
          </w:tcPr>
          <w:p w14:paraId="6E40A549">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sz w:val="24"/>
                <w:szCs w:val="24"/>
                <w:highlight w:val="none"/>
              </w:rPr>
              <w:t>A不组织。</w:t>
            </w:r>
          </w:p>
          <w:p w14:paraId="574A3734">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☐B组织</w:t>
            </w:r>
            <w:r>
              <w:rPr>
                <w:rFonts w:hint="eastAsia" w:ascii="仿宋_GB2312" w:hAnsi="仿宋_GB2312" w:eastAsia="仿宋_GB2312" w:cs="仿宋_GB2312"/>
                <w:color w:val="auto"/>
                <w:sz w:val="24"/>
                <w:szCs w:val="24"/>
                <w:highlight w:val="none"/>
                <w:lang w:eastAsia="zh-CN"/>
              </w:rPr>
              <w:t>现场勘察</w:t>
            </w:r>
            <w:r>
              <w:rPr>
                <w:rFonts w:hint="eastAsia" w:ascii="仿宋_GB2312" w:hAnsi="仿宋_GB2312" w:eastAsia="仿宋_GB2312" w:cs="仿宋_GB2312"/>
                <w:color w:val="auto"/>
                <w:sz w:val="24"/>
                <w:szCs w:val="24"/>
                <w:highlight w:val="none"/>
              </w:rPr>
              <w:t>，时间 ,地点</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联系</w:t>
            </w:r>
            <w:r>
              <w:rPr>
                <w:rFonts w:hint="eastAsia" w:ascii="仿宋_GB2312" w:hAnsi="仿宋_GB2312" w:eastAsia="仿宋_GB2312" w:cs="仿宋_GB2312"/>
                <w:color w:val="auto"/>
                <w:sz w:val="24"/>
                <w:szCs w:val="24"/>
                <w:highlight w:val="none"/>
                <w:lang w:eastAsia="zh-CN"/>
              </w:rPr>
              <w:t>人</w:t>
            </w:r>
            <w:r>
              <w:rPr>
                <w:rFonts w:hint="eastAsia" w:ascii="仿宋_GB2312" w:hAnsi="仿宋_GB2312" w:eastAsia="仿宋_GB2312" w:cs="仿宋_GB2312"/>
                <w:color w:val="auto"/>
                <w:sz w:val="24"/>
                <w:szCs w:val="24"/>
                <w:highlight w:val="none"/>
              </w:rPr>
              <w:t>，联系方式：</w:t>
            </w:r>
          </w:p>
        </w:tc>
      </w:tr>
      <w:tr w14:paraId="51E2D2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 w:hRule="atLeast"/>
          <w:tblHeader/>
        </w:trPr>
        <w:tc>
          <w:tcPr>
            <w:tcW w:w="629" w:type="dxa"/>
            <w:tcBorders>
              <w:top w:val="single" w:color="auto" w:sz="4" w:space="0"/>
              <w:left w:val="single" w:color="auto" w:sz="4" w:space="0"/>
              <w:bottom w:val="single" w:color="auto" w:sz="4" w:space="0"/>
              <w:right w:val="single" w:color="auto" w:sz="4" w:space="0"/>
            </w:tcBorders>
            <w:noWrap w:val="0"/>
            <w:vAlign w:val="center"/>
          </w:tcPr>
          <w:p w14:paraId="6AA37A2B">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1843" w:type="dxa"/>
            <w:tcBorders>
              <w:top w:val="single" w:color="000000" w:sz="8" w:space="0"/>
              <w:left w:val="single" w:color="auto" w:sz="4" w:space="0"/>
              <w:bottom w:val="single" w:color="000000" w:sz="8" w:space="0"/>
              <w:right w:val="single" w:color="000000" w:sz="8" w:space="0"/>
            </w:tcBorders>
            <w:noWrap w:val="0"/>
            <w:vAlign w:val="center"/>
          </w:tcPr>
          <w:p w14:paraId="519B8D5E">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noWrap w:val="0"/>
            <w:vAlign w:val="center"/>
          </w:tcPr>
          <w:p w14:paraId="422B2EB5">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sz w:val="24"/>
                <w:szCs w:val="24"/>
                <w:highlight w:val="none"/>
              </w:rPr>
              <w:t>A不要求提供。</w:t>
            </w:r>
          </w:p>
          <w:p w14:paraId="247C3DE6">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☐B要求提供，</w:t>
            </w:r>
          </w:p>
          <w:p w14:paraId="6987DCB8">
            <w:pPr>
              <w:spacing w:line="400" w:lineRule="exac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w:t>
            </w:r>
            <w:r>
              <w:rPr>
                <w:rFonts w:hint="eastAsia" w:ascii="仿宋_GB2312" w:hAnsi="仿宋_GB2312" w:eastAsia="仿宋_GB2312" w:cs="仿宋_GB2312"/>
                <w:snapToGrid w:val="0"/>
                <w:color w:val="auto"/>
                <w:kern w:val="28"/>
                <w:sz w:val="24"/>
                <w:highlight w:val="none"/>
              </w:rPr>
              <w:t>样品</w:t>
            </w:r>
            <w:r>
              <w:rPr>
                <w:rFonts w:hint="eastAsia" w:ascii="仿宋_GB2312" w:hAnsi="仿宋_GB2312" w:eastAsia="仿宋_GB2312" w:cs="仿宋_GB2312"/>
                <w:color w:val="auto"/>
                <w:kern w:val="0"/>
                <w:sz w:val="24"/>
                <w:highlight w:val="none"/>
              </w:rPr>
              <w:t>；</w:t>
            </w:r>
          </w:p>
          <w:p w14:paraId="66068722">
            <w:pPr>
              <w:spacing w:line="400" w:lineRule="exac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w:t>
            </w:r>
            <w:r>
              <w:rPr>
                <w:rFonts w:hint="eastAsia" w:ascii="仿宋_GB2312" w:hAnsi="仿宋_GB2312" w:eastAsia="仿宋_GB2312" w:cs="仿宋_GB2312"/>
                <w:snapToGrid w:val="0"/>
                <w:color w:val="auto"/>
                <w:kern w:val="28"/>
                <w:sz w:val="24"/>
                <w:highlight w:val="none"/>
              </w:rPr>
              <w:t>样品制作的标准和要求</w:t>
            </w:r>
            <w:r>
              <w:rPr>
                <w:rFonts w:hint="eastAsia" w:ascii="仿宋_GB2312" w:hAnsi="仿宋_GB2312" w:eastAsia="仿宋_GB2312" w:cs="仿宋_GB2312"/>
                <w:color w:val="auto"/>
                <w:kern w:val="0"/>
                <w:sz w:val="24"/>
                <w:highlight w:val="none"/>
              </w:rPr>
              <w:t>；</w:t>
            </w:r>
          </w:p>
          <w:p w14:paraId="284F3D17">
            <w:pPr>
              <w:spacing w:line="400" w:lineRule="exac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（3）样品的评审方法以及评审标准</w:t>
            </w:r>
            <w:r>
              <w:rPr>
                <w:rFonts w:hint="eastAsia" w:ascii="仿宋_GB2312" w:hAnsi="仿宋_GB2312" w:eastAsia="仿宋_GB2312" w:cs="仿宋_GB2312"/>
                <w:snapToGrid w:val="0"/>
                <w:color w:val="auto"/>
                <w:kern w:val="28"/>
                <w:sz w:val="24"/>
                <w:highlight w:val="none"/>
              </w:rPr>
              <w:t>：详见</w:t>
            </w:r>
            <w:r>
              <w:rPr>
                <w:rFonts w:hint="eastAsia" w:ascii="仿宋_GB2312" w:hAnsi="仿宋_GB2312" w:eastAsia="仿宋_GB2312" w:cs="仿宋_GB2312"/>
                <w:color w:val="auto"/>
                <w:sz w:val="24"/>
                <w:highlight w:val="none"/>
                <w:u w:val="single"/>
              </w:rPr>
              <w:t>评标办法</w:t>
            </w:r>
            <w:r>
              <w:rPr>
                <w:rFonts w:hint="eastAsia" w:ascii="仿宋_GB2312" w:hAnsi="仿宋_GB2312" w:eastAsia="仿宋_GB2312" w:cs="仿宋_GB2312"/>
                <w:color w:val="auto"/>
                <w:kern w:val="0"/>
                <w:sz w:val="24"/>
                <w:highlight w:val="none"/>
              </w:rPr>
              <w:t>；</w:t>
            </w:r>
          </w:p>
          <w:p w14:paraId="60EA255F">
            <w:pPr>
              <w:spacing w:line="400" w:lineRule="exac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（4）是否需要随样品提交检测报告：☐否；☐是，检测机构的要求</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kern w:val="0"/>
                <w:sz w:val="24"/>
                <w:highlight w:val="none"/>
              </w:rPr>
              <w:t>；检测内容</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kern w:val="0"/>
                <w:sz w:val="24"/>
                <w:highlight w:val="none"/>
              </w:rPr>
              <w:t>。</w:t>
            </w:r>
          </w:p>
          <w:p w14:paraId="38704FE8">
            <w:pPr>
              <w:spacing w:line="40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（5）提供样品的时间：</w:t>
            </w:r>
            <w:r>
              <w:rPr>
                <w:rFonts w:hint="eastAsia" w:ascii="仿宋_GB2312" w:hAnsi="仿宋_GB2312" w:eastAsia="仿宋_GB2312" w:cs="仿宋_GB2312"/>
                <w:color w:val="auto"/>
                <w:kern w:val="0"/>
                <w:sz w:val="24"/>
                <w:highlight w:val="none"/>
              </w:rPr>
              <w:t>；地点：；联系人</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kern w:val="28"/>
                <w:sz w:val="24"/>
                <w:highlight w:val="none"/>
              </w:rPr>
              <w:t>联系电话：</w:t>
            </w:r>
            <w:r>
              <w:rPr>
                <w:rFonts w:hint="eastAsia" w:ascii="仿宋_GB2312" w:hAnsi="仿宋_GB2312" w:eastAsia="仿宋_GB2312" w:cs="仿宋_GB2312"/>
                <w:color w:val="auto"/>
                <w:sz w:val="24"/>
                <w:highlight w:val="none"/>
              </w:rPr>
              <w:t>。请投标人在上述时间内提供样品并按规定位置安装完毕。超过截止时间的，采购人或采购代理机构将不予接收，并将清场并封闭样品现场。</w:t>
            </w:r>
          </w:p>
          <w:p w14:paraId="57A58728">
            <w:pPr>
              <w:spacing w:line="40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2EBC3416">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highlight w:val="none"/>
              </w:rPr>
              <w:t>（7）制作、运输、安装和保管样品所发生的一切费用由投标人自理。</w:t>
            </w:r>
          </w:p>
        </w:tc>
      </w:tr>
      <w:tr w14:paraId="512ECB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000000" w:sz="8" w:space="0"/>
              <w:bottom w:val="single" w:color="auto" w:sz="4" w:space="0"/>
              <w:right w:val="single" w:color="000000" w:sz="2" w:space="0"/>
            </w:tcBorders>
            <w:noWrap w:val="0"/>
            <w:vAlign w:val="center"/>
          </w:tcPr>
          <w:p w14:paraId="71110BF3">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1843" w:type="dxa"/>
            <w:tcBorders>
              <w:top w:val="single" w:color="000000" w:sz="8" w:space="0"/>
              <w:left w:val="single" w:color="000000" w:sz="2" w:space="0"/>
              <w:bottom w:val="single" w:color="000000" w:sz="8" w:space="0"/>
              <w:right w:val="single" w:color="000000" w:sz="8" w:space="0"/>
            </w:tcBorders>
            <w:noWrap w:val="0"/>
            <w:vAlign w:val="center"/>
          </w:tcPr>
          <w:p w14:paraId="334A738A">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noWrap w:val="0"/>
            <w:vAlign w:val="center"/>
          </w:tcPr>
          <w:p w14:paraId="6E879298">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sz w:val="24"/>
                <w:szCs w:val="24"/>
                <w:highlight w:val="none"/>
              </w:rPr>
              <w:t>A不组织。</w:t>
            </w:r>
          </w:p>
          <w:p w14:paraId="4F9125B5">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☐B组织。</w:t>
            </w:r>
          </w:p>
          <w:p w14:paraId="4A906E62">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（1）在评标时安排每个投标人进行方案讲解演示。每个投标人时间不超过</w:t>
            </w:r>
            <w:r>
              <w:rPr>
                <w:rFonts w:hint="eastAsia" w:ascii="仿宋_GB2312" w:hAnsi="仿宋_GB2312" w:eastAsia="仿宋_GB2312" w:cs="仿宋_GB2312"/>
                <w:color w:val="auto"/>
                <w:sz w:val="24"/>
                <w:szCs w:val="24"/>
                <w:highlight w:val="none"/>
                <w:u w:val="single"/>
              </w:rPr>
              <w:t>20（编制时可根据项目情况进行调整）</w:t>
            </w:r>
            <w:r>
              <w:rPr>
                <w:rFonts w:hint="eastAsia" w:ascii="仿宋_GB2312" w:hAnsi="仿宋_GB2312" w:eastAsia="仿宋_GB2312" w:cs="仿宋_GB2312"/>
                <w:color w:val="auto"/>
                <w:sz w:val="24"/>
                <w:szCs w:val="24"/>
                <w:highlight w:val="none"/>
              </w:rPr>
              <w:t>分钟，讲解次序以投标文件解密时间先后次序为准，讲解演示人员不超过</w:t>
            </w:r>
            <w:r>
              <w:rPr>
                <w:rFonts w:hint="eastAsia" w:ascii="仿宋_GB2312" w:hAnsi="仿宋_GB2312" w:eastAsia="仿宋_GB2312" w:cs="仿宋_GB2312"/>
                <w:color w:val="auto"/>
                <w:sz w:val="24"/>
                <w:szCs w:val="24"/>
                <w:highlight w:val="none"/>
                <w:u w:val="single"/>
              </w:rPr>
              <w:t>3（编制时可根据项目情况进行调整）</w:t>
            </w:r>
            <w:r>
              <w:rPr>
                <w:rFonts w:hint="eastAsia" w:ascii="仿宋_GB2312" w:hAnsi="仿宋_GB2312" w:eastAsia="仿宋_GB2312" w:cs="仿宋_GB2312"/>
                <w:color w:val="auto"/>
                <w:sz w:val="24"/>
                <w:szCs w:val="24"/>
                <w:highlight w:val="none"/>
              </w:rPr>
              <w:t>人。讲解演示结束后按要求解答评标委员会提问。</w:t>
            </w:r>
          </w:p>
          <w:p w14:paraId="4E2E5DBD">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（2）方案讲解演示可选择以下其中一种方式：</w:t>
            </w:r>
          </w:p>
          <w:p w14:paraId="03024F6E">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sz w:val="24"/>
                <w:szCs w:val="24"/>
                <w:highlight w:val="none"/>
              </w:rPr>
              <w:t>政采云平台在线讲解演示。政采云平台在线讲解需投标人根据政采云平台操作要求做好准备工作，提前完善软硬件配置环境。</w:t>
            </w:r>
          </w:p>
          <w:p w14:paraId="7A055444">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☐交易中心现场讲解演示。现场讲解地点为，讲解演示所用电脑等设备由投标人自备。现场讲解演示人员进场时提供讲解人员名单（加盖公章）及身份证明，否则不得讲解演示。</w:t>
            </w:r>
          </w:p>
          <w:p w14:paraId="0943302B">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313766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496" w:hRule="atLeast"/>
          <w:tblHeader/>
        </w:trPr>
        <w:tc>
          <w:tcPr>
            <w:tcW w:w="629" w:type="dxa"/>
            <w:tcBorders>
              <w:top w:val="single" w:color="auto" w:sz="4" w:space="0"/>
              <w:left w:val="single" w:color="000000" w:sz="8" w:space="0"/>
              <w:bottom w:val="single" w:color="auto" w:sz="4" w:space="0"/>
              <w:right w:val="single" w:color="000000" w:sz="2" w:space="0"/>
            </w:tcBorders>
            <w:noWrap w:val="0"/>
            <w:vAlign w:val="center"/>
          </w:tcPr>
          <w:p w14:paraId="7D62B55B">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1843" w:type="dxa"/>
            <w:tcBorders>
              <w:top w:val="single" w:color="000000" w:sz="8" w:space="0"/>
              <w:left w:val="single" w:color="000000" w:sz="2" w:space="0"/>
              <w:bottom w:val="single" w:color="000000" w:sz="8" w:space="0"/>
              <w:right w:val="single" w:color="000000" w:sz="8" w:space="0"/>
            </w:tcBorders>
            <w:noWrap w:val="0"/>
            <w:vAlign w:val="center"/>
          </w:tcPr>
          <w:p w14:paraId="7B3E3263">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noWrap w:val="0"/>
            <w:vAlign w:val="center"/>
          </w:tcPr>
          <w:p w14:paraId="1E1C929F">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sz w:val="24"/>
                <w:szCs w:val="24"/>
                <w:highlight w:val="none"/>
              </w:rPr>
              <w:t>本项目不允许采购进口产品。</w:t>
            </w:r>
          </w:p>
          <w:p w14:paraId="40412783">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可以采购进口产品，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14:paraId="6577E6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02" w:hRule="atLeast"/>
          <w:tblHeader/>
        </w:trPr>
        <w:tc>
          <w:tcPr>
            <w:tcW w:w="629" w:type="dxa"/>
            <w:tcBorders>
              <w:top w:val="single" w:color="auto" w:sz="4" w:space="0"/>
              <w:left w:val="single" w:color="000000" w:sz="8" w:space="0"/>
              <w:bottom w:val="single" w:color="auto" w:sz="4" w:space="0"/>
              <w:right w:val="single" w:color="000000" w:sz="2" w:space="0"/>
            </w:tcBorders>
            <w:noWrap w:val="0"/>
            <w:vAlign w:val="center"/>
          </w:tcPr>
          <w:p w14:paraId="4A75FEA9">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1843" w:type="dxa"/>
            <w:tcBorders>
              <w:top w:val="single" w:color="000000" w:sz="8" w:space="0"/>
              <w:left w:val="single" w:color="000000" w:sz="2" w:space="0"/>
              <w:bottom w:val="single" w:color="000000" w:sz="8" w:space="0"/>
              <w:right w:val="single" w:color="000000" w:sz="8" w:space="0"/>
            </w:tcBorders>
            <w:noWrap w:val="0"/>
            <w:vAlign w:val="center"/>
          </w:tcPr>
          <w:p w14:paraId="0AB4B53B">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本国产品</w:t>
            </w:r>
          </w:p>
        </w:tc>
        <w:tc>
          <w:tcPr>
            <w:tcW w:w="6095" w:type="dxa"/>
            <w:tcBorders>
              <w:top w:val="single" w:color="000000" w:sz="8" w:space="0"/>
              <w:left w:val="single" w:color="000000" w:sz="2" w:space="0"/>
              <w:bottom w:val="single" w:color="000000" w:sz="8" w:space="0"/>
              <w:right w:val="single" w:color="000000" w:sz="8" w:space="0"/>
            </w:tcBorders>
            <w:noWrap w:val="0"/>
            <w:vAlign w:val="center"/>
          </w:tcPr>
          <w:p w14:paraId="5E7FCE35">
            <w:pPr>
              <w:keepNext w:val="0"/>
              <w:keepLines w:val="0"/>
              <w:pageBreakBefore w:val="0"/>
              <w:widowControl w:val="0"/>
              <w:kinsoku/>
              <w:wordWrap w:val="0"/>
              <w:overflowPunct/>
              <w:topLinePunct w:val="0"/>
              <w:bidi w:val="0"/>
              <w:adjustRightInd w:val="0"/>
              <w:snapToGrid w:val="0"/>
              <w:spacing w:line="440" w:lineRule="exact"/>
              <w:ind w:left="0" w:leftChars="0" w:right="0" w:rightChars="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kern w:val="0"/>
                <w:sz w:val="24"/>
                <w:highlight w:val="none"/>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08F1664">
            <w:pPr>
              <w:keepNext w:val="0"/>
              <w:keepLines w:val="0"/>
              <w:pageBreakBefore w:val="0"/>
              <w:widowControl w:val="0"/>
              <w:kinsoku/>
              <w:wordWrap w:val="0"/>
              <w:overflowPunct/>
              <w:topLinePunct w:val="0"/>
              <w:bidi w:val="0"/>
              <w:adjustRightInd w:val="0"/>
              <w:snapToGrid w:val="0"/>
              <w:spacing w:line="440" w:lineRule="exact"/>
              <w:ind w:left="0" w:leftChars="0" w:right="0" w:rightChars="0"/>
              <w:jc w:val="left"/>
              <w:rPr>
                <w:rFonts w:hint="default" w:ascii="仿宋_GB2312" w:hAnsi="仿宋_GB2312" w:eastAsia="仿宋_GB2312" w:cs="仿宋_GB2312"/>
                <w:color w:val="auto"/>
                <w:szCs w:val="24"/>
                <w:highlight w:val="none"/>
                <w:lang w:val="en-US"/>
              </w:rPr>
            </w:pPr>
            <w:r>
              <w:rPr>
                <w:rFonts w:hint="eastAsia" w:ascii="仿宋" w:hAnsi="仿宋" w:eastAsia="仿宋" w:cs="仿宋"/>
                <w:color w:val="auto"/>
                <w:kern w:val="0"/>
                <w:sz w:val="24"/>
                <w:highlight w:val="none"/>
                <w:lang w:eastAsia="zh-CN"/>
              </w:rPr>
              <w:sym w:font="Wingdings 2" w:char="00A3"/>
            </w:r>
            <w:r>
              <w:rPr>
                <w:rFonts w:hint="eastAsia" w:ascii="仿宋_GB2312" w:hAnsi="仿宋_GB2312" w:eastAsia="仿宋_GB2312" w:cs="仿宋_GB2312"/>
                <w:color w:val="auto"/>
                <w:kern w:val="0"/>
                <w:sz w:val="24"/>
                <w:highlight w:val="none"/>
              </w:rPr>
              <w:t>不适用。</w:t>
            </w:r>
          </w:p>
        </w:tc>
      </w:tr>
      <w:tr w14:paraId="564A70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noWrap w:val="0"/>
            <w:vAlign w:val="center"/>
          </w:tcPr>
          <w:p w14:paraId="124776D2">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1843" w:type="dxa"/>
            <w:tcBorders>
              <w:top w:val="single" w:color="000000" w:sz="8" w:space="0"/>
              <w:left w:val="single" w:color="000000" w:sz="2" w:space="0"/>
              <w:bottom w:val="single" w:color="000000" w:sz="8" w:space="0"/>
              <w:right w:val="single" w:color="000000" w:sz="8" w:space="0"/>
            </w:tcBorders>
            <w:shd w:val="clear" w:color="auto" w:fill="auto"/>
            <w:noWrap w:val="0"/>
            <w:vAlign w:val="center"/>
          </w:tcPr>
          <w:p w14:paraId="7809B9DD">
            <w:pPr>
              <w:spacing w:line="400" w:lineRule="exact"/>
              <w:contextualSpacing/>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项目属性与核心产品</w:t>
            </w:r>
          </w:p>
        </w:tc>
        <w:tc>
          <w:tcPr>
            <w:tcW w:w="6095" w:type="dxa"/>
            <w:tcBorders>
              <w:top w:val="single" w:color="000000" w:sz="8" w:space="0"/>
              <w:left w:val="single" w:color="000000" w:sz="2" w:space="0"/>
              <w:bottom w:val="single" w:color="000000" w:sz="8" w:space="0"/>
              <w:right w:val="single" w:color="000000" w:sz="8" w:space="0"/>
            </w:tcBorders>
            <w:shd w:val="clear" w:color="auto" w:fill="auto"/>
            <w:noWrap w:val="0"/>
            <w:vAlign w:val="center"/>
          </w:tcPr>
          <w:p w14:paraId="4135A64C">
            <w:pPr>
              <w:pStyle w:val="2"/>
              <w:ind w:left="0" w:leftChars="0" w:firstLine="0" w:firstLineChars="0"/>
              <w:rPr>
                <w:rFonts w:hint="default"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Cs w:val="24"/>
                <w:highlight w:val="none"/>
              </w:rPr>
              <w:t>货物类，单一产品或核心产品为：</w:t>
            </w:r>
            <w:r>
              <w:rPr>
                <w:rFonts w:hint="eastAsia" w:ascii="仿宋_GB2312" w:hAnsi="仿宋_GB2312" w:eastAsia="仿宋_GB2312" w:cs="仿宋_GB2312"/>
                <w:color w:val="000000"/>
                <w:sz w:val="24"/>
                <w:szCs w:val="24"/>
                <w:highlight w:val="none"/>
                <w:u w:val="single"/>
                <w:lang w:eastAsia="zh-CN"/>
              </w:rPr>
              <w:t>办公</w:t>
            </w:r>
            <w:r>
              <w:rPr>
                <w:rFonts w:hint="eastAsia" w:ascii="仿宋_GB2312" w:hAnsi="仿宋_GB2312" w:eastAsia="仿宋_GB2312" w:cs="仿宋_GB2312"/>
                <w:color w:val="000000"/>
                <w:sz w:val="24"/>
                <w:szCs w:val="24"/>
                <w:highlight w:val="none"/>
                <w:u w:val="single"/>
              </w:rPr>
              <w:t>台式电脑</w:t>
            </w:r>
            <w:r>
              <w:rPr>
                <w:rFonts w:hint="eastAsia" w:ascii="仿宋_GB2312" w:hAnsi="仿宋_GB2312" w:eastAsia="仿宋_GB2312" w:cs="仿宋_GB2312"/>
                <w:color w:val="auto"/>
                <w:szCs w:val="24"/>
                <w:highlight w:val="none"/>
                <w:u w:val="single"/>
                <w:lang w:val="en-US" w:eastAsia="zh-CN"/>
              </w:rPr>
              <w:t xml:space="preserve"> </w:t>
            </w:r>
          </w:p>
        </w:tc>
      </w:tr>
      <w:tr w14:paraId="22B566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noWrap w:val="0"/>
            <w:vAlign w:val="center"/>
          </w:tcPr>
          <w:p w14:paraId="75C2309B">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1843" w:type="dxa"/>
            <w:tcBorders>
              <w:top w:val="single" w:color="000000" w:sz="8" w:space="0"/>
              <w:left w:val="single" w:color="000000" w:sz="2" w:space="0"/>
              <w:bottom w:val="single" w:color="000000" w:sz="8" w:space="0"/>
              <w:right w:val="single" w:color="000000" w:sz="8" w:space="0"/>
            </w:tcBorders>
            <w:shd w:val="clear" w:color="auto" w:fill="auto"/>
            <w:noWrap w:val="0"/>
            <w:vAlign w:val="center"/>
          </w:tcPr>
          <w:p w14:paraId="542944DC">
            <w:pPr>
              <w:spacing w:line="400" w:lineRule="exact"/>
              <w:contextualSpacing/>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采购标的对应的中小企业划分标准所属行业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shd w:val="clear" w:color="auto" w:fill="auto"/>
            <w:noWrap w:val="0"/>
            <w:vAlign w:val="center"/>
          </w:tcPr>
          <w:p w14:paraId="4A836E22">
            <w:pPr>
              <w:snapToGrid w:val="0"/>
              <w:spacing w:line="360" w:lineRule="auto"/>
              <w:rPr>
                <w:rFonts w:hint="eastAsia" w:ascii="仿宋_GB2312" w:hAnsi="仿宋_GB2312" w:eastAsia="仿宋_GB2312" w:cs="仿宋_GB2312"/>
                <w:color w:val="auto"/>
                <w:kern w:val="2"/>
                <w:sz w:val="24"/>
                <w:szCs w:val="22"/>
                <w:highlight w:val="none"/>
                <w:lang w:val="en-US" w:eastAsia="zh-CN" w:bidi="ar-SA"/>
              </w:rPr>
            </w:pPr>
            <w:r>
              <w:rPr>
                <w:rFonts w:hint="eastAsia" w:ascii="仿宋_GB2312" w:hAnsi="仿宋_GB2312" w:eastAsia="仿宋_GB2312" w:cs="仿宋_GB2312"/>
                <w:color w:val="auto"/>
                <w:sz w:val="24"/>
                <w:highlight w:val="none"/>
              </w:rPr>
              <w:t>采购标的：</w:t>
            </w:r>
            <w:r>
              <w:rPr>
                <w:rFonts w:hint="eastAsia" w:ascii="仿宋_GB2312" w:hAnsi="仿宋_GB2312" w:eastAsia="仿宋_GB2312" w:cs="仿宋_GB2312"/>
                <w:color w:val="auto"/>
                <w:sz w:val="24"/>
                <w:highlight w:val="none"/>
                <w:u w:val="single"/>
              </w:rPr>
              <w:t>详见采购需求</w:t>
            </w:r>
            <w:r>
              <w:rPr>
                <w:rFonts w:hint="eastAsia" w:ascii="仿宋_GB2312" w:hAnsi="仿宋_GB2312" w:eastAsia="仿宋_GB2312" w:cs="仿宋_GB2312"/>
                <w:color w:val="auto"/>
                <w:sz w:val="24"/>
                <w:highlight w:val="none"/>
              </w:rPr>
              <w:t>，所属行业：</w:t>
            </w:r>
            <w:r>
              <w:rPr>
                <w:rFonts w:hint="eastAsia" w:ascii="仿宋_GB2312" w:hAnsi="仿宋_GB2312" w:eastAsia="仿宋_GB2312" w:cs="仿宋_GB2312"/>
                <w:color w:val="auto"/>
                <w:sz w:val="24"/>
                <w:highlight w:val="none"/>
                <w:u w:val="single"/>
              </w:rPr>
              <w:t>详见采购需求</w:t>
            </w:r>
            <w:r>
              <w:rPr>
                <w:rFonts w:hint="eastAsia" w:ascii="仿宋_GB2312" w:hAnsi="仿宋_GB2312" w:eastAsia="仿宋_GB2312" w:cs="仿宋_GB2312"/>
                <w:color w:val="auto"/>
                <w:sz w:val="24"/>
                <w:highlight w:val="none"/>
              </w:rPr>
              <w:t>。</w:t>
            </w:r>
          </w:p>
        </w:tc>
      </w:tr>
      <w:tr w14:paraId="0FAF6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041" w:hRule="atLeast"/>
          <w:tblHeader/>
        </w:trPr>
        <w:tc>
          <w:tcPr>
            <w:tcW w:w="629" w:type="dxa"/>
            <w:tcBorders>
              <w:top w:val="single" w:color="auto" w:sz="4" w:space="0"/>
              <w:left w:val="single" w:color="000000" w:sz="8" w:space="0"/>
              <w:right w:val="single" w:color="000000" w:sz="2" w:space="0"/>
            </w:tcBorders>
            <w:noWrap w:val="0"/>
            <w:vAlign w:val="center"/>
          </w:tcPr>
          <w:p w14:paraId="0E9B5837">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1843" w:type="dxa"/>
            <w:tcBorders>
              <w:top w:val="single" w:color="000000" w:sz="8" w:space="0"/>
              <w:left w:val="single" w:color="000000" w:sz="2" w:space="0"/>
              <w:right w:val="single" w:color="000000" w:sz="8" w:space="0"/>
            </w:tcBorders>
            <w:shd w:val="clear" w:color="auto" w:fill="auto"/>
            <w:noWrap w:val="0"/>
            <w:vAlign w:val="center"/>
          </w:tcPr>
          <w:p w14:paraId="3EC4D744">
            <w:pPr>
              <w:spacing w:line="400" w:lineRule="exact"/>
              <w:contextualSpacing/>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shd w:val="clear" w:color="auto" w:fill="auto"/>
            <w:noWrap w:val="0"/>
            <w:vAlign w:val="center"/>
          </w:tcPr>
          <w:p w14:paraId="56B0C918">
            <w:pPr>
              <w:spacing w:line="400" w:lineRule="exact"/>
              <w:ind w:firstLine="42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sz w:val="24"/>
                <w:szCs w:val="24"/>
                <w:highlight w:val="none"/>
              </w:rPr>
              <w:t>依据国家确定的认证机构出具的、处于有效期之内的节能产品认证证书，对获得证书的产品实施政府优先采购或强制采购；其中，</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sz w:val="24"/>
                <w:szCs w:val="24"/>
                <w:highlight w:val="none"/>
              </w:rPr>
              <w:t>对</w:t>
            </w:r>
            <w:r>
              <w:rPr>
                <w:rFonts w:hint="eastAsia" w:ascii="仿宋_GB2312" w:hAnsi="仿宋_GB2312" w:eastAsia="仿宋_GB2312" w:cs="仿宋_GB2312"/>
                <w:b/>
                <w:bCs/>
                <w:color w:val="auto"/>
                <w:sz w:val="24"/>
                <w:szCs w:val="24"/>
                <w:highlight w:val="none"/>
                <w:u w:val="single"/>
                <w:lang w:val="en-US" w:eastAsia="zh-CN"/>
              </w:rPr>
              <w:t xml:space="preserve">   /    </w:t>
            </w:r>
            <w:r>
              <w:rPr>
                <w:rFonts w:hint="eastAsia" w:ascii="仿宋_GB2312" w:hAnsi="仿宋_GB2312" w:eastAsia="仿宋_GB2312" w:cs="仿宋_GB2312"/>
                <w:color w:val="auto"/>
                <w:sz w:val="24"/>
                <w:szCs w:val="24"/>
                <w:highlight w:val="none"/>
              </w:rPr>
              <w:t>实施政府优先采购，详见评分标准；</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sz w:val="24"/>
                <w:szCs w:val="24"/>
                <w:highlight w:val="none"/>
              </w:rPr>
              <w:t>▲对</w:t>
            </w:r>
            <w:r>
              <w:rPr>
                <w:rFonts w:hint="eastAsia" w:ascii="仿宋_GB2312" w:hAnsi="仿宋_GB2312" w:eastAsia="仿宋_GB2312" w:cs="仿宋_GB2312"/>
                <w:b/>
                <w:bCs/>
                <w:color w:val="FF000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eastAsia="zh-CN"/>
              </w:rPr>
              <w:t>办公</w:t>
            </w:r>
            <w:r>
              <w:rPr>
                <w:rFonts w:hint="eastAsia" w:ascii="仿宋_GB2312" w:hAnsi="仿宋_GB2312" w:eastAsia="仿宋_GB2312" w:cs="仿宋_GB2312"/>
                <w:color w:val="auto"/>
                <w:sz w:val="24"/>
                <w:szCs w:val="24"/>
                <w:highlight w:val="none"/>
                <w:u w:val="single"/>
              </w:rPr>
              <w:t>台式电脑</w:t>
            </w:r>
            <w:r>
              <w:rPr>
                <w:rFonts w:hint="eastAsia" w:ascii="仿宋_GB2312" w:hAnsi="仿宋_GB2312" w:eastAsia="仿宋_GB2312" w:cs="仿宋_GB2312"/>
                <w:color w:val="auto"/>
                <w:sz w:val="24"/>
                <w:szCs w:val="24"/>
                <w:highlight w:val="none"/>
                <w:u w:val="single"/>
                <w:lang w:eastAsia="zh-CN"/>
              </w:rPr>
              <w:t>、办公台式电脑显示器</w:t>
            </w:r>
            <w:r>
              <w:rPr>
                <w:rFonts w:hint="eastAsia" w:ascii="仿宋_GB2312" w:hAnsi="仿宋_GB2312" w:eastAsia="仿宋_GB2312" w:cs="仿宋_GB2312"/>
                <w:color w:val="auto"/>
                <w:sz w:val="24"/>
                <w:szCs w:val="24"/>
                <w:highlight w:val="none"/>
              </w:rPr>
              <w:t>实施政府强制采购，投标人就相应的投标产品未提供国家确定的认证机构出具的、处于有效期之内的节能产品认证证书的，投标无效。</w:t>
            </w:r>
          </w:p>
          <w:p w14:paraId="37E054DA">
            <w:pPr>
              <w:spacing w:line="400" w:lineRule="exact"/>
              <w:ind w:firstLine="42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sz w:val="24"/>
                <w:szCs w:val="24"/>
                <w:highlight w:val="none"/>
              </w:rPr>
              <w:t>依据国家确定的认证机构出具的、处于有效期之内的环境标志产品认证证书，对获得证书的</w:t>
            </w:r>
            <w:r>
              <w:rPr>
                <w:rFonts w:hint="eastAsia" w:ascii="仿宋_GB2312" w:hAnsi="仿宋_GB2312" w:eastAsia="仿宋_GB2312" w:cs="仿宋_GB2312"/>
                <w:color w:val="auto"/>
                <w:sz w:val="24"/>
                <w:szCs w:val="24"/>
                <w:highlight w:val="none"/>
                <w:u w:val="single"/>
                <w:lang w:eastAsia="zh-CN"/>
              </w:rPr>
              <w:t>办公</w:t>
            </w:r>
            <w:r>
              <w:rPr>
                <w:rFonts w:hint="eastAsia" w:ascii="仿宋_GB2312" w:hAnsi="仿宋_GB2312" w:eastAsia="仿宋_GB2312" w:cs="仿宋_GB2312"/>
                <w:color w:val="auto"/>
                <w:sz w:val="24"/>
                <w:szCs w:val="24"/>
                <w:highlight w:val="none"/>
                <w:u w:val="single"/>
              </w:rPr>
              <w:t>台式电脑</w:t>
            </w:r>
            <w:r>
              <w:rPr>
                <w:rFonts w:hint="eastAsia" w:ascii="仿宋_GB2312" w:hAnsi="仿宋_GB2312" w:eastAsia="仿宋_GB2312" w:cs="仿宋_GB2312"/>
                <w:color w:val="auto"/>
                <w:sz w:val="24"/>
                <w:szCs w:val="24"/>
                <w:highlight w:val="none"/>
                <w:u w:val="single"/>
                <w:lang w:eastAsia="zh-CN"/>
              </w:rPr>
              <w:t>、办公台式电脑显示器</w:t>
            </w:r>
            <w:r>
              <w:rPr>
                <w:rFonts w:hint="eastAsia" w:ascii="仿宋_GB2312" w:hAnsi="仿宋_GB2312" w:eastAsia="仿宋_GB2312" w:cs="仿宋_GB2312"/>
                <w:color w:val="auto"/>
                <w:sz w:val="24"/>
                <w:szCs w:val="24"/>
                <w:highlight w:val="none"/>
              </w:rPr>
              <w:t>实施政府优先采购，详见评分标准。</w:t>
            </w:r>
          </w:p>
          <w:p w14:paraId="6B95CEF9">
            <w:pPr>
              <w:spacing w:line="400" w:lineRule="exact"/>
              <w:ind w:firstLine="480" w:firstLineChars="200"/>
              <w:contextualSpacing/>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☐无。</w:t>
            </w:r>
          </w:p>
        </w:tc>
      </w:tr>
      <w:tr w14:paraId="206D86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20" w:hRule="atLeast"/>
          <w:tblHeader/>
        </w:trPr>
        <w:tc>
          <w:tcPr>
            <w:tcW w:w="629" w:type="dxa"/>
            <w:tcBorders>
              <w:top w:val="single" w:color="auto" w:sz="4" w:space="0"/>
              <w:left w:val="single" w:color="000000" w:sz="8" w:space="0"/>
              <w:bottom w:val="single" w:color="auto" w:sz="4" w:space="0"/>
              <w:right w:val="single" w:color="000000" w:sz="2" w:space="0"/>
            </w:tcBorders>
            <w:noWrap w:val="0"/>
            <w:vAlign w:val="center"/>
          </w:tcPr>
          <w:p w14:paraId="7E59437D">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p>
        </w:tc>
        <w:tc>
          <w:tcPr>
            <w:tcW w:w="1843" w:type="dxa"/>
            <w:tcBorders>
              <w:top w:val="single" w:color="000000" w:sz="8" w:space="0"/>
              <w:left w:val="single" w:color="000000" w:sz="2" w:space="0"/>
              <w:bottom w:val="single" w:color="000000" w:sz="8" w:space="0"/>
              <w:right w:val="single" w:color="000000" w:sz="8" w:space="0"/>
            </w:tcBorders>
            <w:shd w:val="clear" w:color="auto" w:fill="auto"/>
            <w:noWrap w:val="0"/>
            <w:vAlign w:val="center"/>
          </w:tcPr>
          <w:p w14:paraId="41445622">
            <w:pPr>
              <w:spacing w:line="400" w:lineRule="exact"/>
              <w:contextualSpacing/>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政采贷</w:t>
            </w:r>
          </w:p>
        </w:tc>
        <w:tc>
          <w:tcPr>
            <w:tcW w:w="6095" w:type="dxa"/>
            <w:tcBorders>
              <w:top w:val="single" w:color="000000" w:sz="8" w:space="0"/>
              <w:left w:val="single" w:color="000000" w:sz="2" w:space="0"/>
              <w:bottom w:val="single" w:color="000000" w:sz="8" w:space="0"/>
              <w:right w:val="single" w:color="000000" w:sz="8" w:space="0"/>
            </w:tcBorders>
            <w:shd w:val="clear" w:color="auto" w:fill="auto"/>
            <w:noWrap w:val="0"/>
            <w:vAlign w:val="center"/>
          </w:tcPr>
          <w:p w14:paraId="201027F3">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为有效破解当前中小微企业面临的“融资难、融资贵”困局，充分发挥好政府采购扶持小微企业发展的政策功能，属于舟山市内的各中小企业可凭政府采购项目中标通知书等材料向舟山市政府采购信用融资合作银行申请相关融资产品,有关的合作银行详见附件。</w:t>
            </w:r>
          </w:p>
          <w:p w14:paraId="36B3F7F7">
            <w:pPr>
              <w:pStyle w:val="12"/>
              <w:spacing w:line="400" w:lineRule="exac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（2）供应商中标后也可在“政采云”平台申请政采贷：操作路径：登录政采云平台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5FF193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noWrap w:val="0"/>
            <w:vAlign w:val="center"/>
          </w:tcPr>
          <w:p w14:paraId="76467FEF">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p>
        </w:tc>
        <w:tc>
          <w:tcPr>
            <w:tcW w:w="1843" w:type="dxa"/>
            <w:tcBorders>
              <w:top w:val="single" w:color="000000" w:sz="8" w:space="0"/>
              <w:left w:val="single" w:color="000000" w:sz="2" w:space="0"/>
              <w:bottom w:val="single" w:color="000000" w:sz="8" w:space="0"/>
              <w:right w:val="single" w:color="000000" w:sz="8" w:space="0"/>
            </w:tcBorders>
            <w:shd w:val="clear" w:color="auto" w:fill="auto"/>
            <w:noWrap w:val="0"/>
            <w:vAlign w:val="center"/>
          </w:tcPr>
          <w:p w14:paraId="0384A2E4">
            <w:pPr>
              <w:spacing w:line="400" w:lineRule="exact"/>
              <w:contextualSpacing/>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备份投标文件送达地点和签收人员</w:t>
            </w:r>
          </w:p>
        </w:tc>
        <w:tc>
          <w:tcPr>
            <w:tcW w:w="6095" w:type="dxa"/>
            <w:tcBorders>
              <w:top w:val="single" w:color="000000" w:sz="8" w:space="0"/>
              <w:left w:val="single" w:color="000000" w:sz="2" w:space="0"/>
              <w:bottom w:val="single" w:color="000000" w:sz="8" w:space="0"/>
              <w:right w:val="single" w:color="000000" w:sz="8" w:space="0"/>
            </w:tcBorders>
            <w:shd w:val="clear" w:color="auto" w:fill="auto"/>
            <w:noWrap w:val="0"/>
            <w:vAlign w:val="center"/>
          </w:tcPr>
          <w:p w14:paraId="07D70098">
            <w:pPr>
              <w:spacing w:line="400" w:lineRule="exact"/>
              <w:contextualSpacing/>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备份投标文件的送达地点和签收人员详见招标文件第二部分15.3；15.4。采购人、采购代理机构不强制或变相强制投标人提交备份投标文件。</w:t>
            </w:r>
          </w:p>
        </w:tc>
      </w:tr>
      <w:tr w14:paraId="466677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10" w:hRule="atLeast"/>
          <w:tblHeader/>
        </w:trPr>
        <w:tc>
          <w:tcPr>
            <w:tcW w:w="629" w:type="dxa"/>
            <w:tcBorders>
              <w:top w:val="single" w:color="auto" w:sz="4" w:space="0"/>
              <w:left w:val="single" w:color="auto" w:sz="4" w:space="0"/>
              <w:bottom w:val="single" w:color="auto" w:sz="4" w:space="0"/>
              <w:right w:val="single" w:color="000000" w:sz="2" w:space="0"/>
            </w:tcBorders>
            <w:noWrap w:val="0"/>
            <w:vAlign w:val="center"/>
          </w:tcPr>
          <w:p w14:paraId="39CE5919">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w:t>
            </w:r>
          </w:p>
        </w:tc>
        <w:tc>
          <w:tcPr>
            <w:tcW w:w="1843" w:type="dxa"/>
            <w:tcBorders>
              <w:top w:val="single" w:color="000000" w:sz="8" w:space="0"/>
              <w:left w:val="single" w:color="000000" w:sz="2" w:space="0"/>
              <w:bottom w:val="single" w:color="auto" w:sz="4" w:space="0"/>
              <w:right w:val="single" w:color="000000" w:sz="8" w:space="0"/>
            </w:tcBorders>
            <w:shd w:val="clear" w:color="auto" w:fill="auto"/>
            <w:noWrap w:val="0"/>
            <w:vAlign w:val="center"/>
          </w:tcPr>
          <w:p w14:paraId="11481FCE">
            <w:pPr>
              <w:spacing w:line="400" w:lineRule="exact"/>
              <w:contextualSpacing/>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履约保证金</w:t>
            </w:r>
          </w:p>
        </w:tc>
        <w:tc>
          <w:tcPr>
            <w:tcW w:w="6095" w:type="dxa"/>
            <w:tcBorders>
              <w:top w:val="single" w:color="000000" w:sz="8" w:space="0"/>
              <w:left w:val="single" w:color="000000" w:sz="2" w:space="0"/>
              <w:bottom w:val="single" w:color="auto" w:sz="4" w:space="0"/>
              <w:right w:val="single" w:color="000000" w:sz="8" w:space="0"/>
            </w:tcBorders>
            <w:shd w:val="clear" w:color="auto" w:fill="auto"/>
            <w:noWrap w:val="0"/>
            <w:vAlign w:val="center"/>
          </w:tcPr>
          <w:p w14:paraId="07704EF2">
            <w:pPr>
              <w:spacing w:line="400" w:lineRule="exact"/>
              <w:contextualSpacing/>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 xml:space="preserve">是否需要履约保证金: </w:t>
            </w:r>
            <w:r>
              <w:rPr>
                <w:rFonts w:hint="eastAsia" w:ascii="仿宋_GB2312" w:hAnsi="仿宋_GB2312" w:eastAsia="仿宋_GB2312" w:cs="仿宋_GB2312"/>
                <w:color w:val="auto"/>
                <w:sz w:val="24"/>
                <w:szCs w:val="24"/>
                <w:highlight w:val="none"/>
              </w:rPr>
              <w:sym w:font="Wingdings" w:char="00A8"/>
            </w:r>
            <w:r>
              <w:rPr>
                <w:rFonts w:hint="eastAsia" w:ascii="仿宋_GB2312" w:hAnsi="仿宋_GB2312" w:eastAsia="仿宋_GB2312" w:cs="仿宋_GB2312"/>
                <w:color w:val="auto"/>
                <w:sz w:val="24"/>
                <w:szCs w:val="24"/>
                <w:highlight w:val="none"/>
              </w:rPr>
              <w:t>是</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sz w:val="24"/>
                <w:szCs w:val="24"/>
                <w:highlight w:val="none"/>
              </w:rPr>
              <w:t>否</w:t>
            </w:r>
          </w:p>
        </w:tc>
      </w:tr>
      <w:tr w14:paraId="58AC05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88" w:hRule="atLeast"/>
          <w:tblHeader/>
        </w:trPr>
        <w:tc>
          <w:tcPr>
            <w:tcW w:w="629" w:type="dxa"/>
            <w:tcBorders>
              <w:top w:val="single" w:color="auto" w:sz="4" w:space="0"/>
              <w:left w:val="single" w:color="auto" w:sz="4" w:space="0"/>
              <w:bottom w:val="single" w:color="auto" w:sz="4" w:space="0"/>
              <w:right w:val="single" w:color="000000" w:sz="2" w:space="0"/>
            </w:tcBorders>
            <w:noWrap w:val="0"/>
            <w:vAlign w:val="center"/>
          </w:tcPr>
          <w:p w14:paraId="4B3A68AB">
            <w:pPr>
              <w:spacing w:line="400" w:lineRule="exact"/>
              <w:contextualSpacing/>
              <w:jc w:val="center"/>
              <w:rPr>
                <w:rFonts w:hint="default" w:ascii="仿宋_GB2312" w:hAnsi="仿宋_GB2312" w:eastAsia="仿宋_GB2312" w:cs="仿宋_GB2312"/>
                <w:color w:val="auto"/>
                <w:sz w:val="24"/>
                <w:szCs w:val="24"/>
                <w:highlight w:val="none"/>
                <w:lang w:val="en-US" w:eastAsia="zh-CN"/>
              </w:rPr>
            </w:pPr>
            <w:bookmarkStart w:id="11" w:name="_Toc164416483"/>
            <w:bookmarkStart w:id="12" w:name="第三部分"/>
            <w:r>
              <w:rPr>
                <w:rFonts w:hint="eastAsia" w:ascii="仿宋_GB2312" w:hAnsi="仿宋_GB2312" w:eastAsia="仿宋_GB2312" w:cs="仿宋_GB2312"/>
                <w:color w:val="auto"/>
                <w:sz w:val="24"/>
                <w:szCs w:val="24"/>
                <w:highlight w:val="none"/>
                <w:lang w:val="en-US" w:eastAsia="zh-CN"/>
              </w:rPr>
              <w:t>15</w:t>
            </w:r>
          </w:p>
        </w:tc>
        <w:tc>
          <w:tcPr>
            <w:tcW w:w="1843" w:type="dxa"/>
            <w:tcBorders>
              <w:top w:val="single" w:color="auto" w:sz="4" w:space="0"/>
              <w:left w:val="single" w:color="000000" w:sz="2" w:space="0"/>
              <w:bottom w:val="single" w:color="000000" w:sz="8" w:space="0"/>
              <w:right w:val="single" w:color="000000" w:sz="8" w:space="0"/>
            </w:tcBorders>
            <w:shd w:val="clear" w:color="auto" w:fill="auto"/>
            <w:noWrap w:val="0"/>
            <w:vAlign w:val="center"/>
          </w:tcPr>
          <w:p w14:paraId="6B6B4302">
            <w:pPr>
              <w:spacing w:line="400" w:lineRule="exact"/>
              <w:contextualSpacing/>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特别说明</w:t>
            </w:r>
          </w:p>
        </w:tc>
        <w:tc>
          <w:tcPr>
            <w:tcW w:w="6095" w:type="dxa"/>
            <w:tcBorders>
              <w:top w:val="single" w:color="auto" w:sz="4" w:space="0"/>
              <w:left w:val="single" w:color="000000" w:sz="2" w:space="0"/>
              <w:bottom w:val="single" w:color="000000" w:sz="8" w:space="0"/>
              <w:right w:val="single" w:color="000000" w:sz="8" w:space="0"/>
            </w:tcBorders>
            <w:shd w:val="clear" w:color="auto" w:fill="auto"/>
            <w:noWrap w:val="0"/>
            <w:vAlign w:val="center"/>
          </w:tcPr>
          <w:p w14:paraId="36DF098B">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联合体投标的，联合体各方分别提供与联合体协议中规定的分工内容相应的业绩证明材料，业绩数量以提供材料较少的一方为准。</w:t>
            </w:r>
          </w:p>
          <w:p w14:paraId="642E7805">
            <w:pPr>
              <w:spacing w:line="400" w:lineRule="exac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b/>
                <w:bCs/>
                <w:color w:val="auto"/>
                <w:sz w:val="24"/>
                <w:szCs w:val="24"/>
                <w:highlight w:val="none"/>
              </w:rPr>
              <w:t>联合体投标的，联合体各方均需按招标文件第四部分评标办法提供资信证明文件，否则视为不符合相关要求。</w:t>
            </w:r>
          </w:p>
          <w:p w14:paraId="0340EC3A">
            <w:pPr>
              <w:pStyle w:val="12"/>
              <w:spacing w:line="400" w:lineRule="exact"/>
              <w:rPr>
                <w:rFonts w:hint="eastAsia" w:ascii="Calibri" w:hAnsi="Calibri" w:eastAsia="宋体" w:cs="宋体"/>
                <w:color w:val="auto"/>
                <w:kern w:val="2"/>
                <w:sz w:val="21"/>
                <w:szCs w:val="22"/>
                <w:highlight w:val="none"/>
                <w:lang w:val="en-US" w:eastAsia="zh-CN" w:bidi="ar-SA"/>
              </w:rPr>
            </w:pP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color w:val="auto"/>
                <w:sz w:val="24"/>
                <w:szCs w:val="24"/>
                <w:highlight w:val="none"/>
              </w:rPr>
              <w:t>联合体投标的，联合体中有一方或者联合体成员根据分工按招标文件第四部分评标办法提供资信证明文件的，视为符合了相关要求。</w:t>
            </w:r>
          </w:p>
        </w:tc>
      </w:tr>
      <w:bookmarkEnd w:id="10"/>
    </w:tbl>
    <w:p w14:paraId="3271343D">
      <w:pPr>
        <w:spacing w:line="420" w:lineRule="exact"/>
        <w:ind w:firstLine="472" w:firstLineChars="196"/>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一、总则</w:t>
      </w:r>
    </w:p>
    <w:p w14:paraId="55D4E978">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1.适用范围</w:t>
      </w:r>
    </w:p>
    <w:p w14:paraId="74544910">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本招标文件适用于该项目的招标、投标、开标、资格审查及信用信息查询、评标、定标、合同、验收等行为（法律、法规另有规定的，从其规定）。</w:t>
      </w:r>
    </w:p>
    <w:p w14:paraId="4C1C112A">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2.定义</w:t>
      </w:r>
    </w:p>
    <w:p w14:paraId="283EE244">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 “采购人”系指招标公告中载明的本项目的采购人。</w:t>
      </w:r>
    </w:p>
    <w:p w14:paraId="11AC8D54">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 “采购代理机构”系指招标公告中载明的本项目的采购代理机构。</w:t>
      </w:r>
    </w:p>
    <w:p w14:paraId="5C3ABA46">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 “投标人”系指是指响应招标、参加投标竞争的法人、其他组织或者自然人。</w:t>
      </w:r>
    </w:p>
    <w:p w14:paraId="6498B17A">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2.4 “负责人”系指法人企业的法定负责人，或其他组织为法律、行政法规规定代表单位行使职权的主要负责人，或自然人本人。</w:t>
      </w:r>
    </w:p>
    <w:p w14:paraId="2F5BDD20">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5931B608">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2.6“电子交易平台”是指本项目政府采购活动所依托的政府采购云平台（https://www.zcygov.cn/）。</w:t>
      </w:r>
    </w:p>
    <w:p w14:paraId="792B3D61">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2.7 “▲”系指实质性要求条款，“</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 w:val="24"/>
          <w:szCs w:val="24"/>
          <w:highlight w:val="none"/>
        </w:rPr>
        <w:t>”系产品采购项目中单一产品或核心产品，“</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sz w:val="24"/>
          <w:szCs w:val="24"/>
          <w:highlight w:val="none"/>
        </w:rPr>
        <w:t>”系指适用本项目的要求，“☐”系指不适用本项目的要求。</w:t>
      </w:r>
    </w:p>
    <w:p w14:paraId="141E31A2">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 采购项目需要落实的政府采购政策</w:t>
      </w:r>
    </w:p>
    <w:p w14:paraId="16873923">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p>
    <w:p w14:paraId="2B8B2E7F">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 支持绿色发展。</w:t>
      </w:r>
    </w:p>
    <w:p w14:paraId="37909BFC">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14:paraId="0BCC92C1">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3.2.2 修缮、装修类项目采购建材的，采购人应将绿色建筑和绿色建材性能、指标等作为实质性条件纳入招标文件和合同。</w:t>
      </w:r>
    </w:p>
    <w:p w14:paraId="42172BC0">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7D202E90">
      <w:pPr>
        <w:pStyle w:val="12"/>
        <w:spacing w:line="42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3.2.4 鼓励供应商在参加政府采购过程中开展绿色设计、选择绿色材料、打造绿色制造工艺、开展绿色运输、做好废弃产品回收处理，实现产品全周期的绿色环保。鼓励采购单位对其提高预付款比例、免收履约保证金。</w:t>
      </w:r>
    </w:p>
    <w:p w14:paraId="06C68236">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3.3支持中小企业发展</w:t>
      </w:r>
    </w:p>
    <w:p w14:paraId="76EB2C46">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189E3E1D">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符合中小企业划分标准的个体工商户，在政府采购活动中视同中小企业。</w:t>
      </w:r>
    </w:p>
    <w:p w14:paraId="00659E21">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3.3.2在政府采购活动中，投标人提供的货物、工程或者服务符合下列情形的，享受中小企业扶持政策：</w:t>
      </w:r>
    </w:p>
    <w:p w14:paraId="1D55C620">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3.3.2.1在货物采购项目中，货物由中小企业制造，即货物由中小企业生产且使用该中小企业商号或者注册商标；</w:t>
      </w:r>
    </w:p>
    <w:p w14:paraId="4EC62624">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3.3.2.2在工程采购项目中，工程由中小企业承建，即工程施工单位为中小企业；</w:t>
      </w:r>
    </w:p>
    <w:p w14:paraId="3B8E613C">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3.3.2.3在服务采购项目中，服务由中小企业承接，即提供服务的人员为中小企业依照《中华人民共和国劳动合同法》订立劳动合同的从业人员。</w:t>
      </w:r>
    </w:p>
    <w:p w14:paraId="1EB59C46">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在货物采购项目中，投标人提供的货物既有中小企业制造货物，也有大型企业制造货物的，不享受中小企业扶持政策。</w:t>
      </w:r>
    </w:p>
    <w:p w14:paraId="4540F450">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以联合体形式参加政府采购活动，联合体各方均为中小企业的，联合体视同中小企业。其中，联合体各方均为小微企业的，联合体视同小微企业。</w:t>
      </w:r>
    </w:p>
    <w:p w14:paraId="608BFEEB">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3.3.3对于未预留份额专门面向中小企业的政府采购项目，以及预留份额政府采购项目中的非预留部分标项，对小型和微型企业的投标报价给予</w:t>
      </w:r>
      <w:r>
        <w:rPr>
          <w:rFonts w:hint="eastAsia" w:ascii="仿宋_GB2312" w:hAnsi="仿宋_GB2312" w:eastAsia="仿宋_GB2312" w:cs="仿宋_GB2312"/>
          <w:color w:val="auto"/>
          <w:sz w:val="24"/>
          <w:szCs w:val="24"/>
          <w:highlight w:val="none"/>
          <w:u w:val="single"/>
        </w:rPr>
        <w:t>10%</w:t>
      </w:r>
      <w:r>
        <w:rPr>
          <w:rFonts w:hint="eastAsia" w:ascii="仿宋_GB2312" w:hAnsi="仿宋_GB2312" w:eastAsia="仿宋_GB2312" w:cs="仿宋_GB2312"/>
          <w:color w:val="auto"/>
          <w:sz w:val="24"/>
          <w:szCs w:val="24"/>
          <w:highlight w:val="none"/>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hint="eastAsia" w:ascii="仿宋_GB2312" w:hAnsi="仿宋_GB2312" w:eastAsia="仿宋_GB2312" w:cs="仿宋_GB2312"/>
          <w:color w:val="auto"/>
          <w:sz w:val="24"/>
          <w:szCs w:val="24"/>
          <w:highlight w:val="none"/>
          <w:u w:val="single"/>
        </w:rPr>
        <w:t>4%</w:t>
      </w:r>
      <w:r>
        <w:rPr>
          <w:rFonts w:hint="eastAsia" w:ascii="仿宋_GB2312" w:hAnsi="仿宋_GB2312" w:eastAsia="仿宋_GB2312" w:cs="仿宋_GB2312"/>
          <w:color w:val="auto"/>
          <w:sz w:val="24"/>
          <w:szCs w:val="24"/>
          <w:highlight w:val="none"/>
        </w:rPr>
        <w:t>的扣除，用扣除后的价格参加评审。组成联合体或者接受分包的小微企业与联合体内其他企业、分包企业之间存在直接控股、管理关系的，不享受价格扣除优惠政策。专门面向中小企业采购的项目或者采购包，不再执行价格评审优惠的扶持政策。</w:t>
      </w:r>
    </w:p>
    <w:p w14:paraId="57501C26">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3.3.4符合《关于促进残疾人就业政府采购政策的通知》（财库〔2017〕141号）规定的条件并提供《残疾人福利性单位声明函》（附件1）的残疾人福利性单位视同小型、微型企业；</w:t>
      </w:r>
    </w:p>
    <w:p w14:paraId="444676A7">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0F6BB6D7">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4AB8E760">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3.3.7中小企业享受扶持政策获得政府采购合同的，小微企业不得将合同分包给大中型企业，中型企业不得将合同分包给大型企业。</w:t>
      </w:r>
    </w:p>
    <w:p w14:paraId="6C1DE5BD">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3.4支持创新发展</w:t>
      </w:r>
    </w:p>
    <w:p w14:paraId="79BB17C0">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3.4.1 采购人优先采购被认定为首台套产品和“制造精品”的自主创新产品。</w:t>
      </w:r>
    </w:p>
    <w:p w14:paraId="73686E02">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6FF27E88">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3.5平等对待内外资企业和符合条件的破产重整企业</w:t>
      </w:r>
    </w:p>
    <w:p w14:paraId="28410CFE">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平等对待内外资企业和符合条件的破产重整企业，切实保障企业公平竞争，平等维护企业的合法利益。</w:t>
      </w:r>
    </w:p>
    <w:p w14:paraId="7DC507FB">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3.6为有效破解当前中小微企业面临的“融资难、融资贵”困局，充分发挥好政府采购扶持小微企业发展的政策功能，属于舟山市内的各中小企业可凭政府采购项目中标通知书等材料向舟山市政府采购信用融资合作银行申请相关融资产品,有关的合作银行详见附件。</w:t>
      </w:r>
    </w:p>
    <w:p w14:paraId="53B8C846">
      <w:pPr>
        <w:spacing w:line="420" w:lineRule="exact"/>
        <w:ind w:firstLine="480" w:firstLineChars="200"/>
        <w:contextualSpacing/>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3.7 支持本国产品</w:t>
      </w:r>
    </w:p>
    <w:p w14:paraId="6799E119">
      <w:pPr>
        <w:spacing w:line="420" w:lineRule="exact"/>
        <w:ind w:firstLine="480" w:firstLineChars="200"/>
        <w:contextualSpacing/>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3.7.1 本项目既有本国产品又有非本国产品参与竞争的，对本国产品的报价给予20%的价格扣除，用扣除后的价格参与评审。</w:t>
      </w:r>
    </w:p>
    <w:p w14:paraId="7FC55E5B">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3.7.2 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19444FC9">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 询问、质疑、投诉</w:t>
      </w:r>
    </w:p>
    <w:p w14:paraId="72076A74">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4.1在线询问、质疑、投诉。根据《浙江省财政厅关于进一步促进政府采购公平竞争打造最优营商环境的通知》（浙财采监（2021）22号）文件关于“健全行政裁决机制”要求，鼓励供应商询问线上提起，路径为：政采云-项目采购-询问质疑投诉-询问列表；鼓励供应商质疑线上提起，路径为：政采云-项目采购-询问质疑投诉-质疑列表。质疑供应商对线上质疑答复不满意的，可线上提起投诉，路径为：浙江政务服务网-政府采购投诉处理-在线办理。</w:t>
      </w:r>
    </w:p>
    <w:p w14:paraId="660605EB">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4.2供应商询问</w:t>
      </w:r>
    </w:p>
    <w:p w14:paraId="0D846004">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01043686">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4.3供应商质疑</w:t>
      </w:r>
    </w:p>
    <w:p w14:paraId="51F707B0">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4.3.1提出质疑的供应商应当是参与所质疑项目采购活动的供应商。潜在供应商已依法获取其可质疑的招标文件的，可以对该文件提出质疑。</w:t>
      </w:r>
    </w:p>
    <w:p w14:paraId="4E2225B9">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4.3.2供应商认为招标文件、采购过程和中标结果使自己的权益受到损害的，可以在知道或者应知其权益受到损害之日起七个工作日内，以书面形式或线上向采购人或者采购代理机构提出质疑，否则，采购人或者采购代理机构不予受理：</w:t>
      </w:r>
    </w:p>
    <w:p w14:paraId="4A3CD533">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4.3.2.1对招标文件提出质疑的，质疑期限为供应商获得招标文件之日或者招标文件公告期限届满之日起计算。供应商获得招标文件在公告期限届满之日后的，应当自招标文件公告期限届满之日起计算，且应当在采购响应截止时间之前提出，否则采购人或者采购代理机构不予受理。对招标文件中特定资格条件、采购需求、评分办法提出的质疑，原则上由采购人负责答复；对招标文件中其他内容提出的质疑，原则上由采购代理机构负责答复。</w:t>
      </w:r>
    </w:p>
    <w:p w14:paraId="1F9503F2">
      <w:pPr>
        <w:spacing w:line="360" w:lineRule="auto"/>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4.3.2.2对采购过程提出质疑的，质疑期限为各采购程序环节结束之日起计算。对同一采购程序环节的质疑，供应商须在法定质疑期内一次性提出。对采购过程中有关现场考察或开标前答疑会事项提出的质疑，原则上由采购人负责答复；对采购过程中其它事项提出的质疑，原则上由采购代理机构负责答复。</w:t>
      </w:r>
    </w:p>
    <w:p w14:paraId="7774A122">
      <w:pPr>
        <w:spacing w:line="360" w:lineRule="auto"/>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4.3.2.3对采购结果提出质疑的，质疑期限自采购结果公告期限届满之日起计算。对采购结果提出质疑的，采购代理机构负责答复。</w:t>
      </w:r>
    </w:p>
    <w:p w14:paraId="151B1807">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4.3.3供应商提出质疑应当提交质疑函和必要的证明材料。质疑函应当包括下列内容：</w:t>
      </w:r>
    </w:p>
    <w:p w14:paraId="12866807">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4.3.3.1供应商的姓名或者名称、地址、邮编、联系人及联系电话；</w:t>
      </w:r>
    </w:p>
    <w:p w14:paraId="41EF6476">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4.3.3.2质疑项目的名称、编号；</w:t>
      </w:r>
    </w:p>
    <w:p w14:paraId="13BCB0CE">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4.3.3.3具体、明确的质疑事项和与质疑事项相关的请求；</w:t>
      </w:r>
    </w:p>
    <w:p w14:paraId="50F7EBC2">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4.3.3.4事实依据；</w:t>
      </w:r>
    </w:p>
    <w:p w14:paraId="7881E6F4">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4.3.3.5必要的法律依据；</w:t>
      </w:r>
    </w:p>
    <w:p w14:paraId="63731807">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4.3.3.6提出质疑的日期。</w:t>
      </w:r>
    </w:p>
    <w:p w14:paraId="1DB5D942">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供应商线下提交质疑函的，质疑函需一式三份。供应商为自然人的，应当由本人签字；供应商为法人或者其他组织的，应当由法定代表人、主要负责人，或者其授权代表签字或者盖章，并加盖公章。</w:t>
      </w:r>
    </w:p>
    <w:p w14:paraId="32466D19">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质疑函范本及制作说明详见附件2。</w:t>
      </w:r>
    </w:p>
    <w:p w14:paraId="59B0CBDC">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4.3.4采购人或者采购代理机构应当在收到供应商的书面质疑后七个工作日内作出答复，并以书面形式通知质疑供应商和其他与质疑处理结果有利害关系的政府采购当事人，但答复的内容不得涉及商业秘密。根据《浙江省财政厅关于进一步促进政府采购公平竞争打造最优营商环境的通知》（浙财采监〔2021〕22号）,采购人或者采购代理机构在质疑答复后5个工作日内，在浙江政府采购网的“其他公告”栏目公开质疑答复，答复内容应当完整。质疑函作为附件上传。</w:t>
      </w:r>
    </w:p>
    <w:p w14:paraId="47E428B3">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4.3.5询问或者质疑事项可能影响采购结果的，采购人应当暂停签订合同，已经签订合同的，应当中止履行合同。</w:t>
      </w:r>
    </w:p>
    <w:p w14:paraId="57C1DD75">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4.4供应商投诉</w:t>
      </w:r>
    </w:p>
    <w:p w14:paraId="016D3B48">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4.4.1质疑供应商对采购人、采购代理机构的答复不满意或者采购人、采购代理机构未在规定的时间内作出答复的，可以在答复期满后十五个工作日内向同级政府采购监督管理部门提出投诉。</w:t>
      </w:r>
    </w:p>
    <w:p w14:paraId="3C5D5F2B">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4.4.2供应商投诉的事项不得超出已质疑事项的范围，基于质疑答复内容提出的投诉事项除外。</w:t>
      </w:r>
    </w:p>
    <w:p w14:paraId="5D2710AF">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4.4.3供应商投诉应当有明确的请求和必要的证明材料。</w:t>
      </w:r>
    </w:p>
    <w:p w14:paraId="2F48D461">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4.4.5 以联合体形式参加政府采购活动的，其投诉应当由组成联合体的所有供应商共同提出。</w:t>
      </w:r>
    </w:p>
    <w:p w14:paraId="2B8F9898">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投诉书范本及制作说明详见附件3。</w:t>
      </w:r>
    </w:p>
    <w:p w14:paraId="51FA532C">
      <w:pPr>
        <w:spacing w:line="420" w:lineRule="exact"/>
        <w:ind w:firstLine="482" w:firstLineChars="200"/>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二、招标文件的构成、澄清、修改</w:t>
      </w:r>
    </w:p>
    <w:p w14:paraId="2EAE6F28">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5．招标文件的构成</w:t>
      </w:r>
    </w:p>
    <w:p w14:paraId="208C9712">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 招标文件包括下列文件及附件：</w:t>
      </w:r>
    </w:p>
    <w:p w14:paraId="6767D617">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5.1.1招标公告；</w:t>
      </w:r>
    </w:p>
    <w:p w14:paraId="358366B2">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5.1.2投标人须知；</w:t>
      </w:r>
    </w:p>
    <w:p w14:paraId="161033E7">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5.1.3采购需求；</w:t>
      </w:r>
    </w:p>
    <w:p w14:paraId="54E16F1D">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5.1.4评标办法；</w:t>
      </w:r>
    </w:p>
    <w:p w14:paraId="1D315592">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5.1.5拟签订的合同文本；</w:t>
      </w:r>
    </w:p>
    <w:p w14:paraId="2D71496B">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5.1.6应提交的有关格式范例。</w:t>
      </w:r>
    </w:p>
    <w:p w14:paraId="1707FB81">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5.2与本项目有关的澄清或者修改的内容为招标文件的组成部分。</w:t>
      </w:r>
    </w:p>
    <w:p w14:paraId="3C228BA4">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 招标文件的澄清、修改</w:t>
      </w:r>
    </w:p>
    <w:p w14:paraId="603F7485">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6.1已获取招标文件的潜在投标人，若有问题需要澄清，应于投标截止时间前，以书面形式向采购代理机构提出。</w:t>
      </w:r>
    </w:p>
    <w:p w14:paraId="5AAA0D74">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AA09DDB">
      <w:pPr>
        <w:spacing w:line="420" w:lineRule="exact"/>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三、投标</w:t>
      </w:r>
    </w:p>
    <w:p w14:paraId="68053900">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 招标文件的获取</w:t>
      </w:r>
    </w:p>
    <w:p w14:paraId="24886F9B">
      <w:pPr>
        <w:spacing w:line="42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详见招标公告中获取招标文件的时间期限、地点、方式及招标文件售价。</w:t>
      </w:r>
    </w:p>
    <w:p w14:paraId="1BE14673">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8.开标前答疑会或现场考察</w:t>
      </w:r>
    </w:p>
    <w:p w14:paraId="018575F7">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采购人组织潜在投标人现场考察或者召开开标前答疑会的，潜在投标人按第二部分投标人须知前附表的规定参加现场考察或者开标前答疑会。</w:t>
      </w:r>
    </w:p>
    <w:p w14:paraId="1BE180A4">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9.投标保证金</w:t>
      </w:r>
    </w:p>
    <w:p w14:paraId="649623B1">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本项目不需缴纳投标保证金。</w:t>
      </w:r>
    </w:p>
    <w:p w14:paraId="0D521E09">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 投标文件的语言</w:t>
      </w:r>
    </w:p>
    <w:p w14:paraId="4B9A0327">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投标文件及投标人与采购有关的来往通知、函件和文件均应使用中文。</w:t>
      </w:r>
    </w:p>
    <w:p w14:paraId="0897176D">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 投标文件的组成</w:t>
      </w:r>
    </w:p>
    <w:p w14:paraId="3B59CE5D">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 投标文件的组成</w:t>
      </w:r>
    </w:p>
    <w:p w14:paraId="4FB02870">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11.1资格文件：</w:t>
      </w:r>
    </w:p>
    <w:p w14:paraId="3999E350">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11.1.1符合参加政府采购活动应当具备的一般条件的承诺函；</w:t>
      </w:r>
    </w:p>
    <w:p w14:paraId="00D80382">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11.1.2联合协议（如果有）；</w:t>
      </w:r>
    </w:p>
    <w:p w14:paraId="21647686">
      <w:pPr>
        <w:spacing w:line="420" w:lineRule="exact"/>
        <w:ind w:firstLine="465"/>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11.1.3落实政府采购政策需满足的资格要求（如果有）;</w:t>
      </w:r>
    </w:p>
    <w:p w14:paraId="46067F13">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11.1.4本项目的特定资格要求（如果有）。</w:t>
      </w:r>
    </w:p>
    <w:p w14:paraId="10219D4C">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11.2  商务技术文件：</w:t>
      </w:r>
    </w:p>
    <w:p w14:paraId="1310DCE0">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11.2.1投标函； </w:t>
      </w:r>
    </w:p>
    <w:p w14:paraId="121E8E72">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11.2.2联合协议（如果有）；</w:t>
      </w:r>
    </w:p>
    <w:p w14:paraId="266569B4">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11.2.3分包意向协议（如果有）；</w:t>
      </w:r>
    </w:p>
    <w:p w14:paraId="6CC2B19D">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11.2.4符合性审查资料；</w:t>
      </w:r>
    </w:p>
    <w:p w14:paraId="35B21EDE">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11.2.5拟投入的项目班子格式；</w:t>
      </w:r>
    </w:p>
    <w:p w14:paraId="2839ED6E">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11.2.6评标标准相应的商务技术资料；</w:t>
      </w:r>
    </w:p>
    <w:p w14:paraId="46067C43">
      <w:pPr>
        <w:spacing w:line="420" w:lineRule="exact"/>
        <w:ind w:firstLine="465"/>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11.2.7投标标的清单（如果有）；</w:t>
      </w:r>
    </w:p>
    <w:p w14:paraId="5CFCF3E7">
      <w:pPr>
        <w:spacing w:line="420" w:lineRule="exact"/>
        <w:ind w:firstLine="465"/>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11.2.8商务技术偏离表；</w:t>
      </w:r>
    </w:p>
    <w:p w14:paraId="1E77F275">
      <w:pPr>
        <w:spacing w:line="420" w:lineRule="exact"/>
        <w:ind w:firstLine="465"/>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11.2.9政府采购供应商廉洁自律承诺书。</w:t>
      </w:r>
    </w:p>
    <w:p w14:paraId="546AECF6">
      <w:pPr>
        <w:spacing w:line="420" w:lineRule="exact"/>
        <w:ind w:firstLine="465"/>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11.3报价文件： </w:t>
      </w:r>
    </w:p>
    <w:p w14:paraId="033415A3">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11.3.1开标一览表（报价表）；</w:t>
      </w:r>
    </w:p>
    <w:p w14:paraId="588255EB">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11.3.2中小企业声明函；</w:t>
      </w:r>
    </w:p>
    <w:p w14:paraId="271DBC33">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11.3.3 关于符合</w:t>
      </w:r>
      <w:bookmarkStart w:id="509" w:name="_GoBack"/>
      <w:r>
        <w:rPr>
          <w:rFonts w:hint="eastAsia" w:ascii="仿宋_GB2312" w:hAnsi="仿宋_GB2312" w:eastAsia="仿宋_GB2312" w:cs="仿宋_GB2312"/>
          <w:color w:val="auto"/>
          <w:sz w:val="24"/>
          <w:szCs w:val="24"/>
          <w:highlight w:val="none"/>
        </w:rPr>
        <w:t>本国产品</w:t>
      </w:r>
      <w:bookmarkEnd w:id="509"/>
      <w:r>
        <w:rPr>
          <w:rFonts w:hint="eastAsia" w:ascii="仿宋_GB2312" w:hAnsi="仿宋_GB2312" w:eastAsia="仿宋_GB2312" w:cs="仿宋_GB2312"/>
          <w:color w:val="auto"/>
          <w:sz w:val="24"/>
          <w:szCs w:val="24"/>
          <w:highlight w:val="none"/>
        </w:rPr>
        <w:t>标准的声明函（如果有）；</w:t>
      </w:r>
    </w:p>
    <w:p w14:paraId="615163DA">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11.3.4</w:t>
      </w:r>
      <w:r>
        <w:rPr>
          <w:rFonts w:hint="eastAsia" w:ascii="仿宋_GB2312" w:eastAsia="仿宋_GB2312"/>
          <w:color w:val="auto"/>
          <w:sz w:val="24"/>
          <w:szCs w:val="24"/>
          <w:highlight w:val="none"/>
          <w:lang w:eastAsia="zh-CN"/>
        </w:rPr>
        <w:t>书面说明及必要的证明材料，对投标价格作出解释。（如果报价低于项目最高限价</w:t>
      </w:r>
      <w:r>
        <w:rPr>
          <w:rFonts w:hint="eastAsia" w:ascii="仿宋_GB2312" w:eastAsia="仿宋_GB2312"/>
          <w:color w:val="auto"/>
          <w:sz w:val="24"/>
          <w:szCs w:val="24"/>
          <w:highlight w:val="none"/>
          <w:lang w:val="en-US" w:eastAsia="zh-CN"/>
        </w:rPr>
        <w:t>4</w:t>
      </w:r>
      <w:r>
        <w:rPr>
          <w:rFonts w:hint="eastAsia" w:ascii="仿宋_GB2312" w:eastAsia="仿宋_GB2312"/>
          <w:color w:val="auto"/>
          <w:sz w:val="24"/>
          <w:szCs w:val="24"/>
          <w:highlight w:val="none"/>
          <w:lang w:eastAsia="zh-CN"/>
        </w:rPr>
        <w:t>5%的）</w:t>
      </w:r>
      <w:r>
        <w:rPr>
          <w:rFonts w:hint="eastAsia" w:ascii="仿宋_GB2312" w:hAnsi="仿宋_GB2312" w:eastAsia="仿宋_GB2312" w:cs="仿宋_GB2312"/>
          <w:color w:val="auto"/>
          <w:sz w:val="24"/>
          <w:szCs w:val="24"/>
          <w:highlight w:val="none"/>
        </w:rPr>
        <w:t>。</w:t>
      </w:r>
    </w:p>
    <w:p w14:paraId="2B5ACAAE">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12.投标文件的编制</w:t>
      </w:r>
    </w:p>
    <w:p w14:paraId="0BA30004">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14786220">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12.2投标人进行电子投标应安装客户端软件—“政采云电子交易客户端”，并按照招标文件和电子交易平台的要求编制并加密投标文件。投标人未按规定加密的投标文件，电子交易平台将拒收并提示。</w:t>
      </w:r>
    </w:p>
    <w:p w14:paraId="4931966F">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12.3使用“政采云电子交易客户端”需要提前申领CA数字证书，申领流程请自行前往“浙江政府采购网-下载专区-电子交易客户端-CA驱动和申领流程”进行查阅。</w:t>
      </w:r>
    </w:p>
    <w:p w14:paraId="58E61427">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13.投标文件的签署、盖章</w:t>
      </w:r>
    </w:p>
    <w:p w14:paraId="66DB8A1B">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13.1投标文件按照招标文件第六部分格式要求进行签署、盖章。▲</w:t>
      </w:r>
      <w:r>
        <w:rPr>
          <w:rFonts w:hint="eastAsia" w:ascii="仿宋_GB2312" w:hAnsi="仿宋_GB2312" w:eastAsia="仿宋_GB2312" w:cs="仿宋_GB2312"/>
          <w:b/>
          <w:color w:val="auto"/>
          <w:sz w:val="24"/>
          <w:szCs w:val="24"/>
          <w:highlight w:val="none"/>
        </w:rPr>
        <w:t>投标人的投标文件未按照招标文件要求签署、盖章的，其投标无效</w:t>
      </w:r>
      <w:r>
        <w:rPr>
          <w:rFonts w:hint="eastAsia" w:ascii="仿宋_GB2312" w:hAnsi="仿宋_GB2312" w:eastAsia="仿宋_GB2312" w:cs="仿宋_GB2312"/>
          <w:color w:val="auto"/>
          <w:sz w:val="24"/>
          <w:szCs w:val="24"/>
          <w:highlight w:val="none"/>
        </w:rPr>
        <w:t>。</w:t>
      </w:r>
    </w:p>
    <w:p w14:paraId="39A75036">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13.2为确保网上操作合法、有效和安全，投标人应当在投标截止时间前完成在“政府采购云平台”的身份认证，确保在电子投标过程中能够对相关数据电文进行加密和使用电子签名。</w:t>
      </w:r>
    </w:p>
    <w:p w14:paraId="5D3AD256">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13.3招标文件对投标文件签署、盖章的要求适用于电子签名。</w:t>
      </w:r>
    </w:p>
    <w:p w14:paraId="02B4F1DF">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14.投标文件的提交、补充、修改、撤回</w:t>
      </w:r>
    </w:p>
    <w:p w14:paraId="55ABF2C6">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33C81974">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4B3DA340">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16864E14">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15.备份投标文件</w:t>
      </w:r>
    </w:p>
    <w:p w14:paraId="2FAEEE9E">
      <w:pPr>
        <w:spacing w:line="42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15.1投标人在电子交易平台传输递交投标文件后，还可以在投标截止时间前直接提交或者以邮政快递方式递交备份投标文件1份，但采购人、采购代理机构不强制或变相强制投标人提交备份投标文件。</w:t>
      </w:r>
    </w:p>
    <w:p w14:paraId="253D8B0A">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15.2备份投标文件须在“政采云投标客户端”制作生成，并储存在介质存储中。备份投标文件应当密封包装并在包装上加盖公章并注明投标项目名称，投标人名称(联合体投标的，包装物封面需注明联合体投标，并注明联合体成员各方的名称和联合协议中约定的牵头人的名称)。不符合上述制作、存储、密封规定的备份投标文件将被视为无效或者被拒绝接收。</w:t>
      </w:r>
    </w:p>
    <w:p w14:paraId="21786CD0">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15.3直接提交备份投标文件的，投标人应于开标当日投标截止时间前将备份投标文件按要求密封和标记后送达舟山市新城翁山路555号四楼（大宗商品交易中心同幢西边）4楼政府采购窗口；送达时间以签收人签收时间为准（签收人：曹女士，联系电话：0580-2281591）。采购代理机构将拒绝接受逾期送达的备份投标文件。</w:t>
      </w:r>
    </w:p>
    <w:p w14:paraId="11890824">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15.4以邮政快递方式递交备份投标文件的，投标人应先将备份投标文件按要求密封和标记，再进行邮政快递包装后邮寄。备份投标文件须在投标截止时间之前送达舟山市翁山路555号4楼4024室；送达时间以签收人签收时间为准（签收人：曹女士，联系电话：0580-2281591）。采购代理机构将拒绝接受逾期送达的备份投标文件。邮寄过程中，电子备份投标文件发生泄露、遗失、损坏或延期送达等情况的，由投标人自行负责。</w:t>
      </w:r>
    </w:p>
    <w:p w14:paraId="492440A0">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15.5投标人仅提交备份投标文件，没有在电子交易平台传输递交投标文件的，投标无效。</w:t>
      </w:r>
    </w:p>
    <w:p w14:paraId="373DC74A">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16.投标文件的无效处理</w:t>
      </w:r>
    </w:p>
    <w:p w14:paraId="13B9B13D">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有招标文件第四部分4.2项规定的情形之一的，投标无效。</w:t>
      </w:r>
    </w:p>
    <w:p w14:paraId="236BB199">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17.投标有效期</w:t>
      </w:r>
    </w:p>
    <w:p w14:paraId="681232D7">
      <w:pPr>
        <w:spacing w:line="420" w:lineRule="exact"/>
        <w:ind w:firstLine="480" w:firstLineChars="200"/>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szCs w:val="24"/>
          <w:highlight w:val="none"/>
        </w:rPr>
        <w:t>17.1投标有效期为从提交投标文件的截止之日起90天。▲</w:t>
      </w:r>
      <w:r>
        <w:rPr>
          <w:rFonts w:hint="eastAsia" w:ascii="仿宋_GB2312" w:hAnsi="仿宋_GB2312" w:eastAsia="仿宋_GB2312" w:cs="仿宋_GB2312"/>
          <w:b/>
          <w:color w:val="auto"/>
          <w:sz w:val="24"/>
          <w:szCs w:val="24"/>
          <w:highlight w:val="none"/>
        </w:rPr>
        <w:t>投标人的投标文件中承诺的投标有效期少于招标文件中载明的投标有效期的，投标无效。</w:t>
      </w:r>
    </w:p>
    <w:p w14:paraId="4A920D18">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17.2投标文件合格投递后，自投标截止日期起，在投标有效期内有效。</w:t>
      </w:r>
    </w:p>
    <w:p w14:paraId="3DA41244">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59B715B4">
      <w:pPr>
        <w:spacing w:line="420" w:lineRule="exact"/>
        <w:ind w:firstLine="482" w:firstLineChars="200"/>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四、开标、资格审查与信用信息查询</w:t>
      </w:r>
    </w:p>
    <w:p w14:paraId="41554A9A">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18.开标</w:t>
      </w:r>
    </w:p>
    <w:p w14:paraId="04C09C8E">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18.1采购代理机构按照招标文件规定的时间通过电子交易平台组织开标，所有投标人均应当准时在线参加。</w:t>
      </w:r>
    </w:p>
    <w:p w14:paraId="15921DF2">
      <w:pPr>
        <w:spacing w:line="42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18.2开标时，电子交易平台按开标时间自动提取所有投标文件。采购代理机构依托电子交易平台发起开始解密指令，投标人按照平台提示和招标文件的规定在半小时内完成在线解密。</w:t>
      </w:r>
    </w:p>
    <w:p w14:paraId="45E38BD8">
      <w:pPr>
        <w:spacing w:line="42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18.3</w:t>
      </w:r>
      <w:r>
        <w:rPr>
          <w:rFonts w:hint="eastAsia" w:ascii="仿宋_GB2312" w:hAnsi="仿宋_GB2312" w:eastAsia="仿宋_GB2312" w:cs="仿宋_GB2312"/>
          <w:b/>
          <w:color w:val="auto"/>
          <w:sz w:val="24"/>
          <w:szCs w:val="24"/>
          <w:highlight w:val="none"/>
        </w:rPr>
        <w:t>投标文件未按时解密，投标人提供了备份投标文件的，以备份投标文件作为依据，否则视为投标文件撤回。投标文件已按时解密的，备份投标文件自动失效。</w:t>
      </w:r>
    </w:p>
    <w:p w14:paraId="3D086689">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19.资格审查</w:t>
      </w:r>
    </w:p>
    <w:p w14:paraId="47196A1D">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19.1开标后，采购人将依法对投标人的资格进行审查。</w:t>
      </w:r>
    </w:p>
    <w:p w14:paraId="1500FE3D">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19.2采购人依据法律法规和招标文件的规定，对投标人的基本资格条件、特定资格条件进行审查。</w:t>
      </w:r>
    </w:p>
    <w:p w14:paraId="3BA03EC3">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19.3投标人未按照招标文件要求提供与基本资格条件、特定资格条件相应的有效资格证明材料的，视为投标人不具备招标文件中规定的资格要求，其投标无效。</w:t>
      </w:r>
    </w:p>
    <w:p w14:paraId="4043F570">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19.4对未通过资格审查的投标人，采购人或采购代理机构告知其未通过的原因。</w:t>
      </w:r>
    </w:p>
    <w:p w14:paraId="7EEF5F05">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19.5合格投标人不足3家的，不再评标。</w:t>
      </w:r>
    </w:p>
    <w:p w14:paraId="454FEC07">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20.信用信息查询</w:t>
      </w:r>
    </w:p>
    <w:p w14:paraId="6C16D12A">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20.1信用信息查询渠道及截止时间：采购代理机构将通过“信用中国”网站(www.creditchina.gov.cn)、中国政府采购网(www.ccgp.gov.cn)渠道查询投标人投标截止时间当天的信用记录。</w:t>
      </w:r>
    </w:p>
    <w:p w14:paraId="01F621B6">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20.2信用信息查询记录和证据留存的具体方式：现场查询的投标人的信用记录、查询结果经确认后将与采购文件一起存档。</w:t>
      </w:r>
    </w:p>
    <w:p w14:paraId="61E4B3A2">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20.3信用信息的使用规则：经查询列入失信被执行人名单、重大税收违法失信主体、政府采购严重违法失信行为记录名单、参加政府采购活动前三年内在经营活动中有重大违法记录的投标人将被拒绝参与政府采购活动。</w:t>
      </w:r>
    </w:p>
    <w:p w14:paraId="190A5F96">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762B1E8">
      <w:pPr>
        <w:spacing w:line="420" w:lineRule="exact"/>
        <w:ind w:firstLine="482" w:firstLineChars="200"/>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五、评标</w:t>
      </w:r>
    </w:p>
    <w:p w14:paraId="1D84EB80">
      <w:pPr>
        <w:spacing w:line="420" w:lineRule="exact"/>
        <w:ind w:firstLine="480" w:firstLineChars="200"/>
        <w:contextualSpacing/>
        <w:rPr>
          <w:rFonts w:hint="eastAsia" w:ascii="仿宋_GB2312" w:hAnsi="仿宋_GB2312" w:eastAsia="仿宋_GB2312" w:cs="仿宋_GB2312"/>
          <w:color w:val="auto"/>
          <w:sz w:val="24"/>
          <w:szCs w:val="24"/>
          <w:highlight w:val="none"/>
        </w:rPr>
      </w:pPr>
      <w:bookmarkStart w:id="13" w:name="_Toc91899903"/>
      <w:r>
        <w:rPr>
          <w:rFonts w:hint="eastAsia" w:ascii="仿宋_GB2312" w:hAnsi="仿宋_GB2312" w:eastAsia="仿宋_GB2312" w:cs="仿宋_GB2312"/>
          <w:color w:val="auto"/>
          <w:sz w:val="24"/>
          <w:szCs w:val="24"/>
          <w:highlight w:val="none"/>
        </w:rPr>
        <w:t>21. 评标委员会将根据招标文件和有关规定，履行评标工作职责，并按照评标办法及评分标准，全面衡量各投标人对招标文件的响应情况。对实质上响应招标文件的投标人，按照评审得分由高到低排序，并按顺序提出授标建议。评标办法详见招标文件第四部分。本项目由采购人授权评审委员会（谈判小组、询价小组）根据中标（成交）候选人名单及排序，直接确定中标人（成交供应商）。</w:t>
      </w:r>
    </w:p>
    <w:p w14:paraId="1F3D972F">
      <w:pPr>
        <w:spacing w:line="420" w:lineRule="exact"/>
        <w:ind w:firstLine="482" w:firstLineChars="200"/>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六、定标</w:t>
      </w:r>
    </w:p>
    <w:p w14:paraId="2DA36EE2">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22.确定中标供应商</w:t>
      </w:r>
    </w:p>
    <w:p w14:paraId="6D46C534">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中标（成交）候选人撤销投标（响应）文件不能成为采购人不确认采购结果的正当理由（采购文件中明确）。中标、成交通知书和中标、成交结果公告应当在规定时间内同时发出。</w:t>
      </w:r>
    </w:p>
    <w:p w14:paraId="717FB139">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23.中标通知与中标结果公告</w:t>
      </w:r>
    </w:p>
    <w:p w14:paraId="40BEF3DA">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23.1自中标人确定之日起2个工作日内，采购代理机构通过电子交易平台向中标人发出中标通知书，同时编制发布采购结果公告。采购代理机构也可以以纸质形式进行中标通知。</w:t>
      </w:r>
    </w:p>
    <w:p w14:paraId="44FE1F25">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23.2中标结果公告内容包括采购人及其委托的采购代理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3413A942">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23.3公告期限为1个工作日。</w:t>
      </w:r>
    </w:p>
    <w:p w14:paraId="0B408C2D">
      <w:pPr>
        <w:spacing w:line="420" w:lineRule="exact"/>
        <w:ind w:firstLine="482" w:firstLineChars="200"/>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七、合同授予</w:t>
      </w:r>
    </w:p>
    <w:p w14:paraId="0487031E">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24. 合同主要条款详见第五部分拟签订的合同文本。</w:t>
      </w:r>
    </w:p>
    <w:p w14:paraId="31B2670F">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25. 合同的签订</w:t>
      </w:r>
    </w:p>
    <w:p w14:paraId="51ACB551">
      <w:pPr>
        <w:spacing w:line="420" w:lineRule="exact"/>
        <w:ind w:firstLine="480" w:firstLineChars="200"/>
        <w:contextualSpacing/>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25.1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采购人与中标供应商按照采购文件确定的事项签订政府采购合同，并及时上传发布。</w:t>
      </w:r>
    </w:p>
    <w:p w14:paraId="0A9DF0AE">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25.2中标人按规定的日期、时间、地点，由法定代表人或其授权代表与采购人代表签订合同。如中标人为联合体的，由联合体成员各方法定代表人或其授权代表与采购人代表签订合同。</w:t>
      </w:r>
    </w:p>
    <w:p w14:paraId="156547E3">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25.3中标供应商拒绝与采购人签订合同的，采购人可以按照评审报告推荐的中标或者成交候选人名单排序，确定下一候选人为中标供应商，也可以重新开展政府采购活动。</w:t>
      </w:r>
    </w:p>
    <w:p w14:paraId="6ED1CEDD">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25.4中标供应商放弃中标资格导致重新采购的，应当承担支付专家评审费等费用在内的赔偿责任。</w:t>
      </w:r>
    </w:p>
    <w:p w14:paraId="5E9BE86D">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25.5采购合同由采购人与中标供应商根据招标文件、投标文件等内容通过政府采购电子交易平台在线签订，自动备案。</w:t>
      </w:r>
    </w:p>
    <w:p w14:paraId="4C5EB7E1">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26. 履约保证金</w:t>
      </w:r>
    </w:p>
    <w:p w14:paraId="34A59DEE">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拟签订的合同文本要求中标供应商提交履约保证金的，供应商应当以支票、汇票、本票或者金融机构、担保机构出具的保函等非现金形式提交。履约保证金的数额不得超过政府采购合同金额的1%。鼓励和支持供应商以银行、保险公司出具的保函形式提供履约保证金。采购人不得拒收履约保函，项目验收结束后应及时退还，延迟退还的，应当按照合同约定和法律规定承担相应的赔偿责任。</w:t>
      </w:r>
    </w:p>
    <w:p w14:paraId="6056CCB6">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79CD2C38">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27. 预付款</w:t>
      </w:r>
    </w:p>
    <w:p w14:paraId="47C5CB90">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【保函保险服务】出具预付款保函，具体步骤：选择产品—填写供应商信息—选择中标项目—确认信息—等待保险/保函受理—确认保单—支付保费—成功出单。政采云金融专线400-903-9583。</w:t>
      </w:r>
    </w:p>
    <w:p w14:paraId="41BBB1C2">
      <w:pPr>
        <w:spacing w:line="420" w:lineRule="exact"/>
        <w:ind w:firstLine="482" w:firstLineChars="200"/>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八、电子交易活动的中止</w:t>
      </w:r>
    </w:p>
    <w:p w14:paraId="06F29A26">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28. 电子交易活动的中止。采购过程中出现以下情形，导致电子交易平台无法正常运行，或者无法保证电子交易的公平、公正和安全时，采购代理机构可中止电子交易活动：</w:t>
      </w:r>
    </w:p>
    <w:p w14:paraId="5E2D1CEA">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28.1电子交易平台发生故障而无法登录访问的；</w:t>
      </w:r>
    </w:p>
    <w:p w14:paraId="67651D3E">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28.2电子交易平台应用或数据库出现错误，不能进行正常操作的；</w:t>
      </w:r>
    </w:p>
    <w:p w14:paraId="1A900E6C">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28.3电子交易平台发现严重安全漏洞，有潜在泄密危险的；</w:t>
      </w:r>
    </w:p>
    <w:p w14:paraId="7FD8BE49">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28.4病毒发作导致不能进行正常操作的；</w:t>
      </w:r>
    </w:p>
    <w:p w14:paraId="18965BCA">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28.5其他无法保证电子交易的公平、公正和安全的情况。</w:t>
      </w:r>
    </w:p>
    <w:p w14:paraId="17A1DAA0">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29.出现以上情形，不影响采购公平、公正性的，采购组织机构可以待上述情形消除后继续组织电子交易活动，也可以决定某些环节以纸质形式进行；影响或可能影响采购公平、公正性的，应当重新采购。</w:t>
      </w:r>
    </w:p>
    <w:p w14:paraId="67CF1C4D">
      <w:pPr>
        <w:spacing w:line="420" w:lineRule="exact"/>
        <w:ind w:firstLine="482" w:firstLineChars="200"/>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九、验收</w:t>
      </w:r>
    </w:p>
    <w:p w14:paraId="6843D9AB">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30.验收</w:t>
      </w:r>
    </w:p>
    <w:p w14:paraId="6294D926">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1559865">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30.2采购人可以邀请参加本项目的其他投标人或者第三方机构参与验收。参与验收的投标人或者第三方机构的意见作为验收书的参考资料一并存档。</w:t>
      </w:r>
    </w:p>
    <w:p w14:paraId="72089F95">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76AE925">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3"/>
    <w:p w14:paraId="541F320B">
      <w:pPr>
        <w:spacing w:line="540" w:lineRule="exact"/>
        <w:contextualSpacing/>
        <w:rPr>
          <w:rFonts w:hint="eastAsia" w:ascii="仿宋_GB2312" w:hAnsi="仿宋_GB2312" w:eastAsia="仿宋_GB2312" w:cs="仿宋_GB2312"/>
          <w:color w:val="auto"/>
          <w:sz w:val="24"/>
          <w:szCs w:val="24"/>
          <w:highlight w:val="none"/>
        </w:rPr>
        <w:sectPr>
          <w:footerReference r:id="rId6" w:type="first"/>
          <w:headerReference r:id="rId3" w:type="default"/>
          <w:footerReference r:id="rId4" w:type="default"/>
          <w:footerReference r:id="rId5" w:type="even"/>
          <w:pgSz w:w="11906" w:h="16838"/>
          <w:pgMar w:top="1134" w:right="1134" w:bottom="1134" w:left="1134" w:header="851" w:footer="992" w:gutter="0"/>
          <w:cols w:space="720" w:num="1"/>
          <w:titlePg/>
          <w:docGrid w:type="lines" w:linePitch="312" w:charSpace="117"/>
        </w:sectPr>
      </w:pPr>
      <w:bookmarkStart w:id="14" w:name="_Hlt74714665"/>
      <w:bookmarkEnd w:id="14"/>
      <w:bookmarkStart w:id="15" w:name="_Hlt74729768"/>
      <w:bookmarkEnd w:id="15"/>
      <w:bookmarkStart w:id="16" w:name="_Hlt68072990"/>
      <w:bookmarkEnd w:id="16"/>
      <w:bookmarkStart w:id="17" w:name="_Hlt68072998"/>
      <w:bookmarkEnd w:id="17"/>
      <w:bookmarkStart w:id="18" w:name="_Hlt68403820"/>
      <w:bookmarkEnd w:id="18"/>
      <w:bookmarkStart w:id="19" w:name="_Hlt75236101"/>
      <w:bookmarkEnd w:id="19"/>
      <w:bookmarkStart w:id="20" w:name="_Hlt74707468"/>
      <w:bookmarkEnd w:id="20"/>
      <w:bookmarkStart w:id="21" w:name="_Hlt75236290"/>
      <w:bookmarkEnd w:id="21"/>
      <w:bookmarkStart w:id="22" w:name="_Hlt75236011"/>
      <w:bookmarkEnd w:id="22"/>
      <w:bookmarkStart w:id="23" w:name="_Hlt74730295"/>
      <w:bookmarkEnd w:id="23"/>
      <w:bookmarkStart w:id="24" w:name="_Hlt68073093"/>
      <w:bookmarkEnd w:id="24"/>
      <w:bookmarkStart w:id="25" w:name="_Hlt68057669"/>
      <w:bookmarkEnd w:id="25"/>
    </w:p>
    <w:bookmarkEnd w:id="11"/>
    <w:bookmarkEnd w:id="12"/>
    <w:p w14:paraId="175D5741">
      <w:pPr>
        <w:jc w:val="center"/>
        <w:outlineLvl w:val="0"/>
        <w:rPr>
          <w:rFonts w:hint="eastAsia" w:ascii="仿宋_GB2312" w:hAnsi="仿宋_GB2312" w:eastAsia="仿宋_GB2312" w:cs="仿宋_GB2312"/>
          <w:b/>
          <w:color w:val="000000" w:themeColor="text1"/>
          <w:sz w:val="32"/>
          <w:szCs w:val="32"/>
          <w:highlight w:val="none"/>
          <w14:textFill>
            <w14:solidFill>
              <w14:schemeClr w14:val="tx1"/>
            </w14:solidFill>
          </w14:textFill>
        </w:rPr>
      </w:pPr>
      <w:bookmarkStart w:id="26" w:name="第四部分"/>
      <w:r>
        <w:rPr>
          <w:rFonts w:hint="eastAsia" w:ascii="仿宋_GB2312" w:hAnsi="仿宋_GB2312" w:eastAsia="仿宋_GB2312" w:cs="仿宋_GB2312"/>
          <w:b/>
          <w:color w:val="000000" w:themeColor="text1"/>
          <w:sz w:val="32"/>
          <w:szCs w:val="32"/>
          <w:highlight w:val="none"/>
          <w14:textFill>
            <w14:solidFill>
              <w14:schemeClr w14:val="tx1"/>
            </w14:solidFill>
          </w14:textFill>
        </w:rPr>
        <w:t>第三部分</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32"/>
          <w:szCs w:val="32"/>
          <w:highlight w:val="none"/>
          <w14:textFill>
            <w14:solidFill>
              <w14:schemeClr w14:val="tx1"/>
            </w14:solidFill>
          </w14:textFill>
        </w:rPr>
        <w:t>采购需求</w:t>
      </w:r>
    </w:p>
    <w:p w14:paraId="00BDE54C">
      <w:pPr>
        <w:pStyle w:val="4"/>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一、采购设备清单及控制价</w:t>
      </w:r>
    </w:p>
    <w:tbl>
      <w:tblPr>
        <w:tblStyle w:val="27"/>
        <w:tblW w:w="86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2268"/>
        <w:gridCol w:w="988"/>
        <w:gridCol w:w="1695"/>
        <w:gridCol w:w="2925"/>
      </w:tblGrid>
      <w:tr w14:paraId="2AEE1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14:paraId="3777694B">
            <w:pPr>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序号</w:t>
            </w:r>
          </w:p>
        </w:tc>
        <w:tc>
          <w:tcPr>
            <w:tcW w:w="2268" w:type="dxa"/>
            <w:tcBorders>
              <w:top w:val="single" w:color="000000" w:sz="4" w:space="0"/>
              <w:left w:val="single" w:color="000000" w:sz="4" w:space="0"/>
              <w:bottom w:val="single" w:color="000000" w:sz="4" w:space="0"/>
              <w:right w:val="single" w:color="000000" w:sz="4" w:space="0"/>
            </w:tcBorders>
            <w:vAlign w:val="center"/>
          </w:tcPr>
          <w:p w14:paraId="16E8672F">
            <w:pPr>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标的名称</w:t>
            </w:r>
          </w:p>
        </w:tc>
        <w:tc>
          <w:tcPr>
            <w:tcW w:w="988" w:type="dxa"/>
            <w:tcBorders>
              <w:top w:val="single" w:color="000000" w:sz="4" w:space="0"/>
              <w:left w:val="single" w:color="000000" w:sz="4" w:space="0"/>
              <w:bottom w:val="single" w:color="000000" w:sz="4" w:space="0"/>
              <w:right w:val="single" w:color="000000" w:sz="4" w:space="0"/>
            </w:tcBorders>
            <w:vAlign w:val="center"/>
          </w:tcPr>
          <w:p w14:paraId="6EF1E807">
            <w:pPr>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数量单位</w:t>
            </w:r>
          </w:p>
        </w:tc>
        <w:tc>
          <w:tcPr>
            <w:tcW w:w="1695" w:type="dxa"/>
            <w:tcBorders>
              <w:top w:val="single" w:color="000000" w:sz="4" w:space="0"/>
              <w:left w:val="single" w:color="000000" w:sz="4" w:space="0"/>
              <w:bottom w:val="single" w:color="000000" w:sz="4" w:space="0"/>
              <w:right w:val="single" w:color="000000" w:sz="4" w:space="0"/>
            </w:tcBorders>
            <w:vAlign w:val="center"/>
          </w:tcPr>
          <w:p w14:paraId="3853F82D">
            <w:pPr>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质保</w:t>
            </w:r>
          </w:p>
        </w:tc>
        <w:tc>
          <w:tcPr>
            <w:tcW w:w="2925" w:type="dxa"/>
            <w:tcBorders>
              <w:top w:val="single" w:color="000000" w:sz="4" w:space="0"/>
              <w:left w:val="single" w:color="000000" w:sz="4" w:space="0"/>
              <w:bottom w:val="single" w:color="000000" w:sz="4" w:space="0"/>
              <w:right w:val="single" w:color="auto" w:sz="4" w:space="0"/>
            </w:tcBorders>
            <w:vAlign w:val="center"/>
          </w:tcPr>
          <w:p w14:paraId="18BF2D41">
            <w:pPr>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所属行业</w:t>
            </w:r>
          </w:p>
        </w:tc>
      </w:tr>
      <w:tr w14:paraId="76EA8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794" w:type="dxa"/>
            <w:tcBorders>
              <w:top w:val="single" w:color="000000" w:sz="4" w:space="0"/>
              <w:left w:val="single" w:color="000000" w:sz="4" w:space="0"/>
              <w:right w:val="single" w:color="000000" w:sz="4" w:space="0"/>
            </w:tcBorders>
            <w:vAlign w:val="center"/>
          </w:tcPr>
          <w:p w14:paraId="4EAE7D00">
            <w:pPr>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w:t>
            </w:r>
          </w:p>
        </w:tc>
        <w:tc>
          <w:tcPr>
            <w:tcW w:w="2268" w:type="dxa"/>
            <w:tcBorders>
              <w:top w:val="single" w:color="000000" w:sz="4" w:space="0"/>
              <w:left w:val="single" w:color="000000" w:sz="4" w:space="0"/>
              <w:right w:val="single" w:color="000000" w:sz="4" w:space="0"/>
            </w:tcBorders>
            <w:vAlign w:val="center"/>
          </w:tcPr>
          <w:p w14:paraId="0804E9F2">
            <w:pPr>
              <w:jc w:val="center"/>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color w:val="auto"/>
                <w:sz w:val="24"/>
                <w:szCs w:val="24"/>
                <w:highlight w:val="none"/>
                <w:lang w:eastAsia="zh-CN"/>
              </w:rPr>
              <w:t>办公</w:t>
            </w:r>
            <w:r>
              <w:rPr>
                <w:rFonts w:hint="eastAsia" w:ascii="仿宋_GB2312" w:hAnsi="仿宋_GB2312" w:eastAsia="仿宋_GB2312" w:cs="仿宋_GB2312"/>
                <w:color w:val="auto"/>
                <w:sz w:val="24"/>
                <w:szCs w:val="24"/>
                <w:highlight w:val="none"/>
              </w:rPr>
              <w:t>台式电脑</w:t>
            </w:r>
          </w:p>
        </w:tc>
        <w:tc>
          <w:tcPr>
            <w:tcW w:w="988" w:type="dxa"/>
            <w:tcBorders>
              <w:top w:val="single" w:color="000000" w:sz="4" w:space="0"/>
              <w:left w:val="single" w:color="000000" w:sz="4" w:space="0"/>
              <w:bottom w:val="single" w:color="000000" w:sz="4" w:space="0"/>
              <w:right w:val="single" w:color="000000" w:sz="4" w:space="0"/>
            </w:tcBorders>
            <w:vAlign w:val="center"/>
          </w:tcPr>
          <w:p w14:paraId="01D233DB">
            <w:pPr>
              <w:jc w:val="righ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80</w:t>
            </w:r>
            <w:r>
              <w:rPr>
                <w:rFonts w:hint="eastAsia" w:ascii="仿宋_GB2312" w:hAnsi="仿宋_GB2312" w:eastAsia="仿宋_GB2312" w:cs="仿宋_GB2312"/>
                <w:color w:val="000000"/>
                <w:sz w:val="24"/>
                <w:szCs w:val="24"/>
                <w:highlight w:val="none"/>
              </w:rPr>
              <w:t>套</w:t>
            </w:r>
          </w:p>
        </w:tc>
        <w:tc>
          <w:tcPr>
            <w:tcW w:w="1695" w:type="dxa"/>
            <w:tcBorders>
              <w:top w:val="single" w:color="auto" w:sz="4" w:space="0"/>
              <w:left w:val="single" w:color="000000" w:sz="4" w:space="0"/>
              <w:right w:val="single" w:color="000000" w:sz="4" w:space="0"/>
            </w:tcBorders>
            <w:vAlign w:val="center"/>
          </w:tcPr>
          <w:p w14:paraId="787DA3FA">
            <w:pP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三年免费硬件质保</w:t>
            </w:r>
          </w:p>
        </w:tc>
        <w:tc>
          <w:tcPr>
            <w:tcW w:w="2925" w:type="dxa"/>
            <w:tcBorders>
              <w:top w:val="single" w:color="auto" w:sz="4" w:space="0"/>
              <w:left w:val="single" w:color="000000" w:sz="4" w:space="0"/>
              <w:right w:val="single" w:color="auto" w:sz="4" w:space="0"/>
            </w:tcBorders>
            <w:vAlign w:val="center"/>
          </w:tcPr>
          <w:p w14:paraId="54E97D3B">
            <w:pPr>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工业</w:t>
            </w:r>
          </w:p>
        </w:tc>
      </w:tr>
      <w:tr w14:paraId="4B0EB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jc w:val="center"/>
        </w:trPr>
        <w:tc>
          <w:tcPr>
            <w:tcW w:w="794" w:type="dxa"/>
            <w:tcBorders>
              <w:left w:val="single" w:color="000000" w:sz="4" w:space="0"/>
              <w:bottom w:val="single" w:color="000000" w:sz="4" w:space="0"/>
              <w:right w:val="single" w:color="000000" w:sz="4" w:space="0"/>
            </w:tcBorders>
            <w:vAlign w:val="center"/>
          </w:tcPr>
          <w:p w14:paraId="18D23DE7">
            <w:pPr>
              <w:jc w:val="center"/>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lang w:val="en-US" w:eastAsia="zh-CN"/>
              </w:rPr>
              <w:t>2</w:t>
            </w:r>
          </w:p>
        </w:tc>
        <w:tc>
          <w:tcPr>
            <w:tcW w:w="2268" w:type="dxa"/>
            <w:tcBorders>
              <w:left w:val="single" w:color="000000" w:sz="4" w:space="0"/>
              <w:bottom w:val="single" w:color="000000" w:sz="4" w:space="0"/>
              <w:right w:val="single" w:color="000000" w:sz="4" w:space="0"/>
            </w:tcBorders>
            <w:vAlign w:val="center"/>
          </w:tcPr>
          <w:p w14:paraId="36DC4E8E">
            <w:pPr>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流式软件</w:t>
            </w:r>
          </w:p>
        </w:tc>
        <w:tc>
          <w:tcPr>
            <w:tcW w:w="988" w:type="dxa"/>
            <w:tcBorders>
              <w:top w:val="single" w:color="000000" w:sz="4" w:space="0"/>
              <w:left w:val="single" w:color="000000" w:sz="4" w:space="0"/>
              <w:bottom w:val="single" w:color="000000" w:sz="4" w:space="0"/>
              <w:right w:val="single" w:color="000000" w:sz="4" w:space="0"/>
            </w:tcBorders>
            <w:vAlign w:val="center"/>
          </w:tcPr>
          <w:p w14:paraId="54A3D353">
            <w:pPr>
              <w:jc w:val="righ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80</w:t>
            </w:r>
            <w:r>
              <w:rPr>
                <w:rFonts w:hint="eastAsia" w:ascii="仿宋_GB2312" w:hAnsi="仿宋_GB2312" w:eastAsia="仿宋_GB2312" w:cs="仿宋_GB2312"/>
                <w:color w:val="000000"/>
                <w:sz w:val="24"/>
                <w:szCs w:val="24"/>
                <w:highlight w:val="none"/>
              </w:rPr>
              <w:t>套</w:t>
            </w:r>
          </w:p>
        </w:tc>
        <w:tc>
          <w:tcPr>
            <w:tcW w:w="1695" w:type="dxa"/>
            <w:vMerge w:val="restart"/>
            <w:tcBorders>
              <w:top w:val="single" w:color="auto" w:sz="4" w:space="0"/>
              <w:left w:val="single" w:color="000000" w:sz="4" w:space="0"/>
              <w:right w:val="single" w:color="000000" w:sz="4" w:space="0"/>
            </w:tcBorders>
            <w:vAlign w:val="center"/>
          </w:tcPr>
          <w:p w14:paraId="08CAA18E">
            <w:pP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软件免费三年升级服务</w:t>
            </w:r>
          </w:p>
        </w:tc>
        <w:tc>
          <w:tcPr>
            <w:tcW w:w="2925" w:type="dxa"/>
            <w:tcBorders>
              <w:top w:val="single" w:color="auto" w:sz="4" w:space="0"/>
              <w:left w:val="single" w:color="000000" w:sz="4" w:space="0"/>
              <w:right w:val="single" w:color="auto" w:sz="4" w:space="0"/>
            </w:tcBorders>
            <w:vAlign w:val="center"/>
          </w:tcPr>
          <w:p w14:paraId="5C150F7F">
            <w:pPr>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软件和信息技术服务业</w:t>
            </w:r>
          </w:p>
        </w:tc>
      </w:tr>
      <w:tr w14:paraId="2A4BD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794" w:type="dxa"/>
            <w:tcBorders>
              <w:left w:val="single" w:color="000000" w:sz="4" w:space="0"/>
              <w:bottom w:val="single" w:color="000000" w:sz="4" w:space="0"/>
              <w:right w:val="single" w:color="000000" w:sz="4" w:space="0"/>
            </w:tcBorders>
            <w:vAlign w:val="center"/>
          </w:tcPr>
          <w:p w14:paraId="20437820">
            <w:pPr>
              <w:jc w:val="center"/>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lang w:val="en-US" w:eastAsia="zh-CN"/>
              </w:rPr>
              <w:t>3</w:t>
            </w:r>
          </w:p>
        </w:tc>
        <w:tc>
          <w:tcPr>
            <w:tcW w:w="2268" w:type="dxa"/>
            <w:tcBorders>
              <w:left w:val="single" w:color="000000" w:sz="4" w:space="0"/>
              <w:bottom w:val="single" w:color="000000" w:sz="4" w:space="0"/>
              <w:right w:val="single" w:color="000000" w:sz="4" w:space="0"/>
            </w:tcBorders>
            <w:vAlign w:val="center"/>
          </w:tcPr>
          <w:p w14:paraId="1DC84901">
            <w:pPr>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版式软件</w:t>
            </w:r>
          </w:p>
        </w:tc>
        <w:tc>
          <w:tcPr>
            <w:tcW w:w="988" w:type="dxa"/>
            <w:tcBorders>
              <w:top w:val="single" w:color="000000" w:sz="4" w:space="0"/>
              <w:left w:val="single" w:color="000000" w:sz="4" w:space="0"/>
              <w:bottom w:val="single" w:color="000000" w:sz="4" w:space="0"/>
              <w:right w:val="single" w:color="000000" w:sz="4" w:space="0"/>
            </w:tcBorders>
            <w:vAlign w:val="center"/>
          </w:tcPr>
          <w:p w14:paraId="6CE661BD">
            <w:pPr>
              <w:jc w:val="righ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80</w:t>
            </w:r>
            <w:r>
              <w:rPr>
                <w:rFonts w:hint="eastAsia" w:ascii="仿宋_GB2312" w:hAnsi="仿宋_GB2312" w:eastAsia="仿宋_GB2312" w:cs="仿宋_GB2312"/>
                <w:color w:val="000000"/>
                <w:sz w:val="24"/>
                <w:szCs w:val="24"/>
                <w:highlight w:val="none"/>
              </w:rPr>
              <w:t>套</w:t>
            </w:r>
          </w:p>
        </w:tc>
        <w:tc>
          <w:tcPr>
            <w:tcW w:w="1695" w:type="dxa"/>
            <w:vMerge w:val="continue"/>
            <w:tcBorders>
              <w:left w:val="single" w:color="000000" w:sz="4" w:space="0"/>
              <w:right w:val="single" w:color="000000" w:sz="4" w:space="0"/>
            </w:tcBorders>
            <w:vAlign w:val="center"/>
          </w:tcPr>
          <w:p w14:paraId="54233442">
            <w:pPr>
              <w:rPr>
                <w:rFonts w:hint="eastAsia" w:ascii="仿宋_GB2312" w:hAnsi="仿宋_GB2312" w:eastAsia="仿宋_GB2312" w:cs="仿宋_GB2312"/>
                <w:color w:val="000000"/>
                <w:sz w:val="24"/>
                <w:szCs w:val="24"/>
                <w:highlight w:val="none"/>
              </w:rPr>
            </w:pPr>
          </w:p>
        </w:tc>
        <w:tc>
          <w:tcPr>
            <w:tcW w:w="2925" w:type="dxa"/>
            <w:tcBorders>
              <w:top w:val="single" w:color="auto" w:sz="4" w:space="0"/>
              <w:left w:val="single" w:color="000000" w:sz="4" w:space="0"/>
              <w:right w:val="single" w:color="auto" w:sz="4" w:space="0"/>
            </w:tcBorders>
            <w:vAlign w:val="center"/>
          </w:tcPr>
          <w:p w14:paraId="0E127900">
            <w:pPr>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软件和信息技术服务业</w:t>
            </w:r>
          </w:p>
        </w:tc>
      </w:tr>
      <w:tr w14:paraId="1381C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jc w:val="center"/>
        </w:trPr>
        <w:tc>
          <w:tcPr>
            <w:tcW w:w="794" w:type="dxa"/>
            <w:tcBorders>
              <w:left w:val="single" w:color="000000" w:sz="4" w:space="0"/>
              <w:bottom w:val="single" w:color="000000" w:sz="4" w:space="0"/>
              <w:right w:val="single" w:color="000000" w:sz="4" w:space="0"/>
            </w:tcBorders>
            <w:vAlign w:val="center"/>
          </w:tcPr>
          <w:p w14:paraId="01ABAF22">
            <w:pPr>
              <w:jc w:val="center"/>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lang w:val="en-US" w:eastAsia="zh-CN"/>
              </w:rPr>
              <w:t>4</w:t>
            </w:r>
          </w:p>
        </w:tc>
        <w:tc>
          <w:tcPr>
            <w:tcW w:w="2268" w:type="dxa"/>
            <w:tcBorders>
              <w:left w:val="single" w:color="000000" w:sz="4" w:space="0"/>
              <w:bottom w:val="single" w:color="000000" w:sz="4" w:space="0"/>
              <w:right w:val="single" w:color="000000" w:sz="4" w:space="0"/>
            </w:tcBorders>
            <w:vAlign w:val="center"/>
          </w:tcPr>
          <w:p w14:paraId="2CFB9990">
            <w:pPr>
              <w:jc w:val="center"/>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杀毒软件</w:t>
            </w:r>
          </w:p>
        </w:tc>
        <w:tc>
          <w:tcPr>
            <w:tcW w:w="988" w:type="dxa"/>
            <w:tcBorders>
              <w:top w:val="single" w:color="000000" w:sz="4" w:space="0"/>
              <w:left w:val="single" w:color="000000" w:sz="4" w:space="0"/>
              <w:bottom w:val="single" w:color="000000" w:sz="4" w:space="0"/>
              <w:right w:val="single" w:color="000000" w:sz="4" w:space="0"/>
            </w:tcBorders>
            <w:vAlign w:val="center"/>
          </w:tcPr>
          <w:p w14:paraId="5AC639FF">
            <w:pPr>
              <w:jc w:val="righ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80</w:t>
            </w:r>
            <w:r>
              <w:rPr>
                <w:rFonts w:hint="eastAsia" w:ascii="仿宋_GB2312" w:hAnsi="仿宋_GB2312" w:eastAsia="仿宋_GB2312" w:cs="仿宋_GB2312"/>
                <w:color w:val="000000"/>
                <w:sz w:val="24"/>
                <w:szCs w:val="24"/>
                <w:highlight w:val="none"/>
              </w:rPr>
              <w:t>套</w:t>
            </w:r>
          </w:p>
        </w:tc>
        <w:tc>
          <w:tcPr>
            <w:tcW w:w="1695" w:type="dxa"/>
            <w:vMerge w:val="continue"/>
            <w:tcBorders>
              <w:left w:val="single" w:color="000000" w:sz="4" w:space="0"/>
              <w:right w:val="single" w:color="000000" w:sz="4" w:space="0"/>
            </w:tcBorders>
            <w:vAlign w:val="center"/>
          </w:tcPr>
          <w:p w14:paraId="69C43AA8">
            <w:pPr>
              <w:rPr>
                <w:rFonts w:hint="eastAsia" w:ascii="仿宋_GB2312" w:hAnsi="仿宋_GB2312" w:eastAsia="仿宋_GB2312" w:cs="仿宋_GB2312"/>
                <w:color w:val="000000"/>
                <w:sz w:val="24"/>
                <w:szCs w:val="24"/>
                <w:highlight w:val="none"/>
              </w:rPr>
            </w:pPr>
          </w:p>
        </w:tc>
        <w:tc>
          <w:tcPr>
            <w:tcW w:w="2925" w:type="dxa"/>
            <w:tcBorders>
              <w:top w:val="single" w:color="auto" w:sz="4" w:space="0"/>
              <w:left w:val="single" w:color="000000" w:sz="4" w:space="0"/>
              <w:right w:val="single" w:color="auto" w:sz="4" w:space="0"/>
            </w:tcBorders>
            <w:vAlign w:val="center"/>
          </w:tcPr>
          <w:p w14:paraId="6E767561">
            <w:pPr>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软件和信息技术服务业</w:t>
            </w:r>
          </w:p>
        </w:tc>
      </w:tr>
    </w:tbl>
    <w:p w14:paraId="2927D6AC">
      <w:pPr>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45921D56">
      <w:pPr>
        <w:pStyle w:val="4"/>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二、技术需求</w:t>
      </w:r>
    </w:p>
    <w:p w14:paraId="0ECE3468">
      <w:pPr>
        <w:pStyle w:val="22"/>
        <w:spacing w:beforeAutospacing="0" w:afterAutospacing="0" w:line="276" w:lineRule="auto"/>
        <w:jc w:val="both"/>
        <w:rPr>
          <w:rFonts w:hint="eastAsia" w:ascii="仿宋_GB2312" w:hAnsi="仿宋_GB2312" w:eastAsia="仿宋_GB2312" w:cs="仿宋_GB2312"/>
          <w:color w:val="000000" w:themeColor="text1"/>
          <w:szCs w:val="24"/>
          <w:highlight w:val="none"/>
          <w14:textFill>
            <w14:solidFill>
              <w14:schemeClr w14:val="tx1"/>
            </w14:solidFill>
          </w14:textFill>
        </w:rPr>
      </w:pPr>
      <w:r>
        <w:rPr>
          <w:rFonts w:hint="eastAsia" w:ascii="仿宋_GB2312" w:hAnsi="仿宋_GB2312" w:eastAsia="仿宋_GB2312" w:cs="仿宋_GB2312"/>
          <w:color w:val="000000" w:themeColor="text1"/>
          <w:szCs w:val="24"/>
          <w:highlight w:val="none"/>
          <w14:textFill>
            <w14:solidFill>
              <w14:schemeClr w14:val="tx1"/>
            </w14:solidFill>
          </w14:textFill>
        </w:rPr>
        <w:t>备注：标有“▲”的技术参数为实质性响应要求，投标人要特别加以注意，必须对此响应并完全满足这些要求，否则将按无效投标处理</w:t>
      </w:r>
      <w:r>
        <w:rPr>
          <w:rFonts w:hint="eastAsia" w:ascii="仿宋_GB2312" w:hAnsi="仿宋_GB2312" w:eastAsia="仿宋_GB2312" w:cs="仿宋_GB2312"/>
          <w:color w:val="000000" w:themeColor="text1"/>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标记有“★”的</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为</w:t>
      </w:r>
      <w:r>
        <w:rPr>
          <w:rFonts w:hint="eastAsia" w:ascii="仿宋_GB2312" w:hAnsi="仿宋_GB2312" w:eastAsia="仿宋_GB2312" w:cs="仿宋_GB2312"/>
          <w:color w:val="000000" w:themeColor="text1"/>
          <w:sz w:val="24"/>
          <w:szCs w:val="24"/>
          <w:highlight w:val="none"/>
          <w14:textFill>
            <w14:solidFill>
              <w14:schemeClr w14:val="tx1"/>
            </w14:solidFill>
          </w14:textFill>
        </w:rPr>
        <w:t>本项目核心产品</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Cs w:val="24"/>
          <w:highlight w:val="none"/>
          <w14:textFill>
            <w14:solidFill>
              <w14:schemeClr w14:val="tx1"/>
            </w14:solidFill>
          </w14:textFill>
        </w:rPr>
        <w:t>标有“△”的技术参数为重要技术要求，负偏离导致扣分。</w:t>
      </w:r>
    </w:p>
    <w:p w14:paraId="475A88C3">
      <w:pPr>
        <w:pStyle w:val="22"/>
        <w:spacing w:beforeAutospacing="0" w:afterAutospacing="0" w:line="276" w:lineRule="auto"/>
        <w:jc w:val="both"/>
        <w:rPr>
          <w:rFonts w:hint="eastAsia" w:ascii="仿宋_GB2312" w:hAnsi="仿宋_GB2312" w:eastAsia="仿宋_GB2312" w:cs="仿宋_GB2312"/>
          <w:color w:val="000000" w:themeColor="text1"/>
          <w:szCs w:val="24"/>
          <w:highlight w:val="none"/>
          <w14:textFill>
            <w14:solidFill>
              <w14:schemeClr w14:val="tx1"/>
            </w14:solidFill>
          </w14:textFill>
        </w:rPr>
      </w:pPr>
    </w:p>
    <w:p w14:paraId="4619AF2F">
      <w:pPr>
        <w:pStyle w:val="22"/>
        <w:spacing w:beforeAutospacing="0" w:afterAutospacing="0" w:line="276" w:lineRule="auto"/>
        <w:jc w:val="both"/>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2.1★</w:t>
      </w:r>
      <w:r>
        <w:rPr>
          <w:rFonts w:hint="eastAsia" w:ascii="仿宋_GB2312" w:hAnsi="仿宋_GB2312" w:eastAsia="仿宋_GB2312" w:cs="仿宋_GB2312"/>
          <w:bCs w:val="0"/>
          <w:color w:val="auto"/>
          <w:sz w:val="24"/>
          <w:szCs w:val="24"/>
          <w:highlight w:val="none"/>
          <w:lang w:eastAsia="zh-CN"/>
        </w:rPr>
        <w:t>办公台式电脑</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b/>
          <w:bCs/>
          <w:color w:val="auto"/>
          <w:szCs w:val="24"/>
          <w:highlight w:val="none"/>
          <w:lang w:eastAsia="zh-CN"/>
        </w:rPr>
        <w:t>本次采购的办公台式电脑的显示器为液晶显示器</w:t>
      </w:r>
      <w:r>
        <w:rPr>
          <w:rFonts w:hint="eastAsia" w:ascii="仿宋_GB2312" w:hAnsi="仿宋_GB2312" w:eastAsia="仿宋_GB2312" w:cs="仿宋_GB2312"/>
          <w:color w:val="auto"/>
          <w:szCs w:val="24"/>
          <w:highlight w:val="none"/>
          <w:lang w:eastAsia="zh-CN"/>
        </w:rPr>
        <w:t>）</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81"/>
        <w:gridCol w:w="863"/>
        <w:gridCol w:w="1986"/>
        <w:gridCol w:w="3986"/>
      </w:tblGrid>
      <w:tr w14:paraId="3424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4F7FC2">
            <w:pPr>
              <w:keepNext w:val="0"/>
              <w:keepLines w:val="0"/>
              <w:widowControl/>
              <w:suppressLineNumbers w:val="0"/>
              <w:jc w:val="left"/>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序号</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A33A66">
            <w:pPr>
              <w:keepNext w:val="0"/>
              <w:keepLines w:val="0"/>
              <w:widowControl/>
              <w:suppressLineNumbers w:val="0"/>
              <w:jc w:val="left"/>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指标分类</w:t>
            </w: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E5624E">
            <w:pPr>
              <w:keepNext w:val="0"/>
              <w:keepLines w:val="0"/>
              <w:widowControl/>
              <w:suppressLineNumbers w:val="0"/>
              <w:jc w:val="left"/>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一级指标</w:t>
            </w:r>
          </w:p>
        </w:tc>
        <w:tc>
          <w:tcPr>
            <w:tcW w:w="116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5341DD">
            <w:pPr>
              <w:keepNext w:val="0"/>
              <w:keepLines w:val="0"/>
              <w:widowControl/>
              <w:suppressLineNumbers w:val="0"/>
              <w:jc w:val="left"/>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二级指标</w:t>
            </w:r>
          </w:p>
        </w:tc>
        <w:tc>
          <w:tcPr>
            <w:tcW w:w="2346" w:type="pct"/>
            <w:tcBorders>
              <w:top w:val="single" w:color="000000" w:sz="4" w:space="0"/>
              <w:left w:val="nil"/>
              <w:bottom w:val="nil"/>
              <w:right w:val="single" w:color="000000" w:sz="4" w:space="0"/>
            </w:tcBorders>
            <w:shd w:val="clear" w:color="auto" w:fill="FFFFFF" w:themeFill="background1"/>
            <w:vAlign w:val="center"/>
          </w:tcPr>
          <w:p w14:paraId="42B855CC">
            <w:pPr>
              <w:keepNext w:val="0"/>
              <w:keepLines w:val="0"/>
              <w:widowControl/>
              <w:suppressLineNumbers w:val="0"/>
              <w:jc w:val="left"/>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招标参数</w:t>
            </w:r>
          </w:p>
        </w:tc>
      </w:tr>
      <w:tr w14:paraId="7730A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85592">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C2A8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3B72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CPU规格</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02A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▲CPU信息</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5931464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ARM架构处理器，8核，主频≥2.1GHz，CPU符合安全可靠测评II级，末级缓存容量≥8MB ；CPU支持的最高内存速率≥6400MT/s。</w:t>
            </w:r>
          </w:p>
        </w:tc>
      </w:tr>
      <w:tr w14:paraId="47728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43D05">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5905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91AD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内存规格</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3B52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▲内存配置容量</w:t>
            </w:r>
          </w:p>
        </w:tc>
        <w:tc>
          <w:tcPr>
            <w:tcW w:w="2346" w:type="pct"/>
            <w:tcBorders>
              <w:top w:val="nil"/>
              <w:left w:val="nil"/>
              <w:bottom w:val="single" w:color="000000" w:sz="4" w:space="0"/>
              <w:right w:val="single" w:color="000000" w:sz="4" w:space="0"/>
            </w:tcBorders>
            <w:shd w:val="clear" w:color="auto" w:fill="auto"/>
            <w:vAlign w:val="center"/>
          </w:tcPr>
          <w:p w14:paraId="0F68C7B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≥16GB</w:t>
            </w:r>
          </w:p>
        </w:tc>
      </w:tr>
      <w:tr w14:paraId="5E6CA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C9307">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ADC7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DB60F">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5C97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▲内存类型</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586C4C5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 DDR5/LPDDR5/LPDDR5x及以上内 存类型</w:t>
            </w:r>
          </w:p>
        </w:tc>
      </w:tr>
      <w:tr w14:paraId="388AA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0F727">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9408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96CBB">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4AFB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▲内存条配置数量(板载内存不涉及)</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33D4C0B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≥1（板载内存不涉及）</w:t>
            </w:r>
          </w:p>
        </w:tc>
      </w:tr>
      <w:tr w14:paraId="15124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E3FED">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7C86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2376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主板规格</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FC7B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▲主板集成模块</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39C2DE4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集成资源扩展模块、计算处理模块、音频扩展模块等，主板的互联拓扑可通过处理器或交换电路实现</w:t>
            </w:r>
          </w:p>
        </w:tc>
      </w:tr>
      <w:tr w14:paraId="17F56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13716">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9964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7648A">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B87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▲主板支持的CPU和内存情况</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0E9982C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供应商给出主板支持的 CPU 和内存型号和数量</w:t>
            </w:r>
          </w:p>
        </w:tc>
      </w:tr>
      <w:tr w14:paraId="53A76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4FA3B">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25A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28635">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DD26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▲主板其他内置接口</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7C76ED2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供应商给出相关SATA、M.2、USB接口数量及占用状态</w:t>
            </w:r>
          </w:p>
        </w:tc>
      </w:tr>
      <w:tr w14:paraId="3C843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D23D3">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8805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F5541">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6143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▲单内存插槽最大可支持容量(板载内存不涉及)</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7490DEF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≥8GB（板载内存不涉及）</w:t>
            </w:r>
          </w:p>
        </w:tc>
      </w:tr>
      <w:tr w14:paraId="3E8BF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153D8">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C8D1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2ACEE">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05D8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▲内存插槽满配时提供的最高内存总容量</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4F3E352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≥16GB</w:t>
            </w:r>
          </w:p>
        </w:tc>
      </w:tr>
      <w:tr w14:paraId="2072A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CF12B">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D6BF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9845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存储设备规格</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DF1E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▲固态盘数量</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310159E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≥1个</w:t>
            </w:r>
          </w:p>
        </w:tc>
      </w:tr>
      <w:tr w14:paraId="1CDD3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8A780">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1F6B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6EC14">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D850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▲固态存储容量</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145EEC2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≥512GB</w:t>
            </w:r>
          </w:p>
        </w:tc>
      </w:tr>
      <w:tr w14:paraId="35A81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62872">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16A5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4150E">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D57C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▲固态存储形态</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6C00162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采用插卡或板载等形态，可选用符合</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M.2 或 2.5寸 SATA 或 mSATA 等标准的 插卡形态</w:t>
            </w:r>
          </w:p>
        </w:tc>
      </w:tr>
      <w:tr w14:paraId="0943F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9FA0B">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6488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04A4F">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CA4C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▲存储设备其他参数要求</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20F938D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a)固态盘应符合 SJ/T 11654 相关规定；</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b)机械硬盘准备时间应不大于 30s；侧 面固定螺丝孔数量可为 4 孔或 6 孔； 工作状态环境温度应满足 5℃~55℃；其它参数应符合 GB/T 12628 相关规定</w:t>
            </w:r>
          </w:p>
        </w:tc>
      </w:tr>
      <w:tr w14:paraId="563B9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E3360">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14</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667E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41DA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显卡规格</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1406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▲显卡类型</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72288B2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独立显卡或集成显卡</w:t>
            </w:r>
          </w:p>
        </w:tc>
      </w:tr>
      <w:tr w14:paraId="757EA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0AE45">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DA61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BD994">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93BB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▲独立显卡显存类型</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5C58769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若配置独立显卡，显存类型应为 DDR3/DDR4/GDDR5/GDDR6/LPDDR4(集成显卡不涉及)</w:t>
            </w:r>
          </w:p>
        </w:tc>
      </w:tr>
      <w:tr w14:paraId="7B6A1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E2FEF">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16</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326F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EC8DB">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8D8B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▲独立显卡显存位宽</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262843E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若配置独立显卡，显存位宽≥16位</w:t>
            </w:r>
          </w:p>
        </w:tc>
      </w:tr>
      <w:tr w14:paraId="55CF5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56EE3">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17</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DE7F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676DA">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29E9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▲独立显卡显存容量</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03F885A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若配置独立显卡，显存容量≥1GB</w:t>
            </w:r>
          </w:p>
        </w:tc>
      </w:tr>
      <w:tr w14:paraId="40577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6BED4">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18</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57AD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BF570">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9299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独立显卡接口协议</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7751F6C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 PCIe 协议版本大于等于 2.0 或 HT</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（HyperTransport）协议版本大于等于 3.0 的独立显卡接口协议(集成显卡不涉及)</w:t>
            </w:r>
          </w:p>
        </w:tc>
      </w:tr>
      <w:tr w14:paraId="27E1B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29942">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19</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AB21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8A8D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显示设备规格</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9905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▲显示屏屏占比</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5FC8310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≥90%</w:t>
            </w:r>
          </w:p>
        </w:tc>
      </w:tr>
      <w:tr w14:paraId="73E62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B6677">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20</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A94F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FB181">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AF6E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▲显示屏分辨率</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3220D90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≥1920x1080</w:t>
            </w:r>
          </w:p>
        </w:tc>
      </w:tr>
      <w:tr w14:paraId="21C4B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8B2CB">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21</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4ACC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CA39E">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583B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显示屏像素密度</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01C30B5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≥90像素/英寸</w:t>
            </w:r>
          </w:p>
        </w:tc>
      </w:tr>
      <w:tr w14:paraId="2BB21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76D32">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22</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39F7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0E61A">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2B0E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显示屏可视角度</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57C38F4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水平≥170°</w:t>
            </w:r>
          </w:p>
        </w:tc>
      </w:tr>
      <w:tr w14:paraId="1D57C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0C5F3">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9987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795CC">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CE41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▲显示屏尺寸</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7D888C6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 英寸</w:t>
            </w:r>
          </w:p>
        </w:tc>
      </w:tr>
      <w:tr w14:paraId="412CA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A28A5">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E3C8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F6EC8">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986A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▲显示屏屏幕比例</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79C6BB0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16:9/3:2/21:9/16:10 等</w:t>
            </w:r>
          </w:p>
        </w:tc>
      </w:tr>
      <w:tr w14:paraId="57714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F64DB">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25</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AFE1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B66F3">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100F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▲显示器外观颜色</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4806561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黑色/白色/银色等商务色系</w:t>
            </w:r>
          </w:p>
        </w:tc>
      </w:tr>
      <w:tr w14:paraId="14742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1B202">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26</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C5E3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86E51">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E579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▲显示屏防蓝光</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5D8C21F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支持防蓝光模式，蓝光加权辐射亮度 比应≤0.0012W/(·cd·sr)（瓦每坎 特拉每球面度）</w:t>
            </w:r>
          </w:p>
        </w:tc>
      </w:tr>
      <w:tr w14:paraId="5423F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FDBA7">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27</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CC94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9D6BF">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D7BD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▲显示屏低频闪</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480A47D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显示屏应支持低频闪≤-35dB</w:t>
            </w:r>
          </w:p>
        </w:tc>
      </w:tr>
      <w:tr w14:paraId="3B317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C7914">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28</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EC39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AB428">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583F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▲显示屏防炫目</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2B3FD58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显示屏镜面反射率≤10%</w:t>
            </w:r>
          </w:p>
        </w:tc>
      </w:tr>
      <w:tr w14:paraId="01A72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AE7C2">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29</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36A2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806DE">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D6A8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▲鼠标数量</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5262706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≥1个</w:t>
            </w:r>
          </w:p>
        </w:tc>
      </w:tr>
      <w:tr w14:paraId="6C45E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B3F39">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30</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9633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3D688">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B837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▲键盘数量</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68678EA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≥1个</w:t>
            </w:r>
          </w:p>
        </w:tc>
      </w:tr>
      <w:tr w14:paraId="7FD5F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E7EB5">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31</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DC5C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FC682">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5028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▲键盘按键数目</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756BE9E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61 键/86 键/101 键/104 键等</w:t>
            </w:r>
          </w:p>
        </w:tc>
      </w:tr>
      <w:tr w14:paraId="478F5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C9731">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32</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D3FF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C0B83">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20BA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▲键盘连接方式</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6C15300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有线或无线</w:t>
            </w:r>
          </w:p>
        </w:tc>
      </w:tr>
      <w:tr w14:paraId="53ED6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DB0BF">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33</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0834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557FD">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8744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▲键盘键程</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299DFDB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2.3mm~4.0mm</w:t>
            </w:r>
          </w:p>
        </w:tc>
      </w:tr>
      <w:tr w14:paraId="39D45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61849">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34</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B912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2F652">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5D46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▲键盘按键压力</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1F5CCE6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按键压力应在0.54N±0.14N</w:t>
            </w:r>
          </w:p>
        </w:tc>
      </w:tr>
      <w:tr w14:paraId="0867B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01C28">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35</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FCF9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4AB33">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480B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▲有线键盘连接线</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03B5D45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≥1.5米</w:t>
            </w:r>
          </w:p>
        </w:tc>
      </w:tr>
      <w:tr w14:paraId="7AB75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D6081">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36</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861B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CE7DE">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9BAC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▲键盘颜色</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434809F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黑色/白色/银色等商务色系</w:t>
            </w:r>
          </w:p>
        </w:tc>
      </w:tr>
      <w:tr w14:paraId="5A204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F4BB1">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37</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4258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AD4A1">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6850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键盘其他要求</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2565A6B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键盘外观结构、连接方式、主要功能、安全、电磁兼容性、可靠性应符合GB/T14081的相关规定</w:t>
            </w:r>
          </w:p>
        </w:tc>
      </w:tr>
      <w:tr w14:paraId="725D8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BAC07">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38</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1D12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68738">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AE3A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▲鼠标连接方式</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642E2ED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有线或无线</w:t>
            </w:r>
          </w:p>
        </w:tc>
      </w:tr>
      <w:tr w14:paraId="7F3FE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989DB">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39</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CCB3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5405A">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CBA9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▲有线鼠标连接线</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4C3A6DD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≥1.5米</w:t>
            </w:r>
          </w:p>
        </w:tc>
      </w:tr>
      <w:tr w14:paraId="2EB13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ECFFE">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40</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95D0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19A3F">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DE5E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▲鼠标DPI分辨率</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4B73641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800~1600</w:t>
            </w:r>
          </w:p>
        </w:tc>
      </w:tr>
      <w:tr w14:paraId="26039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274C7">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41</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5C4F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439C1">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118C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▲鼠标颜色</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77A9365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黑色/银色/白色等商务色系</w:t>
            </w:r>
          </w:p>
        </w:tc>
      </w:tr>
      <w:tr w14:paraId="7DEAF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03C64">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42</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3730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01F40">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F5AD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▲鼠标其他要求</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0B51799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其它参数应符合GB/T26245的相关规定</w:t>
            </w:r>
          </w:p>
        </w:tc>
      </w:tr>
      <w:tr w14:paraId="70CCF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451FB">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43</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1402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BD0C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网络设备规格</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7EE9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▲有线网卡数量</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6453481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1A33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EC957">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44</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695F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2B99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外部接口规格</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D2F3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▲USB接口数量</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5EABAEE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机箱前面板应提供不少于3个USB 接 口（含2个USB3.0及以上接口）</w:t>
            </w:r>
          </w:p>
        </w:tc>
      </w:tr>
      <w:tr w14:paraId="5B3E8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C2C52">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45</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690D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87F9E">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D7FE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▲视频接口数量</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43CBCAE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36B1A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C0DB1">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46</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D73D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91FAF">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4385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▲音频接口数量</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6E625DF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779AD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43FA7">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47</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3F68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BB2D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整机基础规格</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3526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▲整机外观</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0E3558E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a)产品表面不应有凹痕、划伤、裂缝、变形和污染等。表面涂层均匀，不应起泡、龟裂、脱落和磨损，金属零部件无锈蚀及其它机械损伤；</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b)产品表面说明功能的文字、符号、标志，应清晰、端正、牢固</w:t>
            </w:r>
          </w:p>
        </w:tc>
      </w:tr>
      <w:tr w14:paraId="034AB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0BC9A">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48</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77E6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01A56">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26A1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▲状态指示灯</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677E9A2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在产品显著位置提供状态指示功能，如运行状态，并由供应商提供详细参数</w:t>
            </w:r>
          </w:p>
        </w:tc>
      </w:tr>
      <w:tr w14:paraId="7A675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8"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85E32">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49</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F26F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A06B9">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ACD2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▲整机结构</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302D209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a)机箱应符合GB/T4208、GB/T26246的相关规定；</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b)产品内部结构应符合通用部件的安装需求；</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c)所有输入输出接口应符合相关国家或行业标准；</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d)产品零部件应紧固无松动，可插拔部件应可靠连接，开关、按钮和其它控制部件应灵活可靠，布局应方便使用；</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e)所有I/O连接器及需插接线缆的部位应预留采购人操作空间，方便插拔解锁与插拔线缆；</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f)可插拔板卡插槽部位应预留安装、拆卸或更换板卡空间；</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g)拆装可能接触到的金属剪口或金属尖角部位应做防划伤处理，以保证安全；</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h)整机内部走线应规整，固线结构和位置要合理可靠并做防割线处理，需便于理线和插拔操作，走线应不影响系统各主要部件组装和拆卸；</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i)如需通过孔走线，过线孔应做防割线处理；</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j)各插头位置和插拔方向应合理，应做到插拔无障碍设计，具备防呆设计，有效避免误操作；</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k)各主要部件拆装无障碍，使用常规工具拆装，无特殊拆装工具需求；</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l)各主要部件拆装步骤要少，各自拆装需避免相互干扰；</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m)对于整机或零部件外表面为高亮面的，应粘贴保护膜，保护膜需粘贴牢固，运输、组装等过程不易脱落，撕下无残留；</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n)其它要求应符合GB/T9813.1的相关规定</w:t>
            </w:r>
          </w:p>
        </w:tc>
      </w:tr>
      <w:tr w14:paraId="1E295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730FB">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113D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2D02B">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0E41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▲机箱防护要求</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44DF126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机箱应符合GB/T4208中IP20防护要求</w:t>
            </w:r>
          </w:p>
        </w:tc>
      </w:tr>
      <w:tr w14:paraId="5D896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8737F">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51</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AF7C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AE779">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64DD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▲整机噪音</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6600E3A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产品工作在空闲状态下，产品的声功率级应不超过4.5Bel</w:t>
            </w:r>
          </w:p>
        </w:tc>
      </w:tr>
      <w:tr w14:paraId="7A627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D6697">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52</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2143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44878">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CC45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▲整机散热</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1023248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在环境温度25℃及处理器满载情况下，产品表面温度应符合如下要求：</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a)出风口在机箱后面板情况下，出风口温度不高于55℃；</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b)可触及面温度不高于45℃；</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c)显示器表面温度：显示屏不高于38℃，显示屏上下灯带位置温度(如涉及)不高于40℃，出风口温度不高于45℃</w:t>
            </w:r>
          </w:p>
        </w:tc>
      </w:tr>
      <w:tr w14:paraId="76336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6AC89">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53</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8F5A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4D8CD">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39AA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▲整机能效限定值</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44594BE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产品能效限定值应达到GB28380-2012标准中能效等级2级及以上</w:t>
            </w:r>
          </w:p>
        </w:tc>
      </w:tr>
      <w:tr w14:paraId="0225B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BC5B4">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54</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EB21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07E66">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74ED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▲机身材质</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7A47E6E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塑料/金属等</w:t>
            </w:r>
          </w:p>
        </w:tc>
      </w:tr>
      <w:tr w14:paraId="75D81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3C79D">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55</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4819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4283F">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0370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▲机身颜色</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798D600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灰色/黑色等商务色系</w:t>
            </w:r>
          </w:p>
        </w:tc>
      </w:tr>
      <w:tr w14:paraId="65DB5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05B5D">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56</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90AE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产品规格</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750F7">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BF5B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▲机箱尺寸容量</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571F9B4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机箱体积应不大于9L</w:t>
            </w:r>
          </w:p>
        </w:tc>
      </w:tr>
      <w:tr w14:paraId="22CD4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5B6C0">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57</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D214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0AF2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CPU性能</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F269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▲CPU物理核数</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549ACFD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w:t>
            </w:r>
          </w:p>
        </w:tc>
      </w:tr>
      <w:tr w14:paraId="227F7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19113">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58</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5275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30379">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7DEB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▲CPU主频</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553027F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≥2.4GHz</w:t>
            </w:r>
          </w:p>
        </w:tc>
      </w:tr>
      <w:tr w14:paraId="4F830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8FDCD">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59</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3248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27FB3">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6BA2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▲CPU末级缓存容量</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4AC5DE5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≥8MB</w:t>
            </w:r>
          </w:p>
        </w:tc>
      </w:tr>
      <w:tr w14:paraId="715C7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F1E9D">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60</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7839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7C8ED">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5268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▲CPU支持的内存最高速率</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67CDD4D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≥6400MT/s</w:t>
            </w:r>
          </w:p>
        </w:tc>
      </w:tr>
      <w:tr w14:paraId="2C38D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1C124">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61</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2CD1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6F73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内存性能</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84D7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▲内存读写速率</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3F5C55C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≥6400MT/s</w:t>
            </w:r>
          </w:p>
        </w:tc>
      </w:tr>
      <w:tr w14:paraId="62CA0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4939">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62</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ADFB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8A3C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显卡性能</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A49B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▲显示分辨率</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394D788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≥1920x1080</w:t>
            </w:r>
          </w:p>
        </w:tc>
      </w:tr>
      <w:tr w14:paraId="207A9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8B2FE">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63</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DC43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BFE76">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9B99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▲显卡显示芯片核心频率</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710D9B5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≥300MHz</w:t>
            </w:r>
          </w:p>
        </w:tc>
      </w:tr>
      <w:tr w14:paraId="70F52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2149F">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64</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34EB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F200F">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B6C6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▲显存等效频率</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2A9DE27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≥6400MT/s</w:t>
            </w:r>
          </w:p>
        </w:tc>
      </w:tr>
      <w:tr w14:paraId="730D3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3A295">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65</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DD21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4819C">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8CF1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▲显卡可支持多屏同时显示数量</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24056FF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显卡应支持 2 块屏幕同时显示，分辨</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率应不低于 1920×1080</w:t>
            </w:r>
          </w:p>
        </w:tc>
      </w:tr>
      <w:tr w14:paraId="03521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1A928">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66</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79D4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64F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显示设备性能</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6629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▲显示屏刷新率</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4440603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≥100Hz</w:t>
            </w:r>
          </w:p>
        </w:tc>
      </w:tr>
      <w:tr w14:paraId="799C3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2D606">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67</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FDB2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9B597">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6465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▲显示屏位深</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65DF284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 位</w:t>
            </w:r>
          </w:p>
        </w:tc>
      </w:tr>
      <w:tr w14:paraId="31156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22457">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68</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773F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83B82">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4690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▲显示屏色域</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74686A7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≥99% sRGB</w:t>
            </w:r>
          </w:p>
        </w:tc>
      </w:tr>
      <w:tr w14:paraId="0C4A6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53CFC">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69</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97FC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ABDF6">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4239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▲显示屏色准</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1281DC1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△E ≤ 4</w:t>
            </w:r>
          </w:p>
        </w:tc>
      </w:tr>
      <w:tr w14:paraId="226F6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9885D">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70</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2D30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7C076">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45A0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▲显示屏响应时间</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529F914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≤8ms</w:t>
            </w:r>
          </w:p>
        </w:tc>
      </w:tr>
      <w:tr w14:paraId="245C9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E6DF2">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71</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1EE4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3207A">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292C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▲显示屏亮度</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1D8F46D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≥250 尼特</w:t>
            </w:r>
          </w:p>
        </w:tc>
      </w:tr>
      <w:tr w14:paraId="36510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B8D90">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72</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EB32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F96DD">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26C1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▲显示屏亮度一致性</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0D02DD8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≥70%</w:t>
            </w:r>
          </w:p>
        </w:tc>
      </w:tr>
      <w:tr w14:paraId="6629E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83701">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73</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AA75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6CE87">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8923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▲显示屏对比度</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45B3B15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≥500：1</w:t>
            </w:r>
          </w:p>
        </w:tc>
      </w:tr>
      <w:tr w14:paraId="1EE0F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14363">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74</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1BBF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36641">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658A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▲显示屏其他参数</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24B0B77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其它参数应符合 SJ/T 11292 的相关规定（灰度等级≥32 级）</w:t>
            </w:r>
          </w:p>
        </w:tc>
      </w:tr>
      <w:tr w14:paraId="3A46D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4C159">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75</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AEED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性能要求</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CEBA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网络设备性能</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6210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▲有线网卡速率</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00E171C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最高速率应不低于1000Mbps，应支持10Mbps、100Mbps、1000Mbps 速率自适应</w:t>
            </w:r>
          </w:p>
        </w:tc>
      </w:tr>
      <w:tr w14:paraId="17C93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3F7A4">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76</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F5B2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4D59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主板功能</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203A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▲内存扩展接口(板载内存不涉及)</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7188D98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 个</w:t>
            </w:r>
          </w:p>
        </w:tc>
      </w:tr>
      <w:tr w14:paraId="7DCE9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3F9C8">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77</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ED99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0CD04">
            <w:pPr>
              <w:jc w:val="both"/>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B405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▲主板USB瞬间过流保护</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4EA9B55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支持有瞬间过流保护功能</w:t>
            </w:r>
          </w:p>
        </w:tc>
      </w:tr>
      <w:tr w14:paraId="25A55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78FE8">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78</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4037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37FC8">
            <w:pPr>
              <w:jc w:val="both"/>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0102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▲主板防静电保护</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25E2070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支持防静电保护功能</w:t>
            </w:r>
          </w:p>
        </w:tc>
      </w:tr>
      <w:tr w14:paraId="7810A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6C9C6">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79</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E7E2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FE915">
            <w:pPr>
              <w:jc w:val="both"/>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09B1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▲I/O接口功能</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1ADEFA2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提供基于标准 USB 接口外设连接功能、基于音频输入输出接口的音频扩展功能、基于 PCIe 接口板卡扩展功能、基于 HDMI 或 VGA 或 Type-C 或 DVI 或 DP等接口外接显示器扩展功能、基于存储接口对产品进行增容功能等。产品I/O 接口，应具备外接标准 USB 设备、 显示器、音频设备等内外部设备能力</w:t>
            </w:r>
          </w:p>
        </w:tc>
      </w:tr>
      <w:tr w14:paraId="496E6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A3650">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80</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EE08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50CD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显卡功能</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72DC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▲显卡外接显示接口</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19F745F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显卡至少支持 VGA、HDMI、DVI、DP、 Type-C 中 1 种显示接口，并与显示器 接口相匹配</w:t>
            </w:r>
          </w:p>
        </w:tc>
      </w:tr>
      <w:tr w14:paraId="25BE0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A2815">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81</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4FA7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5C56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显示设备功能</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87F6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▲显示器接口</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632F5FF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显示器应与显卡外接显示接口匹配</w:t>
            </w:r>
          </w:p>
        </w:tc>
      </w:tr>
      <w:tr w14:paraId="53CD0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20DA6">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82</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9B8D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AF053">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BDB9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▲显示器支架</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14C265F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显示器应提供显示器支架</w:t>
            </w:r>
          </w:p>
        </w:tc>
      </w:tr>
      <w:tr w14:paraId="6D0DD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FDBAE">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83</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7E85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F6FD1">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B586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▲显示器参数调节</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32E98F8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a)提供 OSD 选单按钮用于调节色彩、 模式等； b)支持色温、亮度、对比度调节</w:t>
            </w:r>
          </w:p>
        </w:tc>
      </w:tr>
      <w:tr w14:paraId="30BE2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67441">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84</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C801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16BD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存储功能</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0194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▲存储功能</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0BE3BE0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通过 SATA 固态存储/PCIe 固态存储</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/UFS 固态存储/SATA 硬磁盘等存储部 件提供存储功能</w:t>
            </w:r>
          </w:p>
        </w:tc>
      </w:tr>
      <w:tr w14:paraId="3E3B3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A1D79">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85</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5C17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7ADA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网络设备功能</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14AE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▲网络功能</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151A679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a)支持网络连接、网络开启/关闭功能；b)支持访问网络和数据交换功能</w:t>
            </w:r>
          </w:p>
        </w:tc>
      </w:tr>
      <w:tr w14:paraId="42469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C5197">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86</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0F3F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DF530">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C545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▲数据传输</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29B27D9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支持数据传输能力，并提供数据流量和异常日志记录功能</w:t>
            </w:r>
          </w:p>
        </w:tc>
      </w:tr>
      <w:tr w14:paraId="3B67E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ECB2A">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87</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A0E2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505CA">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CA9F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▲有线网卡接口类型</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3E9232B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 RJ45 接口</w:t>
            </w:r>
          </w:p>
        </w:tc>
      </w:tr>
      <w:tr w14:paraId="090CA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335E8">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88</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FF41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BEE33">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53EA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▲网络设备拆装</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7A48C6C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网络设备支持物理拆装，包括无线网 卡和蓝牙模块等</w:t>
            </w:r>
          </w:p>
        </w:tc>
      </w:tr>
      <w:tr w14:paraId="4F59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4690D">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89</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7865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5367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外部接口功能</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47C4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▲音频接口类型</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252EE22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 3.5mm 孔径 3 段式或 4 段式接口</w:t>
            </w:r>
          </w:p>
        </w:tc>
      </w:tr>
      <w:tr w14:paraId="51D7C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CD9CA">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90</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3DD1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23082">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0BBD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▲视频接口类型</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519607E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至少支持 VGA、HDMI、DVI、DP、Type-C 中 1 种显示接口</w:t>
            </w:r>
          </w:p>
        </w:tc>
      </w:tr>
      <w:tr w14:paraId="4F7BF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0F526">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91</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0038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91830">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651B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▲HDMI、DP、Type-C显示接口要求</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2FA34DE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若提供 HDMI或DP或Type-C 作为显示接口，应支持音频和视频同步输出</w:t>
            </w:r>
          </w:p>
        </w:tc>
      </w:tr>
      <w:tr w14:paraId="7F6F6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09C44">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92</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D789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B8B7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电源功能</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7722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▲电源线适配能力</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76DEE08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电源适配器电线组件应符合GB/T15934的要求，可拆线的插头和连接器可以不做要求</w:t>
            </w:r>
          </w:p>
        </w:tc>
      </w:tr>
      <w:tr w14:paraId="5DCEC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F244B">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93</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1B9D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DB55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操作系统及软件功能</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75A8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▲中文信息处理要求</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2ADE0C6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符合GB18030的相关规定</w:t>
            </w:r>
          </w:p>
        </w:tc>
      </w:tr>
      <w:tr w14:paraId="347BB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AF042">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94</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A2D2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270F3">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66BD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▲操作系统备份及还原功能</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1C9FF02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支持操作系统备份及还原功能</w:t>
            </w:r>
          </w:p>
        </w:tc>
      </w:tr>
      <w:tr w14:paraId="7C8E7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93423">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95</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EE8A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F8475">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0547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▲固件备份还原能力</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4703B68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支持备份及还原固件的功能</w:t>
            </w:r>
          </w:p>
        </w:tc>
      </w:tr>
      <w:tr w14:paraId="65F2F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EE91D">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96</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E642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CA987">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6CDE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▲操作系统及驱动升级</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44399EB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支持通过网络、闪存盘等方式对操作系统、驱动进行升级</w:t>
            </w:r>
          </w:p>
        </w:tc>
      </w:tr>
      <w:tr w14:paraId="69F52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911A3">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97</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944A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0DEA4">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C410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▲固件升级</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21DCA68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支持通过网络、闪存盘等方式对固件进行升级</w:t>
            </w:r>
          </w:p>
        </w:tc>
      </w:tr>
      <w:tr w14:paraId="566EA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CA1BB">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98</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5843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C7978">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7651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▲BIOS支持关闭通讯接口</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331D550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支持BIOS关闭以太网及USB接口</w:t>
            </w:r>
          </w:p>
        </w:tc>
      </w:tr>
      <w:tr w14:paraId="21462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3D3F2">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99</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774C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822CD">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8C51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▲固件查看信息</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3E915ED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支持查看固件版本、内存信息、主板信息、处理器信息和系统时间信息等功能</w:t>
            </w:r>
          </w:p>
        </w:tc>
      </w:tr>
      <w:tr w14:paraId="739F4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7F757">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100</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8A3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E325F">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B7B3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▲固件设置启动顺序</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6E65292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支持设置启动顺序功能，并按照设置的启动顺序启动</w:t>
            </w:r>
          </w:p>
        </w:tc>
      </w:tr>
      <w:tr w14:paraId="2E537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90C3F">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101</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1F69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C9D64">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9BEA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▲固件设置口令</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3061CFB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支持设置口令、修改口令、验证口令功能</w:t>
            </w:r>
          </w:p>
        </w:tc>
      </w:tr>
      <w:tr w14:paraId="238DE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2A434">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102</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670C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功能要求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95DDA">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C845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▲固件设置网络引导</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0B1CB79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支持网络引导启动和关闭功能</w:t>
            </w:r>
          </w:p>
        </w:tc>
      </w:tr>
      <w:tr w14:paraId="5BCD6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9BC4C">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103</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4075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C40D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存储设备可靠性</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83CC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▲固态存储寿命</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7924FE2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TBW≥80TB(条件：240GB硬盘容量)+G14G149:G179</w:t>
            </w:r>
          </w:p>
        </w:tc>
      </w:tr>
      <w:tr w14:paraId="61A9F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66818">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104</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DD30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38EE3">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9071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▲机械硬盘寿命</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46A8FFA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通电时间≥5万小时</w:t>
            </w:r>
          </w:p>
        </w:tc>
      </w:tr>
      <w:tr w14:paraId="5BBC9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A9EA6">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105</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4D51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5D66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显示设备可靠性</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AB11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▲显示屏屏幕失效点</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23610D3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符合GB/T9813.2的要求</w:t>
            </w:r>
          </w:p>
        </w:tc>
      </w:tr>
      <w:tr w14:paraId="06BB1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66290">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106</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B511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71EF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外设可靠性</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0FE0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▲键盘按键寿命</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74369C4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≥1000万次</w:t>
            </w:r>
          </w:p>
        </w:tc>
      </w:tr>
      <w:tr w14:paraId="2727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BBD6C">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107</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69A0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4A0B2">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D12E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▲鼠标按键寿命</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54FBBC4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≥500万次</w:t>
            </w:r>
          </w:p>
        </w:tc>
      </w:tr>
      <w:tr w14:paraId="6C39C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143AC">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108</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F4BD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BF2E7">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B31C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▲键盘鼠标线材寿命</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1F747CC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键盘鼠标所用线材经±60°弯折不低于3000次，功能、外观完好</w:t>
            </w:r>
          </w:p>
        </w:tc>
      </w:tr>
      <w:tr w14:paraId="0E67C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437EF">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109</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609B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251E7">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F6FB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▲风扇寿命</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32E05F2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≥4万小时</w:t>
            </w:r>
          </w:p>
        </w:tc>
      </w:tr>
      <w:tr w14:paraId="3951A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4351B">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110</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683C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78B7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整机可靠性要求</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F200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▲电磁兼容性要求的抗扰度</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3C33F34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符合GB/T9254.2的规定</w:t>
            </w:r>
          </w:p>
        </w:tc>
      </w:tr>
      <w:tr w14:paraId="5D1FD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33408">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111</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83B1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48A79">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9FFB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▲环境条件要求的气候环境适应性</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5718970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符合GB/T9813.1中规定</w:t>
            </w:r>
          </w:p>
        </w:tc>
      </w:tr>
      <w:tr w14:paraId="68DCF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E64E0">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112</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0D72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E0A74">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E7AD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▲环境条件要求的振动适应性</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37FAEAD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符合GB/T9813.1中规定</w:t>
            </w:r>
          </w:p>
        </w:tc>
      </w:tr>
      <w:tr w14:paraId="4B29D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A3178">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113</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685E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724FC">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C7B3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▲环境条件要求的冲击适应性</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69A62AD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符合GB/T9813.1中规定</w:t>
            </w:r>
          </w:p>
        </w:tc>
      </w:tr>
      <w:tr w14:paraId="54C05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8544F">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114</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DE19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5D210">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5C4E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▲环境条件要求的碰撞适应性</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5ACB5AF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符合GB/T9813.1中规定</w:t>
            </w:r>
          </w:p>
        </w:tc>
      </w:tr>
      <w:tr w14:paraId="3B796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F5ED6">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115</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CEB2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69620">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139A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▲环境条件要求的运输包装件跌落适应性</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1E11E55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符合GB/T9813.1中规定</w:t>
            </w:r>
          </w:p>
        </w:tc>
      </w:tr>
      <w:tr w14:paraId="61F38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513BF">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116</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8B39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可靠性要求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83969">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0F1C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▲MTBF测试</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1FE8A28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MTBF(m1)≥3万小时</w:t>
            </w:r>
          </w:p>
        </w:tc>
      </w:tr>
      <w:tr w14:paraId="64A59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B022E">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117</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BEC9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兼容要求</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46B5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兼容要求</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C30E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▲常用软件兼容</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1847BD8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支持流式软件、版式软件、浏览器、邮件采购人端、解压软件、多媒体、图形图像处理等常用软件</w:t>
            </w:r>
          </w:p>
        </w:tc>
      </w:tr>
      <w:tr w14:paraId="53D9B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9C2F8">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118</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9A06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55022">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CA9F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▲数据库兼容</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7BA3D55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兼容3个及以上厂商的数据库产品</w:t>
            </w:r>
          </w:p>
        </w:tc>
      </w:tr>
      <w:tr w14:paraId="28F79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B13EE">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119</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2D2E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8D55B">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CD46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▲中间件兼容</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25A1F8C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兼容3个及以上厂商中间件产品</w:t>
            </w:r>
          </w:p>
        </w:tc>
      </w:tr>
      <w:tr w14:paraId="6E962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42C49">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120</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24CC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25199">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86FA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▲平台软件兼容</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4E7E23E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兼容3个及以上厂商云计算及大数据平台</w:t>
            </w:r>
          </w:p>
        </w:tc>
      </w:tr>
      <w:tr w14:paraId="0862C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78E3F">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121</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EED4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包装及运输要求</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E6D8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包装及运输要求</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A757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▲标志、包装、运输和贮存</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13845B3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符合GB/T9813.1和商品包装政府采购需求标准的相关规定</w:t>
            </w:r>
          </w:p>
        </w:tc>
      </w:tr>
      <w:tr w14:paraId="5F14E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BA130">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122</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7F42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4E68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E65B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▲配置检查工具</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3C0A65A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供应商提供自检测试工具</w:t>
            </w:r>
          </w:p>
        </w:tc>
      </w:tr>
      <w:tr w14:paraId="6F3B1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D6ECD">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123</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52B7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86A6E">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F4F7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▲服务响应</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63FF1B4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a)供应商提供电话、电子邮件、远程连接等多种形式服务；</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b)供应商提供同城4h、异地12h技术响应服务，2个工作日解决问题，对于未能解决的问题和故障应提供可行的升级方案，并提供周转设备或更换设备；</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c)建立全国技术服务体系和服务团体，符合专业服务体系标准要求，提供原厂中文服务；</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d)服务周期内提供产品的维修、换件和升级服务</w:t>
            </w:r>
          </w:p>
        </w:tc>
      </w:tr>
      <w:tr w14:paraId="4157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28262">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124</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D17A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3682C">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5560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▲服务周期</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1CF1889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a)设备停产后应继续提供质量保障服务(含备品备件)，服务终止时间与最后一批设备交付时间间隔不低于6年；</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b)产品停止服务时间应提前1年告知；</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c)应明确产品发布日期</w:t>
            </w:r>
          </w:p>
        </w:tc>
      </w:tr>
      <w:tr w14:paraId="7E4F4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10780">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125</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3E50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A492D">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6831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▲预装操作系统</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12ED0AF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预装符合桌面操作系统政府采购需求标准的正版操作系统</w:t>
            </w:r>
          </w:p>
        </w:tc>
      </w:tr>
      <w:tr w14:paraId="75E70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C7203">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126</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F91A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070D6">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DD0B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▲培训服务</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75C4526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供应商提供培训材料、产品手册、培训视频等培训相关内容</w:t>
            </w:r>
          </w:p>
        </w:tc>
      </w:tr>
      <w:tr w14:paraId="622DB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1B1A7">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127</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742A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5E487">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5349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▲典型问题解决手册</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4BE0853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供应商提供典型问题解决说明文档或视频</w:t>
            </w:r>
          </w:p>
        </w:tc>
      </w:tr>
      <w:tr w14:paraId="3638A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50437">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128</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C33A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D8B24">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9753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▲厂家升级软件与扩容服务</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2DFE3A4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供应商提供上门升级部件/软件与扩容的增值服务</w:t>
            </w:r>
          </w:p>
        </w:tc>
      </w:tr>
      <w:tr w14:paraId="6DC65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7A03E">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129</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253C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5D54A">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D047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▲整机质量服务要求</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54E4B1F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免费服务周期(含换件和维修)应不小于3年</w:t>
            </w:r>
          </w:p>
        </w:tc>
      </w:tr>
      <w:tr w14:paraId="0452B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C6658">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130</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7D45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39DE3">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7C2D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▲合格证书要求</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7407A14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供应商提供产品合格证</w:t>
            </w:r>
          </w:p>
        </w:tc>
      </w:tr>
      <w:tr w14:paraId="1AB2D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D1B3C">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131</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2D3F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A24DD">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167B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▲开箱组装/使用指导要求</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0C6DED3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供应商提供开箱组装/使用指导</w:t>
            </w:r>
          </w:p>
        </w:tc>
      </w:tr>
      <w:tr w14:paraId="6052A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3F9E3">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132</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5B64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4717A">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DA14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▲驱动下载服务要求</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778F599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供应商提供驱动光盘或下载方式</w:t>
            </w:r>
          </w:p>
        </w:tc>
      </w:tr>
      <w:tr w14:paraId="4715B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59408">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133</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8BB1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服务要求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44DD9">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7465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▲兼容适配软件下载服务要求</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294E02C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供应商提供兼容适配软件下载渠道(光盘、网站)</w:t>
            </w:r>
          </w:p>
        </w:tc>
      </w:tr>
      <w:tr w14:paraId="6DEA2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A797C">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134</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833B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供应保障要求</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F872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供应链合规性</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0707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▲产品部件保障</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0897C75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供应商保障产品主要部件，提供6年的备件服务能力(自购买之日起)，或提供可兼容原设备的升级换代产品</w:t>
            </w:r>
          </w:p>
        </w:tc>
      </w:tr>
      <w:tr w14:paraId="76016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90552">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135</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2782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供应保障要求</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CB41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供应链质量</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4D7C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▲抗干扰性</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3C5EE64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当产品部件出现供应风险时，供应商应通知采购人并提供风险应对方案确保产品的服务保障</w:t>
            </w:r>
          </w:p>
        </w:tc>
      </w:tr>
      <w:tr w14:paraId="00077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A3659">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136</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2D89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供应保障要求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7BBE6">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51E9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▲供应能力证明</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6390C11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供应商提供供应链稳定承诺书，确保产品的部件在产品服务周期内稳定供货</w:t>
            </w:r>
          </w:p>
        </w:tc>
      </w:tr>
      <w:tr w14:paraId="0C8F7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0F8DB">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137</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32E3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安全要求</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DB51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关键部件安全要求</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BE48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▲关键部件安全要求3</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587C0FB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CPU和操作系统等关键部件应当符合安全可靠测评要求</w:t>
            </w:r>
          </w:p>
        </w:tc>
      </w:tr>
      <w:tr w14:paraId="6AE10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CA3B8">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138</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C55E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安全要求</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41F0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整机安全性要求</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8BA0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▲密码算法实现</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7DF7F3B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CPU芯片应符合GM/T0008的相关规定，或芯片密码模块应符合GB/T37092或GM/T0028的相关规定</w:t>
            </w:r>
          </w:p>
        </w:tc>
      </w:tr>
      <w:tr w14:paraId="0B4E2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B881A">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139</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0F9D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安全要求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1B475">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D1FC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▲信息安全基本要求</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2A84346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a)产品应符合GB/T39276的5.2的规定；</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b)生产厂商应建立漏洞跟踪表，保证产品版本涉及到的漏洞(如驱动程序等)可查看；</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c)产品不得包含已知的恶意代码或漏洞，不存在未声明的指令、功能、接口</w:t>
            </w:r>
          </w:p>
        </w:tc>
      </w:tr>
      <w:tr w14:paraId="5AAAF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77F62">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140</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11D1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安全要求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AE221">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3657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▲固件安全启动</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7DB8F10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支持固件安全启动功能，固件启动过程中只有通过启动校验才能正常启动</w:t>
            </w:r>
          </w:p>
        </w:tc>
      </w:tr>
      <w:tr w14:paraId="33506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8064C">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141</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9E7F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安全要求</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CB2DC">
            <w:pPr>
              <w:jc w:val="left"/>
              <w:rPr>
                <w:rFonts w:hint="eastAsia" w:ascii="仿宋_GB2312" w:hAnsi="仿宋_GB2312" w:eastAsia="仿宋_GB2312" w:cs="仿宋_GB2312"/>
                <w:i w:val="0"/>
                <w:iCs w:val="0"/>
                <w:color w:val="000000"/>
                <w:sz w:val="24"/>
                <w:szCs w:val="24"/>
                <w:highlight w:val="none"/>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0CB5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▲限用物质的限量要求</w:t>
            </w:r>
          </w:p>
        </w:tc>
        <w:tc>
          <w:tcPr>
            <w:tcW w:w="2346" w:type="pct"/>
            <w:tcBorders>
              <w:top w:val="single" w:color="000000" w:sz="4" w:space="0"/>
              <w:left w:val="nil"/>
              <w:bottom w:val="single" w:color="000000" w:sz="4" w:space="0"/>
              <w:right w:val="single" w:color="000000" w:sz="4" w:space="0"/>
            </w:tcBorders>
            <w:shd w:val="clear" w:color="auto" w:fill="auto"/>
            <w:vAlign w:val="center"/>
          </w:tcPr>
          <w:p w14:paraId="6CCEB55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符合GB/T26572中规定</w:t>
            </w:r>
          </w:p>
        </w:tc>
      </w:tr>
    </w:tbl>
    <w:p w14:paraId="06F5653A">
      <w:pPr>
        <w:pStyle w:val="5"/>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2.2、流式软件</w:t>
      </w:r>
    </w:p>
    <w:tbl>
      <w:tblPr>
        <w:tblStyle w:val="27"/>
        <w:tblW w:w="9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822"/>
        <w:gridCol w:w="7615"/>
      </w:tblGrid>
      <w:tr w14:paraId="5A67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46" w:type="dxa"/>
            <w:vAlign w:val="center"/>
          </w:tcPr>
          <w:p w14:paraId="79457A86">
            <w:pPr>
              <w:widowControl/>
              <w:jc w:val="center"/>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序号</w:t>
            </w:r>
          </w:p>
        </w:tc>
        <w:tc>
          <w:tcPr>
            <w:tcW w:w="822" w:type="dxa"/>
            <w:vAlign w:val="center"/>
          </w:tcPr>
          <w:p w14:paraId="16DFF7A7">
            <w:pPr>
              <w:widowControl/>
              <w:jc w:val="center"/>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项目名称</w:t>
            </w:r>
          </w:p>
        </w:tc>
        <w:tc>
          <w:tcPr>
            <w:tcW w:w="7615" w:type="dxa"/>
            <w:vAlign w:val="center"/>
          </w:tcPr>
          <w:p w14:paraId="4E450FFC">
            <w:pPr>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kern w:val="0"/>
                <w:sz w:val="24"/>
                <w:szCs w:val="24"/>
                <w:highlight w:val="none"/>
              </w:rPr>
              <w:t>技术需求详细参数要求</w:t>
            </w:r>
          </w:p>
        </w:tc>
      </w:tr>
      <w:tr w14:paraId="462C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46" w:type="dxa"/>
            <w:vAlign w:val="center"/>
          </w:tcPr>
          <w:p w14:paraId="4EB3A137">
            <w:pPr>
              <w:widowControl/>
              <w:jc w:val="center"/>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lang w:val="en-US" w:eastAsia="zh-CN"/>
              </w:rPr>
              <w:t>1</w:t>
            </w:r>
          </w:p>
        </w:tc>
        <w:tc>
          <w:tcPr>
            <w:tcW w:w="822" w:type="dxa"/>
            <w:vAlign w:val="center"/>
          </w:tcPr>
          <w:p w14:paraId="1C484E23">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流式软件</w:t>
            </w:r>
          </w:p>
        </w:tc>
        <w:tc>
          <w:tcPr>
            <w:tcW w:w="7615" w:type="dxa"/>
            <w:vAlign w:val="center"/>
          </w:tcPr>
          <w:p w14:paraId="420EC600">
            <w:pP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1. 投标产品支持运行在国产环境上（操作系统包括但不限于：UOS、银河麒麟V10、中标麒麟、银河麒麟、中科方德、深度等；CPU包括但不限于：龙芯、飞腾、鲲鹏、兆芯、申威等），主要功能组件包含：文字处理、表格计算、幻灯片。</w:t>
            </w:r>
          </w:p>
          <w:p w14:paraId="68C28417">
            <w:pPr>
              <w:jc w:val="left"/>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▲2.所投产品文件格式需包括</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doc.</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docx.</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dot.</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wps.</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xls.</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xlsx.</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xlt.</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et.ppt.pptx.pps.dps等文件格式。（需提供有效证明文件或者截图）</w:t>
            </w:r>
          </w:p>
          <w:p w14:paraId="67C1C67D">
            <w:pP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▲3. 文字处理模块支持标准文档编辑处理功能，支持插入表格、图片、公式、符号、附件等功能；支持页面页边距、纸张方向、背景、水印等功能；支持引用目录、脚注等功能；支持审阅修订、文档加密等功能，满足教职工日常办公编辑文档需求。</w:t>
            </w:r>
          </w:p>
          <w:p w14:paraId="3C753CC0">
            <w:pP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▲4. 表格计算模块支持表格的快速合并选择，支持用户一键选择合并居中、合并单元格、合并相同单元格、合并内容、取消合并单元格、拆分并填充内容。（需提供有效证明文件或者截图）</w:t>
            </w:r>
          </w:p>
          <w:p w14:paraId="2A842806">
            <w:pP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5. 幻灯片模块支持将演示文件及相关媒体文件直接打包成文件夹/压缩文件，方便用户携带及使用，避免文档流转时媒体文件无法播放。</w:t>
            </w:r>
          </w:p>
        </w:tc>
      </w:tr>
    </w:tbl>
    <w:p w14:paraId="369DB523">
      <w:pPr>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77B9ED38">
      <w:pPr>
        <w:pStyle w:val="5"/>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2.3、版式软件</w:t>
      </w:r>
    </w:p>
    <w:tbl>
      <w:tblPr>
        <w:tblStyle w:val="27"/>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773"/>
        <w:gridCol w:w="7701"/>
      </w:tblGrid>
      <w:tr w14:paraId="6CD7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46" w:type="dxa"/>
            <w:vAlign w:val="center"/>
          </w:tcPr>
          <w:p w14:paraId="2B1FBA6D">
            <w:pPr>
              <w:widowControl/>
              <w:jc w:val="center"/>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序号</w:t>
            </w:r>
          </w:p>
        </w:tc>
        <w:tc>
          <w:tcPr>
            <w:tcW w:w="773" w:type="dxa"/>
            <w:vAlign w:val="center"/>
          </w:tcPr>
          <w:p w14:paraId="6B4DCAF9">
            <w:pPr>
              <w:widowControl/>
              <w:jc w:val="center"/>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项目名称</w:t>
            </w:r>
          </w:p>
        </w:tc>
        <w:tc>
          <w:tcPr>
            <w:tcW w:w="7701" w:type="dxa"/>
            <w:vAlign w:val="center"/>
          </w:tcPr>
          <w:p w14:paraId="403DED95">
            <w:pPr>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kern w:val="0"/>
                <w:sz w:val="24"/>
                <w:szCs w:val="24"/>
                <w:highlight w:val="none"/>
              </w:rPr>
              <w:t>技术需求详细参数要求</w:t>
            </w:r>
          </w:p>
        </w:tc>
      </w:tr>
      <w:tr w14:paraId="5EF7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46" w:type="dxa"/>
            <w:vAlign w:val="center"/>
          </w:tcPr>
          <w:p w14:paraId="79A716CC">
            <w:pPr>
              <w:widowControl/>
              <w:jc w:val="center"/>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lang w:val="en-US" w:eastAsia="zh-CN"/>
              </w:rPr>
              <w:t>1</w:t>
            </w:r>
          </w:p>
        </w:tc>
        <w:tc>
          <w:tcPr>
            <w:tcW w:w="773" w:type="dxa"/>
            <w:vAlign w:val="center"/>
          </w:tcPr>
          <w:p w14:paraId="62C43522">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版式软件</w:t>
            </w:r>
          </w:p>
        </w:tc>
        <w:tc>
          <w:tcPr>
            <w:tcW w:w="7701" w:type="dxa"/>
            <w:vAlign w:val="center"/>
          </w:tcPr>
          <w:p w14:paraId="6C9423A5">
            <w:pPr>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1、文件操作：提供OFD/PDF版式文档打开、保存、另存功能，可将打开文档导出为图片、PDF或TXT格式文档，导出为图片时自动分页保存。</w:t>
            </w:r>
          </w:p>
          <w:p w14:paraId="14772D16">
            <w:pPr>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2、多文档支持：可打开SFD、SEP、GW、GD、PS、S2/S72/S92、CEB、流式、图片等格式文档直接阅览。</w:t>
            </w:r>
          </w:p>
          <w:p w14:paraId="4BB3DE70">
            <w:pPr>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△3、阅读操作：支持翻页、跳转、缩放功能，支持缩略图、大纲、语义、书签、签章、注释、附件的导览功能，支持两个文档同屏比对功能。需提供功能截图证明。</w:t>
            </w:r>
          </w:p>
          <w:p w14:paraId="57A2AEA2">
            <w:pPr>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△4、文档打印：支持打印预览功能，支持打印复印件功能，支持装订成册打印功能，可设置打印属性。需提供功能截图证明。</w:t>
            </w:r>
          </w:p>
          <w:p w14:paraId="284BD6B0">
            <w:pPr>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△5、内容操作：支持选择与复制功能，可将复制内容的字体、段落格式、行间距等属性带入办公软件文档中。提供具备CMA认证的检测机构出具的检测报告。</w:t>
            </w:r>
          </w:p>
          <w:p w14:paraId="41ADD92F">
            <w:pPr>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6、电子签章：支持签章、骑缝章、署名章、预盖章、日期章、文字定位盖章、批量盖章等盖章功能，可脱离第三方签章库直接验证签章。支持自动加盖国密时间戳。</w:t>
            </w:r>
          </w:p>
          <w:p w14:paraId="2DE6828E">
            <w:pPr>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△7、注释功能：提供箭头、直线、圆形等图形注释功能，提供高亮、下划线、删除线、波浪线等文本注释功能。提供注释导入导出功能。提供文本框注释功能。需提供中国软件测评中心提供的测试报告。</w:t>
            </w:r>
          </w:p>
          <w:p w14:paraId="1D07DB03">
            <w:pPr>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8、文档水印：提供图文水印功能，可设置水印的字体、字号、角度等属性；提供动态水印功能，可将当前用户、时间等信息作为水印内容叠加到文档中。</w:t>
            </w:r>
          </w:p>
          <w:p w14:paraId="11F5EE51">
            <w:pPr>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9、版式修订：提供版式修订功能，包括删除、插入、替换、移动、修改、增加间距、缩小间距、前移、后移、切换字体等。</w:t>
            </w:r>
          </w:p>
          <w:p w14:paraId="01A08FB8">
            <w:pPr>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10、手写签批：支持手写签批，实现铅笔、签字笔（粗、细）、软笔签批用笔选择，支持压感笔锋功能，支持跨页签批，提供橡皮檫功能。</w:t>
            </w:r>
          </w:p>
          <w:p w14:paraId="3747343D">
            <w:pPr>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△11、页面处理：支持拆分OFD；提供插入、删除、替换、提取、交换、移动、裁切等页面处理功能。需提供中国软件测评中心提供的测试报告。</w:t>
            </w:r>
          </w:p>
          <w:p w14:paraId="2627A579">
            <w:pPr>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12、安全性：提供保存、另存、打印、复制、截屏等禁用控制功能，支持国密https打开远程文件，可为文档添加阅读有效期和操作权限，提供加密保护功能。需提供功能截图和中国软件测评中心提供的测试报告。</w:t>
            </w:r>
          </w:p>
        </w:tc>
      </w:tr>
    </w:tbl>
    <w:p w14:paraId="6DE09698">
      <w:pPr>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703CE362">
      <w:pPr>
        <w:pStyle w:val="5"/>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2.4、杀毒软件</w:t>
      </w:r>
    </w:p>
    <w:tbl>
      <w:tblPr>
        <w:tblStyle w:val="27"/>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834"/>
        <w:gridCol w:w="7640"/>
      </w:tblGrid>
      <w:tr w14:paraId="7A46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46" w:type="dxa"/>
            <w:vAlign w:val="center"/>
          </w:tcPr>
          <w:p w14:paraId="15384E29">
            <w:pPr>
              <w:widowControl/>
              <w:jc w:val="center"/>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序号</w:t>
            </w:r>
          </w:p>
        </w:tc>
        <w:tc>
          <w:tcPr>
            <w:tcW w:w="834" w:type="dxa"/>
            <w:vAlign w:val="center"/>
          </w:tcPr>
          <w:p w14:paraId="63050C82">
            <w:pPr>
              <w:widowControl/>
              <w:jc w:val="center"/>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项目名</w:t>
            </w:r>
            <w:r>
              <w:rPr>
                <w:rFonts w:hint="eastAsia" w:ascii="仿宋_GB2312" w:hAnsi="仿宋_GB2312" w:eastAsia="仿宋_GB2312" w:cs="仿宋_GB2312"/>
                <w:b/>
                <w:bCs/>
                <w:color w:val="000000"/>
                <w:kern w:val="0"/>
                <w:sz w:val="24"/>
                <w:szCs w:val="24"/>
                <w:highlight w:val="none"/>
                <w:lang w:val="en-US" w:eastAsia="zh-CN"/>
              </w:rPr>
              <w:t xml:space="preserve"> </w:t>
            </w:r>
            <w:r>
              <w:rPr>
                <w:rFonts w:hint="eastAsia" w:ascii="仿宋_GB2312" w:hAnsi="仿宋_GB2312" w:eastAsia="仿宋_GB2312" w:cs="仿宋_GB2312"/>
                <w:b/>
                <w:bCs/>
                <w:color w:val="000000"/>
                <w:kern w:val="0"/>
                <w:sz w:val="24"/>
                <w:szCs w:val="24"/>
                <w:highlight w:val="none"/>
              </w:rPr>
              <w:t>称</w:t>
            </w:r>
          </w:p>
        </w:tc>
        <w:tc>
          <w:tcPr>
            <w:tcW w:w="7640" w:type="dxa"/>
            <w:vAlign w:val="center"/>
          </w:tcPr>
          <w:p w14:paraId="3EF5BCEB">
            <w:pPr>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kern w:val="0"/>
                <w:sz w:val="24"/>
                <w:szCs w:val="24"/>
                <w:highlight w:val="none"/>
              </w:rPr>
              <w:t>技术需求详细参数要求</w:t>
            </w:r>
          </w:p>
        </w:tc>
      </w:tr>
      <w:tr w14:paraId="5921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46" w:type="dxa"/>
            <w:vAlign w:val="center"/>
          </w:tcPr>
          <w:p w14:paraId="18302AB5">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w:t>
            </w:r>
          </w:p>
        </w:tc>
        <w:tc>
          <w:tcPr>
            <w:tcW w:w="834" w:type="dxa"/>
            <w:vAlign w:val="center"/>
          </w:tcPr>
          <w:p w14:paraId="28CE11B7">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杀毒软件</w:t>
            </w:r>
          </w:p>
        </w:tc>
        <w:tc>
          <w:tcPr>
            <w:tcW w:w="7640" w:type="dxa"/>
            <w:vAlign w:val="center"/>
          </w:tcPr>
          <w:p w14:paraId="31551A92">
            <w:pPr>
              <w:pStyle w:val="2"/>
              <w:ind w:firstLine="0" w:firstLineChars="0"/>
              <w:rPr>
                <w:rFonts w:hint="eastAsia" w:ascii="仿宋_GB2312" w:hAnsi="仿宋_GB2312" w:eastAsia="仿宋_GB2312" w:cs="仿宋_GB2312"/>
                <w:color w:val="000000"/>
                <w:kern w:val="0"/>
                <w:szCs w:val="24"/>
                <w:highlight w:val="none"/>
              </w:rPr>
            </w:pPr>
            <w:bookmarkStart w:id="27" w:name="OLE_LINK1"/>
            <w:r>
              <w:rPr>
                <w:rFonts w:hint="eastAsia" w:ascii="仿宋_GB2312" w:hAnsi="仿宋_GB2312" w:eastAsia="仿宋_GB2312" w:cs="仿宋_GB2312"/>
                <w:color w:val="000000"/>
                <w:kern w:val="0"/>
                <w:szCs w:val="24"/>
                <w:highlight w:val="none"/>
              </w:rPr>
              <w:t>1.</w:t>
            </w:r>
            <w:r>
              <w:rPr>
                <w:rFonts w:hint="eastAsia" w:ascii="仿宋_GB2312" w:hAnsi="仿宋_GB2312" w:eastAsia="仿宋_GB2312" w:cs="仿宋_GB2312"/>
                <w:highlight w:val="none"/>
              </w:rPr>
              <w:t xml:space="preserve"> </w:t>
            </w:r>
            <w:r>
              <w:rPr>
                <w:rFonts w:hint="eastAsia" w:ascii="仿宋_GB2312" w:hAnsi="仿宋_GB2312" w:eastAsia="仿宋_GB2312" w:cs="仿宋_GB2312"/>
                <w:color w:val="000000"/>
                <w:kern w:val="0"/>
                <w:szCs w:val="24"/>
                <w:highlight w:val="none"/>
              </w:rPr>
              <w:t>客户端支持中标麒麟V7.0、麒麟V10（SP1）以及统信UOS V20等桌面操作系统，具备在</w:t>
            </w:r>
            <w:r>
              <w:rPr>
                <w:rFonts w:hint="eastAsia" w:ascii="仿宋_GB2312" w:hAnsi="仿宋_GB2312" w:eastAsia="仿宋_GB2312" w:cs="仿宋_GB2312"/>
                <w:color w:val="000000"/>
                <w:kern w:val="0"/>
                <w:szCs w:val="24"/>
                <w:highlight w:val="none"/>
                <w:lang w:val="en-US" w:eastAsia="zh-CN"/>
              </w:rPr>
              <w:t>麒麟、</w:t>
            </w:r>
            <w:r>
              <w:rPr>
                <w:rFonts w:hint="eastAsia" w:ascii="仿宋_GB2312" w:hAnsi="仿宋_GB2312" w:eastAsia="仿宋_GB2312" w:cs="仿宋_GB2312"/>
                <w:color w:val="000000"/>
                <w:kern w:val="0"/>
                <w:szCs w:val="24"/>
                <w:highlight w:val="none"/>
              </w:rPr>
              <w:t>兆芯、飞腾、龙芯等通用CPU上运行的能力。</w:t>
            </w:r>
          </w:p>
          <w:p w14:paraId="06326BA3">
            <w:pPr>
              <w:pStyle w:val="2"/>
              <w:ind w:firstLine="0" w:firstLineChars="0"/>
              <w:rPr>
                <w:rFonts w:hint="eastAsia" w:ascii="仿宋_GB2312" w:hAnsi="仿宋_GB2312" w:eastAsia="仿宋_GB2312" w:cs="仿宋_GB2312"/>
                <w:color w:val="000000"/>
                <w:kern w:val="0"/>
                <w:szCs w:val="24"/>
                <w:highlight w:val="none"/>
              </w:rPr>
            </w:pPr>
            <w:r>
              <w:rPr>
                <w:rFonts w:hint="eastAsia" w:ascii="仿宋_GB2312" w:hAnsi="仿宋_GB2312" w:eastAsia="仿宋_GB2312" w:cs="仿宋_GB2312"/>
                <w:color w:val="000000"/>
                <w:kern w:val="0"/>
                <w:szCs w:val="24"/>
                <w:highlight w:val="none"/>
              </w:rPr>
              <w:t>2.</w:t>
            </w:r>
            <w:r>
              <w:rPr>
                <w:rFonts w:hint="eastAsia" w:ascii="仿宋_GB2312" w:hAnsi="仿宋_GB2312" w:eastAsia="仿宋_GB2312" w:cs="仿宋_GB2312"/>
                <w:highlight w:val="none"/>
              </w:rPr>
              <w:t xml:space="preserve"> </w:t>
            </w:r>
            <w:r>
              <w:rPr>
                <w:rFonts w:hint="eastAsia" w:ascii="仿宋_GB2312" w:hAnsi="仿宋_GB2312" w:eastAsia="仿宋_GB2312" w:cs="仿宋_GB2312"/>
                <w:color w:val="000000"/>
                <w:kern w:val="0"/>
                <w:szCs w:val="24"/>
                <w:highlight w:val="none"/>
              </w:rPr>
              <w:t>支持离线升级客户端程序，支持离线升级病毒库。</w:t>
            </w:r>
          </w:p>
          <w:p w14:paraId="3ED82045">
            <w:pPr>
              <w:pStyle w:val="2"/>
              <w:ind w:firstLine="0" w:firstLineChars="0"/>
              <w:rPr>
                <w:rFonts w:hint="eastAsia" w:ascii="仿宋_GB2312" w:hAnsi="仿宋_GB2312" w:eastAsia="仿宋_GB2312" w:cs="仿宋_GB2312"/>
                <w:color w:val="000000"/>
                <w:kern w:val="0"/>
                <w:szCs w:val="24"/>
                <w:highlight w:val="none"/>
              </w:rPr>
            </w:pPr>
            <w:r>
              <w:rPr>
                <w:rFonts w:hint="eastAsia" w:ascii="仿宋_GB2312" w:hAnsi="仿宋_GB2312" w:eastAsia="仿宋_GB2312" w:cs="仿宋_GB2312"/>
                <w:color w:val="000000"/>
                <w:kern w:val="0"/>
                <w:szCs w:val="24"/>
                <w:highlight w:val="none"/>
              </w:rPr>
              <w:t>3.</w:t>
            </w:r>
            <w:r>
              <w:rPr>
                <w:rFonts w:hint="eastAsia" w:ascii="仿宋_GB2312" w:hAnsi="仿宋_GB2312" w:eastAsia="仿宋_GB2312" w:cs="仿宋_GB2312"/>
                <w:highlight w:val="none"/>
              </w:rPr>
              <w:t xml:space="preserve"> </w:t>
            </w:r>
            <w:r>
              <w:rPr>
                <w:rFonts w:hint="eastAsia" w:ascii="仿宋_GB2312" w:hAnsi="仿宋_GB2312" w:eastAsia="仿宋_GB2312" w:cs="仿宋_GB2312"/>
                <w:color w:val="000000"/>
                <w:kern w:val="0"/>
                <w:szCs w:val="24"/>
                <w:highlight w:val="none"/>
              </w:rPr>
              <w:t>支持查看终端上的病毒扫描日志，包括扫描时间、扫描结果，并显示扫描详情（扫描用时、扫描项目总数、使用引擎等信息）。</w:t>
            </w:r>
          </w:p>
          <w:p w14:paraId="5FE54D12">
            <w:pPr>
              <w:pStyle w:val="2"/>
              <w:ind w:firstLine="0" w:firstLineChars="0"/>
              <w:rPr>
                <w:rFonts w:hint="eastAsia" w:ascii="仿宋_GB2312" w:hAnsi="仿宋_GB2312" w:eastAsia="仿宋_GB2312" w:cs="仿宋_GB2312"/>
                <w:color w:val="000000"/>
                <w:kern w:val="0"/>
                <w:szCs w:val="24"/>
                <w:highlight w:val="none"/>
              </w:rPr>
            </w:pPr>
            <w:r>
              <w:rPr>
                <w:rFonts w:hint="eastAsia" w:ascii="仿宋_GB2312" w:hAnsi="仿宋_GB2312" w:eastAsia="仿宋_GB2312" w:cs="仿宋_GB2312"/>
                <w:color w:val="000000"/>
                <w:kern w:val="0"/>
                <w:szCs w:val="24"/>
                <w:highlight w:val="none"/>
              </w:rPr>
              <w:t>4.</w:t>
            </w:r>
            <w:r>
              <w:rPr>
                <w:rFonts w:hint="eastAsia" w:ascii="仿宋_GB2312" w:hAnsi="仿宋_GB2312" w:eastAsia="仿宋_GB2312" w:cs="仿宋_GB2312"/>
                <w:highlight w:val="none"/>
              </w:rPr>
              <w:t xml:space="preserve"> </w:t>
            </w:r>
            <w:r>
              <w:rPr>
                <w:rFonts w:hint="eastAsia" w:ascii="仿宋_GB2312" w:hAnsi="仿宋_GB2312" w:eastAsia="仿宋_GB2312" w:cs="仿宋_GB2312"/>
                <w:color w:val="000000"/>
                <w:kern w:val="0"/>
                <w:szCs w:val="24"/>
                <w:highlight w:val="none"/>
              </w:rPr>
              <w:t>支持查看终端上的防护日志，包括时间、文件路径、防护说明、处理结果。</w:t>
            </w:r>
          </w:p>
          <w:p w14:paraId="07157F29">
            <w:pPr>
              <w:pStyle w:val="2"/>
              <w:ind w:firstLine="0" w:firstLineChars="0"/>
              <w:rPr>
                <w:rFonts w:hint="eastAsia" w:ascii="仿宋_GB2312" w:hAnsi="仿宋_GB2312" w:eastAsia="仿宋_GB2312" w:cs="仿宋_GB2312"/>
                <w:color w:val="000000"/>
                <w:kern w:val="0"/>
                <w:szCs w:val="24"/>
                <w:highlight w:val="none"/>
              </w:rPr>
            </w:pPr>
            <w:r>
              <w:rPr>
                <w:rFonts w:hint="eastAsia" w:ascii="仿宋_GB2312" w:hAnsi="仿宋_GB2312" w:eastAsia="仿宋_GB2312" w:cs="仿宋_GB2312"/>
                <w:color w:val="000000"/>
                <w:kern w:val="0"/>
                <w:szCs w:val="24"/>
                <w:highlight w:val="none"/>
              </w:rPr>
              <w:t>△5.</w:t>
            </w:r>
            <w:r>
              <w:rPr>
                <w:rFonts w:hint="eastAsia" w:ascii="仿宋_GB2312" w:hAnsi="仿宋_GB2312" w:eastAsia="仿宋_GB2312" w:cs="仿宋_GB2312"/>
                <w:highlight w:val="none"/>
              </w:rPr>
              <w:t xml:space="preserve"> </w:t>
            </w:r>
            <w:r>
              <w:rPr>
                <w:rFonts w:hint="eastAsia" w:ascii="仿宋_GB2312" w:hAnsi="仿宋_GB2312" w:eastAsia="仿宋_GB2312" w:cs="仿宋_GB2312"/>
                <w:color w:val="000000"/>
                <w:kern w:val="0"/>
                <w:szCs w:val="24"/>
                <w:highlight w:val="none"/>
              </w:rPr>
              <w:t>至少提供4种防病毒引擎，实现多引擎防护。</w:t>
            </w:r>
          </w:p>
          <w:p w14:paraId="581A6EB3">
            <w:pPr>
              <w:pStyle w:val="2"/>
              <w:ind w:firstLine="0" w:firstLineChars="0"/>
              <w:rPr>
                <w:rFonts w:hint="eastAsia" w:ascii="仿宋_GB2312" w:hAnsi="仿宋_GB2312" w:eastAsia="仿宋_GB2312" w:cs="仿宋_GB2312"/>
                <w:color w:val="000000"/>
                <w:kern w:val="0"/>
                <w:szCs w:val="24"/>
                <w:highlight w:val="none"/>
              </w:rPr>
            </w:pPr>
            <w:r>
              <w:rPr>
                <w:rFonts w:hint="eastAsia" w:ascii="仿宋_GB2312" w:hAnsi="仿宋_GB2312" w:eastAsia="仿宋_GB2312" w:cs="仿宋_GB2312"/>
                <w:color w:val="000000"/>
                <w:kern w:val="0"/>
                <w:szCs w:val="24"/>
                <w:highlight w:val="none"/>
              </w:rPr>
              <w:t>△6.</w:t>
            </w:r>
            <w:r>
              <w:rPr>
                <w:rFonts w:hint="eastAsia" w:ascii="仿宋_GB2312" w:hAnsi="仿宋_GB2312" w:eastAsia="仿宋_GB2312" w:cs="仿宋_GB2312"/>
                <w:highlight w:val="none"/>
              </w:rPr>
              <w:t xml:space="preserve"> </w:t>
            </w:r>
            <w:r>
              <w:rPr>
                <w:rFonts w:hint="eastAsia" w:ascii="仿宋_GB2312" w:hAnsi="仿宋_GB2312" w:eastAsia="仿宋_GB2312" w:cs="仿宋_GB2312"/>
                <w:color w:val="000000"/>
                <w:kern w:val="0"/>
                <w:szCs w:val="24"/>
                <w:highlight w:val="none"/>
              </w:rPr>
              <w:t>支持基于脚本类型判断的病毒检测技术，通过预设数量的脚本作为样本，计算特征向量建立分类模型，由此建立的分类模型可以对待测脚本的类型进行判定，根据判定结果把脚本提供给对应的脚本引擎进行处理。</w:t>
            </w:r>
          </w:p>
          <w:p w14:paraId="6D858924">
            <w:pPr>
              <w:pStyle w:val="2"/>
              <w:ind w:firstLine="0" w:firstLineChars="0"/>
              <w:rPr>
                <w:rFonts w:hint="eastAsia" w:ascii="仿宋_GB2312" w:hAnsi="仿宋_GB2312" w:eastAsia="仿宋_GB2312" w:cs="仿宋_GB2312"/>
                <w:color w:val="000000"/>
                <w:kern w:val="0"/>
                <w:szCs w:val="24"/>
                <w:highlight w:val="none"/>
              </w:rPr>
            </w:pPr>
            <w:r>
              <w:rPr>
                <w:rFonts w:hint="eastAsia" w:ascii="仿宋_GB2312" w:hAnsi="仿宋_GB2312" w:eastAsia="仿宋_GB2312" w:cs="仿宋_GB2312"/>
                <w:color w:val="000000"/>
                <w:kern w:val="0"/>
                <w:szCs w:val="24"/>
                <w:highlight w:val="none"/>
              </w:rPr>
              <w:t>△7.</w:t>
            </w:r>
            <w:r>
              <w:rPr>
                <w:rFonts w:hint="eastAsia" w:ascii="仿宋_GB2312" w:hAnsi="仿宋_GB2312" w:eastAsia="仿宋_GB2312" w:cs="仿宋_GB2312"/>
                <w:highlight w:val="none"/>
              </w:rPr>
              <w:t xml:space="preserve"> </w:t>
            </w:r>
            <w:r>
              <w:rPr>
                <w:rFonts w:hint="eastAsia" w:ascii="仿宋_GB2312" w:hAnsi="仿宋_GB2312" w:eastAsia="仿宋_GB2312" w:cs="仿宋_GB2312"/>
                <w:color w:val="000000"/>
                <w:kern w:val="0"/>
                <w:szCs w:val="24"/>
                <w:highlight w:val="none"/>
              </w:rPr>
              <w:t>支持基于机器学习的程序识别方法，通过对海量样本进行分析，得到识别恶意程序的模型，发现程序内在规律，对未发生的恶意程序进行预防。</w:t>
            </w:r>
          </w:p>
          <w:p w14:paraId="568232A0">
            <w:pPr>
              <w:pStyle w:val="2"/>
              <w:ind w:firstLine="0" w:firstLineChars="0"/>
              <w:rPr>
                <w:rFonts w:hint="eastAsia" w:ascii="仿宋_GB2312" w:hAnsi="仿宋_GB2312" w:eastAsia="仿宋_GB2312" w:cs="仿宋_GB2312"/>
                <w:color w:val="000000"/>
                <w:kern w:val="0"/>
                <w:szCs w:val="24"/>
                <w:highlight w:val="none"/>
              </w:rPr>
            </w:pPr>
            <w:r>
              <w:rPr>
                <w:rFonts w:hint="eastAsia" w:ascii="仿宋_GB2312" w:hAnsi="仿宋_GB2312" w:eastAsia="仿宋_GB2312" w:cs="仿宋_GB2312"/>
                <w:color w:val="000000"/>
                <w:kern w:val="0"/>
                <w:szCs w:val="24"/>
                <w:highlight w:val="none"/>
              </w:rPr>
              <w:t>△8.</w:t>
            </w:r>
            <w:r>
              <w:rPr>
                <w:rFonts w:hint="eastAsia" w:ascii="仿宋_GB2312" w:hAnsi="仿宋_GB2312" w:eastAsia="仿宋_GB2312" w:cs="仿宋_GB2312"/>
                <w:highlight w:val="none"/>
              </w:rPr>
              <w:t xml:space="preserve"> </w:t>
            </w:r>
            <w:r>
              <w:rPr>
                <w:rFonts w:hint="eastAsia" w:ascii="仿宋_GB2312" w:hAnsi="仿宋_GB2312" w:eastAsia="仿宋_GB2312" w:cs="仿宋_GB2312"/>
                <w:color w:val="000000"/>
                <w:kern w:val="0"/>
                <w:szCs w:val="24"/>
                <w:highlight w:val="none"/>
              </w:rPr>
              <w:t>支持连接网络版控制中心，将单机版客户端接入网络版控制中心。</w:t>
            </w:r>
          </w:p>
          <w:p w14:paraId="2DC7F8FA">
            <w:pPr>
              <w:pStyle w:val="2"/>
              <w:ind w:firstLine="0" w:firstLineChars="0"/>
              <w:rPr>
                <w:rFonts w:hint="eastAsia" w:ascii="仿宋_GB2312" w:hAnsi="仿宋_GB2312" w:eastAsia="仿宋_GB2312" w:cs="仿宋_GB2312"/>
                <w:color w:val="000000"/>
                <w:kern w:val="0"/>
                <w:szCs w:val="24"/>
                <w:highlight w:val="none"/>
              </w:rPr>
            </w:pPr>
            <w:r>
              <w:rPr>
                <w:rFonts w:hint="eastAsia" w:ascii="仿宋_GB2312" w:hAnsi="仿宋_GB2312" w:eastAsia="仿宋_GB2312" w:cs="仿宋_GB2312"/>
                <w:color w:val="000000"/>
                <w:kern w:val="0"/>
                <w:szCs w:val="24"/>
                <w:highlight w:val="none"/>
              </w:rPr>
              <w:t>9.</w:t>
            </w:r>
            <w:r>
              <w:rPr>
                <w:rFonts w:hint="eastAsia" w:ascii="仿宋_GB2312" w:hAnsi="仿宋_GB2312" w:eastAsia="仿宋_GB2312" w:cs="仿宋_GB2312"/>
                <w:highlight w:val="none"/>
              </w:rPr>
              <w:t xml:space="preserve"> </w:t>
            </w:r>
            <w:r>
              <w:rPr>
                <w:rFonts w:hint="eastAsia" w:ascii="仿宋_GB2312" w:hAnsi="仿宋_GB2312" w:eastAsia="仿宋_GB2312" w:cs="仿宋_GB2312"/>
                <w:color w:val="000000"/>
                <w:kern w:val="0"/>
                <w:szCs w:val="24"/>
                <w:highlight w:val="none"/>
              </w:rPr>
              <w:t>支持对终端执行快速扫描、全盘扫描和自定义扫描，可配置发现病毒的处理方式。</w:t>
            </w:r>
          </w:p>
          <w:p w14:paraId="793264BD">
            <w:pPr>
              <w:pStyle w:val="2"/>
              <w:ind w:firstLine="0" w:firstLineChars="0"/>
              <w:rPr>
                <w:rFonts w:hint="eastAsia" w:ascii="仿宋_GB2312" w:hAnsi="仿宋_GB2312" w:eastAsia="仿宋_GB2312" w:cs="仿宋_GB2312"/>
                <w:color w:val="000000"/>
                <w:kern w:val="0"/>
                <w:szCs w:val="24"/>
                <w:highlight w:val="none"/>
              </w:rPr>
            </w:pPr>
            <w:r>
              <w:rPr>
                <w:rFonts w:hint="eastAsia" w:ascii="仿宋_GB2312" w:hAnsi="仿宋_GB2312" w:eastAsia="仿宋_GB2312" w:cs="仿宋_GB2312"/>
                <w:color w:val="000000"/>
                <w:kern w:val="0"/>
                <w:szCs w:val="24"/>
                <w:highlight w:val="none"/>
              </w:rPr>
              <w:t>10.</w:t>
            </w:r>
            <w:r>
              <w:rPr>
                <w:rFonts w:hint="eastAsia" w:ascii="仿宋_GB2312" w:hAnsi="仿宋_GB2312" w:eastAsia="仿宋_GB2312" w:cs="仿宋_GB2312"/>
                <w:highlight w:val="none"/>
              </w:rPr>
              <w:t xml:space="preserve"> </w:t>
            </w:r>
            <w:r>
              <w:rPr>
                <w:rFonts w:hint="eastAsia" w:ascii="仿宋_GB2312" w:hAnsi="仿宋_GB2312" w:eastAsia="仿宋_GB2312" w:cs="仿宋_GB2312"/>
                <w:color w:val="000000"/>
                <w:kern w:val="0"/>
                <w:szCs w:val="24"/>
                <w:highlight w:val="none"/>
              </w:rPr>
              <w:t>支持用户自定义白名单，支持文件和目录白名单。</w:t>
            </w:r>
          </w:p>
          <w:p w14:paraId="4D2A78C3">
            <w:pPr>
              <w:pStyle w:val="2"/>
              <w:ind w:firstLine="0" w:firstLineChars="0"/>
              <w:rPr>
                <w:rFonts w:hint="eastAsia" w:ascii="仿宋_GB2312" w:hAnsi="仿宋_GB2312" w:eastAsia="仿宋_GB2312" w:cs="仿宋_GB2312"/>
                <w:color w:val="000000"/>
                <w:kern w:val="0"/>
                <w:szCs w:val="24"/>
                <w:highlight w:val="none"/>
              </w:rPr>
            </w:pPr>
            <w:r>
              <w:rPr>
                <w:rFonts w:hint="eastAsia" w:ascii="仿宋_GB2312" w:hAnsi="仿宋_GB2312" w:eastAsia="仿宋_GB2312" w:cs="仿宋_GB2312"/>
                <w:color w:val="000000"/>
                <w:kern w:val="0"/>
                <w:szCs w:val="24"/>
                <w:highlight w:val="none"/>
              </w:rPr>
              <w:t>11.</w:t>
            </w:r>
            <w:r>
              <w:rPr>
                <w:rFonts w:hint="eastAsia" w:ascii="仿宋_GB2312" w:hAnsi="仿宋_GB2312" w:eastAsia="仿宋_GB2312" w:cs="仿宋_GB2312"/>
                <w:highlight w:val="none"/>
              </w:rPr>
              <w:t xml:space="preserve"> </w:t>
            </w:r>
            <w:r>
              <w:rPr>
                <w:rFonts w:hint="eastAsia" w:ascii="仿宋_GB2312" w:hAnsi="仿宋_GB2312" w:eastAsia="仿宋_GB2312" w:cs="仿宋_GB2312"/>
                <w:color w:val="000000"/>
                <w:kern w:val="0"/>
                <w:szCs w:val="24"/>
                <w:highlight w:val="none"/>
              </w:rPr>
              <w:t>支持快速批量恢复隔离区内的文件。</w:t>
            </w:r>
          </w:p>
          <w:p w14:paraId="01FB915C">
            <w:pPr>
              <w:pStyle w:val="2"/>
              <w:ind w:firstLine="0" w:firstLineChars="0"/>
              <w:rPr>
                <w:rFonts w:hint="eastAsia" w:ascii="仿宋_GB2312" w:hAnsi="仿宋_GB2312" w:eastAsia="仿宋_GB2312" w:cs="仿宋_GB2312"/>
                <w:color w:val="000000"/>
                <w:kern w:val="0"/>
                <w:szCs w:val="24"/>
                <w:highlight w:val="none"/>
              </w:rPr>
            </w:pPr>
            <w:r>
              <w:rPr>
                <w:rFonts w:hint="eastAsia" w:ascii="仿宋_GB2312" w:hAnsi="仿宋_GB2312" w:eastAsia="仿宋_GB2312" w:cs="仿宋_GB2312"/>
                <w:color w:val="000000"/>
                <w:kern w:val="0"/>
                <w:szCs w:val="24"/>
                <w:highlight w:val="none"/>
              </w:rPr>
              <w:t>12.</w:t>
            </w:r>
            <w:r>
              <w:rPr>
                <w:rFonts w:hint="eastAsia" w:ascii="仿宋_GB2312" w:hAnsi="仿宋_GB2312" w:eastAsia="仿宋_GB2312" w:cs="仿宋_GB2312"/>
                <w:highlight w:val="none"/>
              </w:rPr>
              <w:t xml:space="preserve"> </w:t>
            </w:r>
            <w:r>
              <w:rPr>
                <w:rFonts w:hint="eastAsia" w:ascii="仿宋_GB2312" w:hAnsi="仿宋_GB2312" w:eastAsia="仿宋_GB2312" w:cs="仿宋_GB2312"/>
                <w:color w:val="000000"/>
                <w:kern w:val="0"/>
                <w:szCs w:val="24"/>
                <w:highlight w:val="none"/>
              </w:rPr>
              <w:t>提供文件系统实时防护功能，发现病毒后可选择由系统自动处理、由用户选择处理或仅上报但不处理。</w:t>
            </w:r>
            <w:bookmarkEnd w:id="27"/>
          </w:p>
        </w:tc>
      </w:tr>
    </w:tbl>
    <w:p w14:paraId="776FBEA7">
      <w:pPr>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7AD0DE4B">
      <w:pPr>
        <w:pStyle w:val="4"/>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三 、商务要求</w:t>
      </w:r>
    </w:p>
    <w:tbl>
      <w:tblPr>
        <w:tblStyle w:val="27"/>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14:paraId="064B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1560" w:type="dxa"/>
            <w:vAlign w:val="center"/>
          </w:tcPr>
          <w:p w14:paraId="1E8052C8">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质保期</w:t>
            </w:r>
          </w:p>
        </w:tc>
        <w:tc>
          <w:tcPr>
            <w:tcW w:w="7654" w:type="dxa"/>
            <w:vAlign w:val="center"/>
          </w:tcPr>
          <w:p w14:paraId="2EDCB165">
            <w:pPr>
              <w:snapToGrid w:val="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本项目要求见上表质保部份，质保期内免收一切费用，质保期后终身维护，至少提供三年运维服务、设备运行情况监测、三年硬件质保服务。</w:t>
            </w:r>
          </w:p>
        </w:tc>
      </w:tr>
      <w:tr w14:paraId="01D7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560" w:type="dxa"/>
            <w:vAlign w:val="center"/>
          </w:tcPr>
          <w:p w14:paraId="28086BED">
            <w:pPr>
              <w:spacing w:line="360" w:lineRule="auto"/>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售后技术服务要求</w:t>
            </w:r>
          </w:p>
        </w:tc>
        <w:tc>
          <w:tcPr>
            <w:tcW w:w="7654" w:type="dxa"/>
            <w:vAlign w:val="center"/>
          </w:tcPr>
          <w:p w14:paraId="4427AA94">
            <w:pPr>
              <w:widowControl/>
              <w:numPr>
                <w:ilvl w:val="0"/>
                <w:numId w:val="4"/>
              </w:numPr>
              <w:snapToGrid w:val="0"/>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2小时内到达现场，上门维护； 24小时内修复；无法修复的，供应商应提供备用设备或部件替换，不能因此影响单位工作。提供电话及远程服务，一般问题一天内解决，重大问题三天内解决。</w:t>
            </w:r>
          </w:p>
          <w:p w14:paraId="74FF8B0E">
            <w:pPr>
              <w:widowControl/>
              <w:numPr>
                <w:ilvl w:val="0"/>
                <w:numId w:val="4"/>
              </w:numPr>
              <w:snapToGrid w:val="0"/>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提供免费现场培训，直到被培训人员能完全胜任工作要求。</w:t>
            </w:r>
          </w:p>
        </w:tc>
      </w:tr>
      <w:tr w14:paraId="78CF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560" w:type="dxa"/>
            <w:vAlign w:val="center"/>
          </w:tcPr>
          <w:p w14:paraId="027ED01D">
            <w:pPr>
              <w:spacing w:line="360" w:lineRule="auto"/>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交货时间及地点</w:t>
            </w:r>
          </w:p>
        </w:tc>
        <w:tc>
          <w:tcPr>
            <w:tcW w:w="7654" w:type="dxa"/>
            <w:vAlign w:val="center"/>
          </w:tcPr>
          <w:p w14:paraId="479E5DCD">
            <w:pPr>
              <w:snapToGrid w:val="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合同签订后</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60</w:t>
            </w:r>
            <w:r>
              <w:rPr>
                <w:rFonts w:hint="eastAsia" w:ascii="仿宋_GB2312" w:hAnsi="仿宋_GB2312" w:eastAsia="仿宋_GB2312" w:cs="仿宋_GB2312"/>
                <w:color w:val="000000" w:themeColor="text1"/>
                <w:sz w:val="24"/>
                <w:szCs w:val="24"/>
                <w:highlight w:val="none"/>
                <w14:textFill>
                  <w14:solidFill>
                    <w14:schemeClr w14:val="tx1"/>
                  </w14:solidFill>
                </w14:textFill>
              </w:rPr>
              <w:t>天内安装调试验收完毕，采购单位指定地点。</w:t>
            </w:r>
          </w:p>
        </w:tc>
      </w:tr>
      <w:tr w14:paraId="1A8A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trPr>
        <w:tc>
          <w:tcPr>
            <w:tcW w:w="1560" w:type="dxa"/>
            <w:vAlign w:val="center"/>
          </w:tcPr>
          <w:p w14:paraId="326147EC">
            <w:pPr>
              <w:spacing w:line="360" w:lineRule="auto"/>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付款条件</w:t>
            </w:r>
          </w:p>
        </w:tc>
        <w:tc>
          <w:tcPr>
            <w:tcW w:w="7654" w:type="dxa"/>
            <w:vAlign w:val="center"/>
          </w:tcPr>
          <w:p w14:paraId="23AD26AF">
            <w:pPr>
              <w:pStyle w:val="76"/>
              <w:spacing w:line="440" w:lineRule="exact"/>
              <w:ind w:firstLine="0" w:firstLineChars="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1.预付款：在合同生效后以及具备实施条件后的7个工作日内，采购人根据供应商提供的正规发票，按财政部门规定的支付方式支付合同金额的40%给供应商。</w:t>
            </w:r>
          </w:p>
          <w:p w14:paraId="1423B00E">
            <w:pPr>
              <w:snapToGrid w:val="0"/>
              <w:spacing w:line="440" w:lineRule="exac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2.剩余款项：</w:t>
            </w:r>
            <w:r>
              <w:rPr>
                <w:rFonts w:hint="eastAsia" w:ascii="仿宋_GB2312" w:hAnsi="仿宋_GB2312" w:eastAsia="仿宋_GB2312" w:cs="仿宋_GB2312"/>
                <w:color w:val="000000" w:themeColor="text1"/>
                <w:sz w:val="24"/>
                <w:szCs w:val="24"/>
                <w:highlight w:val="none"/>
                <w:shd w:val="clear" w:color="auto" w:fill="FFFFFF"/>
                <w14:textFill>
                  <w14:solidFill>
                    <w14:schemeClr w14:val="tx1"/>
                  </w14:solidFill>
                </w14:textFill>
              </w:rPr>
              <w:t>项目通过终验后5个工作日内支付剩余合同金额的60%。</w:t>
            </w:r>
          </w:p>
        </w:tc>
      </w:tr>
      <w:tr w14:paraId="38B4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1560" w:type="dxa"/>
            <w:vAlign w:val="center"/>
          </w:tcPr>
          <w:p w14:paraId="47D3BF19">
            <w:pPr>
              <w:spacing w:line="360" w:lineRule="auto"/>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项目验收</w:t>
            </w:r>
          </w:p>
        </w:tc>
        <w:tc>
          <w:tcPr>
            <w:tcW w:w="7654" w:type="dxa"/>
            <w:vAlign w:val="center"/>
          </w:tcPr>
          <w:p w14:paraId="5705F111">
            <w:pPr>
              <w:pStyle w:val="12"/>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仿宋_GB2312" w:hAnsi="仿宋_GB2312" w:eastAsia="仿宋_GB2312" w:cs="仿宋_GB2312"/>
                <w:color w:val="000000" w:themeColor="text1"/>
                <w:sz w:val="24"/>
                <w:szCs w:val="24"/>
                <w:highlight w:val="none"/>
                <w:lang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bidi="ar"/>
                <w14:textFill>
                  <w14:solidFill>
                    <w14:schemeClr w14:val="tx1"/>
                  </w14:solidFill>
                </w14:textFill>
              </w:rPr>
              <w:t>中标方在项目实施结束后应自行组织初验，初验通过后向采购方提出终验申请，采购方在收到申请的一周内组织验收工作。验收由采购方相关人员及中标方共同进行，对产品型号、标书要求的各项功能及中标方的投标文件逐条进行校对验收。</w:t>
            </w:r>
          </w:p>
        </w:tc>
      </w:tr>
    </w:tbl>
    <w:p w14:paraId="56224636">
      <w:pPr>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5ADB3A77">
      <w:pPr>
        <w:spacing w:line="360" w:lineRule="auto"/>
        <w:outlineLvl w:val="1"/>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四、售后服务要求</w:t>
      </w:r>
    </w:p>
    <w:p w14:paraId="2349BEED">
      <w:pPr>
        <w:spacing w:line="360" w:lineRule="auto"/>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施工期间，中标人应遵守有关部门的管理，并遵照相关的规定。系统设备安装（包括所使用的设备、材料、布线方法、安装工艺、调试开通等）必须符合国家、行业法规和规范要求。在施工中应做好对其他设施的保护，凡造成其它设施、设备损坏的，一律由中标人负责赔偿。</w:t>
      </w:r>
    </w:p>
    <w:p w14:paraId="7CCA1215">
      <w:pPr>
        <w:spacing w:line="360" w:lineRule="auto"/>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2、提供的设备、配件必须提供随机资料（说明书、合格证、图纸、保修单及操作保养等资料）。其他附件及材料必须符合国家有关标准。</w:t>
      </w:r>
    </w:p>
    <w:p w14:paraId="6A46F352">
      <w:pPr>
        <w:spacing w:line="360" w:lineRule="auto"/>
        <w:ind w:firstLine="240" w:firstLineChars="1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color w:val="000000" w:themeColor="text1"/>
          <w:sz w:val="24"/>
          <w:szCs w:val="24"/>
          <w:highlight w:val="none"/>
          <w14:textFill>
            <w14:solidFill>
              <w14:schemeClr w14:val="tx1"/>
            </w14:solidFill>
          </w14:textFill>
        </w:rPr>
        <w:t>质保期：本项目要求硬件整体质保三年，提供至少三年运维服务。</w:t>
      </w:r>
    </w:p>
    <w:p w14:paraId="35460FB3">
      <w:pPr>
        <w:spacing w:line="360" w:lineRule="auto"/>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投标人应该能够提供完善可靠的技术支持，当出现故障立即响应，12小时解决问题，24个工作小时内不能修复的，则无偿提供备机或备用零件供采购人使用，投标人可根据自身实力作出更优的承诺。在此期间，投标人应免费处理因质量发生的故障，并进行正常保养。</w:t>
      </w:r>
    </w:p>
    <w:p w14:paraId="0A0D26D1">
      <w:pPr>
        <w:spacing w:line="360" w:lineRule="auto"/>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质保期内所有硬件设备的故障由中标人进行免费的更换、维修等，确保用户的正常使用；软件系统由中标人进行免费升级和优化服务。合同期内，中标人应成立专门的团队，负责售后及运维服务。指定专门的负责人负责与用户的对接及协调。设立专门的工作热线，接受用户的咨询。</w:t>
      </w:r>
    </w:p>
    <w:p w14:paraId="0A2CF746">
      <w:pPr>
        <w:spacing w:line="360" w:lineRule="auto"/>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在质保期和合同期结束前，中标人须对本项目采购设备进行一次对软硬件系统全面检查，任何缺陷问题必须由中标人负责整改，完善；在整改、完善之后，中标单位须将缺陷原因、修理内容、完成修理及恢复正常的时间和日期等报告给采购人。</w:t>
      </w:r>
    </w:p>
    <w:p w14:paraId="50048120">
      <w:pPr>
        <w:spacing w:line="360" w:lineRule="auto"/>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bidi="ar"/>
          <w14:textFill>
            <w14:solidFill>
              <w14:schemeClr w14:val="tx1"/>
            </w14:solidFill>
          </w14:textFill>
        </w:rPr>
        <w:t>7、技术参数功能需真实满足，在中标后签订合同前进行实际设备功能测试。</w:t>
      </w:r>
    </w:p>
    <w:p w14:paraId="2A6663B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_GB2312" w:hAnsi="仿宋_GB2312" w:eastAsia="仿宋_GB2312" w:cs="仿宋_GB2312"/>
          <w:b/>
          <w:color w:val="auto"/>
          <w:sz w:val="24"/>
          <w:szCs w:val="24"/>
        </w:rPr>
      </w:pPr>
    </w:p>
    <w:p w14:paraId="5A7F88F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_GB2312" w:hAnsi="仿宋_GB2312" w:eastAsia="仿宋_GB2312" w:cs="仿宋_GB2312"/>
          <w:b/>
          <w:color w:val="auto"/>
          <w:sz w:val="24"/>
          <w:szCs w:val="24"/>
        </w:rPr>
      </w:pPr>
    </w:p>
    <w:p w14:paraId="0C3BFDC7">
      <w:pPr>
        <w:rPr>
          <w:rFonts w:hint="eastAsia" w:ascii="仿宋" w:hAnsi="仿宋" w:eastAsia="仿宋" w:cs="仿宋"/>
          <w:color w:val="auto"/>
        </w:rPr>
      </w:pPr>
    </w:p>
    <w:p w14:paraId="3A8D6933">
      <w:pPr>
        <w:pStyle w:val="2"/>
        <w:rPr>
          <w:rFonts w:hint="eastAsia" w:ascii="仿宋" w:hAnsi="仿宋" w:eastAsia="仿宋" w:cs="仿宋"/>
          <w:color w:val="auto"/>
        </w:rPr>
      </w:pPr>
    </w:p>
    <w:p w14:paraId="65EA3B39">
      <w:pPr>
        <w:rPr>
          <w:rFonts w:hint="eastAsia" w:ascii="仿宋" w:hAnsi="仿宋" w:eastAsia="仿宋" w:cs="仿宋"/>
          <w:color w:val="auto"/>
        </w:rPr>
      </w:pPr>
    </w:p>
    <w:p w14:paraId="112D2855">
      <w:pPr>
        <w:pStyle w:val="2"/>
        <w:rPr>
          <w:rFonts w:hint="eastAsia" w:ascii="仿宋" w:hAnsi="仿宋" w:eastAsia="仿宋" w:cs="仿宋"/>
          <w:color w:val="auto"/>
        </w:rPr>
      </w:pPr>
    </w:p>
    <w:p w14:paraId="675DD094">
      <w:pPr>
        <w:rPr>
          <w:rFonts w:hint="eastAsia" w:ascii="仿宋" w:hAnsi="仿宋" w:eastAsia="仿宋" w:cs="仿宋"/>
          <w:color w:val="auto"/>
        </w:rPr>
      </w:pPr>
    </w:p>
    <w:p w14:paraId="7E77534A">
      <w:pPr>
        <w:pStyle w:val="2"/>
        <w:rPr>
          <w:rFonts w:hint="eastAsia" w:ascii="仿宋" w:hAnsi="仿宋" w:eastAsia="仿宋" w:cs="仿宋"/>
          <w:color w:val="auto"/>
        </w:rPr>
      </w:pPr>
    </w:p>
    <w:p w14:paraId="77246AD5">
      <w:pPr>
        <w:rPr>
          <w:rFonts w:hint="eastAsia" w:ascii="仿宋" w:hAnsi="仿宋" w:eastAsia="仿宋" w:cs="仿宋"/>
          <w:color w:val="auto"/>
        </w:rPr>
      </w:pPr>
    </w:p>
    <w:p w14:paraId="04A9A252">
      <w:pPr>
        <w:pStyle w:val="2"/>
        <w:rPr>
          <w:rFonts w:hint="eastAsia" w:ascii="仿宋" w:hAnsi="仿宋" w:eastAsia="仿宋" w:cs="仿宋"/>
          <w:color w:val="auto"/>
        </w:rPr>
      </w:pPr>
    </w:p>
    <w:p w14:paraId="459875FB">
      <w:pPr>
        <w:rPr>
          <w:rFonts w:hint="eastAsia" w:ascii="仿宋" w:hAnsi="仿宋" w:eastAsia="仿宋" w:cs="仿宋"/>
          <w:color w:val="auto"/>
        </w:rPr>
      </w:pPr>
    </w:p>
    <w:p w14:paraId="539A6E15">
      <w:pPr>
        <w:pStyle w:val="2"/>
        <w:rPr>
          <w:rFonts w:hint="eastAsia" w:ascii="仿宋" w:hAnsi="仿宋" w:eastAsia="仿宋" w:cs="仿宋"/>
          <w:color w:val="auto"/>
        </w:rPr>
      </w:pPr>
    </w:p>
    <w:p w14:paraId="16670B21">
      <w:pPr>
        <w:rPr>
          <w:rFonts w:hint="eastAsia" w:ascii="仿宋" w:hAnsi="仿宋" w:eastAsia="仿宋" w:cs="仿宋"/>
          <w:color w:val="auto"/>
        </w:rPr>
      </w:pPr>
    </w:p>
    <w:p w14:paraId="593D66E5">
      <w:pPr>
        <w:pStyle w:val="2"/>
        <w:rPr>
          <w:rFonts w:hint="eastAsia" w:ascii="仿宋" w:hAnsi="仿宋" w:eastAsia="仿宋" w:cs="仿宋"/>
          <w:color w:val="auto"/>
        </w:rPr>
      </w:pPr>
    </w:p>
    <w:p w14:paraId="51E91EFB">
      <w:pPr>
        <w:rPr>
          <w:rFonts w:hint="eastAsia" w:ascii="仿宋" w:hAnsi="仿宋" w:eastAsia="仿宋" w:cs="仿宋"/>
          <w:color w:val="auto"/>
        </w:rPr>
      </w:pPr>
    </w:p>
    <w:p w14:paraId="57FBF817">
      <w:pPr>
        <w:pStyle w:val="2"/>
        <w:rPr>
          <w:rFonts w:hint="eastAsia" w:ascii="仿宋" w:hAnsi="仿宋" w:eastAsia="仿宋" w:cs="仿宋"/>
          <w:color w:val="auto"/>
        </w:rPr>
      </w:pPr>
    </w:p>
    <w:p w14:paraId="048DD32F">
      <w:pPr>
        <w:jc w:val="center"/>
        <w:outlineLvl w:val="0"/>
        <w:rPr>
          <w:rFonts w:hint="eastAsia" w:ascii="仿宋_GB2312" w:hAnsi="仿宋_GB2312" w:eastAsia="仿宋_GB2312" w:cs="仿宋_GB2312"/>
          <w:b/>
          <w:color w:val="auto"/>
          <w:sz w:val="32"/>
          <w:szCs w:val="32"/>
          <w:highlight w:val="none"/>
        </w:rPr>
      </w:pPr>
    </w:p>
    <w:p w14:paraId="06807390">
      <w:pPr>
        <w:pStyle w:val="2"/>
        <w:rPr>
          <w:rFonts w:hint="eastAsia"/>
        </w:rPr>
      </w:pPr>
    </w:p>
    <w:p w14:paraId="09B9E156">
      <w:pPr>
        <w:rPr>
          <w:rFonts w:hint="eastAsia"/>
        </w:rPr>
      </w:pPr>
    </w:p>
    <w:p w14:paraId="48DB176A">
      <w:pPr>
        <w:rPr>
          <w:rFonts w:hint="eastAsia"/>
        </w:rPr>
      </w:pPr>
    </w:p>
    <w:p w14:paraId="15E7CE4F">
      <w:pPr>
        <w:pStyle w:val="2"/>
        <w:rPr>
          <w:rFonts w:hint="eastAsia"/>
        </w:rPr>
      </w:pPr>
    </w:p>
    <w:p w14:paraId="27AC9816">
      <w:pPr>
        <w:jc w:val="center"/>
        <w:outlineLvl w:val="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第四部分</w:t>
      </w:r>
      <w:bookmarkStart w:id="28" w:name="_Toc184312089"/>
      <w:bookmarkEnd w:id="28"/>
      <w:bookmarkStart w:id="29" w:name="_Toc184312080"/>
      <w:bookmarkEnd w:id="29"/>
      <w:bookmarkStart w:id="30" w:name="_Toc184310328"/>
      <w:bookmarkEnd w:id="30"/>
      <w:bookmarkStart w:id="31" w:name="_Toc184312118"/>
      <w:bookmarkEnd w:id="31"/>
      <w:bookmarkStart w:id="32" w:name="_Toc184313242"/>
      <w:bookmarkEnd w:id="32"/>
      <w:bookmarkStart w:id="33" w:name="_Toc184314467"/>
      <w:bookmarkEnd w:id="33"/>
      <w:bookmarkStart w:id="34" w:name="_Toc184314430"/>
      <w:bookmarkEnd w:id="34"/>
      <w:bookmarkStart w:id="35" w:name="_Toc184308050"/>
      <w:bookmarkEnd w:id="35"/>
      <w:bookmarkStart w:id="36" w:name="_Toc184313291"/>
      <w:bookmarkEnd w:id="36"/>
      <w:bookmarkStart w:id="37" w:name="_Toc184314440"/>
      <w:bookmarkEnd w:id="37"/>
      <w:bookmarkStart w:id="38" w:name="_Toc184314481"/>
      <w:bookmarkEnd w:id="38"/>
      <w:bookmarkStart w:id="39" w:name="_Toc184310307"/>
      <w:bookmarkEnd w:id="39"/>
      <w:bookmarkStart w:id="40" w:name="_Toc184314414"/>
      <w:bookmarkEnd w:id="40"/>
      <w:bookmarkStart w:id="41" w:name="_Toc184313289"/>
      <w:bookmarkEnd w:id="41"/>
      <w:bookmarkStart w:id="42" w:name="_Toc184310305"/>
      <w:bookmarkEnd w:id="42"/>
      <w:bookmarkStart w:id="43" w:name="_Toc184310285"/>
      <w:bookmarkEnd w:id="43"/>
      <w:bookmarkStart w:id="44" w:name="_Toc184314461"/>
      <w:bookmarkEnd w:id="44"/>
      <w:bookmarkStart w:id="45" w:name="_Toc184308088"/>
      <w:bookmarkEnd w:id="45"/>
      <w:bookmarkStart w:id="46" w:name="_Toc184313297"/>
      <w:bookmarkEnd w:id="46"/>
      <w:bookmarkStart w:id="47" w:name="_Toc184310309"/>
      <w:bookmarkEnd w:id="47"/>
      <w:bookmarkStart w:id="48" w:name="_Toc184314439"/>
      <w:bookmarkEnd w:id="48"/>
      <w:bookmarkStart w:id="49" w:name="_Toc184312078"/>
      <w:bookmarkEnd w:id="49"/>
      <w:bookmarkStart w:id="50" w:name="_Toc184312122"/>
      <w:bookmarkEnd w:id="50"/>
      <w:bookmarkStart w:id="51" w:name="_Toc184310301"/>
      <w:bookmarkEnd w:id="51"/>
      <w:bookmarkStart w:id="52" w:name="_Toc184313262"/>
      <w:bookmarkEnd w:id="52"/>
      <w:bookmarkStart w:id="53" w:name="_Toc184312079"/>
      <w:bookmarkEnd w:id="53"/>
      <w:bookmarkStart w:id="54" w:name="_Toc184314436"/>
      <w:bookmarkEnd w:id="54"/>
      <w:bookmarkStart w:id="55" w:name="_Toc184308084"/>
      <w:bookmarkEnd w:id="55"/>
      <w:bookmarkStart w:id="56" w:name="_Toc184310330"/>
      <w:bookmarkEnd w:id="56"/>
      <w:bookmarkStart w:id="57" w:name="_Toc184310272"/>
      <w:bookmarkEnd w:id="57"/>
      <w:bookmarkStart w:id="58" w:name="_Toc184313238"/>
      <w:bookmarkEnd w:id="58"/>
      <w:bookmarkStart w:id="59" w:name="_Toc184312138"/>
      <w:bookmarkEnd w:id="59"/>
      <w:bookmarkStart w:id="60" w:name="_Toc184310297"/>
      <w:bookmarkEnd w:id="60"/>
      <w:bookmarkStart w:id="61" w:name="_Toc184313283"/>
      <w:bookmarkEnd w:id="61"/>
      <w:bookmarkStart w:id="62" w:name="_Toc184308098"/>
      <w:bookmarkEnd w:id="62"/>
      <w:bookmarkStart w:id="63" w:name="_Toc184314457"/>
      <w:bookmarkEnd w:id="63"/>
      <w:bookmarkStart w:id="64" w:name="_Toc184312092"/>
      <w:bookmarkEnd w:id="64"/>
      <w:bookmarkStart w:id="65" w:name="_Toc184312082"/>
      <w:bookmarkEnd w:id="65"/>
      <w:bookmarkStart w:id="66" w:name="_Toc184313253"/>
      <w:bookmarkEnd w:id="66"/>
      <w:bookmarkStart w:id="67" w:name="_Toc184312119"/>
      <w:bookmarkEnd w:id="67"/>
      <w:bookmarkStart w:id="68" w:name="_Toc184314411"/>
      <w:bookmarkEnd w:id="68"/>
      <w:bookmarkStart w:id="69" w:name="_Toc184308108"/>
      <w:bookmarkEnd w:id="69"/>
      <w:bookmarkStart w:id="70" w:name="_Toc184308036"/>
      <w:bookmarkEnd w:id="70"/>
      <w:bookmarkStart w:id="71" w:name="_Toc184314469"/>
      <w:bookmarkEnd w:id="71"/>
      <w:bookmarkStart w:id="72" w:name="_Toc184312071"/>
      <w:bookmarkEnd w:id="72"/>
      <w:bookmarkStart w:id="73" w:name="_Toc184310313"/>
      <w:bookmarkEnd w:id="73"/>
      <w:bookmarkStart w:id="74" w:name="_Toc184312069"/>
      <w:bookmarkEnd w:id="74"/>
      <w:bookmarkStart w:id="75" w:name="_Toc184313251"/>
      <w:bookmarkEnd w:id="75"/>
      <w:bookmarkStart w:id="76" w:name="_Toc184310335"/>
      <w:bookmarkEnd w:id="76"/>
      <w:bookmarkStart w:id="77" w:name="_Toc184310291"/>
      <w:bookmarkEnd w:id="77"/>
      <w:bookmarkStart w:id="78" w:name="_Toc184313280"/>
      <w:bookmarkEnd w:id="78"/>
      <w:bookmarkStart w:id="79" w:name="_Toc184308100"/>
      <w:bookmarkEnd w:id="79"/>
      <w:bookmarkStart w:id="80" w:name="_Toc184308052"/>
      <w:bookmarkEnd w:id="80"/>
      <w:bookmarkStart w:id="81" w:name="_Toc184312081"/>
      <w:bookmarkEnd w:id="81"/>
      <w:bookmarkStart w:id="82" w:name="_Toc184313255"/>
      <w:bookmarkEnd w:id="82"/>
      <w:bookmarkStart w:id="83" w:name="_Toc184312111"/>
      <w:bookmarkEnd w:id="83"/>
      <w:bookmarkStart w:id="84" w:name="_Toc184314435"/>
      <w:bookmarkEnd w:id="84"/>
      <w:bookmarkStart w:id="85" w:name="_Toc184312115"/>
      <w:bookmarkEnd w:id="85"/>
      <w:bookmarkStart w:id="86" w:name="_Toc184310273"/>
      <w:bookmarkEnd w:id="86"/>
      <w:bookmarkStart w:id="87" w:name="_Toc184310288"/>
      <w:bookmarkEnd w:id="87"/>
      <w:bookmarkStart w:id="88" w:name="_Toc184310314"/>
      <w:bookmarkEnd w:id="88"/>
      <w:bookmarkStart w:id="89" w:name="_Toc184310318"/>
      <w:bookmarkEnd w:id="89"/>
      <w:bookmarkStart w:id="90" w:name="_Toc184310315"/>
      <w:bookmarkEnd w:id="90"/>
      <w:bookmarkStart w:id="91" w:name="_Toc184314463"/>
      <w:bookmarkEnd w:id="91"/>
      <w:bookmarkStart w:id="92" w:name="_Toc184314447"/>
      <w:bookmarkEnd w:id="92"/>
      <w:bookmarkStart w:id="93" w:name="_Toc184312086"/>
      <w:bookmarkEnd w:id="93"/>
      <w:bookmarkStart w:id="94" w:name="_Toc184310287"/>
      <w:bookmarkEnd w:id="94"/>
      <w:bookmarkStart w:id="95" w:name="_Toc184310308"/>
      <w:bookmarkEnd w:id="95"/>
      <w:bookmarkStart w:id="96" w:name="_Toc184310282"/>
      <w:bookmarkEnd w:id="96"/>
      <w:bookmarkStart w:id="97" w:name="_Toc184312067"/>
      <w:bookmarkEnd w:id="97"/>
      <w:bookmarkStart w:id="98" w:name="_Toc184312132"/>
      <w:bookmarkEnd w:id="98"/>
      <w:bookmarkStart w:id="99" w:name="_Toc184308107"/>
      <w:bookmarkEnd w:id="99"/>
      <w:bookmarkStart w:id="100" w:name="_Toc184312087"/>
      <w:bookmarkEnd w:id="100"/>
      <w:bookmarkStart w:id="101" w:name="_Toc184310338"/>
      <w:bookmarkEnd w:id="101"/>
      <w:bookmarkStart w:id="102" w:name="_Toc184314426"/>
      <w:bookmarkEnd w:id="102"/>
      <w:bookmarkStart w:id="103" w:name="_Toc184310344"/>
      <w:bookmarkEnd w:id="103"/>
      <w:bookmarkStart w:id="104" w:name="_Toc184312124"/>
      <w:bookmarkEnd w:id="104"/>
      <w:bookmarkStart w:id="105" w:name="_Toc184313272"/>
      <w:bookmarkEnd w:id="105"/>
      <w:bookmarkStart w:id="106" w:name="_Toc184313259"/>
      <w:bookmarkEnd w:id="106"/>
      <w:bookmarkStart w:id="107" w:name="_Toc184313285"/>
      <w:bookmarkEnd w:id="107"/>
      <w:bookmarkStart w:id="108" w:name="_Toc184308048"/>
      <w:bookmarkEnd w:id="108"/>
      <w:bookmarkStart w:id="109" w:name="_Toc184308057"/>
      <w:bookmarkEnd w:id="109"/>
      <w:bookmarkStart w:id="110" w:name="_Toc184313271"/>
      <w:bookmarkEnd w:id="110"/>
      <w:bookmarkStart w:id="111" w:name="_Toc184308076"/>
      <w:bookmarkEnd w:id="111"/>
      <w:bookmarkStart w:id="112" w:name="_Toc184312090"/>
      <w:bookmarkEnd w:id="112"/>
      <w:bookmarkStart w:id="113" w:name="_Toc184314459"/>
      <w:bookmarkEnd w:id="113"/>
      <w:bookmarkStart w:id="114" w:name="_Toc184312121"/>
      <w:bookmarkEnd w:id="114"/>
      <w:bookmarkStart w:id="115" w:name="_Toc184313293"/>
      <w:bookmarkEnd w:id="115"/>
      <w:bookmarkStart w:id="116" w:name="_Toc184308089"/>
      <w:bookmarkEnd w:id="116"/>
      <w:bookmarkStart w:id="117" w:name="_Toc184312105"/>
      <w:bookmarkEnd w:id="117"/>
      <w:bookmarkStart w:id="118" w:name="_Toc184314478"/>
      <w:bookmarkEnd w:id="118"/>
      <w:bookmarkStart w:id="119" w:name="_Toc184314470"/>
      <w:bookmarkEnd w:id="119"/>
      <w:bookmarkStart w:id="120" w:name="_Toc184313286"/>
      <w:bookmarkEnd w:id="120"/>
      <w:bookmarkStart w:id="121" w:name="_Toc184314453"/>
      <w:bookmarkEnd w:id="121"/>
      <w:bookmarkStart w:id="122" w:name="_Toc184308040"/>
      <w:bookmarkEnd w:id="122"/>
      <w:bookmarkStart w:id="123" w:name="_Toc184313306"/>
      <w:bookmarkEnd w:id="123"/>
      <w:bookmarkStart w:id="124" w:name="_Toc184314446"/>
      <w:bookmarkEnd w:id="124"/>
      <w:bookmarkStart w:id="125" w:name="_Toc184310303"/>
      <w:bookmarkEnd w:id="125"/>
      <w:bookmarkStart w:id="126" w:name="_Toc184314449"/>
      <w:bookmarkEnd w:id="126"/>
      <w:bookmarkStart w:id="127" w:name="_Toc184313296"/>
      <w:bookmarkEnd w:id="127"/>
      <w:bookmarkStart w:id="128" w:name="_Toc184314413"/>
      <w:bookmarkEnd w:id="128"/>
      <w:bookmarkStart w:id="129" w:name="_Toc184314422"/>
      <w:bookmarkEnd w:id="129"/>
      <w:bookmarkStart w:id="130" w:name="_Toc184312084"/>
      <w:bookmarkEnd w:id="130"/>
      <w:bookmarkStart w:id="131" w:name="_Toc184310317"/>
      <w:bookmarkEnd w:id="131"/>
      <w:bookmarkStart w:id="132" w:name="_Toc184308079"/>
      <w:bookmarkEnd w:id="132"/>
      <w:bookmarkStart w:id="133" w:name="_Toc184312113"/>
      <w:bookmarkEnd w:id="133"/>
      <w:bookmarkStart w:id="134" w:name="_Toc184310279"/>
      <w:bookmarkEnd w:id="134"/>
      <w:bookmarkStart w:id="135" w:name="_Toc184310278"/>
      <w:bookmarkEnd w:id="135"/>
      <w:bookmarkStart w:id="136" w:name="_Toc184310275"/>
      <w:bookmarkEnd w:id="136"/>
      <w:bookmarkStart w:id="137" w:name="_Toc184308059"/>
      <w:bookmarkEnd w:id="137"/>
      <w:bookmarkStart w:id="138" w:name="_Toc184308094"/>
      <w:bookmarkEnd w:id="138"/>
      <w:bookmarkStart w:id="139" w:name="_Toc184308082"/>
      <w:bookmarkEnd w:id="139"/>
      <w:bookmarkStart w:id="140" w:name="_Toc184313277"/>
      <w:bookmarkEnd w:id="140"/>
      <w:bookmarkStart w:id="141" w:name="_Toc184313256"/>
      <w:bookmarkEnd w:id="141"/>
      <w:bookmarkStart w:id="142" w:name="_Toc184313298"/>
      <w:bookmarkEnd w:id="142"/>
      <w:bookmarkStart w:id="143" w:name="_Toc184308067"/>
      <w:bookmarkEnd w:id="143"/>
      <w:bookmarkStart w:id="144" w:name="_Toc184314444"/>
      <w:bookmarkEnd w:id="144"/>
      <w:bookmarkStart w:id="145" w:name="_Toc184313270"/>
      <w:bookmarkEnd w:id="145"/>
      <w:bookmarkStart w:id="146" w:name="_Toc184314416"/>
      <w:bookmarkEnd w:id="146"/>
      <w:bookmarkStart w:id="147" w:name="_Toc184308047"/>
      <w:bookmarkEnd w:id="147"/>
      <w:bookmarkStart w:id="148" w:name="_Toc184312116"/>
      <w:bookmarkEnd w:id="148"/>
      <w:bookmarkStart w:id="149" w:name="_Toc184313300"/>
      <w:bookmarkEnd w:id="149"/>
      <w:bookmarkStart w:id="150" w:name="_Toc184314458"/>
      <w:bookmarkEnd w:id="150"/>
      <w:bookmarkStart w:id="151" w:name="_Toc184308071"/>
      <w:bookmarkEnd w:id="151"/>
      <w:bookmarkStart w:id="152" w:name="_Toc184314466"/>
      <w:bookmarkEnd w:id="152"/>
      <w:bookmarkStart w:id="153" w:name="_Toc184313263"/>
      <w:bookmarkEnd w:id="153"/>
      <w:bookmarkStart w:id="154" w:name="_Toc184310293"/>
      <w:bookmarkEnd w:id="154"/>
      <w:bookmarkStart w:id="155" w:name="_Toc184312120"/>
      <w:bookmarkEnd w:id="155"/>
      <w:bookmarkStart w:id="156" w:name="_Toc184313290"/>
      <w:bookmarkEnd w:id="156"/>
      <w:bookmarkStart w:id="157" w:name="_Toc184310325"/>
      <w:bookmarkEnd w:id="157"/>
      <w:bookmarkStart w:id="158" w:name="_Toc184310283"/>
      <w:bookmarkEnd w:id="158"/>
      <w:bookmarkStart w:id="159" w:name="_Toc184313258"/>
      <w:bookmarkEnd w:id="159"/>
      <w:bookmarkStart w:id="160" w:name="_Toc184308065"/>
      <w:bookmarkEnd w:id="160"/>
      <w:bookmarkStart w:id="161" w:name="_Toc184313252"/>
      <w:bookmarkEnd w:id="161"/>
      <w:bookmarkStart w:id="162" w:name="_Toc184313266"/>
      <w:bookmarkEnd w:id="162"/>
      <w:bookmarkStart w:id="163" w:name="_Toc184308037"/>
      <w:bookmarkEnd w:id="163"/>
      <w:bookmarkStart w:id="164" w:name="_Toc184310342"/>
      <w:bookmarkEnd w:id="164"/>
      <w:bookmarkStart w:id="165" w:name="_Toc184313288"/>
      <w:bookmarkEnd w:id="165"/>
      <w:bookmarkStart w:id="166" w:name="_Toc184308043"/>
      <w:bookmarkEnd w:id="166"/>
      <w:bookmarkStart w:id="167" w:name="_Toc184313261"/>
      <w:bookmarkEnd w:id="167"/>
      <w:bookmarkStart w:id="168" w:name="_Toc184314420"/>
      <w:bookmarkEnd w:id="168"/>
      <w:bookmarkStart w:id="169" w:name="_Toc184314421"/>
      <w:bookmarkEnd w:id="169"/>
      <w:bookmarkStart w:id="170" w:name="_Toc184314468"/>
      <w:bookmarkEnd w:id="170"/>
      <w:bookmarkStart w:id="171" w:name="_Toc184314477"/>
      <w:bookmarkEnd w:id="171"/>
      <w:bookmarkStart w:id="172" w:name="_Toc184313308"/>
      <w:bookmarkEnd w:id="172"/>
      <w:bookmarkStart w:id="173" w:name="_Toc184310329"/>
      <w:bookmarkEnd w:id="173"/>
      <w:bookmarkStart w:id="174" w:name="_Toc184310284"/>
      <w:bookmarkEnd w:id="174"/>
      <w:bookmarkStart w:id="175" w:name="_Toc184312133"/>
      <w:bookmarkEnd w:id="175"/>
      <w:bookmarkStart w:id="176" w:name="_Toc184308062"/>
      <w:bookmarkEnd w:id="176"/>
      <w:bookmarkStart w:id="177" w:name="_Toc184313305"/>
      <w:bookmarkEnd w:id="177"/>
      <w:bookmarkStart w:id="178" w:name="_Toc184313247"/>
      <w:bookmarkEnd w:id="178"/>
      <w:bookmarkStart w:id="179" w:name="_Toc184308061"/>
      <w:bookmarkEnd w:id="179"/>
      <w:bookmarkStart w:id="180" w:name="_Toc184310281"/>
      <w:bookmarkEnd w:id="180"/>
      <w:bookmarkStart w:id="181" w:name="_Toc184312114"/>
      <w:bookmarkEnd w:id="181"/>
      <w:bookmarkStart w:id="182" w:name="_Toc184314464"/>
      <w:bookmarkEnd w:id="182"/>
      <w:bookmarkStart w:id="183" w:name="_Toc184314452"/>
      <w:bookmarkEnd w:id="183"/>
      <w:bookmarkStart w:id="184" w:name="_Toc184314423"/>
      <w:bookmarkEnd w:id="184"/>
      <w:bookmarkStart w:id="185" w:name="_Toc184308104"/>
      <w:bookmarkEnd w:id="185"/>
      <w:bookmarkStart w:id="186" w:name="_Toc184312103"/>
      <w:bookmarkEnd w:id="186"/>
      <w:bookmarkStart w:id="187" w:name="_Toc184312075"/>
      <w:bookmarkEnd w:id="187"/>
      <w:bookmarkStart w:id="188" w:name="_Toc184312070"/>
      <w:bookmarkEnd w:id="188"/>
      <w:bookmarkStart w:id="189" w:name="_Toc184314451"/>
      <w:bookmarkEnd w:id="189"/>
      <w:bookmarkStart w:id="190" w:name="_Toc184310310"/>
      <w:bookmarkEnd w:id="190"/>
      <w:bookmarkStart w:id="191" w:name="_Toc184310294"/>
      <w:bookmarkEnd w:id="191"/>
      <w:bookmarkStart w:id="192" w:name="_Toc184308086"/>
      <w:bookmarkEnd w:id="192"/>
      <w:bookmarkStart w:id="193" w:name="_Toc184314432"/>
      <w:bookmarkEnd w:id="193"/>
      <w:bookmarkStart w:id="194" w:name="_Toc184312127"/>
      <w:bookmarkEnd w:id="194"/>
      <w:bookmarkStart w:id="195" w:name="_Toc184314475"/>
      <w:bookmarkEnd w:id="195"/>
      <w:bookmarkStart w:id="196" w:name="_Toc184308039"/>
      <w:bookmarkEnd w:id="196"/>
      <w:bookmarkStart w:id="197" w:name="_Toc184310280"/>
      <w:bookmarkEnd w:id="197"/>
      <w:bookmarkStart w:id="198" w:name="_Toc184310295"/>
      <w:bookmarkEnd w:id="198"/>
      <w:bookmarkStart w:id="199" w:name="_Toc184310320"/>
      <w:bookmarkEnd w:id="199"/>
      <w:bookmarkStart w:id="200" w:name="_Toc184308105"/>
      <w:bookmarkEnd w:id="200"/>
      <w:bookmarkStart w:id="201" w:name="_Toc184310326"/>
      <w:bookmarkEnd w:id="201"/>
      <w:bookmarkStart w:id="202" w:name="_Toc184312068"/>
      <w:bookmarkEnd w:id="202"/>
      <w:bookmarkStart w:id="203" w:name="_Toc184314454"/>
      <w:bookmarkEnd w:id="203"/>
      <w:bookmarkStart w:id="204" w:name="_Toc184312072"/>
      <w:bookmarkEnd w:id="204"/>
      <w:bookmarkStart w:id="205" w:name="_Toc184312131"/>
      <w:bookmarkEnd w:id="205"/>
      <w:bookmarkStart w:id="206" w:name="_Toc184312095"/>
      <w:bookmarkEnd w:id="206"/>
      <w:bookmarkStart w:id="207" w:name="_Toc184314433"/>
      <w:bookmarkEnd w:id="207"/>
      <w:bookmarkStart w:id="208" w:name="_Toc184314438"/>
      <w:bookmarkEnd w:id="208"/>
      <w:bookmarkStart w:id="209" w:name="_Toc184310296"/>
      <w:bookmarkEnd w:id="209"/>
      <w:bookmarkStart w:id="210" w:name="_Toc184313249"/>
      <w:bookmarkEnd w:id="210"/>
      <w:bookmarkStart w:id="211" w:name="_Toc184310319"/>
      <w:bookmarkEnd w:id="211"/>
      <w:bookmarkStart w:id="212" w:name="_Toc184310276"/>
      <w:bookmarkEnd w:id="212"/>
      <w:bookmarkStart w:id="213" w:name="_Toc184314465"/>
      <w:bookmarkEnd w:id="213"/>
      <w:bookmarkStart w:id="214" w:name="_Toc184314441"/>
      <w:bookmarkEnd w:id="214"/>
      <w:bookmarkStart w:id="215" w:name="_Toc184310312"/>
      <w:bookmarkEnd w:id="215"/>
      <w:bookmarkStart w:id="216" w:name="_Toc184308073"/>
      <w:bookmarkEnd w:id="216"/>
      <w:bookmarkStart w:id="217" w:name="_Toc184314442"/>
      <w:bookmarkEnd w:id="217"/>
      <w:bookmarkStart w:id="218" w:name="_Toc184312123"/>
      <w:bookmarkEnd w:id="218"/>
      <w:bookmarkStart w:id="219" w:name="_Toc184314412"/>
      <w:bookmarkEnd w:id="219"/>
      <w:bookmarkStart w:id="220" w:name="_Toc184308097"/>
      <w:bookmarkEnd w:id="220"/>
      <w:bookmarkStart w:id="221" w:name="_Toc184313287"/>
      <w:bookmarkEnd w:id="221"/>
      <w:bookmarkStart w:id="222" w:name="_Toc184312109"/>
      <w:bookmarkEnd w:id="222"/>
      <w:bookmarkStart w:id="223" w:name="_Toc184310333"/>
      <w:bookmarkEnd w:id="223"/>
      <w:bookmarkStart w:id="224" w:name="_Toc184314445"/>
      <w:bookmarkEnd w:id="224"/>
      <w:bookmarkStart w:id="225" w:name="_Toc184312097"/>
      <w:bookmarkEnd w:id="225"/>
      <w:bookmarkStart w:id="226" w:name="_Toc184312110"/>
      <w:bookmarkEnd w:id="226"/>
      <w:bookmarkStart w:id="227" w:name="_Toc184310339"/>
      <w:bookmarkEnd w:id="227"/>
      <w:bookmarkStart w:id="228" w:name="_Toc184314448"/>
      <w:bookmarkEnd w:id="228"/>
      <w:bookmarkStart w:id="229" w:name="_Toc184312112"/>
      <w:bookmarkEnd w:id="229"/>
      <w:bookmarkStart w:id="230" w:name="_Toc184314476"/>
      <w:bookmarkEnd w:id="230"/>
      <w:bookmarkStart w:id="231" w:name="_Toc184308080"/>
      <w:bookmarkEnd w:id="231"/>
      <w:bookmarkStart w:id="232" w:name="_Toc184308051"/>
      <w:bookmarkEnd w:id="232"/>
      <w:bookmarkStart w:id="233" w:name="_Toc184312099"/>
      <w:bookmarkEnd w:id="233"/>
      <w:bookmarkStart w:id="234" w:name="_Toc184308095"/>
      <w:bookmarkEnd w:id="234"/>
      <w:bookmarkStart w:id="235" w:name="_Toc184313246"/>
      <w:bookmarkEnd w:id="235"/>
      <w:bookmarkStart w:id="236" w:name="_Toc184314479"/>
      <w:bookmarkEnd w:id="236"/>
      <w:bookmarkStart w:id="237" w:name="_Toc184312108"/>
      <w:bookmarkEnd w:id="237"/>
      <w:bookmarkStart w:id="238" w:name="_Toc184308054"/>
      <w:bookmarkEnd w:id="238"/>
      <w:bookmarkStart w:id="239" w:name="_Toc184313274"/>
      <w:bookmarkEnd w:id="239"/>
      <w:bookmarkStart w:id="240" w:name="_Toc184314473"/>
      <w:bookmarkEnd w:id="240"/>
      <w:bookmarkStart w:id="241" w:name="_Toc184314415"/>
      <w:bookmarkEnd w:id="241"/>
      <w:bookmarkStart w:id="242" w:name="_Toc184312126"/>
      <w:bookmarkEnd w:id="242"/>
      <w:bookmarkStart w:id="243" w:name="_Toc184308068"/>
      <w:bookmarkEnd w:id="243"/>
      <w:bookmarkStart w:id="244" w:name="_Toc184308083"/>
      <w:bookmarkEnd w:id="244"/>
      <w:bookmarkStart w:id="245" w:name="_Toc184312074"/>
      <w:bookmarkEnd w:id="245"/>
      <w:bookmarkStart w:id="246" w:name="_Toc184308064"/>
      <w:bookmarkEnd w:id="246"/>
      <w:bookmarkStart w:id="247" w:name="_Toc184313243"/>
      <w:bookmarkEnd w:id="247"/>
      <w:bookmarkStart w:id="248" w:name="_Toc184312139"/>
      <w:bookmarkEnd w:id="248"/>
      <w:bookmarkStart w:id="249" w:name="_Toc184312117"/>
      <w:bookmarkEnd w:id="249"/>
      <w:bookmarkStart w:id="250" w:name="_Toc184313260"/>
      <w:bookmarkEnd w:id="250"/>
      <w:bookmarkStart w:id="251" w:name="_Toc184308087"/>
      <w:bookmarkEnd w:id="251"/>
      <w:bookmarkStart w:id="252" w:name="_Toc184310302"/>
      <w:bookmarkEnd w:id="252"/>
      <w:bookmarkStart w:id="253" w:name="_Toc184308070"/>
      <w:bookmarkEnd w:id="253"/>
      <w:bookmarkStart w:id="254" w:name="_Toc184308066"/>
      <w:bookmarkEnd w:id="254"/>
      <w:bookmarkStart w:id="255" w:name="_Toc184313248"/>
      <w:bookmarkEnd w:id="255"/>
      <w:bookmarkStart w:id="256" w:name="_Toc184312073"/>
      <w:bookmarkEnd w:id="256"/>
      <w:bookmarkStart w:id="257" w:name="_Toc184313281"/>
      <w:bookmarkEnd w:id="257"/>
      <w:bookmarkStart w:id="258" w:name="_Toc184314424"/>
      <w:bookmarkEnd w:id="258"/>
      <w:bookmarkStart w:id="259" w:name="_Toc184314418"/>
      <w:bookmarkEnd w:id="259"/>
      <w:bookmarkStart w:id="260" w:name="_Toc184310334"/>
      <w:bookmarkEnd w:id="260"/>
      <w:bookmarkStart w:id="261" w:name="_Toc184314462"/>
      <w:bookmarkEnd w:id="261"/>
      <w:bookmarkStart w:id="262" w:name="_Toc184308045"/>
      <w:bookmarkEnd w:id="262"/>
      <w:bookmarkStart w:id="263" w:name="_Toc184308075"/>
      <w:bookmarkEnd w:id="263"/>
      <w:bookmarkStart w:id="264" w:name="_Toc184313239"/>
      <w:bookmarkEnd w:id="264"/>
      <w:bookmarkStart w:id="265" w:name="_Toc184310322"/>
      <w:bookmarkEnd w:id="265"/>
      <w:bookmarkStart w:id="266" w:name="_Toc184312107"/>
      <w:bookmarkEnd w:id="266"/>
      <w:bookmarkStart w:id="267" w:name="_Toc184313278"/>
      <w:bookmarkEnd w:id="267"/>
      <w:bookmarkStart w:id="268" w:name="_Toc184313244"/>
      <w:bookmarkEnd w:id="268"/>
      <w:bookmarkStart w:id="269" w:name="_Toc184312077"/>
      <w:bookmarkEnd w:id="269"/>
      <w:bookmarkStart w:id="270" w:name="_Toc184310331"/>
      <w:bookmarkEnd w:id="270"/>
      <w:bookmarkStart w:id="271" w:name="_Toc184310292"/>
      <w:bookmarkEnd w:id="271"/>
      <w:bookmarkStart w:id="272" w:name="_Toc184313250"/>
      <w:bookmarkEnd w:id="272"/>
      <w:bookmarkStart w:id="273" w:name="_Toc184310299"/>
      <w:bookmarkEnd w:id="273"/>
      <w:bookmarkStart w:id="274" w:name="_Toc184308099"/>
      <w:bookmarkEnd w:id="274"/>
      <w:bookmarkStart w:id="275" w:name="_Toc184308058"/>
      <w:bookmarkEnd w:id="275"/>
      <w:bookmarkStart w:id="276" w:name="_Toc184308063"/>
      <w:bookmarkEnd w:id="276"/>
      <w:bookmarkStart w:id="277" w:name="_Toc184313264"/>
      <w:bookmarkEnd w:id="277"/>
      <w:bookmarkStart w:id="278" w:name="_Toc184313257"/>
      <w:bookmarkEnd w:id="278"/>
      <w:bookmarkStart w:id="279" w:name="_Toc184308038"/>
      <w:bookmarkEnd w:id="279"/>
      <w:bookmarkStart w:id="280" w:name="_Toc184308090"/>
      <w:bookmarkEnd w:id="280"/>
      <w:bookmarkStart w:id="281" w:name="_Toc184308069"/>
      <w:bookmarkEnd w:id="281"/>
      <w:bookmarkStart w:id="282" w:name="_Toc184314417"/>
      <w:bookmarkEnd w:id="282"/>
      <w:bookmarkStart w:id="283" w:name="_Toc184310286"/>
      <w:bookmarkEnd w:id="283"/>
      <w:bookmarkStart w:id="284" w:name="_Toc184310311"/>
      <w:bookmarkEnd w:id="284"/>
      <w:bookmarkStart w:id="285" w:name="_Toc184314437"/>
      <w:bookmarkEnd w:id="285"/>
      <w:bookmarkStart w:id="286" w:name="_Toc184310274"/>
      <w:bookmarkEnd w:id="286"/>
      <w:bookmarkStart w:id="287" w:name="_Toc184310340"/>
      <w:bookmarkEnd w:id="287"/>
      <w:bookmarkStart w:id="288" w:name="_Toc184314450"/>
      <w:bookmarkEnd w:id="288"/>
      <w:bookmarkStart w:id="289" w:name="_Toc184310298"/>
      <w:bookmarkEnd w:id="289"/>
      <w:bookmarkStart w:id="290" w:name="_Toc184308102"/>
      <w:bookmarkEnd w:id="290"/>
      <w:bookmarkStart w:id="291" w:name="_Toc184314419"/>
      <w:bookmarkEnd w:id="291"/>
      <w:bookmarkStart w:id="292" w:name="_Toc184313273"/>
      <w:bookmarkEnd w:id="292"/>
      <w:bookmarkStart w:id="293" w:name="_Toc184308093"/>
      <w:bookmarkEnd w:id="293"/>
      <w:bookmarkStart w:id="294" w:name="_Toc184313282"/>
      <w:bookmarkEnd w:id="294"/>
      <w:bookmarkStart w:id="295" w:name="_Toc184314482"/>
      <w:bookmarkEnd w:id="295"/>
      <w:bookmarkStart w:id="296" w:name="_Toc184314431"/>
      <w:bookmarkEnd w:id="296"/>
      <w:bookmarkStart w:id="297" w:name="_Toc184312134"/>
      <w:bookmarkEnd w:id="297"/>
      <w:bookmarkStart w:id="298" w:name="_Toc184310321"/>
      <w:bookmarkEnd w:id="298"/>
      <w:bookmarkStart w:id="299" w:name="_Toc184308046"/>
      <w:bookmarkEnd w:id="299"/>
      <w:bookmarkStart w:id="300" w:name="_Toc184310300"/>
      <w:bookmarkEnd w:id="300"/>
      <w:bookmarkStart w:id="301" w:name="_Toc184313267"/>
      <w:bookmarkEnd w:id="301"/>
      <w:bookmarkStart w:id="302" w:name="_Toc184313299"/>
      <w:bookmarkEnd w:id="302"/>
      <w:bookmarkStart w:id="303" w:name="_Toc184308074"/>
      <w:bookmarkEnd w:id="303"/>
      <w:bookmarkStart w:id="304" w:name="_Toc184313254"/>
      <w:bookmarkEnd w:id="304"/>
      <w:bookmarkStart w:id="305" w:name="_Toc184313304"/>
      <w:bookmarkEnd w:id="305"/>
      <w:bookmarkStart w:id="306" w:name="_Toc184312129"/>
      <w:bookmarkEnd w:id="306"/>
      <w:bookmarkStart w:id="307" w:name="_Toc184308101"/>
      <w:bookmarkEnd w:id="307"/>
      <w:bookmarkStart w:id="308" w:name="_Toc184308044"/>
      <w:bookmarkEnd w:id="308"/>
      <w:bookmarkStart w:id="309" w:name="_Toc184310316"/>
      <w:bookmarkEnd w:id="309"/>
      <w:bookmarkStart w:id="310" w:name="_Toc184310306"/>
      <w:bookmarkEnd w:id="310"/>
      <w:bookmarkStart w:id="311" w:name="_Toc184312096"/>
      <w:bookmarkEnd w:id="311"/>
      <w:bookmarkStart w:id="312" w:name="_Toc184314428"/>
      <w:bookmarkEnd w:id="312"/>
      <w:bookmarkStart w:id="313" w:name="_Toc184313310"/>
      <w:bookmarkEnd w:id="313"/>
      <w:bookmarkStart w:id="314" w:name="_Toc184314443"/>
      <w:bookmarkEnd w:id="314"/>
      <w:bookmarkStart w:id="315" w:name="_Toc184313240"/>
      <w:bookmarkEnd w:id="315"/>
      <w:bookmarkStart w:id="316" w:name="_Toc184314434"/>
      <w:bookmarkEnd w:id="316"/>
      <w:bookmarkStart w:id="317" w:name="_Toc184312136"/>
      <w:bookmarkEnd w:id="317"/>
      <w:bookmarkStart w:id="318" w:name="_Toc184313279"/>
      <w:bookmarkEnd w:id="318"/>
      <w:bookmarkStart w:id="319" w:name="_Toc184314427"/>
      <w:bookmarkEnd w:id="319"/>
      <w:bookmarkStart w:id="320" w:name="_Toc184313294"/>
      <w:bookmarkEnd w:id="320"/>
      <w:bookmarkStart w:id="321" w:name="_Toc184313295"/>
      <w:bookmarkEnd w:id="321"/>
      <w:bookmarkStart w:id="322" w:name="_Toc184312135"/>
      <w:bookmarkEnd w:id="322"/>
      <w:bookmarkStart w:id="323" w:name="_Toc184310304"/>
      <w:bookmarkEnd w:id="323"/>
      <w:bookmarkStart w:id="324" w:name="_Toc184314472"/>
      <w:bookmarkEnd w:id="324"/>
      <w:bookmarkStart w:id="325" w:name="_Toc184310323"/>
      <w:bookmarkEnd w:id="325"/>
      <w:bookmarkStart w:id="326" w:name="_Toc184308056"/>
      <w:bookmarkEnd w:id="326"/>
      <w:bookmarkStart w:id="327" w:name="_Toc184308092"/>
      <w:bookmarkEnd w:id="327"/>
      <w:bookmarkStart w:id="328" w:name="_Toc184308103"/>
      <w:bookmarkEnd w:id="328"/>
      <w:bookmarkStart w:id="329" w:name="_Toc184312093"/>
      <w:bookmarkEnd w:id="329"/>
      <w:bookmarkStart w:id="330" w:name="_Toc184308091"/>
      <w:bookmarkEnd w:id="330"/>
      <w:bookmarkStart w:id="331" w:name="_Toc184308055"/>
      <w:bookmarkEnd w:id="331"/>
      <w:bookmarkStart w:id="332" w:name="_Toc184308081"/>
      <w:bookmarkEnd w:id="332"/>
      <w:bookmarkStart w:id="333" w:name="_Toc184308096"/>
      <w:bookmarkEnd w:id="333"/>
      <w:bookmarkStart w:id="334" w:name="_Toc184314410"/>
      <w:bookmarkEnd w:id="334"/>
      <w:bookmarkStart w:id="335" w:name="_Toc184308072"/>
      <w:bookmarkEnd w:id="335"/>
      <w:bookmarkStart w:id="336" w:name="_Toc184312125"/>
      <w:bookmarkEnd w:id="336"/>
      <w:bookmarkStart w:id="337" w:name="_Toc184312083"/>
      <w:bookmarkEnd w:id="337"/>
      <w:bookmarkStart w:id="338" w:name="_Toc184308053"/>
      <w:bookmarkEnd w:id="338"/>
      <w:bookmarkStart w:id="339" w:name="_Toc184314474"/>
      <w:bookmarkEnd w:id="339"/>
      <w:bookmarkStart w:id="340" w:name="_Toc184312085"/>
      <w:bookmarkEnd w:id="340"/>
      <w:bookmarkStart w:id="341" w:name="_Toc184310332"/>
      <w:bookmarkEnd w:id="341"/>
      <w:bookmarkStart w:id="342" w:name="_Toc184313284"/>
      <w:bookmarkEnd w:id="342"/>
      <w:bookmarkStart w:id="343" w:name="_Toc184310289"/>
      <w:bookmarkEnd w:id="343"/>
      <w:bookmarkStart w:id="344" w:name="_Toc184314471"/>
      <w:bookmarkEnd w:id="344"/>
      <w:bookmarkStart w:id="345" w:name="_Toc184312076"/>
      <w:bookmarkEnd w:id="345"/>
      <w:bookmarkStart w:id="346" w:name="_Toc184313268"/>
      <w:bookmarkEnd w:id="346"/>
      <w:bookmarkStart w:id="347" w:name="_Toc184313301"/>
      <w:bookmarkEnd w:id="347"/>
      <w:bookmarkStart w:id="348" w:name="_Toc184314425"/>
      <w:bookmarkEnd w:id="348"/>
      <w:bookmarkStart w:id="349" w:name="_Toc184310343"/>
      <w:bookmarkEnd w:id="349"/>
      <w:bookmarkStart w:id="350" w:name="_Toc184310324"/>
      <w:bookmarkEnd w:id="350"/>
      <w:bookmarkStart w:id="351" w:name="_Toc184314480"/>
      <w:bookmarkEnd w:id="351"/>
      <w:bookmarkStart w:id="352" w:name="_Toc184310277"/>
      <w:bookmarkEnd w:id="352"/>
      <w:bookmarkStart w:id="353" w:name="_Toc184314455"/>
      <w:bookmarkEnd w:id="353"/>
      <w:bookmarkStart w:id="354" w:name="_Toc184313276"/>
      <w:bookmarkEnd w:id="354"/>
      <w:bookmarkStart w:id="355" w:name="_Toc184312130"/>
      <w:bookmarkEnd w:id="355"/>
      <w:bookmarkStart w:id="356" w:name="_Toc184308060"/>
      <w:bookmarkEnd w:id="356"/>
      <w:bookmarkStart w:id="357" w:name="_Toc184313245"/>
      <w:bookmarkEnd w:id="357"/>
      <w:bookmarkStart w:id="358" w:name="_Toc184313265"/>
      <w:bookmarkEnd w:id="358"/>
      <w:bookmarkStart w:id="359" w:name="_Toc184312088"/>
      <w:bookmarkEnd w:id="359"/>
      <w:bookmarkStart w:id="360" w:name="_Toc184312137"/>
      <w:bookmarkEnd w:id="360"/>
      <w:bookmarkStart w:id="361" w:name="_Toc184310290"/>
      <w:bookmarkEnd w:id="361"/>
      <w:bookmarkStart w:id="362" w:name="_Toc184308078"/>
      <w:bookmarkEnd w:id="362"/>
      <w:bookmarkStart w:id="363" w:name="_Toc184313309"/>
      <w:bookmarkEnd w:id="363"/>
      <w:bookmarkStart w:id="364" w:name="_Toc184310341"/>
      <w:bookmarkEnd w:id="364"/>
      <w:bookmarkStart w:id="365" w:name="_Toc184314456"/>
      <w:bookmarkEnd w:id="365"/>
      <w:bookmarkStart w:id="366" w:name="_Toc184313275"/>
      <w:bookmarkEnd w:id="366"/>
      <w:bookmarkStart w:id="367" w:name="_Toc184313269"/>
      <w:bookmarkEnd w:id="367"/>
      <w:bookmarkStart w:id="368" w:name="_Toc184308041"/>
      <w:bookmarkEnd w:id="368"/>
      <w:bookmarkStart w:id="369" w:name="_Toc184314460"/>
      <w:bookmarkEnd w:id="369"/>
      <w:bookmarkStart w:id="370" w:name="_Toc184310337"/>
      <w:bookmarkEnd w:id="370"/>
      <w:bookmarkStart w:id="371" w:name="_Toc184312101"/>
      <w:bookmarkEnd w:id="371"/>
      <w:bookmarkStart w:id="372" w:name="_Toc184313302"/>
      <w:bookmarkEnd w:id="372"/>
      <w:bookmarkStart w:id="373" w:name="_Toc184310327"/>
      <w:bookmarkEnd w:id="373"/>
      <w:bookmarkStart w:id="374" w:name="_Toc184312104"/>
      <w:bookmarkEnd w:id="374"/>
      <w:bookmarkStart w:id="375" w:name="_Toc184313307"/>
      <w:bookmarkEnd w:id="375"/>
      <w:bookmarkStart w:id="376" w:name="_Toc184308106"/>
      <w:bookmarkEnd w:id="376"/>
      <w:bookmarkStart w:id="377" w:name="_Toc184312128"/>
      <w:bookmarkEnd w:id="377"/>
      <w:bookmarkStart w:id="378" w:name="_Toc184308049"/>
      <w:bookmarkEnd w:id="378"/>
      <w:bookmarkStart w:id="379" w:name="_Toc184308077"/>
      <w:bookmarkEnd w:id="379"/>
      <w:bookmarkStart w:id="380" w:name="_Toc184313241"/>
      <w:bookmarkEnd w:id="380"/>
      <w:bookmarkStart w:id="381" w:name="_Toc184308085"/>
      <w:bookmarkEnd w:id="381"/>
      <w:bookmarkStart w:id="382" w:name="_Toc184312106"/>
      <w:bookmarkEnd w:id="382"/>
      <w:bookmarkStart w:id="383" w:name="_Toc184312100"/>
      <w:bookmarkEnd w:id="383"/>
      <w:bookmarkStart w:id="384" w:name="_Toc184310336"/>
      <w:bookmarkEnd w:id="384"/>
      <w:bookmarkStart w:id="385" w:name="_Toc184314429"/>
      <w:bookmarkEnd w:id="385"/>
      <w:bookmarkStart w:id="386" w:name="_Toc184313292"/>
      <w:bookmarkEnd w:id="386"/>
      <w:bookmarkStart w:id="387" w:name="_Toc184308042"/>
      <w:bookmarkEnd w:id="387"/>
      <w:bookmarkStart w:id="388" w:name="_Toc184312091"/>
      <w:bookmarkEnd w:id="388"/>
      <w:bookmarkStart w:id="389" w:name="_Toc184313303"/>
      <w:bookmarkEnd w:id="389"/>
      <w:bookmarkStart w:id="390" w:name="_Toc184312102"/>
      <w:bookmarkEnd w:id="390"/>
      <w:bookmarkStart w:id="391" w:name="_Toc184312098"/>
      <w:bookmarkEnd w:id="391"/>
      <w:bookmarkStart w:id="392" w:name="_Toc184312094"/>
      <w:bookmarkEnd w:id="392"/>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rPr>
        <w:t>评标办法</w:t>
      </w:r>
    </w:p>
    <w:p w14:paraId="78CA1CC7">
      <w:pPr>
        <w:spacing w:line="540" w:lineRule="exact"/>
        <w:contextualSpacing/>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评标办法前附表</w:t>
      </w:r>
    </w:p>
    <w:tbl>
      <w:tblPr>
        <w:tblStyle w:val="2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635"/>
        <w:gridCol w:w="4655"/>
        <w:gridCol w:w="625"/>
        <w:gridCol w:w="821"/>
        <w:gridCol w:w="1440"/>
      </w:tblGrid>
      <w:tr w14:paraId="44E0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14:paraId="246AA67A">
            <w:pPr>
              <w:ind w:right="3"/>
              <w:jc w:val="center"/>
              <w:rPr>
                <w:rFonts w:hint="eastAsia" w:ascii="仿宋_GB2312" w:hAnsi="仿宋_GB2312" w:eastAsia="仿宋_GB2312" w:cs="仿宋_GB2312"/>
                <w:b/>
                <w:color w:val="000000" w:themeColor="text1"/>
                <w:spacing w:val="4"/>
                <w:szCs w:val="21"/>
                <w:highlight w:val="none"/>
                <w14:textFill>
                  <w14:solidFill>
                    <w14:schemeClr w14:val="tx1"/>
                  </w14:solidFill>
                </w14:textFill>
              </w:rPr>
            </w:pPr>
            <w:r>
              <w:rPr>
                <w:rFonts w:hint="eastAsia" w:ascii="仿宋_GB2312" w:hAnsi="仿宋_GB2312" w:eastAsia="仿宋_GB2312" w:cs="仿宋_GB2312"/>
                <w:b/>
                <w:color w:val="000000" w:themeColor="text1"/>
                <w:spacing w:val="4"/>
                <w:szCs w:val="21"/>
                <w:highlight w:val="none"/>
                <w14:textFill>
                  <w14:solidFill>
                    <w14:schemeClr w14:val="tx1"/>
                  </w14:solidFill>
                </w14:textFill>
              </w:rPr>
              <w:t>类别</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4A7811AF">
            <w:pPr>
              <w:ind w:right="3"/>
              <w:jc w:val="center"/>
              <w:rPr>
                <w:rFonts w:hint="eastAsia" w:ascii="仿宋_GB2312" w:hAnsi="仿宋_GB2312" w:eastAsia="仿宋_GB2312" w:cs="仿宋_GB2312"/>
                <w:b/>
                <w:color w:val="000000" w:themeColor="text1"/>
                <w:spacing w:val="4"/>
                <w:szCs w:val="21"/>
                <w:highlight w:val="none"/>
                <w14:textFill>
                  <w14:solidFill>
                    <w14:schemeClr w14:val="tx1"/>
                  </w14:solidFill>
                </w14:textFill>
              </w:rPr>
            </w:pPr>
            <w:r>
              <w:rPr>
                <w:rFonts w:hint="eastAsia" w:ascii="仿宋_GB2312" w:hAnsi="仿宋_GB2312" w:eastAsia="仿宋_GB2312" w:cs="仿宋_GB2312"/>
                <w:b/>
                <w:color w:val="000000" w:themeColor="text1"/>
                <w:spacing w:val="4"/>
                <w:szCs w:val="21"/>
                <w:highlight w:val="none"/>
                <w14:textFill>
                  <w14:solidFill>
                    <w14:schemeClr w14:val="tx1"/>
                  </w14:solidFill>
                </w14:textFill>
              </w:rPr>
              <w:t>序号</w:t>
            </w:r>
          </w:p>
        </w:tc>
        <w:tc>
          <w:tcPr>
            <w:tcW w:w="4655" w:type="dxa"/>
            <w:tcBorders>
              <w:top w:val="single" w:color="auto" w:sz="4" w:space="0"/>
              <w:left w:val="single" w:color="auto" w:sz="4" w:space="0"/>
              <w:bottom w:val="single" w:color="auto" w:sz="4" w:space="0"/>
              <w:right w:val="single" w:color="auto" w:sz="4" w:space="0"/>
            </w:tcBorders>
            <w:noWrap w:val="0"/>
            <w:vAlign w:val="center"/>
          </w:tcPr>
          <w:p w14:paraId="11689C35">
            <w:pPr>
              <w:jc w:val="center"/>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b/>
                <w:color w:val="000000" w:themeColor="text1"/>
                <w:spacing w:val="4"/>
                <w:szCs w:val="21"/>
                <w:highlight w:val="none"/>
                <w14:textFill>
                  <w14:solidFill>
                    <w14:schemeClr w14:val="tx1"/>
                  </w14:solidFill>
                </w14:textFill>
              </w:rPr>
              <w:t>评分标准</w:t>
            </w:r>
          </w:p>
        </w:tc>
        <w:tc>
          <w:tcPr>
            <w:tcW w:w="625" w:type="dxa"/>
            <w:tcBorders>
              <w:top w:val="single" w:color="auto" w:sz="4" w:space="0"/>
              <w:left w:val="single" w:color="auto" w:sz="4" w:space="0"/>
              <w:bottom w:val="single" w:color="auto" w:sz="4" w:space="0"/>
              <w:right w:val="single" w:color="auto" w:sz="4" w:space="0"/>
            </w:tcBorders>
            <w:noWrap w:val="0"/>
            <w:vAlign w:val="center"/>
          </w:tcPr>
          <w:p w14:paraId="49A69B3C">
            <w:pPr>
              <w:jc w:val="center"/>
              <w:rPr>
                <w:rFonts w:hint="eastAsia" w:ascii="仿宋_GB2312" w:hAnsi="仿宋_GB2312" w:eastAsia="仿宋_GB2312" w:cs="仿宋_GB2312"/>
                <w:b/>
                <w:color w:val="000000" w:themeColor="text1"/>
                <w:spacing w:val="4"/>
                <w:szCs w:val="21"/>
                <w:highlight w:val="none"/>
                <w14:textFill>
                  <w14:solidFill>
                    <w14:schemeClr w14:val="tx1"/>
                  </w14:solidFill>
                </w14:textFill>
              </w:rPr>
            </w:pPr>
            <w:r>
              <w:rPr>
                <w:rFonts w:hint="eastAsia" w:ascii="仿宋_GB2312" w:hAnsi="仿宋_GB2312" w:eastAsia="仿宋_GB2312" w:cs="仿宋_GB2312"/>
                <w:b/>
                <w:color w:val="000000" w:themeColor="text1"/>
                <w:spacing w:val="4"/>
                <w:szCs w:val="21"/>
                <w:highlight w:val="none"/>
                <w14:textFill>
                  <w14:solidFill>
                    <w14:schemeClr w14:val="tx1"/>
                  </w14:solidFill>
                </w14:textFill>
              </w:rPr>
              <w:t>权重</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4540827B">
            <w:pPr>
              <w:jc w:val="center"/>
              <w:rPr>
                <w:rFonts w:hint="eastAsia" w:ascii="仿宋_GB2312" w:hAnsi="仿宋_GB2312" w:eastAsia="仿宋_GB2312" w:cs="仿宋_GB2312"/>
                <w:b/>
                <w:color w:val="000000" w:themeColor="text1"/>
                <w:spacing w:val="4"/>
                <w:szCs w:val="21"/>
                <w:highlight w:val="none"/>
                <w14:textFill>
                  <w14:solidFill>
                    <w14:schemeClr w14:val="tx1"/>
                  </w14:solidFill>
                </w14:textFill>
              </w:rPr>
            </w:pPr>
            <w:r>
              <w:rPr>
                <w:rFonts w:hint="eastAsia" w:ascii="仿宋_GB2312" w:hAnsi="仿宋_GB2312" w:eastAsia="仿宋_GB2312" w:cs="仿宋_GB2312"/>
                <w:b/>
                <w:color w:val="000000" w:themeColor="text1"/>
                <w:spacing w:val="4"/>
                <w:szCs w:val="21"/>
                <w:highlight w:val="none"/>
                <w14:textFill>
                  <w14:solidFill>
                    <w14:schemeClr w14:val="tx1"/>
                  </w14:solidFill>
                </w14:textFill>
              </w:rPr>
              <w:t>主观分/客观分属性</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42E0726">
            <w:pPr>
              <w:jc w:val="center"/>
              <w:rPr>
                <w:rFonts w:hint="eastAsia" w:ascii="仿宋_GB2312" w:hAnsi="仿宋_GB2312" w:eastAsia="仿宋_GB2312" w:cs="仿宋_GB2312"/>
                <w:b/>
                <w:color w:val="000000" w:themeColor="text1"/>
                <w:spacing w:val="4"/>
                <w:szCs w:val="21"/>
                <w:highlight w:val="none"/>
                <w14:textFill>
                  <w14:solidFill>
                    <w14:schemeClr w14:val="tx1"/>
                  </w14:solidFill>
                </w14:textFill>
              </w:rPr>
            </w:pPr>
            <w:r>
              <w:rPr>
                <w:rFonts w:hint="eastAsia" w:ascii="仿宋_GB2312" w:hAnsi="仿宋_GB2312" w:eastAsia="仿宋_GB2312" w:cs="仿宋_GB2312"/>
                <w:b/>
                <w:color w:val="000000" w:themeColor="text1"/>
                <w:spacing w:val="4"/>
                <w:szCs w:val="21"/>
                <w:highlight w:val="none"/>
                <w14:textFill>
                  <w14:solidFill>
                    <w14:schemeClr w14:val="tx1"/>
                  </w14:solidFill>
                </w14:textFill>
              </w:rPr>
              <w:t>投标文件中评标标准相应的商务技术资料目录*</w:t>
            </w:r>
          </w:p>
        </w:tc>
      </w:tr>
      <w:tr w14:paraId="2929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85" w:type="dxa"/>
            <w:vMerge w:val="restart"/>
            <w:tcBorders>
              <w:left w:val="single" w:color="auto" w:sz="4" w:space="0"/>
              <w:right w:val="single" w:color="auto" w:sz="4" w:space="0"/>
            </w:tcBorders>
            <w:noWrap w:val="0"/>
            <w:vAlign w:val="center"/>
          </w:tcPr>
          <w:p w14:paraId="095AD2F8">
            <w:pPr>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商务部分（</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22</w:t>
            </w:r>
            <w:r>
              <w:rPr>
                <w:rFonts w:hint="eastAsia" w:ascii="仿宋_GB2312" w:hAnsi="仿宋_GB2312" w:eastAsia="仿宋_GB2312" w:cs="仿宋_GB2312"/>
                <w:color w:val="000000" w:themeColor="text1"/>
                <w:szCs w:val="21"/>
                <w:highlight w:val="none"/>
                <w14:textFill>
                  <w14:solidFill>
                    <w14:schemeClr w14:val="tx1"/>
                  </w14:solidFill>
                </w14:textFill>
              </w:rPr>
              <w:t>分）</w:t>
            </w:r>
          </w:p>
        </w:tc>
        <w:tc>
          <w:tcPr>
            <w:tcW w:w="635" w:type="dxa"/>
            <w:tcBorders>
              <w:left w:val="single" w:color="auto" w:sz="4" w:space="0"/>
              <w:right w:val="single" w:color="auto" w:sz="4" w:space="0"/>
            </w:tcBorders>
            <w:noWrap w:val="0"/>
            <w:vAlign w:val="center"/>
          </w:tcPr>
          <w:p w14:paraId="3E05EDE7">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w:t>
            </w:r>
          </w:p>
        </w:tc>
        <w:tc>
          <w:tcPr>
            <w:tcW w:w="4655" w:type="dxa"/>
            <w:tcBorders>
              <w:top w:val="single" w:color="auto" w:sz="4" w:space="0"/>
              <w:left w:val="single" w:color="auto" w:sz="4" w:space="0"/>
              <w:bottom w:val="single" w:color="auto" w:sz="4" w:space="0"/>
              <w:right w:val="single" w:color="auto" w:sz="4" w:space="0"/>
            </w:tcBorders>
            <w:noWrap w:val="0"/>
            <w:vAlign w:val="center"/>
          </w:tcPr>
          <w:p w14:paraId="21FF8F10">
            <w:pPr>
              <w:spacing w:line="440" w:lineRule="exact"/>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根据投标人提供的类似案例业绩,每提供一份采购合同，得1分，最高得</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highlight w:val="none"/>
                <w14:textFill>
                  <w14:solidFill>
                    <w14:schemeClr w14:val="tx1"/>
                  </w14:solidFill>
                </w14:textFill>
              </w:rPr>
              <w:t>分。</w:t>
            </w:r>
          </w:p>
          <w:p w14:paraId="165D1BC3">
            <w:pPr>
              <w:topLinePunct/>
              <w:spacing w:line="440" w:lineRule="exact"/>
              <w:jc w:val="left"/>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注：1.合同签订时间为 202</w:t>
            </w:r>
            <w:r>
              <w:rPr>
                <w:rFonts w:hint="eastAsia" w:ascii="仿宋_GB2312" w:hAnsi="仿宋_GB2312" w:eastAsia="仿宋_GB2312" w:cs="仿宋_GB2312"/>
                <w:b/>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b/>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b/>
                <w:color w:val="000000" w:themeColor="text1"/>
                <w:sz w:val="24"/>
                <w:szCs w:val="24"/>
                <w:highlight w:val="none"/>
                <w:lang w:val="en-US" w:eastAsia="zh-CN"/>
                <w14:textFill>
                  <w14:solidFill>
                    <w14:schemeClr w14:val="tx1"/>
                  </w14:solidFill>
                </w14:textFill>
              </w:rPr>
              <w:t>6</w:t>
            </w:r>
            <w:r>
              <w:rPr>
                <w:rFonts w:hint="eastAsia" w:ascii="仿宋_GB2312" w:hAnsi="仿宋_GB2312" w:eastAsia="仿宋_GB2312" w:cs="仿宋_GB2312"/>
                <w:b/>
                <w:color w:val="000000" w:themeColor="text1"/>
                <w:sz w:val="24"/>
                <w:szCs w:val="24"/>
                <w:highlight w:val="none"/>
                <w14:textFill>
                  <w14:solidFill>
                    <w14:schemeClr w14:val="tx1"/>
                  </w14:solidFill>
                </w14:textFill>
              </w:rPr>
              <w:t>月1日（含）至开标截止时间的时间段内，合同由投标人签订，否则不得分。</w:t>
            </w:r>
          </w:p>
          <w:p w14:paraId="3D11343A">
            <w:pPr>
              <w:pStyle w:val="2"/>
              <w:spacing w:line="440" w:lineRule="exact"/>
              <w:ind w:firstLine="0" w:firstLineChars="0"/>
              <w:jc w:val="left"/>
              <w:rPr>
                <w:rFonts w:hint="eastAsia" w:ascii="仿宋_GB2312" w:hAnsi="仿宋_GB2312" w:eastAsia="仿宋_GB2312" w:cs="仿宋_GB2312"/>
                <w:color w:val="000000" w:themeColor="text1"/>
                <w:kern w:val="0"/>
                <w:szCs w:val="24"/>
                <w:highlight w:val="none"/>
                <w14:textFill>
                  <w14:solidFill>
                    <w14:schemeClr w14:val="tx1"/>
                  </w14:solidFill>
                </w14:textFill>
              </w:rPr>
            </w:pPr>
            <w:r>
              <w:rPr>
                <w:rFonts w:hint="eastAsia" w:ascii="仿宋_GB2312" w:hAnsi="仿宋_GB2312" w:eastAsia="仿宋_GB2312" w:cs="仿宋_GB2312"/>
                <w:b/>
                <w:color w:val="000000" w:themeColor="text1"/>
                <w:szCs w:val="24"/>
                <w:highlight w:val="none"/>
                <w14:textFill>
                  <w14:solidFill>
                    <w14:schemeClr w14:val="tx1"/>
                  </w14:solidFill>
                </w14:textFill>
              </w:rPr>
              <w:t>2.类似案例业绩是指合同内容必须包含</w:t>
            </w:r>
            <w:r>
              <w:rPr>
                <w:rFonts w:hint="eastAsia" w:ascii="仿宋_GB2312" w:hAnsi="仿宋_GB2312" w:eastAsia="仿宋_GB2312" w:cs="仿宋_GB2312"/>
                <w:b/>
                <w:color w:val="000000" w:themeColor="text1"/>
                <w:sz w:val="24"/>
                <w:highlight w:val="none"/>
                <w:lang w:eastAsia="zh-CN"/>
                <w14:textFill>
                  <w14:solidFill>
                    <w14:schemeClr w14:val="tx1"/>
                  </w14:solidFill>
                </w14:textFill>
              </w:rPr>
              <w:t>办公台式</w:t>
            </w:r>
            <w:r>
              <w:rPr>
                <w:rFonts w:hint="eastAsia" w:ascii="仿宋_GB2312" w:hAnsi="仿宋_GB2312" w:eastAsia="仿宋_GB2312" w:cs="仿宋_GB2312"/>
                <w:b/>
                <w:color w:val="000000" w:themeColor="text1"/>
                <w:szCs w:val="24"/>
                <w:highlight w:val="none"/>
                <w:lang w:eastAsia="zh-CN"/>
                <w14:textFill>
                  <w14:solidFill>
                    <w14:schemeClr w14:val="tx1"/>
                  </w14:solidFill>
                </w14:textFill>
              </w:rPr>
              <w:t>电脑</w:t>
            </w:r>
            <w:r>
              <w:rPr>
                <w:rFonts w:hint="eastAsia" w:ascii="仿宋_GB2312" w:hAnsi="仿宋_GB2312" w:eastAsia="仿宋_GB2312" w:cs="仿宋_GB2312"/>
                <w:b/>
                <w:color w:val="000000" w:themeColor="text1"/>
                <w:szCs w:val="24"/>
                <w:highlight w:val="none"/>
                <w14:textFill>
                  <w14:solidFill>
                    <w14:schemeClr w14:val="tx1"/>
                  </w14:solidFill>
                </w14:textFill>
              </w:rPr>
              <w:t>，否则不得分。</w:t>
            </w:r>
          </w:p>
        </w:tc>
        <w:tc>
          <w:tcPr>
            <w:tcW w:w="625" w:type="dxa"/>
            <w:tcBorders>
              <w:top w:val="single" w:color="auto" w:sz="4" w:space="0"/>
              <w:left w:val="single" w:color="auto" w:sz="4" w:space="0"/>
              <w:bottom w:val="single" w:color="auto" w:sz="4" w:space="0"/>
              <w:right w:val="single" w:color="auto" w:sz="4" w:space="0"/>
            </w:tcBorders>
            <w:noWrap w:val="0"/>
            <w:vAlign w:val="center"/>
          </w:tcPr>
          <w:p w14:paraId="644E681F">
            <w:pPr>
              <w:ind w:firstLine="218" w:firstLineChars="100"/>
              <w:outlineLvl w:val="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pacing w:val="4"/>
                <w:szCs w:val="21"/>
                <w:highlight w:val="none"/>
                <w:lang w:val="en-US" w:eastAsia="zh-CN"/>
                <w14:textFill>
                  <w14:solidFill>
                    <w14:schemeClr w14:val="tx1"/>
                  </w14:solidFill>
                </w14:textFill>
              </w:rPr>
              <w:t>3</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7489CE54">
            <w:pPr>
              <w:jc w:val="center"/>
              <w:rPr>
                <w:rFonts w:hint="eastAsia" w:ascii="仿宋_GB2312" w:hAnsi="仿宋_GB2312" w:eastAsia="仿宋_GB2312" w:cs="仿宋_GB2312"/>
                <w:b/>
                <w:color w:val="000000" w:themeColor="text1"/>
                <w:spacing w:val="4"/>
                <w:szCs w:val="21"/>
                <w:highlight w:val="none"/>
                <w14:textFill>
                  <w14:solidFill>
                    <w14:schemeClr w14:val="tx1"/>
                  </w14:solidFill>
                </w14:textFill>
              </w:rPr>
            </w:pPr>
          </w:p>
          <w:p w14:paraId="08CD9617">
            <w:pPr>
              <w:jc w:val="center"/>
              <w:rPr>
                <w:rFonts w:hint="eastAsia" w:ascii="仿宋_GB2312" w:hAnsi="仿宋_GB2312" w:eastAsia="仿宋_GB2312" w:cs="仿宋_GB2312"/>
                <w:b/>
                <w:color w:val="000000" w:themeColor="text1"/>
                <w:spacing w:val="4"/>
                <w:szCs w:val="21"/>
                <w:highlight w:val="none"/>
                <w14:textFill>
                  <w14:solidFill>
                    <w14:schemeClr w14:val="tx1"/>
                  </w14:solidFill>
                </w14:textFill>
              </w:rPr>
            </w:pPr>
          </w:p>
          <w:p w14:paraId="1956B03C">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pacing w:val="4"/>
                <w:szCs w:val="21"/>
                <w:highlight w:val="none"/>
                <w14:textFill>
                  <w14:solidFill>
                    <w14:schemeClr w14:val="tx1"/>
                  </w14:solidFill>
                </w14:textFill>
              </w:rPr>
              <w:t>客观分</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172F3298">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45A4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85" w:type="dxa"/>
            <w:vMerge w:val="continue"/>
            <w:tcBorders>
              <w:left w:val="single" w:color="auto" w:sz="4" w:space="0"/>
              <w:right w:val="single" w:color="auto" w:sz="4" w:space="0"/>
            </w:tcBorders>
            <w:noWrap w:val="0"/>
            <w:vAlign w:val="center"/>
          </w:tcPr>
          <w:p w14:paraId="1BD6BFDE">
            <w:pPr>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p>
        </w:tc>
        <w:tc>
          <w:tcPr>
            <w:tcW w:w="635" w:type="dxa"/>
            <w:tcBorders>
              <w:left w:val="single" w:color="auto" w:sz="4" w:space="0"/>
              <w:right w:val="single" w:color="auto" w:sz="4" w:space="0"/>
            </w:tcBorders>
            <w:noWrap w:val="0"/>
            <w:vAlign w:val="center"/>
          </w:tcPr>
          <w:p w14:paraId="40DC7873">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w:t>
            </w:r>
          </w:p>
        </w:tc>
        <w:tc>
          <w:tcPr>
            <w:tcW w:w="4655" w:type="dxa"/>
            <w:tcBorders>
              <w:top w:val="single" w:color="auto" w:sz="4" w:space="0"/>
              <w:left w:val="single" w:color="auto" w:sz="4" w:space="0"/>
              <w:bottom w:val="single" w:color="auto" w:sz="4" w:space="0"/>
              <w:right w:val="single" w:color="auto" w:sz="4" w:space="0"/>
            </w:tcBorders>
            <w:noWrap w:val="0"/>
            <w:vAlign w:val="center"/>
          </w:tcPr>
          <w:p w14:paraId="31A567ED">
            <w:pPr>
              <w:pStyle w:val="4"/>
              <w:spacing w:before="0" w:after="0" w:line="440" w:lineRule="exact"/>
              <w:rPr>
                <w:rFonts w:hint="eastAsia" w:ascii="仿宋_GB2312" w:hAnsi="仿宋_GB2312" w:eastAsia="仿宋_GB2312" w:cs="仿宋_GB2312"/>
                <w:b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highlight w:val="none"/>
                <w:lang w:val="en-US" w:eastAsia="zh-CN" w:bidi="ar-SA"/>
                <w14:textFill>
                  <w14:solidFill>
                    <w14:schemeClr w14:val="tx1"/>
                  </w14:solidFill>
                </w14:textFill>
              </w:rPr>
              <w:t>投标人项拟派目团队成员具有人社部门出具的系统系统集成项目管理工程师证书的，得2分。</w:t>
            </w:r>
          </w:p>
          <w:p w14:paraId="4789953D">
            <w:pPr>
              <w:pStyle w:val="4"/>
              <w:spacing w:before="0" w:after="0" w:line="440" w:lineRule="exact"/>
              <w:rPr>
                <w:rFonts w:hint="eastAsia" w:ascii="仿宋_GB2312" w:hAnsi="仿宋_GB2312" w:eastAsia="仿宋_GB2312" w:cs="仿宋_GB2312"/>
                <w:b/>
                <w:color w:val="000000" w:themeColor="text1"/>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注: 投标人应提供政府部门（或政府部门授权的相关部门）颁发的证书及上述人员在本单位的社保证明（</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2026年4月、5月、6月</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7月</w:t>
            </w:r>
            <w:r>
              <w:rPr>
                <w:rFonts w:hint="eastAsia" w:ascii="仿宋_GB2312" w:hAnsi="仿宋_GB2312" w:eastAsia="仿宋_GB2312" w:cs="仿宋_GB2312"/>
                <w:color w:val="000000" w:themeColor="text1"/>
                <w:sz w:val="24"/>
                <w:szCs w:val="24"/>
                <w:highlight w:val="none"/>
                <w:lang w:val="zh-TW"/>
                <w14:textFill>
                  <w14:solidFill>
                    <w14:schemeClr w14:val="tx1"/>
                  </w14:solidFill>
                </w14:textFill>
              </w:rPr>
              <w:t>中的任意一个月</w:t>
            </w:r>
            <w:r>
              <w:rPr>
                <w:rFonts w:hint="eastAsia" w:ascii="仿宋_GB2312" w:hAnsi="仿宋_GB2312" w:eastAsia="仿宋_GB2312" w:cs="仿宋_GB2312"/>
                <w:color w:val="000000" w:themeColor="text1"/>
                <w:sz w:val="24"/>
                <w:szCs w:val="24"/>
                <w:highlight w:val="none"/>
                <w14:textFill>
                  <w14:solidFill>
                    <w14:schemeClr w14:val="tx1"/>
                  </w14:solidFill>
                </w14:textFill>
              </w:rPr>
              <w:t>），否则不得分。</w:t>
            </w:r>
          </w:p>
        </w:tc>
        <w:tc>
          <w:tcPr>
            <w:tcW w:w="625" w:type="dxa"/>
            <w:tcBorders>
              <w:top w:val="single" w:color="auto" w:sz="4" w:space="0"/>
              <w:left w:val="single" w:color="auto" w:sz="4" w:space="0"/>
              <w:bottom w:val="single" w:color="auto" w:sz="4" w:space="0"/>
              <w:right w:val="single" w:color="auto" w:sz="4" w:space="0"/>
            </w:tcBorders>
            <w:noWrap w:val="0"/>
            <w:vAlign w:val="center"/>
          </w:tcPr>
          <w:p w14:paraId="2ACF4A94">
            <w:pPr>
              <w:jc w:val="cente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pacing w:val="4"/>
                <w:szCs w:val="21"/>
                <w:highlight w:val="none"/>
                <w:lang w:val="en-US" w:eastAsia="zh-CN"/>
                <w14:textFill>
                  <w14:solidFill>
                    <w14:schemeClr w14:val="tx1"/>
                  </w14:solidFill>
                </w14:textFill>
              </w:rPr>
              <w:t>2</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38BBA3CB">
            <w:pPr>
              <w:jc w:val="center"/>
              <w:rPr>
                <w:rFonts w:hint="eastAsia" w:ascii="仿宋_GB2312" w:hAnsi="仿宋_GB2312" w:eastAsia="仿宋_GB2312" w:cs="仿宋_GB2312"/>
                <w:b/>
                <w:color w:val="000000" w:themeColor="text1"/>
                <w:spacing w:val="4"/>
                <w:szCs w:val="21"/>
                <w:highlight w:val="none"/>
                <w14:textFill>
                  <w14:solidFill>
                    <w14:schemeClr w14:val="tx1"/>
                  </w14:solidFill>
                </w14:textFill>
              </w:rPr>
            </w:pPr>
            <w:r>
              <w:rPr>
                <w:rFonts w:hint="eastAsia" w:ascii="仿宋_GB2312" w:hAnsi="仿宋_GB2312" w:eastAsia="仿宋_GB2312" w:cs="仿宋_GB2312"/>
                <w:b/>
                <w:color w:val="000000" w:themeColor="text1"/>
                <w:spacing w:val="4"/>
                <w:szCs w:val="21"/>
                <w:highlight w:val="none"/>
                <w14:textFill>
                  <w14:solidFill>
                    <w14:schemeClr w14:val="tx1"/>
                  </w14:solidFill>
                </w14:textFill>
              </w:rPr>
              <w:t>客观分</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592FD182">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06FD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85" w:type="dxa"/>
            <w:vMerge w:val="continue"/>
            <w:tcBorders>
              <w:left w:val="single" w:color="auto" w:sz="4" w:space="0"/>
              <w:right w:val="single" w:color="auto" w:sz="4" w:space="0"/>
            </w:tcBorders>
            <w:noWrap w:val="0"/>
            <w:vAlign w:val="center"/>
          </w:tcPr>
          <w:p w14:paraId="36243CDC">
            <w:pPr>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p>
        </w:tc>
        <w:tc>
          <w:tcPr>
            <w:tcW w:w="635" w:type="dxa"/>
            <w:tcBorders>
              <w:left w:val="single" w:color="auto" w:sz="4" w:space="0"/>
              <w:right w:val="single" w:color="auto" w:sz="4" w:space="0"/>
            </w:tcBorders>
            <w:noWrap w:val="0"/>
            <w:vAlign w:val="center"/>
          </w:tcPr>
          <w:p w14:paraId="2BC47BBB">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w:t>
            </w:r>
          </w:p>
        </w:tc>
        <w:tc>
          <w:tcPr>
            <w:tcW w:w="46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7CA07D">
            <w:pPr>
              <w:pStyle w:val="2"/>
              <w:spacing w:line="440" w:lineRule="exact"/>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themeColor="text1"/>
                <w:szCs w:val="24"/>
                <w:highlight w:val="none"/>
                <w14:textFill>
                  <w14:solidFill>
                    <w14:schemeClr w14:val="tx1"/>
                  </w14:solidFill>
                </w14:textFill>
              </w:rPr>
              <w:t>根据投标人为本项目提供的售后服务方案包括</w:t>
            </w:r>
            <w:r>
              <w:rPr>
                <w:rFonts w:hint="eastAsia" w:ascii="仿宋_GB2312" w:hAnsi="仿宋_GB2312" w:eastAsia="仿宋_GB2312" w:cs="仿宋_GB2312"/>
                <w:color w:val="auto"/>
                <w:sz w:val="24"/>
                <w:szCs w:val="24"/>
                <w:highlight w:val="none"/>
              </w:rPr>
              <w:t>完整的售后服务体系、便利的服务机构、熟练的维修技术力量、整体响应速度、日常维护方案等情况打分，</w:t>
            </w:r>
            <w:r>
              <w:rPr>
                <w:rFonts w:hint="eastAsia" w:ascii="仿宋_GB2312" w:hAnsi="仿宋_GB2312" w:eastAsia="仿宋_GB2312" w:cs="仿宋_GB2312"/>
                <w:color w:val="000000" w:themeColor="text1"/>
                <w:szCs w:val="24"/>
                <w:highlight w:val="none"/>
                <w14:textFill>
                  <w14:solidFill>
                    <w14:schemeClr w14:val="tx1"/>
                  </w14:solidFill>
                </w14:textFill>
              </w:rPr>
              <w:t>最多得</w:t>
            </w: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Cs w:val="24"/>
                <w:highlight w:val="none"/>
                <w14:textFill>
                  <w14:solidFill>
                    <w14:schemeClr w14:val="tx1"/>
                  </w14:solidFill>
                </w14:textFill>
              </w:rPr>
              <w:t>分。</w:t>
            </w:r>
          </w:p>
          <w:p w14:paraId="6B6F8042">
            <w:pPr>
              <w:pStyle w:val="2"/>
              <w:spacing w:line="440" w:lineRule="exact"/>
              <w:ind w:firstLine="0" w:firstLineChars="0"/>
              <w:jc w:val="left"/>
              <w:rPr>
                <w:rFonts w:hint="eastAsia" w:ascii="仿宋_GB2312" w:hAnsi="仿宋_GB2312" w:eastAsia="仿宋_GB2312" w:cs="仿宋_GB2312"/>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Cs w:val="24"/>
                <w:highlight w:val="none"/>
                <w14:textFill>
                  <w14:solidFill>
                    <w14:schemeClr w14:val="tx1"/>
                  </w14:solidFill>
                </w14:textFill>
              </w:rPr>
              <w:t>以上每点，描述完整详细且与采购人实际需求完全契合的</w:t>
            </w:r>
            <w:r>
              <w:rPr>
                <w:rFonts w:hint="eastAsia" w:ascii="仿宋_GB2312" w:hAnsi="仿宋_GB2312" w:eastAsia="仿宋_GB2312" w:cs="仿宋_GB2312"/>
                <w:color w:val="000000" w:themeColor="text1"/>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Cs w:val="24"/>
                <w:highlight w:val="none"/>
                <w14:textFill>
                  <w14:solidFill>
                    <w14:schemeClr w14:val="tx1"/>
                  </w14:solidFill>
                </w14:textFill>
              </w:rPr>
              <w:t>得</w:t>
            </w: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Cs w:val="24"/>
                <w:highlight w:val="none"/>
                <w14:textFill>
                  <w14:solidFill>
                    <w14:schemeClr w14:val="tx1"/>
                  </w14:solidFill>
                </w14:textFill>
              </w:rPr>
              <w:t>分</w:t>
            </w:r>
            <w:r>
              <w:rPr>
                <w:rFonts w:hint="eastAsia" w:ascii="仿宋_GB2312" w:hAnsi="仿宋_GB2312" w:eastAsia="仿宋_GB2312" w:cs="仿宋_GB2312"/>
                <w:color w:val="000000" w:themeColor="text1"/>
                <w:szCs w:val="24"/>
                <w:highlight w:val="none"/>
                <w:lang w:eastAsia="zh-CN"/>
                <w14:textFill>
                  <w14:solidFill>
                    <w14:schemeClr w14:val="tx1"/>
                  </w14:solidFill>
                </w14:textFill>
              </w:rPr>
              <w:t>；</w:t>
            </w:r>
          </w:p>
          <w:p w14:paraId="2EE616B7">
            <w:pPr>
              <w:pStyle w:val="2"/>
              <w:spacing w:line="440" w:lineRule="exact"/>
              <w:ind w:firstLine="0" w:firstLineChars="0"/>
              <w:jc w:val="left"/>
              <w:rPr>
                <w:rFonts w:hint="eastAsia" w:ascii="仿宋_GB2312" w:hAnsi="仿宋_GB2312" w:eastAsia="仿宋_GB2312" w:cs="仿宋_GB2312"/>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Cs w:val="24"/>
                <w:highlight w:val="none"/>
                <w14:textFill>
                  <w14:solidFill>
                    <w14:schemeClr w14:val="tx1"/>
                  </w14:solidFill>
                </w14:textFill>
              </w:rPr>
              <w:t>描述较详细完整或与采购人实际需求部分符合的</w:t>
            </w:r>
            <w:r>
              <w:rPr>
                <w:rFonts w:hint="eastAsia" w:ascii="仿宋_GB2312" w:hAnsi="仿宋_GB2312" w:eastAsia="仿宋_GB2312" w:cs="仿宋_GB2312"/>
                <w:color w:val="000000" w:themeColor="text1"/>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Cs w:val="24"/>
                <w:highlight w:val="none"/>
                <w14:textFill>
                  <w14:solidFill>
                    <w14:schemeClr w14:val="tx1"/>
                  </w14:solidFill>
                </w14:textFill>
              </w:rPr>
              <w:t>得</w:t>
            </w: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Cs w:val="24"/>
                <w:highlight w:val="none"/>
                <w14:textFill>
                  <w14:solidFill>
                    <w14:schemeClr w14:val="tx1"/>
                  </w14:solidFill>
                </w14:textFill>
              </w:rPr>
              <w:t>分</w:t>
            </w:r>
            <w:r>
              <w:rPr>
                <w:rFonts w:hint="eastAsia" w:ascii="仿宋_GB2312" w:hAnsi="仿宋_GB2312" w:eastAsia="仿宋_GB2312" w:cs="仿宋_GB2312"/>
                <w:color w:val="000000" w:themeColor="text1"/>
                <w:szCs w:val="24"/>
                <w:highlight w:val="none"/>
                <w:lang w:eastAsia="zh-CN"/>
                <w14:textFill>
                  <w14:solidFill>
                    <w14:schemeClr w14:val="tx1"/>
                  </w14:solidFill>
                </w14:textFill>
              </w:rPr>
              <w:t>；</w:t>
            </w:r>
          </w:p>
          <w:p w14:paraId="3239C1F7">
            <w:pPr>
              <w:pStyle w:val="2"/>
              <w:spacing w:line="440" w:lineRule="exact"/>
              <w:ind w:firstLine="0" w:firstLineChars="0"/>
              <w:jc w:val="left"/>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Cs w:val="24"/>
                <w:highlight w:val="none"/>
                <w14:textFill>
                  <w14:solidFill>
                    <w14:schemeClr w14:val="tx1"/>
                  </w14:solidFill>
                </w14:textFill>
              </w:rPr>
              <w:t>未提供或完全不符合采购人需求的</w:t>
            </w:r>
            <w:r>
              <w:rPr>
                <w:rFonts w:hint="eastAsia" w:ascii="仿宋_GB2312" w:hAnsi="仿宋_GB2312" w:eastAsia="仿宋_GB2312" w:cs="仿宋_GB2312"/>
                <w:color w:val="000000" w:themeColor="text1"/>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Cs w:val="24"/>
                <w:highlight w:val="none"/>
                <w14:textFill>
                  <w14:solidFill>
                    <w14:schemeClr w14:val="tx1"/>
                  </w14:solidFill>
                </w14:textFill>
              </w:rPr>
              <w:t>得0分</w:t>
            </w:r>
            <w:r>
              <w:rPr>
                <w:rFonts w:hint="eastAsia" w:ascii="仿宋_GB2312" w:hAnsi="仿宋_GB2312" w:eastAsia="仿宋_GB2312" w:cs="仿宋_GB2312"/>
                <w:color w:val="000000" w:themeColor="text1"/>
                <w:szCs w:val="24"/>
                <w:highlight w:val="none"/>
                <w:lang w:eastAsia="zh-CN"/>
                <w14:textFill>
                  <w14:solidFill>
                    <w14:schemeClr w14:val="tx1"/>
                  </w14:solidFill>
                </w14:textFill>
              </w:rPr>
              <w:t>。</w:t>
            </w:r>
          </w:p>
        </w:tc>
        <w:tc>
          <w:tcPr>
            <w:tcW w:w="6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7A93C0">
            <w:pPr>
              <w:jc w:val="cente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strike w:val="0"/>
                <w:dstrike w:val="0"/>
                <w:color w:val="000000" w:themeColor="text1"/>
                <w:spacing w:val="4"/>
                <w:szCs w:val="21"/>
                <w:highlight w:val="none"/>
                <w:lang w:val="en-US" w:eastAsia="zh-CN"/>
                <w14:textFill>
                  <w14:solidFill>
                    <w14:schemeClr w14:val="tx1"/>
                  </w14:solidFill>
                </w14:textFill>
              </w:rPr>
              <w:t>10</w:t>
            </w:r>
          </w:p>
        </w:tc>
        <w:tc>
          <w:tcPr>
            <w:tcW w:w="8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2AF001">
            <w:pPr>
              <w:jc w:val="center"/>
              <w:rPr>
                <w:rFonts w:hint="eastAsia" w:ascii="仿宋_GB2312" w:hAnsi="仿宋_GB2312" w:eastAsia="仿宋_GB2312" w:cs="仿宋_GB2312"/>
                <w:b/>
                <w:color w:val="000000" w:themeColor="text1"/>
                <w:spacing w:val="4"/>
                <w:szCs w:val="21"/>
                <w:highlight w:val="none"/>
                <w14:textFill>
                  <w14:solidFill>
                    <w14:schemeClr w14:val="tx1"/>
                  </w14:solidFill>
                </w14:textFill>
              </w:rPr>
            </w:pPr>
          </w:p>
          <w:p w14:paraId="44A064D2">
            <w:pPr>
              <w:jc w:val="center"/>
              <w:rPr>
                <w:rFonts w:hint="eastAsia" w:ascii="仿宋_GB2312" w:hAnsi="仿宋_GB2312" w:eastAsia="仿宋_GB2312" w:cs="仿宋_GB2312"/>
                <w:b/>
                <w:color w:val="000000" w:themeColor="text1"/>
                <w:spacing w:val="4"/>
                <w:szCs w:val="21"/>
                <w:highlight w:val="none"/>
                <w14:textFill>
                  <w14:solidFill>
                    <w14:schemeClr w14:val="tx1"/>
                  </w14:solidFill>
                </w14:textFill>
              </w:rPr>
            </w:pPr>
          </w:p>
          <w:p w14:paraId="059D49FD">
            <w:pPr>
              <w:jc w:val="center"/>
              <w:rPr>
                <w:rFonts w:hint="eastAsia" w:ascii="仿宋_GB2312" w:hAnsi="仿宋_GB2312" w:eastAsia="仿宋_GB2312" w:cs="仿宋_GB2312"/>
                <w:b/>
                <w:color w:val="000000" w:themeColor="text1"/>
                <w:spacing w:val="4"/>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spacing w:val="4"/>
                <w:szCs w:val="21"/>
                <w:highlight w:val="none"/>
                <w14:textFill>
                  <w14:solidFill>
                    <w14:schemeClr w14:val="tx1"/>
                  </w14:solidFill>
                </w14:textFill>
              </w:rPr>
              <w:t>主观分</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70D7AE53">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7675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85" w:type="dxa"/>
            <w:vMerge w:val="continue"/>
            <w:tcBorders>
              <w:left w:val="single" w:color="auto" w:sz="4" w:space="0"/>
              <w:right w:val="single" w:color="auto" w:sz="4" w:space="0"/>
            </w:tcBorders>
            <w:noWrap w:val="0"/>
            <w:vAlign w:val="center"/>
          </w:tcPr>
          <w:p w14:paraId="037A4F3E">
            <w:pPr>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p>
        </w:tc>
        <w:tc>
          <w:tcPr>
            <w:tcW w:w="635" w:type="dxa"/>
            <w:tcBorders>
              <w:left w:val="single" w:color="auto" w:sz="4" w:space="0"/>
              <w:right w:val="single" w:color="auto" w:sz="4" w:space="0"/>
            </w:tcBorders>
            <w:noWrap w:val="0"/>
            <w:vAlign w:val="center"/>
          </w:tcPr>
          <w:p w14:paraId="111DEADD">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w:t>
            </w:r>
          </w:p>
        </w:tc>
        <w:tc>
          <w:tcPr>
            <w:tcW w:w="46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0D79EA">
            <w:pPr>
              <w:spacing w:line="440" w:lineRule="exac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根据投标人对本项目整体质保承诺打分，整体质保</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highlight w:val="none"/>
                <w14:textFill>
                  <w14:solidFill>
                    <w14:schemeClr w14:val="tx1"/>
                  </w14:solidFill>
                </w14:textFill>
              </w:rPr>
              <w:t>年的，得2分；整体质保</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年的，得</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highlight w:val="none"/>
                <w14:textFill>
                  <w14:solidFill>
                    <w14:schemeClr w14:val="tx1"/>
                  </w14:solidFill>
                </w14:textFill>
              </w:rPr>
              <w:t>分</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整体质保</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4"/>
                <w:szCs w:val="24"/>
                <w:highlight w:val="none"/>
                <w14:textFill>
                  <w14:solidFill>
                    <w14:schemeClr w14:val="tx1"/>
                  </w14:solidFill>
                </w14:textFill>
              </w:rPr>
              <w:t>年的，得</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highlight w:val="none"/>
                <w14:textFill>
                  <w14:solidFill>
                    <w14:schemeClr w14:val="tx1"/>
                  </w14:solidFill>
                </w14:textFill>
              </w:rPr>
              <w:t>分</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整体质保</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及以上</w:t>
            </w:r>
            <w:r>
              <w:rPr>
                <w:rFonts w:hint="eastAsia" w:ascii="仿宋_GB2312" w:hAnsi="仿宋_GB2312" w:eastAsia="仿宋_GB2312" w:cs="仿宋_GB2312"/>
                <w:color w:val="000000" w:themeColor="text1"/>
                <w:sz w:val="24"/>
                <w:szCs w:val="24"/>
                <w:highlight w:val="none"/>
                <w14:textFill>
                  <w14:solidFill>
                    <w14:schemeClr w14:val="tx1"/>
                  </w14:solidFill>
                </w14:textFill>
              </w:rPr>
              <w:t>的，得</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分。投标人提供承诺函，格式自拟，未提供的不得分。</w:t>
            </w:r>
          </w:p>
          <w:p w14:paraId="195FB604">
            <w:pPr>
              <w:pStyle w:val="2"/>
              <w:spacing w:line="440" w:lineRule="exact"/>
              <w:ind w:firstLine="0" w:firstLineChars="0"/>
              <w:jc w:val="left"/>
              <w:rPr>
                <w:rFonts w:hint="eastAsia" w:ascii="仿宋_GB2312" w:hAnsi="仿宋_GB2312" w:eastAsia="仿宋_GB2312" w:cs="仿宋_GB2312"/>
                <w:b/>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szCs w:val="24"/>
                <w:highlight w:val="none"/>
                <w14:textFill>
                  <w14:solidFill>
                    <w14:schemeClr w14:val="tx1"/>
                  </w14:solidFill>
                </w14:textFill>
              </w:rPr>
              <w:t>注:原厂质保期高于投标人质保承诺的按原厂执行。</w:t>
            </w:r>
          </w:p>
        </w:tc>
        <w:tc>
          <w:tcPr>
            <w:tcW w:w="6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765FE3">
            <w:pPr>
              <w:jc w:val="cente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p>
          <w:p w14:paraId="28130514">
            <w:pPr>
              <w:jc w:val="cente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p>
          <w:p w14:paraId="441FDD8E">
            <w:pPr>
              <w:jc w:val="cente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p>
          <w:p w14:paraId="25B1826C">
            <w:pPr>
              <w:jc w:val="cente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p>
          <w:p w14:paraId="59629856">
            <w:pPr>
              <w:jc w:val="cente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5</w:t>
            </w:r>
          </w:p>
        </w:tc>
        <w:tc>
          <w:tcPr>
            <w:tcW w:w="82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AA10CE1">
            <w:pPr>
              <w:jc w:val="center"/>
              <w:rPr>
                <w:rFonts w:hint="eastAsia" w:ascii="仿宋_GB2312" w:hAnsi="仿宋_GB2312" w:eastAsia="仿宋_GB2312" w:cs="仿宋_GB2312"/>
                <w:b/>
                <w:color w:val="000000" w:themeColor="text1"/>
                <w:spacing w:val="4"/>
                <w:szCs w:val="21"/>
                <w:highlight w:val="none"/>
                <w14:textFill>
                  <w14:solidFill>
                    <w14:schemeClr w14:val="tx1"/>
                  </w14:solidFill>
                </w14:textFill>
              </w:rPr>
            </w:pPr>
          </w:p>
          <w:p w14:paraId="1925B76B">
            <w:pPr>
              <w:jc w:val="center"/>
              <w:rPr>
                <w:rFonts w:hint="eastAsia" w:ascii="仿宋_GB2312" w:hAnsi="仿宋_GB2312" w:eastAsia="仿宋_GB2312" w:cs="仿宋_GB2312"/>
                <w:b/>
                <w:color w:val="000000" w:themeColor="text1"/>
                <w:spacing w:val="4"/>
                <w:szCs w:val="21"/>
                <w:highlight w:val="none"/>
                <w14:textFill>
                  <w14:solidFill>
                    <w14:schemeClr w14:val="tx1"/>
                  </w14:solidFill>
                </w14:textFill>
              </w:rPr>
            </w:pPr>
          </w:p>
          <w:p w14:paraId="603F5B0A">
            <w:pPr>
              <w:jc w:val="center"/>
              <w:rPr>
                <w:rFonts w:hint="eastAsia" w:ascii="仿宋_GB2312" w:hAnsi="仿宋_GB2312" w:eastAsia="仿宋_GB2312" w:cs="仿宋_GB2312"/>
                <w:b/>
                <w:color w:val="000000" w:themeColor="text1"/>
                <w:spacing w:val="4"/>
                <w:szCs w:val="21"/>
                <w:highlight w:val="none"/>
                <w14:textFill>
                  <w14:solidFill>
                    <w14:schemeClr w14:val="tx1"/>
                  </w14:solidFill>
                </w14:textFill>
              </w:rPr>
            </w:pPr>
          </w:p>
          <w:p w14:paraId="4DB2AA8E">
            <w:pPr>
              <w:pStyle w:val="2"/>
              <w:rPr>
                <w:rFonts w:hint="eastAsia"/>
              </w:rPr>
            </w:pPr>
          </w:p>
          <w:p w14:paraId="2E53D1CE">
            <w:pPr>
              <w:jc w:val="center"/>
              <w:rPr>
                <w:rFonts w:hint="eastAsia" w:ascii="仿宋_GB2312" w:hAnsi="仿宋_GB2312" w:eastAsia="仿宋_GB2312" w:cs="仿宋_GB2312"/>
                <w:b/>
                <w:color w:val="000000" w:themeColor="text1"/>
                <w:spacing w:val="4"/>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spacing w:val="4"/>
                <w:szCs w:val="21"/>
                <w:highlight w:val="none"/>
                <w14:textFill>
                  <w14:solidFill>
                    <w14:schemeClr w14:val="tx1"/>
                  </w14:solidFill>
                </w14:textFill>
              </w:rPr>
              <w:t>客观分</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0F8DACE6">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02A2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jc w:val="center"/>
        </w:trPr>
        <w:tc>
          <w:tcPr>
            <w:tcW w:w="885" w:type="dxa"/>
            <w:vMerge w:val="continue"/>
            <w:tcBorders>
              <w:left w:val="single" w:color="auto" w:sz="4" w:space="0"/>
              <w:right w:val="single" w:color="auto" w:sz="4" w:space="0"/>
            </w:tcBorders>
            <w:noWrap w:val="0"/>
            <w:vAlign w:val="center"/>
          </w:tcPr>
          <w:p w14:paraId="2C0495AC">
            <w:pPr>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p>
        </w:tc>
        <w:tc>
          <w:tcPr>
            <w:tcW w:w="635" w:type="dxa"/>
            <w:tcBorders>
              <w:left w:val="single" w:color="auto" w:sz="4" w:space="0"/>
              <w:right w:val="single" w:color="auto" w:sz="4" w:space="0"/>
            </w:tcBorders>
            <w:noWrap w:val="0"/>
            <w:vAlign w:val="center"/>
          </w:tcPr>
          <w:p w14:paraId="2E2D17BA">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w:t>
            </w:r>
          </w:p>
        </w:tc>
        <w:tc>
          <w:tcPr>
            <w:tcW w:w="46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1C8AEA">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提供所投</w:t>
            </w:r>
            <w:r>
              <w:rPr>
                <w:rFonts w:hint="eastAsia" w:ascii="仿宋_GB2312" w:hAnsi="仿宋_GB2312" w:eastAsia="仿宋_GB2312" w:cs="仿宋_GB2312"/>
                <w:color w:val="auto"/>
                <w:kern w:val="2"/>
                <w:sz w:val="24"/>
                <w:szCs w:val="24"/>
                <w:highlight w:val="none"/>
                <w:lang w:val="en-US" w:eastAsia="zh-CN" w:bidi="ar-SA"/>
              </w:rPr>
              <w:t>办公台式电脑、办公台式电脑显示器有效</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期内的环境产品认证证书的，得2分。</w:t>
            </w:r>
          </w:p>
          <w:p w14:paraId="6E50225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color w:val="000000" w:themeColor="text1"/>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2"/>
                <w:sz w:val="24"/>
                <w:szCs w:val="24"/>
                <w:highlight w:val="none"/>
                <w:lang w:val="en-US" w:eastAsia="zh-CN" w:bidi="ar-SA"/>
                <w14:textFill>
                  <w14:solidFill>
                    <w14:schemeClr w14:val="tx1"/>
                  </w14:solidFill>
                </w14:textFill>
              </w:rPr>
              <w:t>注：出具机构须在国家市场监督管理总局公布的《参与实施政府采购环境标志产品认证机构名录》内。</w:t>
            </w:r>
          </w:p>
        </w:tc>
        <w:tc>
          <w:tcPr>
            <w:tcW w:w="6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E7EFE6">
            <w:pPr>
              <w:jc w:val="cente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w:t>
            </w:r>
          </w:p>
        </w:tc>
        <w:tc>
          <w:tcPr>
            <w:tcW w:w="82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46DCC88">
            <w:pPr>
              <w:jc w:val="center"/>
              <w:rPr>
                <w:rFonts w:hint="eastAsia" w:ascii="仿宋_GB2312" w:hAnsi="仿宋_GB2312" w:eastAsia="仿宋_GB2312" w:cs="仿宋_GB2312"/>
                <w:b/>
                <w:color w:val="000000" w:themeColor="text1"/>
                <w:spacing w:val="4"/>
                <w:szCs w:val="21"/>
                <w:highlight w:val="none"/>
                <w14:textFill>
                  <w14:solidFill>
                    <w14:schemeClr w14:val="tx1"/>
                  </w14:solidFill>
                </w14:textFill>
              </w:rPr>
            </w:pPr>
          </w:p>
          <w:p w14:paraId="20231624">
            <w:pPr>
              <w:jc w:val="center"/>
              <w:rPr>
                <w:rFonts w:hint="eastAsia" w:ascii="仿宋_GB2312" w:hAnsi="仿宋_GB2312" w:eastAsia="仿宋_GB2312" w:cs="仿宋_GB2312"/>
                <w:b/>
                <w:color w:val="000000" w:themeColor="text1"/>
                <w:spacing w:val="4"/>
                <w:szCs w:val="21"/>
                <w:highlight w:val="none"/>
                <w14:textFill>
                  <w14:solidFill>
                    <w14:schemeClr w14:val="tx1"/>
                  </w14:solidFill>
                </w14:textFill>
              </w:rPr>
            </w:pPr>
          </w:p>
          <w:p w14:paraId="7DA2E591">
            <w:pPr>
              <w:jc w:val="center"/>
              <w:rPr>
                <w:rFonts w:hint="eastAsia" w:ascii="仿宋_GB2312" w:hAnsi="仿宋_GB2312" w:eastAsia="仿宋_GB2312" w:cs="仿宋_GB2312"/>
                <w:b/>
                <w:color w:val="000000" w:themeColor="text1"/>
                <w:spacing w:val="4"/>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spacing w:val="4"/>
                <w:szCs w:val="21"/>
                <w:highlight w:val="none"/>
                <w14:textFill>
                  <w14:solidFill>
                    <w14:schemeClr w14:val="tx1"/>
                  </w14:solidFill>
                </w14:textFill>
              </w:rPr>
              <w:t>客观分</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5763ACCB">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5B947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885" w:type="dxa"/>
            <w:vMerge w:val="restart"/>
            <w:tcBorders>
              <w:left w:val="single" w:color="auto" w:sz="4" w:space="0"/>
              <w:right w:val="single" w:color="auto" w:sz="4" w:space="0"/>
            </w:tcBorders>
            <w:noWrap w:val="0"/>
            <w:vAlign w:val="center"/>
          </w:tcPr>
          <w:p w14:paraId="7A859323">
            <w:pPr>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技术部分（</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48</w:t>
            </w:r>
            <w:r>
              <w:rPr>
                <w:rFonts w:hint="eastAsia" w:ascii="仿宋_GB2312" w:hAnsi="仿宋_GB2312" w:eastAsia="仿宋_GB2312" w:cs="仿宋_GB2312"/>
                <w:color w:val="000000" w:themeColor="text1"/>
                <w:szCs w:val="21"/>
                <w:highlight w:val="none"/>
                <w14:textFill>
                  <w14:solidFill>
                    <w14:schemeClr w14:val="tx1"/>
                  </w14:solidFill>
                </w14:textFill>
              </w:rPr>
              <w:t>）</w:t>
            </w:r>
          </w:p>
        </w:tc>
        <w:tc>
          <w:tcPr>
            <w:tcW w:w="635" w:type="dxa"/>
            <w:tcBorders>
              <w:left w:val="single" w:color="auto" w:sz="4" w:space="0"/>
              <w:right w:val="single" w:color="auto" w:sz="4" w:space="0"/>
            </w:tcBorders>
            <w:noWrap w:val="0"/>
            <w:vAlign w:val="center"/>
          </w:tcPr>
          <w:p w14:paraId="22233B56">
            <w:pPr>
              <w:jc w:val="cente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w:t>
            </w:r>
          </w:p>
        </w:tc>
        <w:tc>
          <w:tcPr>
            <w:tcW w:w="4655" w:type="dxa"/>
            <w:tcBorders>
              <w:top w:val="single" w:color="auto" w:sz="4" w:space="0"/>
              <w:left w:val="single" w:color="auto" w:sz="4" w:space="0"/>
              <w:right w:val="single" w:color="auto" w:sz="4" w:space="0"/>
            </w:tcBorders>
            <w:noWrap w:val="0"/>
            <w:vAlign w:val="center"/>
          </w:tcPr>
          <w:p w14:paraId="00DFC5F1">
            <w:pPr>
              <w:pStyle w:val="2"/>
              <w:spacing w:line="440" w:lineRule="exact"/>
              <w:ind w:firstLine="0" w:firstLineChars="0"/>
              <w:rPr>
                <w:rFonts w:hint="eastAsia" w:ascii="仿宋_GB2312" w:hAnsi="仿宋_GB2312" w:eastAsia="仿宋_GB2312" w:cs="仿宋_GB2312"/>
                <w:color w:val="000000" w:themeColor="text1"/>
                <w:szCs w:val="24"/>
                <w:highlight w:val="none"/>
                <w14:textFill>
                  <w14:solidFill>
                    <w14:schemeClr w14:val="tx1"/>
                  </w14:solidFill>
                </w14:textFill>
              </w:rPr>
            </w:pPr>
            <w:r>
              <w:rPr>
                <w:rFonts w:hint="eastAsia" w:ascii="仿宋_GB2312" w:hAnsi="仿宋_GB2312" w:eastAsia="仿宋_GB2312" w:cs="仿宋_GB2312"/>
                <w:color w:val="000000" w:themeColor="text1"/>
                <w:szCs w:val="24"/>
                <w:highlight w:val="none"/>
                <w14:textFill>
                  <w14:solidFill>
                    <w14:schemeClr w14:val="tx1"/>
                  </w14:solidFill>
                </w14:textFill>
              </w:rPr>
              <w:t>根据投标人的投标文件是否满足本次招标文件第三部分采购需求中标注“△”的技术参数要求打分，标注“△”的技术要求共</w:t>
            </w: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Cs w:val="24"/>
                <w:highlight w:val="none"/>
                <w14:textFill>
                  <w14:solidFill>
                    <w14:schemeClr w14:val="tx1"/>
                  </w14:solidFill>
                </w14:textFill>
              </w:rPr>
              <w:t>项</w:t>
            </w: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szCs w:val="24"/>
                <w:highlight w:val="none"/>
                <w14:textFill>
                  <w14:solidFill>
                    <w14:schemeClr w14:val="tx1"/>
                  </w14:solidFill>
                </w14:textFill>
              </w:rPr>
              <w:t>分，负偏离的每项扣</w:t>
            </w: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Cs w:val="24"/>
                <w:highlight w:val="none"/>
                <w14:textFill>
                  <w14:solidFill>
                    <w14:schemeClr w14:val="tx1"/>
                  </w14:solidFill>
                </w14:textFill>
              </w:rPr>
              <w:t>分，扣光为止。</w:t>
            </w:r>
          </w:p>
          <w:p w14:paraId="58AB8346">
            <w:pPr>
              <w:pStyle w:val="2"/>
              <w:spacing w:line="440" w:lineRule="exact"/>
              <w:ind w:firstLine="0" w:firstLineChars="0"/>
              <w:rPr>
                <w:rFonts w:hint="eastAsia" w:ascii="仿宋_GB2312" w:hAnsi="仿宋_GB2312" w:eastAsia="仿宋_GB2312" w:cs="仿宋_GB2312"/>
                <w:color w:val="000000" w:themeColor="text1"/>
                <w:szCs w:val="24"/>
                <w:highlight w:val="none"/>
                <w14:textFill>
                  <w14:solidFill>
                    <w14:schemeClr w14:val="tx1"/>
                  </w14:solidFill>
                </w14:textFill>
              </w:rPr>
            </w:pPr>
            <w:r>
              <w:rPr>
                <w:rFonts w:hint="eastAsia" w:ascii="仿宋_GB2312" w:hAnsi="仿宋_GB2312" w:eastAsia="仿宋_GB2312" w:cs="仿宋_GB2312"/>
                <w:b/>
                <w:color w:val="000000" w:themeColor="text1"/>
                <w:szCs w:val="24"/>
                <w:highlight w:val="none"/>
                <w14:textFill>
                  <w14:solidFill>
                    <w14:schemeClr w14:val="tx1"/>
                  </w14:solidFill>
                </w14:textFill>
              </w:rPr>
              <w:t>注：投标人未按要求提供相关证明的，视作不符合要求，该项不得分。</w:t>
            </w:r>
          </w:p>
        </w:tc>
        <w:tc>
          <w:tcPr>
            <w:tcW w:w="625" w:type="dxa"/>
            <w:tcBorders>
              <w:top w:val="single" w:color="auto" w:sz="4" w:space="0"/>
              <w:left w:val="single" w:color="auto" w:sz="4" w:space="0"/>
              <w:right w:val="single" w:color="auto" w:sz="4" w:space="0"/>
            </w:tcBorders>
            <w:noWrap w:val="0"/>
            <w:vAlign w:val="center"/>
          </w:tcPr>
          <w:p w14:paraId="76A6961C">
            <w:pPr>
              <w:jc w:val="cente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20</w:t>
            </w:r>
          </w:p>
        </w:tc>
        <w:tc>
          <w:tcPr>
            <w:tcW w:w="821" w:type="dxa"/>
            <w:tcBorders>
              <w:top w:val="single" w:color="auto" w:sz="4" w:space="0"/>
              <w:left w:val="single" w:color="auto" w:sz="4" w:space="0"/>
              <w:right w:val="single" w:color="auto" w:sz="4" w:space="0"/>
            </w:tcBorders>
            <w:noWrap w:val="0"/>
            <w:vAlign w:val="center"/>
          </w:tcPr>
          <w:p w14:paraId="4A207A8C">
            <w:pPr>
              <w:adjustRightInd w:val="0"/>
              <w:snapToGrid w:val="0"/>
              <w:jc w:val="center"/>
              <w:rPr>
                <w:rFonts w:hint="eastAsia" w:ascii="仿宋_GB2312" w:hAnsi="仿宋_GB2312" w:eastAsia="仿宋_GB2312" w:cs="仿宋_GB2312"/>
                <w:b/>
                <w:color w:val="000000" w:themeColor="text1"/>
                <w:spacing w:val="4"/>
                <w:szCs w:val="21"/>
                <w:highlight w:val="none"/>
                <w14:textFill>
                  <w14:solidFill>
                    <w14:schemeClr w14:val="tx1"/>
                  </w14:solidFill>
                </w14:textFill>
              </w:rPr>
            </w:pPr>
            <w:r>
              <w:rPr>
                <w:rFonts w:hint="eastAsia" w:ascii="仿宋_GB2312" w:hAnsi="仿宋_GB2312" w:eastAsia="仿宋_GB2312" w:cs="仿宋_GB2312"/>
                <w:b/>
                <w:color w:val="000000" w:themeColor="text1"/>
                <w:spacing w:val="4"/>
                <w:szCs w:val="21"/>
                <w:highlight w:val="none"/>
                <w14:textFill>
                  <w14:solidFill>
                    <w14:schemeClr w14:val="tx1"/>
                  </w14:solidFill>
                </w14:textFill>
              </w:rPr>
              <w:t>客观分</w:t>
            </w:r>
          </w:p>
        </w:tc>
        <w:tc>
          <w:tcPr>
            <w:tcW w:w="1440" w:type="dxa"/>
            <w:tcBorders>
              <w:top w:val="single" w:color="auto" w:sz="4" w:space="0"/>
              <w:left w:val="single" w:color="auto" w:sz="4" w:space="0"/>
              <w:right w:val="single" w:color="auto" w:sz="4" w:space="0"/>
            </w:tcBorders>
            <w:noWrap w:val="0"/>
            <w:vAlign w:val="top"/>
          </w:tcPr>
          <w:p w14:paraId="0470A18B">
            <w:pPr>
              <w:adjustRightInd w:val="0"/>
              <w:snapToGrid w:val="0"/>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0C9A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85" w:type="dxa"/>
            <w:vMerge w:val="continue"/>
            <w:tcBorders>
              <w:left w:val="single" w:color="auto" w:sz="4" w:space="0"/>
              <w:right w:val="single" w:color="auto" w:sz="4" w:space="0"/>
            </w:tcBorders>
            <w:noWrap w:val="0"/>
            <w:vAlign w:val="center"/>
          </w:tcPr>
          <w:p w14:paraId="1169CB62">
            <w:pP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635" w:type="dxa"/>
            <w:tcBorders>
              <w:left w:val="single" w:color="auto" w:sz="4" w:space="0"/>
              <w:right w:val="single" w:color="auto" w:sz="4" w:space="0"/>
            </w:tcBorders>
            <w:noWrap w:val="0"/>
            <w:vAlign w:val="center"/>
          </w:tcPr>
          <w:p w14:paraId="5EA3D267">
            <w:pPr>
              <w:jc w:val="cente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7</w:t>
            </w:r>
          </w:p>
        </w:tc>
        <w:tc>
          <w:tcPr>
            <w:tcW w:w="4655" w:type="dxa"/>
            <w:tcBorders>
              <w:top w:val="single" w:color="auto" w:sz="4" w:space="0"/>
              <w:left w:val="single" w:color="auto" w:sz="4" w:space="0"/>
              <w:right w:val="single" w:color="auto" w:sz="4" w:space="0"/>
            </w:tcBorders>
            <w:noWrap w:val="0"/>
            <w:vAlign w:val="top"/>
          </w:tcPr>
          <w:p w14:paraId="0AD21FE4">
            <w:pPr>
              <w:pStyle w:val="2"/>
              <w:spacing w:line="440" w:lineRule="exact"/>
              <w:ind w:firstLine="0" w:firstLineChars="0"/>
              <w:rPr>
                <w:rFonts w:hint="eastAsia" w:ascii="仿宋_GB2312" w:hAnsi="仿宋_GB2312" w:eastAsia="仿宋_GB2312" w:cs="仿宋_GB2312"/>
                <w:color w:val="000000" w:themeColor="text1"/>
                <w:szCs w:val="24"/>
                <w:highlight w:val="none"/>
                <w14:textFill>
                  <w14:solidFill>
                    <w14:schemeClr w14:val="tx1"/>
                  </w14:solidFill>
                </w14:textFill>
              </w:rPr>
            </w:pPr>
            <w:r>
              <w:rPr>
                <w:rFonts w:hint="eastAsia" w:ascii="仿宋_GB2312" w:hAnsi="仿宋_GB2312" w:eastAsia="仿宋_GB2312" w:cs="仿宋_GB2312"/>
                <w:color w:val="000000" w:themeColor="text1"/>
                <w:szCs w:val="24"/>
                <w:highlight w:val="none"/>
                <w14:textFill>
                  <w14:solidFill>
                    <w14:schemeClr w14:val="tx1"/>
                  </w14:solidFill>
                </w14:textFill>
              </w:rPr>
              <w:t>根据投标人的投标文件是否满足本次招标文件第三部分采购需求</w:t>
            </w:r>
            <w:r>
              <w:rPr>
                <w:rFonts w:hint="eastAsia" w:ascii="仿宋_GB2312" w:hAnsi="仿宋_GB2312" w:eastAsia="仿宋_GB2312" w:cs="仿宋_GB2312"/>
                <w:color w:val="000000" w:themeColor="text1"/>
                <w:szCs w:val="24"/>
                <w:highlight w:val="none"/>
                <w:lang w:eastAsia="zh-CN"/>
                <w14:textFill>
                  <w14:solidFill>
                    <w14:schemeClr w14:val="tx1"/>
                  </w14:solidFill>
                </w14:textFill>
              </w:rPr>
              <w:t>二、</w:t>
            </w:r>
            <w:r>
              <w:rPr>
                <w:rFonts w:hint="eastAsia" w:ascii="仿宋_GB2312" w:hAnsi="仿宋_GB2312" w:eastAsia="仿宋_GB2312" w:cs="仿宋_GB2312"/>
                <w:color w:val="000000" w:themeColor="text1"/>
                <w:szCs w:val="24"/>
                <w:highlight w:val="none"/>
                <w14:textFill>
                  <w14:solidFill>
                    <w14:schemeClr w14:val="tx1"/>
                  </w14:solidFill>
                </w14:textFill>
              </w:rPr>
              <w:t>技术</w:t>
            </w:r>
            <w:r>
              <w:rPr>
                <w:rFonts w:hint="eastAsia" w:ascii="仿宋_GB2312" w:hAnsi="仿宋_GB2312" w:eastAsia="仿宋_GB2312" w:cs="仿宋_GB2312"/>
                <w:color w:val="000000" w:themeColor="text1"/>
                <w:szCs w:val="24"/>
                <w:highlight w:val="none"/>
                <w:lang w:eastAsia="zh-CN"/>
                <w14:textFill>
                  <w14:solidFill>
                    <w14:schemeClr w14:val="tx1"/>
                  </w14:solidFill>
                </w14:textFill>
              </w:rPr>
              <w:t>需</w:t>
            </w:r>
            <w:r>
              <w:rPr>
                <w:rFonts w:hint="eastAsia" w:ascii="仿宋_GB2312" w:hAnsi="仿宋_GB2312" w:eastAsia="仿宋_GB2312" w:cs="仿宋_GB2312"/>
                <w:color w:val="000000" w:themeColor="text1"/>
                <w:szCs w:val="24"/>
                <w:highlight w:val="none"/>
                <w14:textFill>
                  <w14:solidFill>
                    <w14:schemeClr w14:val="tx1"/>
                  </w14:solidFill>
                </w14:textFill>
              </w:rPr>
              <w:t>求</w:t>
            </w:r>
            <w:r>
              <w:rPr>
                <w:rFonts w:hint="eastAsia" w:ascii="仿宋_GB2312" w:hAnsi="仿宋_GB2312" w:eastAsia="仿宋_GB2312" w:cs="仿宋_GB2312"/>
                <w:szCs w:val="24"/>
                <w:highlight w:val="none"/>
              </w:rPr>
              <w:t>（不包括标注“▲”、“△”的技术参数要求）打分，</w:t>
            </w:r>
            <w:r>
              <w:rPr>
                <w:rFonts w:hint="eastAsia" w:ascii="仿宋_GB2312" w:hAnsi="仿宋_GB2312" w:eastAsia="仿宋_GB2312" w:cs="仿宋_GB2312"/>
                <w:color w:val="000000" w:themeColor="text1"/>
                <w:szCs w:val="24"/>
                <w:highlight w:val="none"/>
                <w14:textFill>
                  <w14:solidFill>
                    <w14:schemeClr w14:val="tx1"/>
                  </w14:solidFill>
                </w14:textFill>
              </w:rPr>
              <w:t>共</w:t>
            </w: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szCs w:val="24"/>
                <w:highlight w:val="none"/>
                <w:lang w:eastAsia="zh-CN"/>
                <w14:textFill>
                  <w14:solidFill>
                    <w14:schemeClr w14:val="tx1"/>
                  </w14:solidFill>
                </w14:textFill>
              </w:rPr>
              <w:t>项</w:t>
            </w:r>
            <w:r>
              <w:rPr>
                <w:rFonts w:hint="eastAsia" w:ascii="仿宋_GB2312" w:hAnsi="仿宋_GB2312" w:eastAsia="仿宋_GB2312" w:cs="仿宋_GB2312"/>
                <w:color w:val="000000" w:themeColor="text1"/>
                <w:szCs w:val="24"/>
                <w:highlight w:val="none"/>
                <w14:textFill>
                  <w14:solidFill>
                    <w14:schemeClr w14:val="tx1"/>
                  </w14:solidFill>
                </w14:textFill>
              </w:rPr>
              <w:t>16分，负偏离的每项扣0.</w:t>
            </w: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Cs w:val="24"/>
                <w:highlight w:val="none"/>
                <w14:textFill>
                  <w14:solidFill>
                    <w14:schemeClr w14:val="tx1"/>
                  </w14:solidFill>
                </w14:textFill>
              </w:rPr>
              <w:t>分，扣光为止。</w:t>
            </w:r>
          </w:p>
          <w:p w14:paraId="52E55EAA">
            <w:pPr>
              <w:pStyle w:val="2"/>
              <w:spacing w:line="440" w:lineRule="exact"/>
              <w:ind w:firstLine="0" w:firstLineChars="0"/>
              <w:rPr>
                <w:rFonts w:hint="eastAsia" w:ascii="仿宋_GB2312" w:hAnsi="仿宋_GB2312" w:eastAsia="仿宋_GB2312" w:cs="仿宋_GB2312"/>
                <w:color w:val="000000" w:themeColor="text1"/>
                <w:szCs w:val="24"/>
                <w:highlight w:val="none"/>
                <w14:textFill>
                  <w14:solidFill>
                    <w14:schemeClr w14:val="tx1"/>
                  </w14:solidFill>
                </w14:textFill>
              </w:rPr>
            </w:pPr>
            <w:r>
              <w:rPr>
                <w:rFonts w:hint="eastAsia" w:ascii="仿宋_GB2312" w:hAnsi="仿宋_GB2312" w:eastAsia="仿宋_GB2312" w:cs="仿宋_GB2312"/>
                <w:b/>
                <w:bCs/>
                <w:color w:val="000000" w:themeColor="text1"/>
                <w:szCs w:val="24"/>
                <w:highlight w:val="none"/>
                <w14:textFill>
                  <w14:solidFill>
                    <w14:schemeClr w14:val="tx1"/>
                  </w14:solidFill>
                </w14:textFill>
              </w:rPr>
              <w:t>注：投标人未按要求提供相关证明的，视作不符合要求，该项不得分。</w:t>
            </w:r>
          </w:p>
        </w:tc>
        <w:tc>
          <w:tcPr>
            <w:tcW w:w="625" w:type="dxa"/>
            <w:tcBorders>
              <w:top w:val="single" w:color="auto" w:sz="4" w:space="0"/>
              <w:left w:val="single" w:color="auto" w:sz="4" w:space="0"/>
              <w:right w:val="single" w:color="auto" w:sz="4" w:space="0"/>
            </w:tcBorders>
            <w:noWrap w:val="0"/>
            <w:vAlign w:val="center"/>
          </w:tcPr>
          <w:p w14:paraId="601C396F">
            <w:pPr>
              <w:jc w:val="center"/>
              <w:rPr>
                <w:rFonts w:hint="eastAsia" w:ascii="仿宋_GB2312" w:hAnsi="仿宋_GB2312" w:eastAsia="仿宋_GB2312" w:cs="仿宋_GB2312"/>
                <w:b/>
                <w:color w:val="000000" w:themeColor="text1"/>
                <w:spacing w:val="4"/>
                <w:szCs w:val="21"/>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pacing w:val="4"/>
                <w:szCs w:val="21"/>
                <w:highlight w:val="none"/>
                <w:lang w:val="en-US" w:eastAsia="zh-CN"/>
                <w14:textFill>
                  <w14:solidFill>
                    <w14:schemeClr w14:val="tx1"/>
                  </w14:solidFill>
                </w14:textFill>
              </w:rPr>
              <w:t>16</w:t>
            </w:r>
          </w:p>
        </w:tc>
        <w:tc>
          <w:tcPr>
            <w:tcW w:w="821" w:type="dxa"/>
            <w:tcBorders>
              <w:top w:val="single" w:color="auto" w:sz="4" w:space="0"/>
              <w:left w:val="single" w:color="auto" w:sz="4" w:space="0"/>
              <w:right w:val="single" w:color="auto" w:sz="4" w:space="0"/>
            </w:tcBorders>
            <w:noWrap w:val="0"/>
            <w:vAlign w:val="center"/>
          </w:tcPr>
          <w:p w14:paraId="59B797D5">
            <w:pPr>
              <w:adjustRightInd w:val="0"/>
              <w:snapToGrid w:val="0"/>
              <w:jc w:val="center"/>
              <w:rPr>
                <w:rFonts w:hint="eastAsia" w:ascii="仿宋_GB2312" w:hAnsi="仿宋_GB2312" w:eastAsia="仿宋_GB2312" w:cs="仿宋_GB2312"/>
                <w:b/>
                <w:color w:val="000000" w:themeColor="text1"/>
                <w:spacing w:val="4"/>
                <w:szCs w:val="21"/>
                <w:highlight w:val="none"/>
                <w14:textFill>
                  <w14:solidFill>
                    <w14:schemeClr w14:val="tx1"/>
                  </w14:solidFill>
                </w14:textFill>
              </w:rPr>
            </w:pPr>
          </w:p>
          <w:p w14:paraId="0B86DB2A">
            <w:pPr>
              <w:adjustRightInd w:val="0"/>
              <w:snapToGrid w:val="0"/>
              <w:jc w:val="center"/>
              <w:rPr>
                <w:rFonts w:hint="eastAsia" w:ascii="仿宋_GB2312" w:hAnsi="仿宋_GB2312" w:eastAsia="仿宋_GB2312" w:cs="仿宋_GB2312"/>
                <w:b/>
                <w:color w:val="000000" w:themeColor="text1"/>
                <w:spacing w:val="4"/>
                <w:szCs w:val="21"/>
                <w:highlight w:val="none"/>
                <w14:textFill>
                  <w14:solidFill>
                    <w14:schemeClr w14:val="tx1"/>
                  </w14:solidFill>
                </w14:textFill>
              </w:rPr>
            </w:pPr>
            <w:r>
              <w:rPr>
                <w:rFonts w:hint="eastAsia" w:ascii="仿宋_GB2312" w:hAnsi="仿宋_GB2312" w:eastAsia="仿宋_GB2312" w:cs="仿宋_GB2312"/>
                <w:b/>
                <w:color w:val="000000" w:themeColor="text1"/>
                <w:spacing w:val="4"/>
                <w:szCs w:val="21"/>
                <w:highlight w:val="none"/>
                <w14:textFill>
                  <w14:solidFill>
                    <w14:schemeClr w14:val="tx1"/>
                  </w14:solidFill>
                </w14:textFill>
              </w:rPr>
              <w:t>客观分</w:t>
            </w:r>
          </w:p>
        </w:tc>
        <w:tc>
          <w:tcPr>
            <w:tcW w:w="1440" w:type="dxa"/>
            <w:tcBorders>
              <w:top w:val="single" w:color="auto" w:sz="4" w:space="0"/>
              <w:left w:val="single" w:color="auto" w:sz="4" w:space="0"/>
              <w:right w:val="single" w:color="auto" w:sz="4" w:space="0"/>
            </w:tcBorders>
            <w:noWrap w:val="0"/>
            <w:vAlign w:val="top"/>
          </w:tcPr>
          <w:p w14:paraId="7A7A08C3">
            <w:pPr>
              <w:adjustRightInd w:val="0"/>
              <w:snapToGrid w:val="0"/>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0A50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85" w:type="dxa"/>
            <w:vMerge w:val="continue"/>
            <w:tcBorders>
              <w:left w:val="single" w:color="auto" w:sz="4" w:space="0"/>
              <w:right w:val="single" w:color="auto" w:sz="4" w:space="0"/>
            </w:tcBorders>
            <w:noWrap w:val="0"/>
            <w:vAlign w:val="center"/>
          </w:tcPr>
          <w:p w14:paraId="61AC33DF">
            <w:pPr>
              <w:rPr>
                <w:rFonts w:hint="eastAsia" w:ascii="仿宋_GB2312" w:hAnsi="仿宋_GB2312" w:eastAsia="仿宋_GB2312" w:cs="仿宋_GB2312"/>
                <w:color w:val="000000" w:themeColor="text1"/>
                <w:szCs w:val="21"/>
                <w:highlight w:val="none"/>
                <w14:textFill>
                  <w14:solidFill>
                    <w14:schemeClr w14:val="tx1"/>
                  </w14:solidFill>
                </w14:textFill>
              </w:rPr>
            </w:pPr>
          </w:p>
        </w:tc>
        <w:tc>
          <w:tcPr>
            <w:tcW w:w="635" w:type="dxa"/>
            <w:tcBorders>
              <w:left w:val="single" w:color="auto" w:sz="4" w:space="0"/>
              <w:right w:val="single" w:color="auto" w:sz="4" w:space="0"/>
            </w:tcBorders>
            <w:noWrap w:val="0"/>
            <w:vAlign w:val="center"/>
          </w:tcPr>
          <w:p w14:paraId="0B06411C">
            <w:pPr>
              <w:jc w:val="cente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p>
        </w:tc>
        <w:tc>
          <w:tcPr>
            <w:tcW w:w="4655" w:type="dxa"/>
            <w:tcBorders>
              <w:top w:val="single" w:color="auto" w:sz="4" w:space="0"/>
              <w:left w:val="single" w:color="auto" w:sz="4" w:space="0"/>
              <w:right w:val="single" w:color="auto" w:sz="4" w:space="0"/>
            </w:tcBorders>
            <w:noWrap w:val="0"/>
            <w:vAlign w:val="center"/>
          </w:tcPr>
          <w:p w14:paraId="79F62AA4">
            <w:pPr>
              <w:pStyle w:val="36"/>
              <w:spacing w:line="440" w:lineRule="exact"/>
              <w:ind w:firstLine="0" w:firstLineChars="0"/>
              <w:rPr>
                <w:rFonts w:hint="default" w:ascii="仿宋_GB2312" w:hAnsi="仿宋_GB2312" w:eastAsia="仿宋_GB2312" w:cs="仿宋_GB2312"/>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4"/>
                <w:highlight w:val="none"/>
                <w14:textFill>
                  <w14:solidFill>
                    <w14:schemeClr w14:val="tx1"/>
                  </w14:solidFill>
                </w14:textFill>
              </w:rPr>
              <w:t>据投标人为本项目提供的培训方案和技术指导方案</w:t>
            </w:r>
            <w:r>
              <w:rPr>
                <w:rFonts w:hint="eastAsia" w:ascii="仿宋_GB2312" w:hAnsi="仿宋_GB2312" w:cs="仿宋_GB2312"/>
                <w:color w:val="000000" w:themeColor="text1"/>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Cs w:val="24"/>
                <w:highlight w:val="none"/>
                <w14:textFill>
                  <w14:solidFill>
                    <w14:schemeClr w14:val="tx1"/>
                  </w14:solidFill>
                </w14:textFill>
              </w:rPr>
              <w:t>包括培训时间、内容、人员结构等情况打分，</w:t>
            </w:r>
            <w:r>
              <w:rPr>
                <w:rFonts w:hint="eastAsia" w:ascii="仿宋_GB2312" w:hAnsi="仿宋_GB2312" w:cs="仿宋_GB2312"/>
                <w:color w:val="000000" w:themeColor="text1"/>
                <w:szCs w:val="24"/>
                <w:highlight w:val="none"/>
                <w:lang w:eastAsia="zh-CN"/>
                <w14:textFill>
                  <w14:solidFill>
                    <w14:schemeClr w14:val="tx1"/>
                  </w14:solidFill>
                </w14:textFill>
              </w:rPr>
              <w:t>最多得</w:t>
            </w:r>
            <w:r>
              <w:rPr>
                <w:rFonts w:hint="eastAsia" w:ascii="仿宋_GB2312" w:hAnsi="仿宋_GB2312" w:cs="仿宋_GB2312"/>
                <w:color w:val="000000" w:themeColor="text1"/>
                <w:szCs w:val="24"/>
                <w:highlight w:val="none"/>
                <w:lang w:val="en-US" w:eastAsia="zh-CN"/>
                <w14:textFill>
                  <w14:solidFill>
                    <w14:schemeClr w14:val="tx1"/>
                  </w14:solidFill>
                </w14:textFill>
              </w:rPr>
              <w:t>6分。</w:t>
            </w:r>
          </w:p>
          <w:p w14:paraId="0D6BFEFD">
            <w:pPr>
              <w:pStyle w:val="36"/>
              <w:spacing w:line="440" w:lineRule="exact"/>
              <w:ind w:firstLine="0" w:firstLineChars="0"/>
              <w:rPr>
                <w:rFonts w:hint="eastAsia" w:ascii="仿宋_GB2312" w:hAnsi="仿宋_GB2312" w:eastAsia="仿宋_GB2312" w:cs="仿宋_GB2312"/>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Cs w:val="24"/>
                <w:highlight w:val="none"/>
                <w14:textFill>
                  <w14:solidFill>
                    <w14:schemeClr w14:val="tx1"/>
                  </w14:solidFill>
                </w14:textFill>
              </w:rPr>
              <w:t>以上每点，描述完整详细且与采购人实际需求完全契合的</w:t>
            </w:r>
            <w:r>
              <w:rPr>
                <w:rFonts w:hint="eastAsia" w:ascii="仿宋_GB2312" w:hAnsi="仿宋_GB2312" w:cs="仿宋_GB2312"/>
                <w:color w:val="000000" w:themeColor="text1"/>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Cs w:val="24"/>
                <w:highlight w:val="none"/>
                <w14:textFill>
                  <w14:solidFill>
                    <w14:schemeClr w14:val="tx1"/>
                  </w14:solidFill>
                </w14:textFill>
              </w:rPr>
              <w:t>得</w:t>
            </w: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Cs w:val="24"/>
                <w:highlight w:val="none"/>
                <w14:textFill>
                  <w14:solidFill>
                    <w14:schemeClr w14:val="tx1"/>
                  </w14:solidFill>
                </w14:textFill>
              </w:rPr>
              <w:t>分</w:t>
            </w:r>
            <w:r>
              <w:rPr>
                <w:rFonts w:hint="eastAsia" w:ascii="仿宋_GB2312" w:hAnsi="仿宋_GB2312" w:cs="仿宋_GB2312"/>
                <w:color w:val="000000" w:themeColor="text1"/>
                <w:szCs w:val="24"/>
                <w:highlight w:val="none"/>
                <w:lang w:eastAsia="zh-CN"/>
                <w14:textFill>
                  <w14:solidFill>
                    <w14:schemeClr w14:val="tx1"/>
                  </w14:solidFill>
                </w14:textFill>
              </w:rPr>
              <w:t>；</w:t>
            </w:r>
          </w:p>
          <w:p w14:paraId="21A1F635">
            <w:pPr>
              <w:pStyle w:val="36"/>
              <w:spacing w:line="440" w:lineRule="exact"/>
              <w:ind w:firstLine="0" w:firstLineChars="0"/>
              <w:rPr>
                <w:rFonts w:hint="eastAsia" w:ascii="仿宋_GB2312" w:hAnsi="仿宋_GB2312" w:eastAsia="仿宋_GB2312" w:cs="仿宋_GB2312"/>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Cs w:val="24"/>
                <w:highlight w:val="none"/>
                <w14:textFill>
                  <w14:solidFill>
                    <w14:schemeClr w14:val="tx1"/>
                  </w14:solidFill>
                </w14:textFill>
              </w:rPr>
              <w:t>描述较详细完整或与采购人实际需求部分符合的</w:t>
            </w:r>
            <w:r>
              <w:rPr>
                <w:rFonts w:hint="eastAsia" w:ascii="仿宋_GB2312" w:hAnsi="仿宋_GB2312" w:cs="仿宋_GB2312"/>
                <w:color w:val="000000" w:themeColor="text1"/>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Cs w:val="24"/>
                <w:highlight w:val="none"/>
                <w14:textFill>
                  <w14:solidFill>
                    <w14:schemeClr w14:val="tx1"/>
                  </w14:solidFill>
                </w14:textFill>
              </w:rPr>
              <w:t>得</w:t>
            </w: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Cs w:val="24"/>
                <w:highlight w:val="none"/>
                <w14:textFill>
                  <w14:solidFill>
                    <w14:schemeClr w14:val="tx1"/>
                  </w14:solidFill>
                </w14:textFill>
              </w:rPr>
              <w:t>分</w:t>
            </w:r>
            <w:r>
              <w:rPr>
                <w:rFonts w:hint="eastAsia" w:ascii="仿宋_GB2312" w:hAnsi="仿宋_GB2312" w:cs="仿宋_GB2312"/>
                <w:color w:val="000000" w:themeColor="text1"/>
                <w:szCs w:val="24"/>
                <w:highlight w:val="none"/>
                <w:lang w:eastAsia="zh-CN"/>
                <w14:textFill>
                  <w14:solidFill>
                    <w14:schemeClr w14:val="tx1"/>
                  </w14:solidFill>
                </w14:textFill>
              </w:rPr>
              <w:t>；</w:t>
            </w:r>
          </w:p>
          <w:p w14:paraId="2998BA0F">
            <w:pPr>
              <w:pStyle w:val="36"/>
              <w:spacing w:line="440" w:lineRule="exact"/>
              <w:ind w:firstLine="0" w:firstLineChars="0"/>
              <w:rPr>
                <w:rFonts w:hint="eastAsia" w:ascii="仿宋_GB2312" w:hAnsi="仿宋_GB2312" w:eastAsia="仿宋_GB2312" w:cs="仿宋_GB2312"/>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Cs w:val="24"/>
                <w:highlight w:val="none"/>
                <w14:textFill>
                  <w14:solidFill>
                    <w14:schemeClr w14:val="tx1"/>
                  </w14:solidFill>
                </w14:textFill>
              </w:rPr>
              <w:t>未提供或完全不符合采购人需求的</w:t>
            </w:r>
            <w:r>
              <w:rPr>
                <w:rFonts w:hint="eastAsia" w:ascii="仿宋_GB2312" w:hAnsi="仿宋_GB2312" w:cs="仿宋_GB2312"/>
                <w:color w:val="000000" w:themeColor="text1"/>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Cs w:val="24"/>
                <w:highlight w:val="none"/>
                <w14:textFill>
                  <w14:solidFill>
                    <w14:schemeClr w14:val="tx1"/>
                  </w14:solidFill>
                </w14:textFill>
              </w:rPr>
              <w:t>得0分</w:t>
            </w:r>
            <w:r>
              <w:rPr>
                <w:rFonts w:hint="eastAsia" w:ascii="仿宋_GB2312" w:hAnsi="仿宋_GB2312" w:cs="仿宋_GB2312"/>
                <w:color w:val="000000" w:themeColor="text1"/>
                <w:szCs w:val="24"/>
                <w:highlight w:val="none"/>
                <w:lang w:eastAsia="zh-CN"/>
                <w14:textFill>
                  <w14:solidFill>
                    <w14:schemeClr w14:val="tx1"/>
                  </w14:solidFill>
                </w14:textFill>
              </w:rPr>
              <w:t>。</w:t>
            </w:r>
          </w:p>
        </w:tc>
        <w:tc>
          <w:tcPr>
            <w:tcW w:w="625" w:type="dxa"/>
            <w:tcBorders>
              <w:top w:val="single" w:color="auto" w:sz="4" w:space="0"/>
              <w:left w:val="single" w:color="auto" w:sz="4" w:space="0"/>
              <w:right w:val="single" w:color="auto" w:sz="4" w:space="0"/>
            </w:tcBorders>
            <w:noWrap w:val="0"/>
            <w:vAlign w:val="center"/>
          </w:tcPr>
          <w:p w14:paraId="5040F972">
            <w:pPr>
              <w:jc w:val="cente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pacing w:val="4"/>
                <w:szCs w:val="21"/>
                <w:highlight w:val="none"/>
                <w:lang w:val="en-US" w:eastAsia="zh-CN"/>
                <w14:textFill>
                  <w14:solidFill>
                    <w14:schemeClr w14:val="tx1"/>
                  </w14:solidFill>
                </w14:textFill>
              </w:rPr>
              <w:t>6</w:t>
            </w:r>
          </w:p>
        </w:tc>
        <w:tc>
          <w:tcPr>
            <w:tcW w:w="821" w:type="dxa"/>
            <w:tcBorders>
              <w:top w:val="single" w:color="auto" w:sz="4" w:space="0"/>
              <w:left w:val="single" w:color="auto" w:sz="4" w:space="0"/>
              <w:right w:val="single" w:color="auto" w:sz="4" w:space="0"/>
            </w:tcBorders>
            <w:noWrap w:val="0"/>
            <w:vAlign w:val="center"/>
          </w:tcPr>
          <w:p w14:paraId="62C8387D">
            <w:pPr>
              <w:adjustRightInd w:val="0"/>
              <w:snapToGrid w:val="0"/>
              <w:jc w:val="center"/>
              <w:rPr>
                <w:rFonts w:hint="eastAsia" w:ascii="仿宋_GB2312" w:hAnsi="仿宋_GB2312" w:eastAsia="仿宋_GB2312" w:cs="仿宋_GB2312"/>
                <w:b/>
                <w:color w:val="000000" w:themeColor="text1"/>
                <w:spacing w:val="4"/>
                <w:szCs w:val="21"/>
                <w:highlight w:val="none"/>
                <w14:textFill>
                  <w14:solidFill>
                    <w14:schemeClr w14:val="tx1"/>
                  </w14:solidFill>
                </w14:textFill>
              </w:rPr>
            </w:pPr>
            <w:r>
              <w:rPr>
                <w:rFonts w:hint="eastAsia" w:ascii="仿宋_GB2312" w:hAnsi="仿宋_GB2312" w:eastAsia="仿宋_GB2312" w:cs="仿宋_GB2312"/>
                <w:b/>
                <w:color w:val="000000" w:themeColor="text1"/>
                <w:spacing w:val="4"/>
                <w:szCs w:val="21"/>
                <w:highlight w:val="none"/>
                <w14:textFill>
                  <w14:solidFill>
                    <w14:schemeClr w14:val="tx1"/>
                  </w14:solidFill>
                </w14:textFill>
              </w:rPr>
              <w:t>主观分</w:t>
            </w:r>
          </w:p>
        </w:tc>
        <w:tc>
          <w:tcPr>
            <w:tcW w:w="1440" w:type="dxa"/>
            <w:tcBorders>
              <w:top w:val="single" w:color="auto" w:sz="4" w:space="0"/>
              <w:left w:val="single" w:color="auto" w:sz="4" w:space="0"/>
              <w:right w:val="single" w:color="auto" w:sz="4" w:space="0"/>
            </w:tcBorders>
            <w:noWrap w:val="0"/>
            <w:vAlign w:val="top"/>
          </w:tcPr>
          <w:p w14:paraId="2756654A">
            <w:pPr>
              <w:adjustRightInd w:val="0"/>
              <w:snapToGrid w:val="0"/>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7797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885" w:type="dxa"/>
            <w:vMerge w:val="continue"/>
            <w:tcBorders>
              <w:left w:val="single" w:color="auto" w:sz="4" w:space="0"/>
              <w:right w:val="single" w:color="auto" w:sz="4" w:space="0"/>
            </w:tcBorders>
            <w:noWrap w:val="0"/>
            <w:vAlign w:val="center"/>
          </w:tcPr>
          <w:p w14:paraId="2AEB9240">
            <w:pPr>
              <w:rPr>
                <w:rFonts w:hint="eastAsia" w:ascii="仿宋_GB2312" w:hAnsi="仿宋_GB2312" w:eastAsia="仿宋_GB2312" w:cs="仿宋_GB2312"/>
                <w:color w:val="000000" w:themeColor="text1"/>
                <w:spacing w:val="4"/>
                <w:szCs w:val="21"/>
                <w:highlight w:val="none"/>
                <w14:textFill>
                  <w14:solidFill>
                    <w14:schemeClr w14:val="tx1"/>
                  </w14:solidFill>
                </w14:textFill>
              </w:rPr>
            </w:pPr>
          </w:p>
        </w:tc>
        <w:tc>
          <w:tcPr>
            <w:tcW w:w="635" w:type="dxa"/>
            <w:tcBorders>
              <w:left w:val="single" w:color="auto" w:sz="4" w:space="0"/>
              <w:right w:val="single" w:color="auto" w:sz="4" w:space="0"/>
            </w:tcBorders>
            <w:noWrap w:val="0"/>
            <w:vAlign w:val="center"/>
          </w:tcPr>
          <w:p w14:paraId="2CE4691B">
            <w:pPr>
              <w:widowControl/>
              <w:jc w:val="center"/>
              <w:rPr>
                <w:rFonts w:hint="eastAsia" w:ascii="仿宋_GB2312" w:hAnsi="仿宋_GB2312" w:eastAsia="仿宋_GB2312" w:cs="仿宋_GB2312"/>
                <w:color w:val="000000" w:themeColor="text1"/>
                <w:spacing w:val="4"/>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4"/>
                <w:sz w:val="24"/>
                <w:szCs w:val="24"/>
                <w:highlight w:val="none"/>
                <w:lang w:val="en-US" w:eastAsia="zh-CN"/>
                <w14:textFill>
                  <w14:solidFill>
                    <w14:schemeClr w14:val="tx1"/>
                  </w14:solidFill>
                </w14:textFill>
              </w:rPr>
              <w:t>9</w:t>
            </w:r>
          </w:p>
        </w:tc>
        <w:tc>
          <w:tcPr>
            <w:tcW w:w="4655" w:type="dxa"/>
            <w:tcBorders>
              <w:top w:val="single" w:color="auto" w:sz="4" w:space="0"/>
              <w:left w:val="single" w:color="auto" w:sz="4" w:space="0"/>
              <w:right w:val="single" w:color="auto" w:sz="4" w:space="0"/>
            </w:tcBorders>
            <w:noWrap w:val="0"/>
            <w:vAlign w:val="top"/>
          </w:tcPr>
          <w:p w14:paraId="083AEDCB">
            <w:pPr>
              <w:pStyle w:val="14"/>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据投标人为本项目提供的项目实施与质量保证措施方案</w:t>
            </w:r>
            <w:r>
              <w:rPr>
                <w:rFonts w:hint="eastAsia" w:ascii="仿宋_GB2312" w:hAnsi="仿宋_GB2312" w:eastAsia="仿宋_GB2312" w:cs="仿宋_GB2312"/>
                <w:color w:val="000000" w:themeColor="text1"/>
                <w:szCs w:val="24"/>
                <w:highlight w:val="none"/>
                <w14:textFill>
                  <w14:solidFill>
                    <w14:schemeClr w14:val="tx1"/>
                  </w14:solidFill>
                </w14:textFill>
              </w:rPr>
              <w:t>打分</w:t>
            </w:r>
            <w:r>
              <w:rPr>
                <w:rFonts w:hint="eastAsia" w:ascii="仿宋_GB2312" w:hAnsi="仿宋_GB2312" w:eastAsia="仿宋_GB2312" w:cs="仿宋_GB2312"/>
                <w:color w:val="000000" w:themeColor="text1"/>
                <w:highlight w:val="none"/>
                <w14:textFill>
                  <w14:solidFill>
                    <w14:schemeClr w14:val="tx1"/>
                  </w14:solidFill>
                </w14:textFill>
              </w:rPr>
              <w:t>，包括时间、内容</w:t>
            </w:r>
            <w:r>
              <w:rPr>
                <w:rFonts w:hint="eastAsia" w:hAnsi="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整体方案等情况打分，</w:t>
            </w:r>
            <w:r>
              <w:rPr>
                <w:rFonts w:hint="eastAsia" w:hAnsi="仿宋_GB2312" w:cs="仿宋_GB2312"/>
                <w:color w:val="000000" w:themeColor="text1"/>
                <w:highlight w:val="none"/>
                <w:lang w:eastAsia="zh-CN"/>
                <w14:textFill>
                  <w14:solidFill>
                    <w14:schemeClr w14:val="tx1"/>
                  </w14:solidFill>
                </w14:textFill>
              </w:rPr>
              <w:t>最多得</w:t>
            </w:r>
            <w:r>
              <w:rPr>
                <w:rFonts w:hint="eastAsia" w:hAnsi="仿宋_GB2312" w:cs="仿宋_GB2312"/>
                <w:color w:val="000000" w:themeColor="text1"/>
                <w:highlight w:val="none"/>
                <w:lang w:val="en-US" w:eastAsia="zh-CN"/>
                <w14:textFill>
                  <w14:solidFill>
                    <w14:schemeClr w14:val="tx1"/>
                  </w14:solidFill>
                </w14:textFill>
              </w:rPr>
              <w:t>3分。</w:t>
            </w:r>
          </w:p>
          <w:p w14:paraId="47E98CD6">
            <w:pPr>
              <w:pStyle w:val="14"/>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以上每点，描述完整详细且与采购人实际需求完全契合的</w:t>
            </w:r>
            <w:r>
              <w:rPr>
                <w:rFonts w:hint="eastAsia" w:hAnsi="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得1分</w:t>
            </w:r>
            <w:r>
              <w:rPr>
                <w:rFonts w:hint="eastAsia" w:hAnsi="仿宋_GB2312" w:cs="仿宋_GB2312"/>
                <w:color w:val="000000" w:themeColor="text1"/>
                <w:highlight w:val="none"/>
                <w:lang w:eastAsia="zh-CN"/>
                <w14:textFill>
                  <w14:solidFill>
                    <w14:schemeClr w14:val="tx1"/>
                  </w14:solidFill>
                </w14:textFill>
              </w:rPr>
              <w:t>；</w:t>
            </w:r>
          </w:p>
          <w:p w14:paraId="2977A418">
            <w:pPr>
              <w:pStyle w:val="14"/>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描述较详细完整或与采购人实际需求部分符合的</w:t>
            </w:r>
            <w:r>
              <w:rPr>
                <w:rFonts w:hint="eastAsia" w:hAnsi="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得0.5分</w:t>
            </w:r>
            <w:r>
              <w:rPr>
                <w:rFonts w:hint="eastAsia" w:hAnsi="仿宋_GB2312" w:cs="仿宋_GB2312"/>
                <w:color w:val="000000" w:themeColor="text1"/>
                <w:highlight w:val="none"/>
                <w:lang w:eastAsia="zh-CN"/>
                <w14:textFill>
                  <w14:solidFill>
                    <w14:schemeClr w14:val="tx1"/>
                  </w14:solidFill>
                </w14:textFill>
              </w:rPr>
              <w:t>；</w:t>
            </w:r>
          </w:p>
          <w:p w14:paraId="724FBE2C">
            <w:pPr>
              <w:pStyle w:val="14"/>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未提供或完全不符合采购人需求的</w:t>
            </w:r>
            <w:r>
              <w:rPr>
                <w:rFonts w:hint="eastAsia" w:hAnsi="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得0分</w:t>
            </w:r>
            <w:r>
              <w:rPr>
                <w:rFonts w:hint="eastAsia" w:hAnsi="仿宋_GB2312" w:cs="仿宋_GB2312"/>
                <w:color w:val="000000" w:themeColor="text1"/>
                <w:highlight w:val="none"/>
                <w:lang w:eastAsia="zh-CN"/>
                <w14:textFill>
                  <w14:solidFill>
                    <w14:schemeClr w14:val="tx1"/>
                  </w14:solidFill>
                </w14:textFill>
              </w:rPr>
              <w:t>。</w:t>
            </w:r>
          </w:p>
        </w:tc>
        <w:tc>
          <w:tcPr>
            <w:tcW w:w="625" w:type="dxa"/>
            <w:tcBorders>
              <w:top w:val="single" w:color="auto" w:sz="4" w:space="0"/>
              <w:left w:val="single" w:color="auto" w:sz="4" w:space="0"/>
              <w:right w:val="single" w:color="auto" w:sz="4" w:space="0"/>
            </w:tcBorders>
            <w:noWrap w:val="0"/>
            <w:vAlign w:val="center"/>
          </w:tcPr>
          <w:p w14:paraId="33293463">
            <w:pPr>
              <w:ind w:firstLine="109" w:firstLineChars="50"/>
              <w:jc w:val="center"/>
              <w:outlineLvl w:val="0"/>
              <w:rPr>
                <w:rFonts w:hint="eastAsia" w:ascii="仿宋_GB2312" w:hAnsi="仿宋_GB2312" w:eastAsia="仿宋_GB2312" w:cs="仿宋_GB2312"/>
                <w:b/>
                <w:color w:val="000000" w:themeColor="text1"/>
                <w:spacing w:val="4"/>
                <w:szCs w:val="21"/>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pacing w:val="4"/>
                <w:szCs w:val="21"/>
                <w:highlight w:val="none"/>
                <w:lang w:val="en-US" w:eastAsia="zh-CN"/>
                <w14:textFill>
                  <w14:solidFill>
                    <w14:schemeClr w14:val="tx1"/>
                  </w14:solidFill>
                </w14:textFill>
              </w:rPr>
              <w:t>3</w:t>
            </w:r>
          </w:p>
        </w:tc>
        <w:tc>
          <w:tcPr>
            <w:tcW w:w="821" w:type="dxa"/>
            <w:tcBorders>
              <w:top w:val="single" w:color="auto" w:sz="4" w:space="0"/>
              <w:left w:val="single" w:color="auto" w:sz="4" w:space="0"/>
              <w:right w:val="single" w:color="auto" w:sz="4" w:space="0"/>
            </w:tcBorders>
            <w:noWrap w:val="0"/>
            <w:vAlign w:val="center"/>
          </w:tcPr>
          <w:p w14:paraId="25FFD287">
            <w:pPr>
              <w:adjustRightInd w:val="0"/>
              <w:snapToGrid w:val="0"/>
              <w:jc w:val="center"/>
              <w:rPr>
                <w:rFonts w:hint="eastAsia" w:ascii="仿宋_GB2312" w:hAnsi="仿宋_GB2312" w:eastAsia="仿宋_GB2312" w:cs="仿宋_GB2312"/>
                <w:b/>
                <w:color w:val="000000" w:themeColor="text1"/>
                <w:spacing w:val="4"/>
                <w:szCs w:val="21"/>
                <w:highlight w:val="none"/>
                <w14:textFill>
                  <w14:solidFill>
                    <w14:schemeClr w14:val="tx1"/>
                  </w14:solidFill>
                </w14:textFill>
              </w:rPr>
            </w:pPr>
            <w:r>
              <w:rPr>
                <w:rFonts w:hint="eastAsia" w:ascii="仿宋_GB2312" w:hAnsi="仿宋_GB2312" w:eastAsia="仿宋_GB2312" w:cs="仿宋_GB2312"/>
                <w:b/>
                <w:color w:val="000000" w:themeColor="text1"/>
                <w:spacing w:val="4"/>
                <w:szCs w:val="21"/>
                <w:highlight w:val="none"/>
                <w14:textFill>
                  <w14:solidFill>
                    <w14:schemeClr w14:val="tx1"/>
                  </w14:solidFill>
                </w14:textFill>
              </w:rPr>
              <w:t>主观分</w:t>
            </w:r>
          </w:p>
        </w:tc>
        <w:tc>
          <w:tcPr>
            <w:tcW w:w="1440" w:type="dxa"/>
            <w:tcBorders>
              <w:top w:val="single" w:color="auto" w:sz="4" w:space="0"/>
              <w:left w:val="single" w:color="auto" w:sz="4" w:space="0"/>
              <w:right w:val="single" w:color="auto" w:sz="4" w:space="0"/>
            </w:tcBorders>
            <w:noWrap w:val="0"/>
            <w:vAlign w:val="top"/>
          </w:tcPr>
          <w:p w14:paraId="29858230">
            <w:pPr>
              <w:adjustRightInd w:val="0"/>
              <w:snapToGrid w:val="0"/>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342E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85" w:type="dxa"/>
            <w:vMerge w:val="continue"/>
            <w:tcBorders>
              <w:left w:val="single" w:color="auto" w:sz="4" w:space="0"/>
              <w:right w:val="single" w:color="auto" w:sz="4" w:space="0"/>
            </w:tcBorders>
            <w:noWrap w:val="0"/>
            <w:vAlign w:val="center"/>
          </w:tcPr>
          <w:p w14:paraId="3B5E0751">
            <w:pPr>
              <w:rPr>
                <w:rFonts w:hint="eastAsia" w:ascii="仿宋_GB2312" w:hAnsi="仿宋_GB2312" w:eastAsia="仿宋_GB2312" w:cs="仿宋_GB2312"/>
                <w:color w:val="000000" w:themeColor="text1"/>
                <w:spacing w:val="4"/>
                <w:szCs w:val="21"/>
                <w:highlight w:val="none"/>
                <w14:textFill>
                  <w14:solidFill>
                    <w14:schemeClr w14:val="tx1"/>
                  </w14:solidFill>
                </w14:textFill>
              </w:rPr>
            </w:pPr>
          </w:p>
        </w:tc>
        <w:tc>
          <w:tcPr>
            <w:tcW w:w="635" w:type="dxa"/>
            <w:tcBorders>
              <w:left w:val="single" w:color="auto" w:sz="4" w:space="0"/>
              <w:right w:val="single" w:color="auto" w:sz="4" w:space="0"/>
            </w:tcBorders>
            <w:noWrap w:val="0"/>
            <w:vAlign w:val="center"/>
          </w:tcPr>
          <w:p w14:paraId="2C18FA2E">
            <w:pPr>
              <w:widowControl/>
              <w:jc w:val="center"/>
              <w:rPr>
                <w:rFonts w:hint="eastAsia" w:ascii="仿宋_GB2312" w:hAnsi="仿宋_GB2312" w:eastAsia="仿宋_GB2312" w:cs="仿宋_GB2312"/>
                <w:color w:val="000000" w:themeColor="text1"/>
                <w:spacing w:val="4"/>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4"/>
                <w:sz w:val="24"/>
                <w:szCs w:val="24"/>
                <w:highlight w:val="none"/>
                <w:lang w:val="en-US" w:eastAsia="zh-CN"/>
                <w14:textFill>
                  <w14:solidFill>
                    <w14:schemeClr w14:val="tx1"/>
                  </w14:solidFill>
                </w14:textFill>
              </w:rPr>
              <w:t>10</w:t>
            </w:r>
          </w:p>
        </w:tc>
        <w:tc>
          <w:tcPr>
            <w:tcW w:w="4655" w:type="dxa"/>
            <w:tcBorders>
              <w:top w:val="single" w:color="auto" w:sz="4" w:space="0"/>
              <w:left w:val="single" w:color="auto" w:sz="4" w:space="0"/>
              <w:right w:val="single" w:color="auto" w:sz="4" w:space="0"/>
            </w:tcBorders>
            <w:shd w:val="clear" w:color="auto" w:fill="auto"/>
            <w:noWrap w:val="0"/>
            <w:vAlign w:val="top"/>
          </w:tcPr>
          <w:p w14:paraId="303D1D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所投办公台式电脑通过“国家电子计算机质量检测中心信息安全评估”的得3分。（需提供证书或提供产品官方网站截图及链接）</w:t>
            </w:r>
          </w:p>
          <w:p w14:paraId="235FE9B4">
            <w:pPr>
              <w:rPr>
                <w:rFonts w:hint="eastAsia" w:ascii="仿宋_GB2312" w:hAnsi="仿宋_GB2312" w:eastAsia="仿宋_GB2312" w:cs="仿宋_GB2312"/>
                <w:color w:val="000000" w:themeColor="text1"/>
                <w:kern w:val="2"/>
                <w:sz w:val="24"/>
                <w:szCs w:val="2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注：投标人未按要求提供相关证明的，视作不符合要求，该项不得分。</w:t>
            </w:r>
          </w:p>
        </w:tc>
        <w:tc>
          <w:tcPr>
            <w:tcW w:w="625" w:type="dxa"/>
            <w:tcBorders>
              <w:top w:val="single" w:color="auto" w:sz="4" w:space="0"/>
              <w:left w:val="single" w:color="auto" w:sz="4" w:space="0"/>
              <w:right w:val="single" w:color="auto" w:sz="4" w:space="0"/>
            </w:tcBorders>
            <w:noWrap w:val="0"/>
            <w:vAlign w:val="center"/>
          </w:tcPr>
          <w:p w14:paraId="1CD16B88">
            <w:pPr>
              <w:ind w:firstLine="109" w:firstLineChars="50"/>
              <w:jc w:val="center"/>
              <w:outlineLvl w:val="0"/>
              <w:rPr>
                <w:rFonts w:hint="eastAsia" w:ascii="仿宋_GB2312" w:hAnsi="仿宋_GB2312" w:eastAsia="仿宋_GB2312" w:cs="仿宋_GB2312"/>
                <w:b/>
                <w:color w:val="000000" w:themeColor="text1"/>
                <w:spacing w:val="4"/>
                <w:szCs w:val="21"/>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pacing w:val="4"/>
                <w:szCs w:val="21"/>
                <w:highlight w:val="none"/>
                <w:lang w:val="en-US" w:eastAsia="zh-CN"/>
                <w14:textFill>
                  <w14:solidFill>
                    <w14:schemeClr w14:val="tx1"/>
                  </w14:solidFill>
                </w14:textFill>
              </w:rPr>
              <w:t>3</w:t>
            </w:r>
          </w:p>
        </w:tc>
        <w:tc>
          <w:tcPr>
            <w:tcW w:w="821" w:type="dxa"/>
            <w:tcBorders>
              <w:top w:val="single" w:color="auto" w:sz="4" w:space="0"/>
              <w:left w:val="single" w:color="auto" w:sz="4" w:space="0"/>
              <w:right w:val="single" w:color="auto" w:sz="4" w:space="0"/>
            </w:tcBorders>
            <w:noWrap w:val="0"/>
            <w:vAlign w:val="center"/>
          </w:tcPr>
          <w:p w14:paraId="301E28B2">
            <w:pPr>
              <w:adjustRightInd w:val="0"/>
              <w:snapToGrid w:val="0"/>
              <w:jc w:val="center"/>
              <w:rPr>
                <w:rFonts w:hint="eastAsia" w:ascii="仿宋_GB2312" w:hAnsi="仿宋_GB2312" w:eastAsia="仿宋_GB2312" w:cs="仿宋_GB2312"/>
                <w:b/>
                <w:color w:val="000000" w:themeColor="text1"/>
                <w:spacing w:val="4"/>
                <w:szCs w:val="21"/>
                <w:highlight w:val="none"/>
                <w14:textFill>
                  <w14:solidFill>
                    <w14:schemeClr w14:val="tx1"/>
                  </w14:solidFill>
                </w14:textFill>
              </w:rPr>
            </w:pPr>
            <w:r>
              <w:rPr>
                <w:rFonts w:hint="eastAsia" w:ascii="仿宋_GB2312" w:hAnsi="仿宋_GB2312" w:eastAsia="仿宋_GB2312" w:cs="仿宋_GB2312"/>
                <w:b/>
                <w:color w:val="000000" w:themeColor="text1"/>
                <w:spacing w:val="4"/>
                <w:szCs w:val="21"/>
                <w:highlight w:val="none"/>
                <w14:textFill>
                  <w14:solidFill>
                    <w14:schemeClr w14:val="tx1"/>
                  </w14:solidFill>
                </w14:textFill>
              </w:rPr>
              <w:t>客观分</w:t>
            </w:r>
          </w:p>
        </w:tc>
        <w:tc>
          <w:tcPr>
            <w:tcW w:w="1440" w:type="dxa"/>
            <w:tcBorders>
              <w:top w:val="single" w:color="auto" w:sz="4" w:space="0"/>
              <w:left w:val="single" w:color="auto" w:sz="4" w:space="0"/>
              <w:right w:val="single" w:color="auto" w:sz="4" w:space="0"/>
            </w:tcBorders>
            <w:noWrap w:val="0"/>
            <w:vAlign w:val="top"/>
          </w:tcPr>
          <w:p w14:paraId="534C634C">
            <w:pPr>
              <w:adjustRightInd w:val="0"/>
              <w:snapToGrid w:val="0"/>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0DBE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85" w:type="dxa"/>
            <w:tcBorders>
              <w:left w:val="single" w:color="auto" w:sz="4" w:space="0"/>
              <w:right w:val="single" w:color="auto" w:sz="4" w:space="0"/>
            </w:tcBorders>
            <w:noWrap w:val="0"/>
            <w:vAlign w:val="center"/>
          </w:tcPr>
          <w:p w14:paraId="46079E79">
            <w:pPr>
              <w:topLinePunct/>
              <w:spacing w:line="360" w:lineRule="auto"/>
              <w:contextualSpacing/>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报价</w:t>
            </w:r>
          </w:p>
          <w:p w14:paraId="1ECA2078">
            <w:pPr>
              <w:ind w:firstLine="120" w:firstLineChars="50"/>
              <w:rPr>
                <w:rFonts w:hint="eastAsia" w:ascii="仿宋_GB2312" w:hAnsi="仿宋_GB2312" w:eastAsia="仿宋_GB2312" w:cs="仿宋_GB2312"/>
                <w:color w:val="000000" w:themeColor="text1"/>
                <w:spacing w:val="4"/>
                <w:szCs w:val="21"/>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（30分）</w:t>
            </w:r>
          </w:p>
        </w:tc>
        <w:tc>
          <w:tcPr>
            <w:tcW w:w="635" w:type="dxa"/>
            <w:tcBorders>
              <w:left w:val="single" w:color="auto" w:sz="4" w:space="0"/>
              <w:right w:val="single" w:color="auto" w:sz="4" w:space="0"/>
            </w:tcBorders>
            <w:noWrap w:val="0"/>
            <w:vAlign w:val="center"/>
          </w:tcPr>
          <w:p w14:paraId="176B9DA5">
            <w:pPr>
              <w:jc w:val="center"/>
              <w:rPr>
                <w:rFonts w:hint="eastAsia" w:ascii="仿宋_GB2312" w:hAnsi="仿宋_GB2312" w:eastAsia="仿宋_GB2312" w:cs="仿宋_GB2312"/>
                <w:color w:val="000000" w:themeColor="text1"/>
                <w:spacing w:val="4"/>
                <w:sz w:val="24"/>
                <w:szCs w:val="24"/>
                <w:highlight w:val="none"/>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4"/>
                <w:sz w:val="24"/>
                <w:szCs w:val="24"/>
                <w:highlight w:val="none"/>
                <w:lang w:val="en-US" w:eastAsia="zh-CN" w:bidi="en-US"/>
                <w14:textFill>
                  <w14:solidFill>
                    <w14:schemeClr w14:val="tx1"/>
                  </w14:solidFill>
                </w14:textFill>
              </w:rPr>
              <w:t>11</w:t>
            </w:r>
          </w:p>
        </w:tc>
        <w:tc>
          <w:tcPr>
            <w:tcW w:w="4655" w:type="dxa"/>
            <w:tcBorders>
              <w:top w:val="single" w:color="auto" w:sz="4" w:space="0"/>
              <w:left w:val="single" w:color="auto" w:sz="4" w:space="0"/>
              <w:bottom w:val="single" w:color="auto" w:sz="4" w:space="0"/>
              <w:right w:val="single" w:color="auto" w:sz="4" w:space="0"/>
            </w:tcBorders>
            <w:noWrap w:val="0"/>
            <w:vAlign w:val="center"/>
          </w:tcPr>
          <w:p w14:paraId="0AC44126">
            <w:pPr>
              <w:spacing w:line="440" w:lineRule="exact"/>
              <w:jc w:val="left"/>
              <w:outlineLvl w:val="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有效投标报价的最低价作为评标基准价，其最低报价为满分；按［投标报价得分=（评标基准价/投标报价）*30］的计算公式计算。</w:t>
            </w:r>
          </w:p>
          <w:p w14:paraId="005D4963">
            <w:pPr>
              <w:widowControl/>
              <w:shd w:val="clear" w:color="auto" w:fill="FFFFFF"/>
              <w:spacing w:line="440" w:lineRule="exact"/>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评标过程中，不得去掉报价中的最高报价和最低报价。</w:t>
            </w:r>
          </w:p>
          <w:p w14:paraId="74785540">
            <w:pPr>
              <w:spacing w:line="440" w:lineRule="exact"/>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因落实政府采购政策需要进行价格调整的，以调整后的价格计算评标基准价和投标报价。</w:t>
            </w:r>
          </w:p>
        </w:tc>
        <w:tc>
          <w:tcPr>
            <w:tcW w:w="625" w:type="dxa"/>
            <w:tcBorders>
              <w:top w:val="single" w:color="auto" w:sz="4" w:space="0"/>
              <w:left w:val="single" w:color="auto" w:sz="4" w:space="0"/>
              <w:bottom w:val="single" w:color="auto" w:sz="4" w:space="0"/>
              <w:right w:val="single" w:color="auto" w:sz="4" w:space="0"/>
            </w:tcBorders>
            <w:noWrap w:val="0"/>
            <w:vAlign w:val="center"/>
          </w:tcPr>
          <w:p w14:paraId="5F90C238">
            <w:pPr>
              <w:ind w:firstLine="120" w:firstLineChars="50"/>
              <w:jc w:val="center"/>
              <w:outlineLvl w:val="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30</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62DF7C90">
            <w:pPr>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价格分</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2027EC32">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bl>
    <w:p w14:paraId="35417428">
      <w:pPr>
        <w:spacing w:line="420" w:lineRule="exact"/>
        <w:contextualSpacing/>
        <w:rPr>
          <w:rFonts w:hint="eastAsia" w:ascii="仿宋_GB2312" w:hAnsi="仿宋_GB2312" w:eastAsia="仿宋_GB2312" w:cs="仿宋_GB2312"/>
          <w:b/>
          <w:color w:val="auto"/>
          <w:sz w:val="24"/>
          <w:szCs w:val="24"/>
          <w:highlight w:val="none"/>
        </w:rPr>
      </w:pPr>
    </w:p>
    <w:p w14:paraId="7474503B">
      <w:pPr>
        <w:spacing w:line="420" w:lineRule="exact"/>
        <w:ind w:firstLine="472" w:firstLineChars="196"/>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*备注：投标人编制投标文件（商务技术文件部分）时，建议按此目录（序号和内容）提供评标标准相应的商务技术资料。 </w:t>
      </w:r>
    </w:p>
    <w:p w14:paraId="33E6F474">
      <w:pPr>
        <w:spacing w:line="420" w:lineRule="exact"/>
        <w:ind w:firstLine="482" w:firstLineChars="200"/>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一、评标方法</w:t>
      </w:r>
    </w:p>
    <w:p w14:paraId="6CE3461D">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1.本项目采用综合评分法。综合评分法，是指投标文件满足招标文件全部实质性要求，且按照评审因素的量化指标评审得分最高的投标人为中标候选人的评标方法。评分过程中采用四舍五入法，并保留小数2位。</w:t>
      </w:r>
    </w:p>
    <w:p w14:paraId="79A11A79">
      <w:pPr>
        <w:keepNext w:val="0"/>
        <w:keepLines w:val="0"/>
        <w:pageBreakBefore w:val="0"/>
        <w:widowControl w:val="0"/>
        <w:kinsoku/>
        <w:wordWrap/>
        <w:overflowPunct/>
        <w:topLinePunct w:val="0"/>
        <w:autoSpaceDE/>
        <w:autoSpaceDN/>
        <w:bidi w:val="0"/>
        <w:adjustRightInd/>
        <w:snapToGrid/>
        <w:spacing w:line="420" w:lineRule="exact"/>
        <w:ind w:firstLine="482" w:firstLineChars="200"/>
        <w:contextualSpacing/>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二、评标标准</w:t>
      </w:r>
    </w:p>
    <w:p w14:paraId="1025781F">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 评标标准：见评标办法前附表。</w:t>
      </w:r>
    </w:p>
    <w:p w14:paraId="1D92E8C4">
      <w:pPr>
        <w:keepNext w:val="0"/>
        <w:keepLines w:val="0"/>
        <w:pageBreakBefore w:val="0"/>
        <w:widowControl w:val="0"/>
        <w:kinsoku/>
        <w:wordWrap/>
        <w:overflowPunct/>
        <w:topLinePunct w:val="0"/>
        <w:autoSpaceDE/>
        <w:autoSpaceDN/>
        <w:bidi w:val="0"/>
        <w:adjustRightInd/>
        <w:snapToGrid/>
        <w:spacing w:line="420" w:lineRule="exact"/>
        <w:ind w:firstLine="482" w:firstLineChars="200"/>
        <w:contextualSpacing/>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三、评标程序</w:t>
      </w:r>
    </w:p>
    <w:p w14:paraId="4089B68D">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3.1符合性审查。评标委员会应当对符合资格的投标人的投标文件进行符合性审查，以确定其是否满足招标文件的实质性要求。不满足招标文件的实质性要求的，投标无效。</w:t>
      </w:r>
    </w:p>
    <w:p w14:paraId="36930B65">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 比较与评价。评标委员会应当按照招标文件中规定的评标方法和标准，对符合性审查合格的投标文件进行商务和技术评估，综合比较与评价。</w:t>
      </w:r>
    </w:p>
    <w:p w14:paraId="4E506777">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3.3汇总商务技术得分。评标委员会各成员应当独立对每个投标人的商务和技术文件进行评价，并汇总商务技术得分情况。</w:t>
      </w:r>
    </w:p>
    <w:p w14:paraId="5F25F739">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3.4报价评审。</w:t>
      </w:r>
    </w:p>
    <w:p w14:paraId="16B89615">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3.4.1投标文件报价出现前后不一致的，按照下列规定修正：</w:t>
      </w:r>
    </w:p>
    <w:p w14:paraId="6084B2AE">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3.4.1.1投标文件中开标一览表(报价表)内容与投标文件中相应内容不一致的，以开标一览表(报价表)为准;</w:t>
      </w:r>
    </w:p>
    <w:p w14:paraId="2D6A9888">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3.4.1.2大写金额和小写金额不一致的，以大写金额为准;</w:t>
      </w:r>
    </w:p>
    <w:p w14:paraId="30CDE9D1">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3.4.1.3单价金额小数点或者百分比有明显错位的，以开标一览表的总价为准，并修改单价;</w:t>
      </w:r>
    </w:p>
    <w:p w14:paraId="0E58AD33">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3.4.1.4总价金额与按单价汇总金额不一致的，以单价金额计算结果为准。</w:t>
      </w:r>
    </w:p>
    <w:p w14:paraId="64F0B892">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3.4.1.5同时出现两种以上不一致的，按照3.4.1规定的顺序修正。修正后的报价按照财政部第87号令《政府采购货物和服务招标投标管理办法》第五十一条第二款的规定经投标人确认后产生约束力。</w:t>
      </w:r>
    </w:p>
    <w:p w14:paraId="396AEA44">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3.4.2投标文件出现不是唯一的、有选择性投标报价的，投标无效。</w:t>
      </w:r>
    </w:p>
    <w:p w14:paraId="57FB8729">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3.4.3投标报价超过招标文件中规定的预算金额或者最高限价的，投标无效。</w:t>
      </w:r>
    </w:p>
    <w:p w14:paraId="3E216CA8">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1FDD9BA1">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3.4.5评标委员会对投标人的报价启动异常低价审查的，应当要求其在合理的时间内提供书面说明，投标人不能在合理的时间内提供相关书面说明、证明材料，或者提供的书面说明、证明材料不能证明其报价合理性的,评标委员会应当将其作为无效投标处理。</w:t>
      </w:r>
    </w:p>
    <w:p w14:paraId="310EA6C9">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3.5排序与推荐。采用综合评分法的，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DCA7895">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3F8CE437">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3.6编写评标报告。评标委员会根据全体评标成员签字的原始评标记录和评标结果编写评标报告，由采购人委托评标委员会在评标报告确定的中标候选人名单中按顺序确定中标人。评标委员会成员对需要共同认定的事项存在争议的，应当按照少数服从多数的原则作出结论。持不同意见的评标委员会成员应当在评标报告上签署不同意见及理由，否则视为同意评标报告。</w:t>
      </w:r>
    </w:p>
    <w:p w14:paraId="5D010EDE">
      <w:pPr>
        <w:keepNext w:val="0"/>
        <w:keepLines w:val="0"/>
        <w:pageBreakBefore w:val="0"/>
        <w:widowControl w:val="0"/>
        <w:kinsoku/>
        <w:wordWrap/>
        <w:overflowPunct/>
        <w:topLinePunct w:val="0"/>
        <w:autoSpaceDE/>
        <w:autoSpaceDN/>
        <w:bidi w:val="0"/>
        <w:adjustRightInd/>
        <w:snapToGrid/>
        <w:spacing w:line="420" w:lineRule="exact"/>
        <w:ind w:firstLine="602" w:firstLineChars="250"/>
        <w:contextualSpacing/>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四、评标中的其他事项</w:t>
      </w:r>
    </w:p>
    <w:p w14:paraId="49E4ED1D">
      <w:pPr>
        <w:keepNext w:val="0"/>
        <w:keepLines w:val="0"/>
        <w:pageBreakBefore w:val="0"/>
        <w:widowControl w:val="0"/>
        <w:kinsoku/>
        <w:wordWrap/>
        <w:overflowPunct/>
        <w:topLinePunct w:val="0"/>
        <w:autoSpaceDE/>
        <w:autoSpaceDN/>
        <w:bidi w:val="0"/>
        <w:adjustRightInd/>
        <w:snapToGrid/>
        <w:spacing w:line="420" w:lineRule="exact"/>
        <w:ind w:firstLine="600" w:firstLineChars="25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4.1投标人澄清、说明或者补正。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C95796F">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4.2投标无效。有下列情况之一的，投标无效：</w:t>
      </w:r>
    </w:p>
    <w:p w14:paraId="2DEA8B70">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4.2.1单位负责人为同一人或者存在直接控股、管理关系的不同供应商参加同一合同项下的政府采购活动的（均无效）；</w:t>
      </w:r>
    </w:p>
    <w:p w14:paraId="24EBD504">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4.2.2为采购项目提供整体设计、规范编制或者项目管理、监理、检测等服务的供应商再参加该采购项目的其他采购活动的； </w:t>
      </w:r>
    </w:p>
    <w:p w14:paraId="5651E306">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4.2.3投标人不具备招标文件中规定的资格要求的（投标人未提供有效的资格证明文件的，视为投标人不具备招标文件中规定的资格要求）；</w:t>
      </w:r>
    </w:p>
    <w:p w14:paraId="56D029CC">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4.2.4如以联合体形式参加政府采购活动的，联合体协议不符合招标文件规定的联合体协议要求的；</w:t>
      </w:r>
    </w:p>
    <w:p w14:paraId="5AE1D5F3">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4.2.5投标文件未按招标文件的澄清、修改的内容编制，又不符合实质性要求的；</w:t>
      </w:r>
    </w:p>
    <w:p w14:paraId="1A5F6F85">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4.2.6投标文件组成不全或内容字迹模糊辨认不清的而导致评标无法正常进行（经评标委员会认定并允许其当场更正的笔误除外的）；</w:t>
      </w:r>
    </w:p>
    <w:p w14:paraId="43782BC0">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投标文件未按照招标文件要求签署、盖章的；</w:t>
      </w:r>
    </w:p>
    <w:p w14:paraId="017615EA">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采购人拟采购的产品属于政府强制采购的节能产品品目清单范围的，投标人未按招标文件要求提供国家确定的认证机构出具的、处于有效期之内的节能产品认证证书的；</w:t>
      </w:r>
    </w:p>
    <w:p w14:paraId="0C77E1FD">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w:t>
      </w: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投标文件含有采购人不能接受的附加条件的；</w:t>
      </w:r>
    </w:p>
    <w:p w14:paraId="7D4C1A45">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投标文件中承诺的投标有效期少于招标文件中载明的投标有效期的；</w:t>
      </w:r>
    </w:p>
    <w:p w14:paraId="6DD18AE0">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投标人所投内容不符合招标文件中实质性要求的；</w:t>
      </w:r>
    </w:p>
    <w:p w14:paraId="6A2C095C">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投标文件出现不是唯一的、有选择性投标报价的;</w:t>
      </w:r>
    </w:p>
    <w:p w14:paraId="48A0B4DC">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投标报价高于本项目采购预算或者最高限价的;</w:t>
      </w:r>
    </w:p>
    <w:p w14:paraId="23F362EA">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报价明显低于其他通过符合性审查投标人的报价，有可能影响产品质量或者不能诚信履约的，未能按要求提供书面说明或者提交相关证明材料，不能证明其报价合理性的;</w:t>
      </w:r>
    </w:p>
    <w:p w14:paraId="4D90B9C9">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《开标一览表（报价表）》填写不完整或字迹不能辨认或有漏项的；</w:t>
      </w:r>
    </w:p>
    <w:p w14:paraId="6C952B96">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投标人对根据修正原则修正后的报价不确认的；</w:t>
      </w:r>
    </w:p>
    <w:p w14:paraId="0973E243">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投标人提供虚假材料投标的（包括但不限于以下情节）；</w:t>
      </w:r>
    </w:p>
    <w:p w14:paraId="083E9B9D">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.1使用伪造、变造的许可证件；</w:t>
      </w:r>
    </w:p>
    <w:p w14:paraId="35FBFFCF">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.2提供虚假的财务状况或者业绩；</w:t>
      </w:r>
    </w:p>
    <w:p w14:paraId="6FFE7845">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.3提供虚假的项目负责人或者主要技术人员简历、劳动关系证明；</w:t>
      </w:r>
    </w:p>
    <w:p w14:paraId="10D7F51F">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.4提供虚假的信用状况；</w:t>
      </w:r>
    </w:p>
    <w:p w14:paraId="27C479C3">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.5其他弄虚作假的行为。</w:t>
      </w:r>
    </w:p>
    <w:p w14:paraId="474B2E18">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投标人有恶意串通、妨碍其他投标人的竞争行为、损害采购人或者其他投标人的合法权益情形的；有下列情形之一的，属于或视为恶意串通，其投标无效：</w:t>
      </w:r>
    </w:p>
    <w:p w14:paraId="4BDC0EF4">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.1供应商直接或者间接从采购人或者采购代理机构处获得其他供应商的相关情况并修改其投标文件或者响应文件；</w:t>
      </w:r>
    </w:p>
    <w:p w14:paraId="076B4B71">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.2供应商按照采购人或者采购代理机构的授意撤换、修改投标文件或者响应文件；</w:t>
      </w:r>
    </w:p>
    <w:p w14:paraId="7CF7BF85">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.3供应商之间协商报价、技术方案等投标文件或者响应文件的实质性内容；</w:t>
      </w:r>
    </w:p>
    <w:p w14:paraId="029DCD03">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.4属于同一集团、协会、商会等组织成员的供应商按照该组织要求协同参加政府采购活动；</w:t>
      </w:r>
    </w:p>
    <w:p w14:paraId="77765853">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.5供应商之间事先约定由某一特定供应商中标、成交；</w:t>
      </w:r>
    </w:p>
    <w:p w14:paraId="7E1F56BF">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.6供应商之间商定部分供应商放弃参加政府采购活动或者放弃中标、成交；</w:t>
      </w:r>
    </w:p>
    <w:p w14:paraId="6439DA1D">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.7供应商与采购人或者采购代理机构之间、供应商相互之间，为谋求特定供应商中标、成交或者排斥其他供应商的其他串通行为。</w:t>
      </w:r>
    </w:p>
    <w:p w14:paraId="5D672517">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.8不同投标人的投标文件由同一单位或者个人编制；</w:t>
      </w:r>
    </w:p>
    <w:p w14:paraId="14D6284D">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.9不同投标人委托同一单位或者个人办理投标事宜；</w:t>
      </w:r>
    </w:p>
    <w:p w14:paraId="36F86550">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.10不同投标人的投标文件载明的项目管理成员或者联系人员为同一人；</w:t>
      </w:r>
    </w:p>
    <w:p w14:paraId="6A5AE363">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.11不同投标人的投标文件异常一致或者投标报价呈规律性差异；</w:t>
      </w:r>
    </w:p>
    <w:p w14:paraId="7C7C630F">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.12不同投标人的投标文件相互混装；</w:t>
      </w:r>
    </w:p>
    <w:p w14:paraId="4789914E">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w:t>
      </w:r>
      <w:r>
        <w:rPr>
          <w:rFonts w:hint="eastAsia" w:ascii="仿宋_GB2312" w:hAnsi="仿宋_GB2312" w:eastAsia="仿宋_GB2312" w:cs="仿宋_GB2312"/>
          <w:color w:val="auto"/>
          <w:sz w:val="24"/>
          <w:szCs w:val="24"/>
          <w:highlight w:val="none"/>
          <w:lang w:val="en-US" w:eastAsia="zh-CN"/>
        </w:rPr>
        <w:t>19</w:t>
      </w:r>
      <w:r>
        <w:rPr>
          <w:rFonts w:hint="eastAsia" w:ascii="仿宋_GB2312" w:hAnsi="仿宋_GB2312" w:eastAsia="仿宋_GB2312" w:cs="仿宋_GB2312"/>
          <w:color w:val="auto"/>
          <w:sz w:val="24"/>
          <w:szCs w:val="24"/>
          <w:highlight w:val="none"/>
        </w:rPr>
        <w:t>投标人仅提交备份投标文件，没有在电子交易平台传输递交投标文件的，投标无效；</w:t>
      </w:r>
    </w:p>
    <w:p w14:paraId="10B677F6">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w:t>
      </w:r>
      <w:r>
        <w:rPr>
          <w:rFonts w:hint="eastAsia" w:ascii="仿宋_GB2312" w:hAnsi="仿宋_GB2312" w:eastAsia="仿宋_GB2312" w:cs="仿宋_GB2312"/>
          <w:color w:val="auto"/>
          <w:sz w:val="24"/>
          <w:szCs w:val="24"/>
          <w:highlight w:val="none"/>
          <w:lang w:val="en-US" w:eastAsia="zh-CN"/>
        </w:rPr>
        <w:t>20</w:t>
      </w:r>
      <w:r>
        <w:rPr>
          <w:rFonts w:hint="eastAsia" w:ascii="仿宋_GB2312" w:hAnsi="仿宋_GB2312" w:eastAsia="仿宋_GB2312" w:cs="仿宋_GB2312"/>
          <w:color w:val="auto"/>
          <w:sz w:val="24"/>
          <w:szCs w:val="24"/>
          <w:highlight w:val="none"/>
        </w:rPr>
        <w:t>以联合体形式投标的，在资格文件和商务技术文件中均未提供联合协议的，投标无效；</w:t>
      </w:r>
    </w:p>
    <w:p w14:paraId="61233251">
      <w:pPr>
        <w:spacing w:line="42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4.2.2</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以分包方式履行合同的，在资格文件和商务技术文件中均未提供分包意向协议的，投标无效；</w:t>
      </w:r>
    </w:p>
    <w:p w14:paraId="43D71201">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4.2.2</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 xml:space="preserve"> 专门面向中小企业采购的，在资格文件和商务技术文件中均未提供中小企业声明函的，投标无效；</w:t>
      </w:r>
    </w:p>
    <w:p w14:paraId="0E1F922C">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4.2.2</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法律、法规、规章（适用本市的）及省级以上规范性文件（适用本市的）规定的其他无效情形；</w:t>
      </w:r>
    </w:p>
    <w:p w14:paraId="3B0E185B">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4.2.2</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参与同一个采购包（标</w:t>
      </w:r>
      <w:r>
        <w:rPr>
          <w:rFonts w:hint="eastAsia" w:ascii="仿宋_GB2312" w:hAnsi="仿宋_GB2312" w:eastAsia="仿宋_GB2312" w:cs="仿宋_GB2312"/>
          <w:color w:val="auto"/>
          <w:sz w:val="24"/>
          <w:szCs w:val="24"/>
          <w:highlight w:val="none"/>
          <w:lang w:eastAsia="zh-CN"/>
        </w:rPr>
        <w:t>项</w:t>
      </w:r>
      <w:r>
        <w:rPr>
          <w:rFonts w:hint="eastAsia" w:ascii="仿宋_GB2312" w:hAnsi="仿宋_GB2312" w:eastAsia="仿宋_GB2312" w:cs="仿宋_GB2312"/>
          <w:color w:val="auto"/>
          <w:sz w:val="24"/>
          <w:szCs w:val="24"/>
          <w:highlight w:val="none"/>
        </w:rPr>
        <w:t>）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13F9696D">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4.2.2</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投标文件不满足招标文件的其它实质性要求的。</w:t>
      </w:r>
    </w:p>
    <w:p w14:paraId="3C998D27">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5.废标。根据《中华人民共和国政府采购法》第三十六条之规定，在采购中，出现下列情形之一的，应予废标：</w:t>
      </w:r>
    </w:p>
    <w:p w14:paraId="658B51B9">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5.1符合专业条件的供应商或者对招标文件作实质响应的供应商不足3家的；</w:t>
      </w:r>
    </w:p>
    <w:p w14:paraId="23A03439">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5.2出现影响采购公正的违法、违规行为的；</w:t>
      </w:r>
    </w:p>
    <w:p w14:paraId="09297E7F">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5.3投标人的报价均超过了采购预算，采购人不能支付的；</w:t>
      </w:r>
    </w:p>
    <w:p w14:paraId="07FFF4EC">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5.4因重大变故，采购任务取消的。</w:t>
      </w:r>
    </w:p>
    <w:p w14:paraId="5A74BDD5">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废标后，采购代理机构应当将废标理由通知所有投标人。</w:t>
      </w:r>
    </w:p>
    <w:p w14:paraId="581342DB">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修改招标文件，重新组织采购活动。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6C820403">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7.重新开展采购。有政府采购法第七十一条、第七十二条规定的违法行为之一，影响或者可能影响中标、成交结果的，依照下列规定处理：</w:t>
      </w:r>
    </w:p>
    <w:p w14:paraId="54370401">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7.1未确定中标或者中标人的，终止本次政府采购活动，重新开展政府采购活动。</w:t>
      </w:r>
    </w:p>
    <w:p w14:paraId="7356FFA0">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7.2已确定中标或者中标人但尚未签订政府采购合同的，中标或者成交结果无效，从合格的中标或者成交候选人中另行确定中标或者中标人；没有合格的中标或者成交候选人的，重新开展政府采购活动。</w:t>
      </w:r>
    </w:p>
    <w:p w14:paraId="63A2C149">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7.3政府采购合同已签订但尚未履行的，撤销合同，从合格的中标或者成交候选人中另行确定中标或者中标人；没有合格的中标或者成交候选人的，重新开展政府采购活动。</w:t>
      </w:r>
    </w:p>
    <w:p w14:paraId="182A8968">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7.4政府采购合同已经履行，给采购人、供应商造成损失的，由责任人承担赔偿责任。</w:t>
      </w:r>
    </w:p>
    <w:p w14:paraId="7C21904B">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7.5政府采购当事人有其他违反政府采购法或者政府采购法实施条例等法律法规规定的行为，经改正后仍然影响或者可能影响中标、成交结果或者依法被认定为中标、成交无效的，依照7.1-7.4规定处理。</w:t>
      </w:r>
    </w:p>
    <w:p w14:paraId="1EC34576">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8.评审过程的保密与录像</w:t>
      </w:r>
    </w:p>
    <w:p w14:paraId="2480EEE2">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8.1保密。评审活动在严格保密的情况下进行。评审过程中凡是与采购响应文件评审和比较、中标人推荐等评审有关的情况，以及涉及国家秘密和商业秘密等信息，评审委员会成员、采购人和采购代理机构工作人员、相关监督人员等与评审有关的人员应当予以保密。</w:t>
      </w:r>
    </w:p>
    <w:p w14:paraId="3F563294">
      <w:pPr>
        <w:keepNext w:val="0"/>
        <w:keepLines w:val="0"/>
        <w:pageBreakBefore w:val="0"/>
        <w:widowControl w:val="0"/>
        <w:kinsoku/>
        <w:wordWrap/>
        <w:overflowPunct/>
        <w:topLinePunct w:val="0"/>
        <w:autoSpaceDE/>
        <w:autoSpaceDN/>
        <w:bidi w:val="0"/>
        <w:adjustRightInd/>
        <w:snapToGrid/>
        <w:spacing w:line="420" w:lineRule="exact"/>
        <w:ind w:firstLine="480" w:firstLineChars="200"/>
        <w:contextualSpacing/>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24"/>
          <w:highlight w:val="none"/>
        </w:rPr>
        <w:t>9.录音录像。采购代理机构对评审工作现场进行全过程录音录像，录音录像资料作为采购项目文件随其他文件一并存档。</w:t>
      </w:r>
      <w:bookmarkEnd w:id="26"/>
      <w:bookmarkStart w:id="393" w:name="第五部分"/>
      <w:bookmarkStart w:id="394" w:name="_Toc86217003"/>
    </w:p>
    <w:p w14:paraId="2610492F">
      <w:pPr>
        <w:pStyle w:val="2"/>
        <w:rPr>
          <w:rFonts w:hint="eastAsia" w:ascii="仿宋_GB2312" w:hAnsi="仿宋_GB2312" w:eastAsia="仿宋_GB2312" w:cs="仿宋_GB2312"/>
          <w:color w:val="auto"/>
          <w:highlight w:val="none"/>
        </w:rPr>
      </w:pPr>
    </w:p>
    <w:p w14:paraId="72EBB86E">
      <w:pPr>
        <w:pStyle w:val="2"/>
        <w:rPr>
          <w:rFonts w:hint="eastAsia" w:ascii="仿宋_GB2312" w:hAnsi="仿宋_GB2312" w:eastAsia="仿宋_GB2312" w:cs="仿宋_GB2312"/>
          <w:color w:val="auto"/>
          <w:highlight w:val="none"/>
        </w:rPr>
      </w:pPr>
    </w:p>
    <w:p w14:paraId="695A6095">
      <w:pPr>
        <w:spacing w:line="540" w:lineRule="exact"/>
        <w:contextualSpacing/>
        <w:jc w:val="center"/>
        <w:rPr>
          <w:rFonts w:hint="eastAsia" w:ascii="仿宋_GB2312" w:hAnsi="仿宋_GB2312" w:eastAsia="仿宋_GB2312" w:cs="仿宋_GB2312"/>
          <w:b/>
          <w:color w:val="auto"/>
          <w:sz w:val="28"/>
          <w:szCs w:val="28"/>
          <w:highlight w:val="none"/>
        </w:rPr>
      </w:pPr>
    </w:p>
    <w:p w14:paraId="235E1EBB">
      <w:pPr>
        <w:spacing w:line="540" w:lineRule="exact"/>
        <w:contextualSpacing/>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第五部分</w:t>
      </w:r>
      <w:r>
        <w:rPr>
          <w:rFonts w:hint="eastAsia" w:ascii="仿宋_GB2312" w:hAnsi="仿宋_GB2312" w:eastAsia="仿宋_GB2312" w:cs="仿宋_GB2312"/>
          <w:b/>
          <w:color w:val="auto"/>
          <w:sz w:val="28"/>
          <w:szCs w:val="28"/>
          <w:highlight w:val="none"/>
          <w:lang w:val="en-US" w:eastAsia="zh-CN"/>
        </w:rPr>
        <w:t xml:space="preserve">  </w:t>
      </w:r>
      <w:r>
        <w:rPr>
          <w:rFonts w:hint="eastAsia" w:ascii="仿宋_GB2312" w:hAnsi="仿宋_GB2312" w:eastAsia="仿宋_GB2312" w:cs="仿宋_GB2312"/>
          <w:b/>
          <w:color w:val="auto"/>
          <w:sz w:val="28"/>
          <w:szCs w:val="28"/>
          <w:highlight w:val="none"/>
        </w:rPr>
        <w:t>拟签订的合同文本</w:t>
      </w:r>
    </w:p>
    <w:p w14:paraId="0AA69CA3">
      <w:pPr>
        <w:snapToGrid w:val="0"/>
        <w:spacing w:beforeLines="50" w:afterLines="50" w:line="36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（具体条款以甲方为主协商确定）</w:t>
      </w:r>
    </w:p>
    <w:p w14:paraId="19CF77F3">
      <w:pPr>
        <w:spacing w:line="560" w:lineRule="exact"/>
        <w:ind w:firstLine="562"/>
        <w:jc w:val="center"/>
        <w:outlineLvl w:val="0"/>
        <w:rPr>
          <w:rFonts w:hint="eastAsia" w:ascii="仿宋_GB2312" w:hAnsi="仿宋_GB2312" w:eastAsia="仿宋_GB2312" w:cs="仿宋_GB2312"/>
          <w:b/>
          <w:sz w:val="24"/>
          <w:szCs w:val="24"/>
          <w:highlight w:val="none"/>
        </w:rPr>
      </w:pPr>
      <w:r>
        <w:rPr>
          <w:rFonts w:hint="eastAsia" w:ascii="仿宋_GB2312" w:hAnsi="仿宋_GB2312" w:eastAsia="仿宋_GB2312" w:cs="仿宋_GB2312"/>
          <w:b/>
          <w:color w:val="000000" w:themeColor="text1"/>
          <w:sz w:val="24"/>
          <w:szCs w:val="24"/>
          <w:highlight w:val="none"/>
          <w:lang w:val="en-US" w:eastAsia="zh-CN"/>
          <w14:textFill>
            <w14:solidFill>
              <w14:schemeClr w14:val="tx1"/>
            </w14:solidFill>
          </w14:textFill>
        </w:rPr>
        <w:t>浙江国际海运职业技术学院办公电脑采购项目</w:t>
      </w:r>
    </w:p>
    <w:p w14:paraId="4696A59F">
      <w:pPr>
        <w:spacing w:line="560" w:lineRule="exact"/>
        <w:rPr>
          <w:rFonts w:hint="eastAsia" w:ascii="仿宋_GB2312" w:hAnsi="仿宋_GB2312" w:eastAsia="仿宋_GB2312" w:cs="仿宋_GB2312"/>
          <w:b/>
          <w:sz w:val="24"/>
          <w:szCs w:val="24"/>
          <w:highlight w:val="none"/>
        </w:rPr>
      </w:pPr>
      <w:r>
        <w:rPr>
          <w:rFonts w:hint="eastAsia" w:ascii="仿宋_GB2312" w:hAnsi="仿宋_GB2312" w:eastAsia="仿宋_GB2312" w:cs="仿宋_GB2312"/>
          <w:sz w:val="24"/>
          <w:szCs w:val="24"/>
          <w:highlight w:val="none"/>
        </w:rPr>
        <w:t>合同编号：</w:t>
      </w:r>
    </w:p>
    <w:p w14:paraId="62C62BBE">
      <w:pPr>
        <w:pStyle w:val="63"/>
        <w:spacing w:line="560" w:lineRule="exact"/>
        <w:ind w:firstLine="562"/>
        <w:jc w:val="center"/>
        <w:rPr>
          <w:rFonts w:hint="eastAsia" w:ascii="仿宋_GB2312" w:hAnsi="仿宋_GB2312" w:eastAsia="仿宋_GB2312" w:cs="仿宋_GB2312"/>
          <w:b/>
          <w:sz w:val="24"/>
          <w:szCs w:val="24"/>
          <w:highlight w:val="none"/>
          <w:lang w:eastAsia="zh-CN"/>
        </w:rPr>
      </w:pPr>
      <w:r>
        <w:rPr>
          <w:rFonts w:hint="eastAsia" w:ascii="仿宋_GB2312" w:hAnsi="仿宋_GB2312" w:eastAsia="仿宋_GB2312" w:cs="仿宋_GB2312"/>
          <w:b/>
          <w:sz w:val="24"/>
          <w:szCs w:val="24"/>
          <w:highlight w:val="none"/>
          <w:lang w:eastAsia="zh-CN"/>
        </w:rPr>
        <w:t>第一部分 合同书</w:t>
      </w:r>
    </w:p>
    <w:p w14:paraId="5A6BE928">
      <w:pPr>
        <w:spacing w:before="120" w:line="560" w:lineRule="exact"/>
        <w:rPr>
          <w:rFonts w:hint="eastAsia" w:ascii="仿宋_GB2312" w:hAnsi="仿宋_GB2312" w:eastAsia="仿宋_GB2312" w:cs="仿宋_GB2312"/>
          <w:sz w:val="24"/>
          <w:szCs w:val="24"/>
          <w:highlight w:val="none"/>
        </w:rPr>
      </w:pPr>
    </w:p>
    <w:p w14:paraId="4F05FD5F">
      <w:pPr>
        <w:pStyle w:val="4"/>
        <w:spacing w:line="560" w:lineRule="exact"/>
        <w:rPr>
          <w:rFonts w:hint="eastAsia" w:ascii="仿宋_GB2312" w:hAnsi="仿宋_GB2312" w:eastAsia="仿宋_GB2312" w:cs="仿宋_GB2312"/>
          <w:sz w:val="24"/>
          <w:szCs w:val="24"/>
          <w:highlight w:val="none"/>
        </w:rPr>
      </w:pPr>
    </w:p>
    <w:p w14:paraId="3B6D0FDA">
      <w:pPr>
        <w:spacing w:before="120" w:line="560" w:lineRule="exact"/>
        <w:ind w:left="96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项目名称：</w:t>
      </w:r>
      <w:r>
        <w:rPr>
          <w:rFonts w:hint="eastAsia" w:ascii="仿宋_GB2312" w:hAnsi="仿宋_GB2312" w:eastAsia="仿宋_GB2312" w:cs="仿宋_GB2312"/>
          <w:sz w:val="24"/>
          <w:szCs w:val="24"/>
          <w:highlight w:val="none"/>
          <w:lang w:val="en-US" w:eastAsia="zh-CN"/>
        </w:rPr>
        <w:t>浙江国际海运职业技术学院办公电脑采购项目</w:t>
      </w:r>
    </w:p>
    <w:p w14:paraId="399847F0">
      <w:pPr>
        <w:pStyle w:val="64"/>
        <w:spacing w:before="120" w:line="560" w:lineRule="exact"/>
        <w:rPr>
          <w:rFonts w:hint="eastAsia" w:ascii="仿宋_GB2312" w:hAnsi="仿宋_GB2312" w:eastAsia="仿宋_GB2312" w:cs="仿宋_GB2312"/>
          <w:sz w:val="24"/>
          <w:szCs w:val="24"/>
          <w:highlight w:val="none"/>
          <w:lang w:eastAsia="zh-CN"/>
        </w:rPr>
      </w:pPr>
    </w:p>
    <w:p w14:paraId="5F783AFE">
      <w:pPr>
        <w:spacing w:line="560" w:lineRule="exact"/>
        <w:rPr>
          <w:rFonts w:hint="eastAsia" w:ascii="仿宋_GB2312" w:hAnsi="仿宋_GB2312" w:eastAsia="仿宋_GB2312" w:cs="仿宋_GB2312"/>
          <w:sz w:val="24"/>
          <w:szCs w:val="24"/>
          <w:highlight w:val="none"/>
        </w:rPr>
      </w:pPr>
    </w:p>
    <w:p w14:paraId="793E5B66">
      <w:pPr>
        <w:spacing w:before="120" w:line="560" w:lineRule="exact"/>
        <w:ind w:left="960"/>
        <w:rPr>
          <w:rFonts w:hint="eastAsia" w:ascii="仿宋_GB2312" w:hAnsi="仿宋_GB2312" w:eastAsia="仿宋_GB2312" w:cs="仿宋_GB2312"/>
          <w:sz w:val="24"/>
          <w:szCs w:val="24"/>
          <w:highlight w:val="none"/>
          <w:u w:val="single"/>
          <w:lang w:val="en-US" w:eastAsia="zh-CN"/>
        </w:rPr>
      </w:pPr>
      <w:r>
        <w:rPr>
          <w:rFonts w:hint="eastAsia" w:ascii="仿宋_GB2312" w:hAnsi="仿宋_GB2312" w:eastAsia="仿宋_GB2312" w:cs="仿宋_GB2312"/>
          <w:sz w:val="24"/>
          <w:szCs w:val="24"/>
          <w:highlight w:val="none"/>
        </w:rPr>
        <w:t>甲方：</w:t>
      </w:r>
      <w:r>
        <w:rPr>
          <w:rFonts w:hint="eastAsia" w:ascii="仿宋_GB2312" w:hAnsi="仿宋_GB2312" w:eastAsia="仿宋_GB2312" w:cs="仿宋_GB2312"/>
          <w:sz w:val="24"/>
          <w:szCs w:val="24"/>
          <w:highlight w:val="none"/>
          <w:lang w:val="en-US" w:eastAsia="zh-CN"/>
        </w:rPr>
        <w:t>浙江国际海运职业技术学院</w:t>
      </w:r>
    </w:p>
    <w:p w14:paraId="33380CFC">
      <w:pPr>
        <w:spacing w:before="120" w:line="560" w:lineRule="exact"/>
        <w:rPr>
          <w:rFonts w:hint="eastAsia" w:ascii="仿宋_GB2312" w:hAnsi="仿宋_GB2312" w:eastAsia="仿宋_GB2312" w:cs="仿宋_GB2312"/>
          <w:sz w:val="24"/>
          <w:szCs w:val="24"/>
          <w:highlight w:val="none"/>
        </w:rPr>
      </w:pPr>
    </w:p>
    <w:p w14:paraId="18846A94">
      <w:pPr>
        <w:spacing w:before="120" w:line="560" w:lineRule="exact"/>
        <w:ind w:left="960"/>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乙方：</w:t>
      </w:r>
    </w:p>
    <w:p w14:paraId="71DC0FBC">
      <w:pPr>
        <w:spacing w:before="120" w:line="560" w:lineRule="exact"/>
        <w:rPr>
          <w:rFonts w:hint="eastAsia" w:ascii="仿宋_GB2312" w:hAnsi="仿宋_GB2312" w:eastAsia="仿宋_GB2312" w:cs="仿宋_GB2312"/>
          <w:sz w:val="24"/>
          <w:szCs w:val="24"/>
          <w:highlight w:val="none"/>
        </w:rPr>
      </w:pPr>
    </w:p>
    <w:p w14:paraId="4E72E850">
      <w:pPr>
        <w:spacing w:before="120" w:line="560" w:lineRule="exact"/>
        <w:ind w:firstLine="840" w:firstLineChars="350"/>
        <w:rPr>
          <w:rFonts w:hint="eastAsia" w:ascii="仿宋_GB2312" w:hAnsi="仿宋_GB2312" w:eastAsia="仿宋_GB2312" w:cs="仿宋_GB2312"/>
          <w:sz w:val="24"/>
          <w:szCs w:val="24"/>
          <w:highlight w:val="none"/>
          <w:u w:val="single"/>
          <w:lang w:val="en-US" w:eastAsia="zh-CN"/>
        </w:rPr>
      </w:pPr>
      <w:r>
        <w:rPr>
          <w:rFonts w:hint="eastAsia" w:ascii="仿宋_GB2312" w:hAnsi="仿宋_GB2312" w:eastAsia="仿宋_GB2312" w:cs="仿宋_GB2312"/>
          <w:sz w:val="24"/>
          <w:szCs w:val="24"/>
          <w:highlight w:val="none"/>
        </w:rPr>
        <w:t>签订地：</w:t>
      </w:r>
      <w:r>
        <w:rPr>
          <w:rFonts w:hint="eastAsia" w:ascii="仿宋_GB2312" w:hAnsi="仿宋_GB2312" w:eastAsia="仿宋_GB2312" w:cs="仿宋_GB2312"/>
          <w:sz w:val="24"/>
          <w:szCs w:val="24"/>
          <w:highlight w:val="none"/>
          <w:lang w:val="en-US" w:eastAsia="zh-CN"/>
        </w:rPr>
        <w:t>舟山</w:t>
      </w:r>
    </w:p>
    <w:p w14:paraId="57EB989A">
      <w:pPr>
        <w:spacing w:before="120" w:line="560" w:lineRule="exact"/>
        <w:rPr>
          <w:rFonts w:hint="eastAsia" w:ascii="仿宋_GB2312" w:hAnsi="仿宋_GB2312" w:eastAsia="仿宋_GB2312" w:cs="仿宋_GB2312"/>
          <w:sz w:val="24"/>
          <w:szCs w:val="24"/>
          <w:highlight w:val="none"/>
        </w:rPr>
      </w:pPr>
    </w:p>
    <w:p w14:paraId="07CFA687">
      <w:pPr>
        <w:spacing w:before="120" w:line="560" w:lineRule="exact"/>
        <w:ind w:firstLine="960" w:firstLineChars="400"/>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签订日期：</w:t>
      </w:r>
      <w:r>
        <w:rPr>
          <w:rFonts w:hint="eastAsia" w:ascii="仿宋_GB2312" w:hAnsi="仿宋_GB2312" w:eastAsia="仿宋_GB2312" w:cs="仿宋_GB2312"/>
          <w:sz w:val="24"/>
          <w:szCs w:val="24"/>
          <w:highlight w:val="none"/>
          <w:lang w:val="en-US" w:eastAsia="zh-CN"/>
        </w:rPr>
        <w:t>2026</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日</w:t>
      </w:r>
    </w:p>
    <w:p w14:paraId="79F54709">
      <w:pPr>
        <w:widowControl/>
        <w:spacing w:line="560" w:lineRule="exact"/>
        <w:jc w:val="left"/>
        <w:rPr>
          <w:rFonts w:hint="eastAsia" w:ascii="仿宋_GB2312" w:hAnsi="仿宋_GB2312" w:eastAsia="仿宋_GB2312" w:cs="仿宋_GB2312"/>
          <w:kern w:val="0"/>
          <w:sz w:val="24"/>
          <w:szCs w:val="24"/>
          <w:highlight w:val="none"/>
        </w:rPr>
        <w:sectPr>
          <w:pgSz w:w="11907" w:h="16840"/>
          <w:pgMar w:top="1474" w:right="1814" w:bottom="1474" w:left="1814" w:header="851" w:footer="851" w:gutter="0"/>
          <w:pgBorders>
            <w:top w:val="none" w:sz="0" w:space="0"/>
            <w:left w:val="none" w:sz="0" w:space="0"/>
            <w:bottom w:val="none" w:sz="0" w:space="0"/>
            <w:right w:val="none" w:sz="0" w:space="0"/>
          </w:pgBorders>
          <w:cols w:space="720" w:num="1"/>
        </w:sectPr>
      </w:pPr>
    </w:p>
    <w:p w14:paraId="3048600E">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2026</w:t>
      </w:r>
      <w:r>
        <w:rPr>
          <w:rFonts w:hint="eastAsia" w:ascii="仿宋_GB2312" w:hAnsi="仿宋_GB2312" w:eastAsia="仿宋_GB2312" w:cs="仿宋_GB2312"/>
          <w:sz w:val="24"/>
          <w:szCs w:val="24"/>
          <w:highlight w:val="none"/>
          <w:lang w:val="zh-CN"/>
        </w:rPr>
        <w:t>年</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val="zh-CN"/>
        </w:rPr>
        <w:t>月</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val="zh-CN"/>
        </w:rPr>
        <w:t>日</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浙江国际海运职业技术学院</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以</w:t>
      </w:r>
      <w:r>
        <w:rPr>
          <w:rFonts w:hint="eastAsia" w:ascii="仿宋_GB2312" w:hAnsi="仿宋_GB2312" w:eastAsia="仿宋_GB2312" w:cs="仿宋_GB2312"/>
          <w:sz w:val="24"/>
          <w:szCs w:val="24"/>
          <w:highlight w:val="none"/>
          <w:u w:val="single"/>
        </w:rPr>
        <w:t xml:space="preserve">   （政府采购方式）  </w:t>
      </w:r>
      <w:r>
        <w:rPr>
          <w:rFonts w:hint="eastAsia" w:ascii="仿宋_GB2312" w:hAnsi="仿宋_GB2312" w:eastAsia="仿宋_GB2312" w:cs="仿宋_GB2312"/>
          <w:sz w:val="24"/>
          <w:szCs w:val="24"/>
          <w:highlight w:val="none"/>
        </w:rPr>
        <w:t>对</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浙江国际海运职业技术学院办公电脑采购项目</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项目进行了采购。经</w:t>
      </w:r>
      <w:r>
        <w:rPr>
          <w:rFonts w:hint="eastAsia" w:ascii="仿宋_GB2312" w:hAnsi="仿宋_GB2312" w:eastAsia="仿宋_GB2312" w:cs="仿宋_GB2312"/>
          <w:sz w:val="24"/>
          <w:szCs w:val="24"/>
          <w:highlight w:val="none"/>
          <w:u w:val="single"/>
        </w:rPr>
        <w:t xml:space="preserve">   （相关评定主体名称）   </w:t>
      </w:r>
      <w:r>
        <w:rPr>
          <w:rFonts w:hint="eastAsia" w:ascii="仿宋_GB2312" w:hAnsi="仿宋_GB2312" w:eastAsia="仿宋_GB2312" w:cs="仿宋_GB2312"/>
          <w:sz w:val="24"/>
          <w:szCs w:val="24"/>
          <w:highlight w:val="none"/>
        </w:rPr>
        <w:t>评定，</w:t>
      </w:r>
      <w:r>
        <w:rPr>
          <w:rFonts w:hint="eastAsia" w:ascii="仿宋_GB2312" w:hAnsi="仿宋_GB2312" w:eastAsia="仿宋_GB2312" w:cs="仿宋_GB2312"/>
          <w:sz w:val="24"/>
          <w:szCs w:val="24"/>
          <w:highlight w:val="none"/>
          <w:u w:val="single"/>
        </w:rPr>
        <w:t xml:space="preserve">   （中标或者成交供应商名称） </w:t>
      </w:r>
      <w:r>
        <w:rPr>
          <w:rFonts w:hint="eastAsia" w:ascii="仿宋_GB2312" w:hAnsi="仿宋_GB2312" w:eastAsia="仿宋_GB2312" w:cs="仿宋_GB2312"/>
          <w:sz w:val="24"/>
          <w:szCs w:val="24"/>
          <w:highlight w:val="none"/>
        </w:rPr>
        <w:t>为该项目中标或者成交供应商。现于中标或者成交通知书发出之日起   个工作日内，按照采购文件确定的事项签订本合同。</w:t>
      </w:r>
    </w:p>
    <w:p w14:paraId="6287FB37">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zh-CN"/>
        </w:rPr>
        <w:t>根据《中华人民共和国民法典》《中华人民共和国政府采购法》等相关法律法规之规定，按照平等、自愿、公平和诚实信用的原则，经</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浙江国际海运职业技术学院</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lang w:val="zh-CN"/>
        </w:rPr>
        <w:t>(以下简称：甲方)和</w:t>
      </w:r>
      <w:r>
        <w:rPr>
          <w:rFonts w:hint="eastAsia" w:ascii="仿宋_GB2312" w:hAnsi="仿宋_GB2312" w:eastAsia="仿宋_GB2312" w:cs="仿宋_GB2312"/>
          <w:sz w:val="24"/>
          <w:szCs w:val="24"/>
          <w:highlight w:val="none"/>
          <w:u w:val="single"/>
        </w:rPr>
        <w:t xml:space="preserve">   （中或者成交标供应商名称）   </w:t>
      </w:r>
      <w:r>
        <w:rPr>
          <w:rFonts w:hint="eastAsia" w:ascii="仿宋_GB2312" w:hAnsi="仿宋_GB2312" w:eastAsia="仿宋_GB2312" w:cs="仿宋_GB2312"/>
          <w:sz w:val="24"/>
          <w:szCs w:val="24"/>
          <w:highlight w:val="none"/>
          <w:lang w:val="zh-CN"/>
        </w:rPr>
        <w:t>(以下简称：乙方)协商一致，约定以下合同</w:t>
      </w:r>
      <w:r>
        <w:rPr>
          <w:rFonts w:hint="eastAsia" w:ascii="仿宋_GB2312" w:hAnsi="仿宋_GB2312" w:eastAsia="仿宋_GB2312" w:cs="仿宋_GB2312"/>
          <w:sz w:val="24"/>
          <w:szCs w:val="24"/>
          <w:highlight w:val="none"/>
        </w:rPr>
        <w:t>条款，以兹共同遵守、全面履行。</w:t>
      </w:r>
    </w:p>
    <w:p w14:paraId="0B0B3DB5">
      <w:pPr>
        <w:spacing w:line="560" w:lineRule="exact"/>
        <w:ind w:firstLine="482" w:firstLineChars="200"/>
        <w:outlineLvl w:val="0"/>
        <w:rPr>
          <w:rFonts w:hint="eastAsia" w:ascii="仿宋_GB2312" w:hAnsi="仿宋_GB2312" w:eastAsia="仿宋_GB2312" w:cs="仿宋_GB2312"/>
          <w:sz w:val="24"/>
          <w:szCs w:val="24"/>
          <w:highlight w:val="none"/>
        </w:rPr>
      </w:pPr>
      <w:bookmarkStart w:id="395" w:name="_Toc19273"/>
      <w:bookmarkStart w:id="396" w:name="_Toc15367"/>
      <w:bookmarkStart w:id="397" w:name="_Toc28855"/>
      <w:bookmarkStart w:id="398" w:name="_Toc22967"/>
      <w:bookmarkStart w:id="399" w:name="_Toc20421"/>
      <w:r>
        <w:rPr>
          <w:rFonts w:hint="eastAsia" w:ascii="仿宋_GB2312" w:hAnsi="仿宋_GB2312" w:eastAsia="仿宋_GB2312" w:cs="仿宋_GB2312"/>
          <w:b/>
          <w:sz w:val="24"/>
          <w:szCs w:val="24"/>
          <w:highlight w:val="none"/>
        </w:rPr>
        <w:t>1.1 合同组成部分</w:t>
      </w:r>
      <w:bookmarkEnd w:id="395"/>
      <w:bookmarkEnd w:id="396"/>
      <w:bookmarkEnd w:id="397"/>
      <w:bookmarkEnd w:id="398"/>
      <w:bookmarkEnd w:id="399"/>
    </w:p>
    <w:p w14:paraId="568C67EE">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2F97B7F">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1.1.1 本合同及其补充合同、变更协议；</w:t>
      </w:r>
    </w:p>
    <w:p w14:paraId="5935E43E">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1.1.2 中标或者成交通知书；</w:t>
      </w:r>
    </w:p>
    <w:p w14:paraId="2F8AF048">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1.1.3 投标或者响应文件（含澄清或者说明文件）；</w:t>
      </w:r>
    </w:p>
    <w:p w14:paraId="7041DA28">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1.1.4 采购文件（含澄清或者修改文件）；</w:t>
      </w:r>
    </w:p>
    <w:p w14:paraId="1FC03FE6">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1.1.5 其他相关采购文件。</w:t>
      </w:r>
    </w:p>
    <w:p w14:paraId="08126387">
      <w:pPr>
        <w:spacing w:line="560" w:lineRule="exact"/>
        <w:ind w:firstLine="482" w:firstLineChars="200"/>
        <w:outlineLvl w:val="0"/>
        <w:rPr>
          <w:rFonts w:hint="eastAsia" w:ascii="仿宋_GB2312" w:hAnsi="仿宋_GB2312" w:eastAsia="仿宋_GB2312" w:cs="仿宋_GB2312"/>
          <w:b/>
          <w:sz w:val="24"/>
          <w:szCs w:val="24"/>
          <w:highlight w:val="none"/>
        </w:rPr>
      </w:pPr>
      <w:bookmarkStart w:id="400" w:name="_Toc18585"/>
      <w:bookmarkStart w:id="401" w:name="_Toc6773"/>
      <w:bookmarkStart w:id="402" w:name="_Toc22185"/>
      <w:bookmarkStart w:id="403" w:name="_Toc6311"/>
      <w:bookmarkStart w:id="404" w:name="_Toc2918"/>
      <w:r>
        <w:rPr>
          <w:rFonts w:hint="eastAsia" w:ascii="仿宋_GB2312" w:hAnsi="仿宋_GB2312" w:eastAsia="仿宋_GB2312" w:cs="仿宋_GB2312"/>
          <w:b/>
          <w:sz w:val="24"/>
          <w:szCs w:val="24"/>
          <w:highlight w:val="none"/>
        </w:rPr>
        <w:t>1.2 标的</w:t>
      </w:r>
      <w:bookmarkEnd w:id="400"/>
      <w:bookmarkEnd w:id="401"/>
      <w:bookmarkEnd w:id="402"/>
      <w:bookmarkEnd w:id="403"/>
      <w:bookmarkEnd w:id="404"/>
    </w:p>
    <w:p w14:paraId="1F009A97">
      <w:pPr>
        <w:spacing w:line="560" w:lineRule="exact"/>
        <w:ind w:firstLine="480" w:firstLineChars="200"/>
        <w:outlineLvl w:val="0"/>
        <w:rPr>
          <w:rFonts w:hint="eastAsia" w:ascii="仿宋_GB2312" w:hAnsi="仿宋_GB2312" w:eastAsia="仿宋_GB2312" w:cs="仿宋_GB2312"/>
          <w:b/>
          <w:sz w:val="24"/>
          <w:szCs w:val="24"/>
          <w:highlight w:val="none"/>
        </w:rPr>
      </w:pPr>
      <w:r>
        <w:rPr>
          <w:rFonts w:hint="eastAsia" w:ascii="仿宋_GB2312" w:hAnsi="仿宋_GB2312" w:eastAsia="仿宋_GB2312" w:cs="仿宋_GB2312"/>
          <w:sz w:val="24"/>
          <w:szCs w:val="24"/>
          <w:highlight w:val="none"/>
        </w:rPr>
        <w:t>1.2.1 货物名称、品牌、规格型号、花色：；</w:t>
      </w:r>
    </w:p>
    <w:p w14:paraId="3997CC3F">
      <w:pPr>
        <w:spacing w:line="560" w:lineRule="exact"/>
        <w:ind w:firstLine="480" w:firstLineChars="200"/>
        <w:outlineLvl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1.2.2 货物数量：；</w:t>
      </w:r>
    </w:p>
    <w:p w14:paraId="6FF86648">
      <w:pPr>
        <w:spacing w:line="560" w:lineRule="exact"/>
        <w:ind w:firstLine="480" w:firstLineChars="200"/>
        <w:outlineLvl w:val="0"/>
        <w:rPr>
          <w:rFonts w:hint="eastAsia" w:ascii="仿宋_GB2312" w:hAnsi="仿宋_GB2312" w:eastAsia="仿宋_GB2312" w:cs="仿宋_GB2312"/>
          <w:b/>
          <w:sz w:val="24"/>
          <w:szCs w:val="24"/>
          <w:highlight w:val="none"/>
        </w:rPr>
      </w:pPr>
      <w:r>
        <w:rPr>
          <w:rFonts w:hint="eastAsia" w:ascii="仿宋_GB2312" w:hAnsi="仿宋_GB2312" w:eastAsia="仿宋_GB2312" w:cs="仿宋_GB2312"/>
          <w:sz w:val="24"/>
          <w:szCs w:val="24"/>
          <w:highlight w:val="none"/>
        </w:rPr>
        <w:t>1.2.3 货物质量：；</w:t>
      </w:r>
    </w:p>
    <w:p w14:paraId="1FECE43D">
      <w:pPr>
        <w:spacing w:line="560" w:lineRule="exact"/>
        <w:ind w:firstLine="480" w:firstLineChars="2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1.2.4 服务人员组成：</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w:t>
      </w:r>
    </w:p>
    <w:p w14:paraId="006E81B5">
      <w:pPr>
        <w:spacing w:line="560" w:lineRule="exact"/>
        <w:ind w:firstLine="480" w:firstLineChars="2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1.2.5合同（是/否）涉及服务。若涉及服务的，则：</w:t>
      </w:r>
    </w:p>
    <w:p w14:paraId="7DA3D981">
      <w:pPr>
        <w:spacing w:line="560" w:lineRule="exact"/>
        <w:ind w:firstLine="480" w:firstLineChars="200"/>
        <w:rPr>
          <w:rFonts w:hint="eastAsia" w:ascii="仿宋_GB2312" w:hAnsi="仿宋_GB2312" w:eastAsia="仿宋_GB2312" w:cs="仿宋_GB2312"/>
          <w:sz w:val="24"/>
          <w:szCs w:val="24"/>
          <w:highlight w:val="none"/>
          <w:u w:val="single"/>
        </w:rPr>
      </w:pPr>
      <w:bookmarkStart w:id="405" w:name="_Toc21124"/>
      <w:bookmarkStart w:id="406" w:name="_Toc5635"/>
      <w:bookmarkStart w:id="407" w:name="_Toc4929"/>
      <w:bookmarkStart w:id="408" w:name="_Toc13918"/>
      <w:bookmarkStart w:id="409" w:name="_Toc1386"/>
      <w:r>
        <w:rPr>
          <w:rFonts w:hint="eastAsia" w:ascii="仿宋_GB2312" w:hAnsi="仿宋_GB2312" w:eastAsia="仿宋_GB2312" w:cs="仿宋_GB2312"/>
          <w:sz w:val="24"/>
          <w:szCs w:val="24"/>
          <w:highlight w:val="none"/>
        </w:rPr>
        <w:t>1.2.5.1 货物内容：；</w:t>
      </w:r>
    </w:p>
    <w:p w14:paraId="36FD24E1">
      <w:pPr>
        <w:spacing w:line="560" w:lineRule="exact"/>
        <w:ind w:firstLine="480" w:firstLineChars="200"/>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1.2.5.2 服务标准：；</w:t>
      </w:r>
    </w:p>
    <w:p w14:paraId="671D2E2C">
      <w:pPr>
        <w:spacing w:line="560" w:lineRule="exact"/>
        <w:ind w:firstLine="480" w:firstLineChars="200"/>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1.2.5.3 技术保障：</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w:t>
      </w:r>
    </w:p>
    <w:p w14:paraId="1A8FC272">
      <w:pPr>
        <w:spacing w:line="560" w:lineRule="exact"/>
        <w:ind w:firstLine="482" w:firstLineChars="200"/>
        <w:outlineLvl w:val="0"/>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1.3 价款</w:t>
      </w:r>
      <w:bookmarkEnd w:id="405"/>
      <w:bookmarkEnd w:id="406"/>
      <w:bookmarkEnd w:id="407"/>
      <w:bookmarkEnd w:id="408"/>
      <w:bookmarkEnd w:id="409"/>
    </w:p>
    <w:p w14:paraId="25E75FDD">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1.3.1总价合同，本合同总价（含税）为：</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元（大写：</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w:t>
      </w:r>
    </w:p>
    <w:p w14:paraId="54C7A50C">
      <w:pPr>
        <w:spacing w:line="560" w:lineRule="exact"/>
        <w:ind w:firstLine="480" w:firstLineChars="200"/>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分项价格：</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0C47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56EC70E">
            <w:pPr>
              <w:pStyle w:val="68"/>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序号</w:t>
            </w:r>
          </w:p>
        </w:tc>
        <w:tc>
          <w:tcPr>
            <w:tcW w:w="3402" w:type="dxa"/>
            <w:vAlign w:val="center"/>
          </w:tcPr>
          <w:p w14:paraId="014512E2">
            <w:pPr>
              <w:pStyle w:val="68"/>
              <w:spacing w:line="560" w:lineRule="exact"/>
              <w:ind w:firstLine="20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分项名称</w:t>
            </w:r>
          </w:p>
        </w:tc>
        <w:tc>
          <w:tcPr>
            <w:tcW w:w="2552" w:type="dxa"/>
            <w:vAlign w:val="center"/>
          </w:tcPr>
          <w:p w14:paraId="2C99A0AB">
            <w:pPr>
              <w:pStyle w:val="68"/>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分项价格</w:t>
            </w:r>
          </w:p>
        </w:tc>
      </w:tr>
      <w:tr w14:paraId="2C29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BBBF30F">
            <w:pPr>
              <w:pStyle w:val="68"/>
              <w:spacing w:line="560" w:lineRule="exact"/>
              <w:ind w:firstLine="200"/>
              <w:jc w:val="center"/>
              <w:rPr>
                <w:rFonts w:hint="eastAsia" w:ascii="仿宋_GB2312" w:hAnsi="仿宋_GB2312" w:eastAsia="仿宋_GB2312" w:cs="仿宋_GB2312"/>
                <w:sz w:val="24"/>
                <w:szCs w:val="24"/>
                <w:highlight w:val="none"/>
              </w:rPr>
            </w:pPr>
          </w:p>
        </w:tc>
        <w:tc>
          <w:tcPr>
            <w:tcW w:w="3402" w:type="dxa"/>
            <w:vAlign w:val="center"/>
          </w:tcPr>
          <w:p w14:paraId="06654BDE">
            <w:pPr>
              <w:pStyle w:val="68"/>
              <w:spacing w:line="560" w:lineRule="exact"/>
              <w:ind w:firstLine="200"/>
              <w:jc w:val="center"/>
              <w:rPr>
                <w:rFonts w:hint="eastAsia" w:ascii="仿宋_GB2312" w:hAnsi="仿宋_GB2312" w:eastAsia="仿宋_GB2312" w:cs="仿宋_GB2312"/>
                <w:sz w:val="24"/>
                <w:szCs w:val="24"/>
                <w:highlight w:val="none"/>
              </w:rPr>
            </w:pPr>
          </w:p>
        </w:tc>
        <w:tc>
          <w:tcPr>
            <w:tcW w:w="2552" w:type="dxa"/>
            <w:vAlign w:val="center"/>
          </w:tcPr>
          <w:p w14:paraId="19D4516A">
            <w:pPr>
              <w:pStyle w:val="68"/>
              <w:spacing w:line="560" w:lineRule="exact"/>
              <w:ind w:firstLine="200"/>
              <w:jc w:val="center"/>
              <w:rPr>
                <w:rFonts w:hint="eastAsia" w:ascii="仿宋_GB2312" w:hAnsi="仿宋_GB2312" w:eastAsia="仿宋_GB2312" w:cs="仿宋_GB2312"/>
                <w:sz w:val="24"/>
                <w:szCs w:val="24"/>
                <w:highlight w:val="none"/>
              </w:rPr>
            </w:pPr>
          </w:p>
        </w:tc>
      </w:tr>
      <w:tr w14:paraId="3860F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8813A28">
            <w:pPr>
              <w:pStyle w:val="68"/>
              <w:spacing w:line="560" w:lineRule="exact"/>
              <w:ind w:firstLine="200"/>
              <w:jc w:val="center"/>
              <w:rPr>
                <w:rFonts w:hint="eastAsia" w:ascii="仿宋_GB2312" w:hAnsi="仿宋_GB2312" w:eastAsia="仿宋_GB2312" w:cs="仿宋_GB2312"/>
                <w:sz w:val="24"/>
                <w:szCs w:val="24"/>
                <w:highlight w:val="none"/>
              </w:rPr>
            </w:pPr>
          </w:p>
        </w:tc>
        <w:tc>
          <w:tcPr>
            <w:tcW w:w="3402" w:type="dxa"/>
            <w:vAlign w:val="center"/>
          </w:tcPr>
          <w:p w14:paraId="2C411307">
            <w:pPr>
              <w:pStyle w:val="68"/>
              <w:spacing w:line="560" w:lineRule="exact"/>
              <w:ind w:firstLine="200"/>
              <w:jc w:val="center"/>
              <w:rPr>
                <w:rFonts w:hint="eastAsia" w:ascii="仿宋_GB2312" w:hAnsi="仿宋_GB2312" w:eastAsia="仿宋_GB2312" w:cs="仿宋_GB2312"/>
                <w:sz w:val="24"/>
                <w:szCs w:val="24"/>
                <w:highlight w:val="none"/>
              </w:rPr>
            </w:pPr>
          </w:p>
        </w:tc>
        <w:tc>
          <w:tcPr>
            <w:tcW w:w="2552" w:type="dxa"/>
            <w:vAlign w:val="center"/>
          </w:tcPr>
          <w:p w14:paraId="5920A2CE">
            <w:pPr>
              <w:pStyle w:val="68"/>
              <w:spacing w:line="560" w:lineRule="exact"/>
              <w:ind w:firstLine="200"/>
              <w:jc w:val="center"/>
              <w:rPr>
                <w:rFonts w:hint="eastAsia" w:ascii="仿宋_GB2312" w:hAnsi="仿宋_GB2312" w:eastAsia="仿宋_GB2312" w:cs="仿宋_GB2312"/>
                <w:sz w:val="24"/>
                <w:szCs w:val="24"/>
                <w:highlight w:val="none"/>
              </w:rPr>
            </w:pPr>
          </w:p>
        </w:tc>
      </w:tr>
      <w:tr w14:paraId="7AB8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20FCB98">
            <w:pPr>
              <w:pStyle w:val="68"/>
              <w:spacing w:line="560" w:lineRule="exact"/>
              <w:ind w:firstLine="200"/>
              <w:jc w:val="center"/>
              <w:rPr>
                <w:rFonts w:hint="eastAsia" w:ascii="仿宋_GB2312" w:hAnsi="仿宋_GB2312" w:eastAsia="仿宋_GB2312" w:cs="仿宋_GB2312"/>
                <w:sz w:val="24"/>
                <w:szCs w:val="24"/>
                <w:highlight w:val="none"/>
              </w:rPr>
            </w:pPr>
          </w:p>
        </w:tc>
        <w:tc>
          <w:tcPr>
            <w:tcW w:w="3402" w:type="dxa"/>
            <w:vAlign w:val="center"/>
          </w:tcPr>
          <w:p w14:paraId="043C21FE">
            <w:pPr>
              <w:pStyle w:val="68"/>
              <w:spacing w:line="560" w:lineRule="exact"/>
              <w:ind w:firstLine="200"/>
              <w:jc w:val="center"/>
              <w:rPr>
                <w:rFonts w:hint="eastAsia" w:ascii="仿宋_GB2312" w:hAnsi="仿宋_GB2312" w:eastAsia="仿宋_GB2312" w:cs="仿宋_GB2312"/>
                <w:sz w:val="24"/>
                <w:szCs w:val="24"/>
                <w:highlight w:val="none"/>
              </w:rPr>
            </w:pPr>
          </w:p>
        </w:tc>
        <w:tc>
          <w:tcPr>
            <w:tcW w:w="2552" w:type="dxa"/>
            <w:vAlign w:val="center"/>
          </w:tcPr>
          <w:p w14:paraId="2818C9D8">
            <w:pPr>
              <w:pStyle w:val="68"/>
              <w:spacing w:line="560" w:lineRule="exact"/>
              <w:ind w:firstLine="200"/>
              <w:jc w:val="center"/>
              <w:rPr>
                <w:rFonts w:hint="eastAsia" w:ascii="仿宋_GB2312" w:hAnsi="仿宋_GB2312" w:eastAsia="仿宋_GB2312" w:cs="仿宋_GB2312"/>
                <w:sz w:val="24"/>
                <w:szCs w:val="24"/>
                <w:highlight w:val="none"/>
              </w:rPr>
            </w:pPr>
          </w:p>
        </w:tc>
      </w:tr>
      <w:tr w14:paraId="6B5A3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22624E6">
            <w:pPr>
              <w:pStyle w:val="68"/>
              <w:spacing w:line="560" w:lineRule="exact"/>
              <w:ind w:firstLine="200"/>
              <w:jc w:val="center"/>
              <w:rPr>
                <w:rFonts w:hint="eastAsia" w:ascii="仿宋_GB2312" w:hAnsi="仿宋_GB2312" w:eastAsia="仿宋_GB2312" w:cs="仿宋_GB2312"/>
                <w:sz w:val="24"/>
                <w:szCs w:val="24"/>
                <w:highlight w:val="none"/>
              </w:rPr>
            </w:pPr>
          </w:p>
        </w:tc>
        <w:tc>
          <w:tcPr>
            <w:tcW w:w="3402" w:type="dxa"/>
            <w:vAlign w:val="center"/>
          </w:tcPr>
          <w:p w14:paraId="4DB49146">
            <w:pPr>
              <w:pStyle w:val="68"/>
              <w:spacing w:line="560" w:lineRule="exact"/>
              <w:ind w:firstLine="200"/>
              <w:jc w:val="center"/>
              <w:rPr>
                <w:rFonts w:hint="eastAsia" w:ascii="仿宋_GB2312" w:hAnsi="仿宋_GB2312" w:eastAsia="仿宋_GB2312" w:cs="仿宋_GB2312"/>
                <w:sz w:val="24"/>
                <w:szCs w:val="24"/>
                <w:highlight w:val="none"/>
              </w:rPr>
            </w:pPr>
          </w:p>
        </w:tc>
        <w:tc>
          <w:tcPr>
            <w:tcW w:w="2552" w:type="dxa"/>
            <w:vAlign w:val="center"/>
          </w:tcPr>
          <w:p w14:paraId="6B436CDB">
            <w:pPr>
              <w:pStyle w:val="68"/>
              <w:spacing w:line="560" w:lineRule="exact"/>
              <w:ind w:firstLine="200"/>
              <w:jc w:val="center"/>
              <w:rPr>
                <w:rFonts w:hint="eastAsia" w:ascii="仿宋_GB2312" w:hAnsi="仿宋_GB2312" w:eastAsia="仿宋_GB2312" w:cs="仿宋_GB2312"/>
                <w:sz w:val="24"/>
                <w:szCs w:val="24"/>
                <w:highlight w:val="none"/>
              </w:rPr>
            </w:pPr>
          </w:p>
        </w:tc>
      </w:tr>
      <w:tr w14:paraId="7229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40958833">
            <w:pPr>
              <w:pStyle w:val="68"/>
              <w:spacing w:line="560" w:lineRule="exact"/>
              <w:ind w:firstLine="20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总价</w:t>
            </w:r>
          </w:p>
        </w:tc>
        <w:tc>
          <w:tcPr>
            <w:tcW w:w="2552" w:type="dxa"/>
            <w:vAlign w:val="center"/>
          </w:tcPr>
          <w:p w14:paraId="2A854FE7">
            <w:pPr>
              <w:pStyle w:val="68"/>
              <w:spacing w:line="560" w:lineRule="exact"/>
              <w:ind w:firstLine="200"/>
              <w:jc w:val="center"/>
              <w:rPr>
                <w:rFonts w:hint="eastAsia" w:ascii="仿宋_GB2312" w:hAnsi="仿宋_GB2312" w:eastAsia="仿宋_GB2312" w:cs="仿宋_GB2312"/>
                <w:sz w:val="24"/>
                <w:szCs w:val="24"/>
                <w:highlight w:val="none"/>
              </w:rPr>
            </w:pPr>
          </w:p>
        </w:tc>
      </w:tr>
    </w:tbl>
    <w:p w14:paraId="31D24718">
      <w:pPr>
        <w:pStyle w:val="69"/>
        <w:spacing w:before="0" w:beforeAutospacing="0" w:after="0" w:afterAutospacing="0" w:line="560" w:lineRule="exact"/>
        <w:ind w:firstLine="480"/>
        <w:rPr>
          <w:rFonts w:hint="eastAsia" w:ascii="仿宋_GB2312" w:hAnsi="仿宋_GB2312" w:eastAsia="仿宋_GB2312" w:cs="仿宋_GB2312"/>
          <w:b/>
          <w:sz w:val="24"/>
          <w:szCs w:val="24"/>
          <w:highlight w:val="none"/>
        </w:rPr>
      </w:pPr>
      <w:bookmarkStart w:id="410" w:name="_Toc10340"/>
      <w:bookmarkStart w:id="411" w:name="_Toc22618"/>
      <w:bookmarkStart w:id="412" w:name="_Toc1814"/>
      <w:bookmarkStart w:id="413" w:name="_Toc31421"/>
      <w:bookmarkStart w:id="414" w:name="_Toc3625"/>
      <w:bookmarkStart w:id="415" w:name="_Toc8772"/>
      <w:bookmarkStart w:id="416" w:name="_Toc11108"/>
      <w:bookmarkStart w:id="417" w:name="_Toc4760"/>
      <w:r>
        <w:rPr>
          <w:rFonts w:hint="eastAsia" w:ascii="仿宋_GB2312" w:hAnsi="仿宋_GB2312" w:eastAsia="仿宋_GB2312" w:cs="仿宋_GB2312"/>
          <w:b/>
          <w:sz w:val="24"/>
          <w:szCs w:val="24"/>
          <w:highlight w:val="none"/>
        </w:rPr>
        <w:t>1.4履约保证金</w:t>
      </w:r>
    </w:p>
    <w:p w14:paraId="44F8EA53">
      <w:pPr>
        <w:pStyle w:val="69"/>
        <w:spacing w:before="0" w:beforeAutospacing="0" w:after="0" w:afterAutospacing="0" w:line="560" w:lineRule="exact"/>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乙方</w:t>
      </w:r>
      <w:r>
        <w:rPr>
          <w:rFonts w:hint="eastAsia" w:ascii="仿宋_GB2312" w:hAnsi="仿宋_GB2312" w:eastAsia="仿宋_GB2312" w:cs="仿宋_GB2312"/>
          <w:sz w:val="24"/>
          <w:szCs w:val="24"/>
          <w:highlight w:val="none"/>
          <w:u w:val="single"/>
        </w:rPr>
        <w:t xml:space="preserve"> 否 </w:t>
      </w:r>
      <w:r>
        <w:rPr>
          <w:rFonts w:hint="eastAsia" w:ascii="仿宋_GB2312" w:hAnsi="仿宋_GB2312" w:eastAsia="仿宋_GB2312" w:cs="仿宋_GB2312"/>
          <w:sz w:val="24"/>
          <w:szCs w:val="24"/>
          <w:highlight w:val="none"/>
        </w:rPr>
        <w:t>（是/否）需要支付履约保证金。</w:t>
      </w:r>
    </w:p>
    <w:p w14:paraId="3FCDE08F">
      <w:pPr>
        <w:spacing w:line="560" w:lineRule="exact"/>
        <w:ind w:firstLine="482" w:firstLineChars="200"/>
        <w:outlineLvl w:val="0"/>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1.5</w:t>
      </w:r>
      <w:bookmarkEnd w:id="410"/>
      <w:bookmarkEnd w:id="411"/>
      <w:bookmarkEnd w:id="412"/>
      <w:r>
        <w:rPr>
          <w:rFonts w:hint="eastAsia" w:ascii="仿宋_GB2312" w:hAnsi="仿宋_GB2312" w:eastAsia="仿宋_GB2312" w:cs="仿宋_GB2312"/>
          <w:b/>
          <w:sz w:val="24"/>
          <w:szCs w:val="24"/>
          <w:highlight w:val="none"/>
        </w:rPr>
        <w:t>预付款</w:t>
      </w:r>
    </w:p>
    <w:p w14:paraId="4E5E3ADA">
      <w:pPr>
        <w:pStyle w:val="36"/>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甲方（是/否）需要支付预付款。若需要支付预付款的，则：合同生效以及具备实施条件，中标人即开具增值税专用发票并提供银行、保险公司等金融机构出具的预付款保函，采购人收到发票和预付款保函后7个工作日内，支付合同金额的40%做为预付款；项目完成并通过验收合格后，自收到增值税专用发票后7个工作日内，支付剩余款项。</w:t>
      </w:r>
    </w:p>
    <w:p w14:paraId="3059C559">
      <w:pPr>
        <w:spacing w:line="560" w:lineRule="exact"/>
        <w:ind w:firstLine="480" w:firstLineChars="20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1.5.1预付款比例、支付方式、时间详见</w:t>
      </w:r>
      <w:r>
        <w:rPr>
          <w:rFonts w:hint="eastAsia" w:ascii="仿宋_GB2312" w:hAnsi="仿宋_GB2312" w:eastAsia="仿宋_GB2312" w:cs="仿宋_GB2312"/>
          <w:b/>
          <w:i/>
          <w:sz w:val="24"/>
          <w:szCs w:val="24"/>
          <w:highlight w:val="none"/>
          <w:u w:val="single"/>
        </w:rPr>
        <w:t>合同专用条款</w:t>
      </w:r>
      <w:r>
        <w:rPr>
          <w:rFonts w:hint="eastAsia" w:ascii="仿宋_GB2312" w:hAnsi="仿宋_GB2312" w:eastAsia="仿宋_GB2312" w:cs="仿宋_GB2312"/>
          <w:kern w:val="0"/>
          <w:sz w:val="24"/>
          <w:szCs w:val="24"/>
          <w:highlight w:val="none"/>
        </w:rPr>
        <w:t>；</w:t>
      </w:r>
    </w:p>
    <w:p w14:paraId="364080D7">
      <w:pPr>
        <w:pStyle w:val="69"/>
        <w:spacing w:before="0" w:beforeAutospacing="0" w:after="0" w:afterAutospacing="0" w:line="560" w:lineRule="exact"/>
        <w:ind w:firstLine="480"/>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1.5.2预付款的担保措施详见</w:t>
      </w:r>
      <w:r>
        <w:rPr>
          <w:rFonts w:hint="eastAsia" w:ascii="仿宋_GB2312" w:hAnsi="仿宋_GB2312" w:eastAsia="仿宋_GB2312" w:cs="仿宋_GB2312"/>
          <w:b/>
          <w:i/>
          <w:sz w:val="24"/>
          <w:szCs w:val="24"/>
          <w:highlight w:val="none"/>
          <w:u w:val="single"/>
        </w:rPr>
        <w:t>合同专用条款</w:t>
      </w:r>
      <w:r>
        <w:rPr>
          <w:rFonts w:hint="eastAsia" w:ascii="仿宋_GB2312" w:hAnsi="仿宋_GB2312" w:eastAsia="仿宋_GB2312" w:cs="仿宋_GB2312"/>
          <w:sz w:val="24"/>
          <w:szCs w:val="24"/>
          <w:highlight w:val="none"/>
        </w:rPr>
        <w:t>。</w:t>
      </w:r>
    </w:p>
    <w:p w14:paraId="34CC3717">
      <w:pPr>
        <w:pStyle w:val="69"/>
        <w:spacing w:before="0" w:beforeAutospacing="0" w:after="0" w:afterAutospacing="0" w:line="560" w:lineRule="exact"/>
        <w:ind w:firstLine="480"/>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1.6资金支付</w:t>
      </w:r>
    </w:p>
    <w:p w14:paraId="26D8C26A">
      <w:pPr>
        <w:pStyle w:val="69"/>
        <w:spacing w:before="0" w:beforeAutospacing="0" w:after="0" w:afterAutospacing="0" w:line="560" w:lineRule="exact"/>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1CF8E9CB">
      <w:pPr>
        <w:spacing w:line="560" w:lineRule="exact"/>
        <w:ind w:firstLine="480" w:firstLineChars="200"/>
        <w:outlineLvl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1.6.2资金支付的方式、时间和条件详见</w:t>
      </w:r>
      <w:r>
        <w:rPr>
          <w:rFonts w:hint="eastAsia" w:ascii="仿宋_GB2312" w:hAnsi="仿宋_GB2312" w:eastAsia="仿宋_GB2312" w:cs="仿宋_GB2312"/>
          <w:b/>
          <w:i/>
          <w:sz w:val="24"/>
          <w:szCs w:val="24"/>
          <w:highlight w:val="none"/>
          <w:u w:val="single"/>
        </w:rPr>
        <w:t>合同专用条款</w:t>
      </w:r>
      <w:r>
        <w:rPr>
          <w:rFonts w:hint="eastAsia" w:ascii="仿宋_GB2312" w:hAnsi="仿宋_GB2312" w:eastAsia="仿宋_GB2312" w:cs="仿宋_GB2312"/>
          <w:sz w:val="24"/>
          <w:szCs w:val="24"/>
          <w:highlight w:val="none"/>
        </w:rPr>
        <w:t>。</w:t>
      </w:r>
    </w:p>
    <w:p w14:paraId="46C0D53F">
      <w:pPr>
        <w:spacing w:line="560" w:lineRule="exact"/>
        <w:ind w:firstLine="482" w:firstLineChars="200"/>
        <w:outlineLvl w:val="0"/>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1.7 履行期限、地点和方式</w:t>
      </w:r>
      <w:bookmarkEnd w:id="413"/>
      <w:bookmarkEnd w:id="414"/>
      <w:bookmarkEnd w:id="415"/>
      <w:bookmarkEnd w:id="416"/>
      <w:bookmarkEnd w:id="417"/>
    </w:p>
    <w:p w14:paraId="27067851">
      <w:pPr>
        <w:spacing w:line="560" w:lineRule="exact"/>
        <w:ind w:firstLine="480" w:firstLineChars="200"/>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1.7.1 货物交付（实施）的时间（期限）：</w:t>
      </w:r>
      <w:r>
        <w:rPr>
          <w:rFonts w:hint="eastAsia" w:ascii="仿宋_GB2312" w:hAnsi="仿宋_GB2312" w:eastAsia="仿宋_GB2312" w:cs="仿宋_GB2312"/>
          <w:b/>
          <w:i/>
          <w:sz w:val="24"/>
          <w:szCs w:val="24"/>
          <w:highlight w:val="none"/>
          <w:u w:val="single"/>
        </w:rPr>
        <w:t>合同专用条款</w:t>
      </w:r>
      <w:r>
        <w:rPr>
          <w:rFonts w:hint="eastAsia" w:ascii="仿宋_GB2312" w:hAnsi="仿宋_GB2312" w:eastAsia="仿宋_GB2312" w:cs="仿宋_GB2312"/>
          <w:sz w:val="24"/>
          <w:szCs w:val="24"/>
          <w:highlight w:val="none"/>
        </w:rPr>
        <w:t>；</w:t>
      </w:r>
    </w:p>
    <w:p w14:paraId="5925FE2B">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1.7.2 货物交付（实施）的地点（地域范围）：</w:t>
      </w:r>
      <w:r>
        <w:rPr>
          <w:rFonts w:hint="eastAsia" w:ascii="仿宋_GB2312" w:hAnsi="仿宋_GB2312" w:eastAsia="仿宋_GB2312" w:cs="仿宋_GB2312"/>
          <w:b/>
          <w:i/>
          <w:sz w:val="24"/>
          <w:szCs w:val="24"/>
          <w:highlight w:val="none"/>
          <w:u w:val="single"/>
        </w:rPr>
        <w:t>合同专用条款</w:t>
      </w:r>
      <w:r>
        <w:rPr>
          <w:rFonts w:hint="eastAsia" w:ascii="仿宋_GB2312" w:hAnsi="仿宋_GB2312" w:eastAsia="仿宋_GB2312" w:cs="仿宋_GB2312"/>
          <w:sz w:val="24"/>
          <w:szCs w:val="24"/>
          <w:highlight w:val="none"/>
        </w:rPr>
        <w:t>；</w:t>
      </w:r>
    </w:p>
    <w:p w14:paraId="47D50E9E">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1.7.3 货物交付（实施）的方式：</w:t>
      </w:r>
      <w:r>
        <w:rPr>
          <w:rFonts w:hint="eastAsia" w:ascii="仿宋_GB2312" w:hAnsi="仿宋_GB2312" w:eastAsia="仿宋_GB2312" w:cs="仿宋_GB2312"/>
          <w:b/>
          <w:i/>
          <w:sz w:val="24"/>
          <w:szCs w:val="24"/>
          <w:highlight w:val="none"/>
          <w:u w:val="single"/>
        </w:rPr>
        <w:t>合同专用条款</w:t>
      </w:r>
      <w:r>
        <w:rPr>
          <w:rFonts w:hint="eastAsia" w:ascii="仿宋_GB2312" w:hAnsi="仿宋_GB2312" w:eastAsia="仿宋_GB2312" w:cs="仿宋_GB2312"/>
          <w:sz w:val="24"/>
          <w:szCs w:val="24"/>
          <w:highlight w:val="none"/>
        </w:rPr>
        <w:t>；</w:t>
      </w:r>
    </w:p>
    <w:p w14:paraId="6C740529">
      <w:pPr>
        <w:spacing w:line="560" w:lineRule="exact"/>
        <w:ind w:firstLine="482" w:firstLineChars="200"/>
        <w:outlineLvl w:val="0"/>
        <w:rPr>
          <w:rFonts w:hint="eastAsia" w:ascii="仿宋_GB2312" w:hAnsi="仿宋_GB2312" w:eastAsia="仿宋_GB2312" w:cs="仿宋_GB2312"/>
          <w:sz w:val="24"/>
          <w:szCs w:val="24"/>
          <w:highlight w:val="none"/>
          <w:u w:val="single"/>
        </w:rPr>
      </w:pPr>
      <w:bookmarkStart w:id="418" w:name="_Toc5698"/>
      <w:bookmarkStart w:id="419" w:name="_Toc24662"/>
      <w:bookmarkStart w:id="420" w:name="_Toc8586"/>
      <w:bookmarkStart w:id="421" w:name="_Toc2375"/>
      <w:bookmarkStart w:id="422" w:name="_Toc3079"/>
      <w:r>
        <w:rPr>
          <w:rFonts w:hint="eastAsia" w:ascii="仿宋_GB2312" w:hAnsi="仿宋_GB2312" w:eastAsia="仿宋_GB2312" w:cs="仿宋_GB2312"/>
          <w:b/>
          <w:sz w:val="24"/>
          <w:szCs w:val="24"/>
          <w:highlight w:val="none"/>
        </w:rPr>
        <w:t>1.8违约责任</w:t>
      </w:r>
      <w:bookmarkEnd w:id="418"/>
      <w:bookmarkEnd w:id="419"/>
      <w:bookmarkEnd w:id="420"/>
      <w:bookmarkEnd w:id="421"/>
      <w:bookmarkEnd w:id="422"/>
    </w:p>
    <w:p w14:paraId="26B22A92">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1.8.1 除不可抗力外，如果乙方没有按照本合同约定的期限、地点和方式交付服务成果或者实施服务，那么甲方可要求乙方支付违约金，迟延履行违约金按每迟延履行一日的应提供而未提供服务价格的0.5‰计算，最高限额为本合同总价的</w:t>
      </w:r>
      <w:r>
        <w:rPr>
          <w:rFonts w:hint="eastAsia" w:ascii="仿宋_GB2312" w:hAnsi="仿宋_GB2312" w:eastAsia="仿宋_GB2312" w:cs="仿宋_GB2312"/>
          <w:sz w:val="24"/>
          <w:szCs w:val="24"/>
          <w:highlight w:val="none"/>
          <w:u w:val="single"/>
          <w:lang w:val="en-US" w:eastAsia="zh-CN"/>
        </w:rPr>
        <w:t>10</w:t>
      </w:r>
      <w:r>
        <w:rPr>
          <w:rFonts w:hint="eastAsia" w:ascii="仿宋_GB2312" w:hAnsi="仿宋_GB2312" w:eastAsia="仿宋_GB2312" w:cs="仿宋_GB2312"/>
          <w:sz w:val="24"/>
          <w:szCs w:val="24"/>
          <w:highlight w:val="none"/>
          <w:u w:val="single"/>
        </w:rPr>
        <w:t>%</w:t>
      </w:r>
      <w:r>
        <w:rPr>
          <w:rFonts w:hint="eastAsia" w:ascii="仿宋_GB2312" w:hAnsi="仿宋_GB2312" w:eastAsia="仿宋_GB2312" w:cs="仿宋_GB2312"/>
          <w:sz w:val="24"/>
          <w:szCs w:val="24"/>
          <w:highlight w:val="none"/>
        </w:rPr>
        <w:t>；迟延履行的违约金计算数额达到前述最高限额之日起，甲方有权在要求乙方支付违约金的同时，书面通知乙方解除本合同；</w:t>
      </w:r>
    </w:p>
    <w:p w14:paraId="323DF3C7">
      <w:pPr>
        <w:pStyle w:val="4"/>
        <w:spacing w:line="560" w:lineRule="exact"/>
        <w:ind w:firstLine="480" w:firstLineChars="200"/>
        <w:rPr>
          <w:rFonts w:hint="eastAsia" w:ascii="仿宋_GB2312" w:hAnsi="仿宋_GB2312" w:eastAsia="仿宋_GB2312" w:cs="仿宋_GB2312"/>
          <w:b w:val="0"/>
          <w:sz w:val="24"/>
          <w:szCs w:val="24"/>
          <w:highlight w:val="none"/>
        </w:rPr>
      </w:pPr>
      <w:r>
        <w:rPr>
          <w:rFonts w:hint="eastAsia" w:ascii="仿宋_GB2312" w:hAnsi="仿宋_GB2312" w:eastAsia="仿宋_GB2312" w:cs="仿宋_GB2312"/>
          <w:b w:val="0"/>
          <w:sz w:val="24"/>
          <w:szCs w:val="24"/>
          <w:highlight w:val="none"/>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仿宋_GB2312" w:hAnsi="仿宋_GB2312" w:eastAsia="仿宋_GB2312" w:cs="仿宋_GB2312"/>
          <w:sz w:val="24"/>
          <w:szCs w:val="24"/>
          <w:highlight w:val="none"/>
        </w:rPr>
        <w:t>0.5‰</w:t>
      </w:r>
      <w:r>
        <w:rPr>
          <w:rFonts w:hint="eastAsia" w:ascii="仿宋_GB2312" w:hAnsi="仿宋_GB2312" w:eastAsia="仿宋_GB2312" w:cs="仿宋_GB2312"/>
          <w:b w:val="0"/>
          <w:sz w:val="24"/>
          <w:szCs w:val="24"/>
          <w:highlight w:val="none"/>
          <w:u w:val="single"/>
        </w:rPr>
        <w:t>计算</w:t>
      </w:r>
      <w:r>
        <w:rPr>
          <w:rFonts w:hint="eastAsia" w:ascii="仿宋_GB2312" w:hAnsi="仿宋_GB2312" w:eastAsia="仿宋_GB2312" w:cs="仿宋_GB2312"/>
          <w:b w:val="0"/>
          <w:sz w:val="24"/>
          <w:szCs w:val="24"/>
          <w:highlight w:val="none"/>
        </w:rPr>
        <w:t>，最高限额为本合同总价的</w:t>
      </w:r>
      <w:r>
        <w:rPr>
          <w:rFonts w:hint="eastAsia" w:ascii="仿宋_GB2312" w:hAnsi="仿宋_GB2312" w:eastAsia="仿宋_GB2312" w:cs="仿宋_GB2312"/>
          <w:b w:val="0"/>
          <w:sz w:val="24"/>
          <w:szCs w:val="24"/>
          <w:highlight w:val="none"/>
          <w:u w:val="single"/>
          <w:lang w:val="en-US" w:eastAsia="zh-CN"/>
        </w:rPr>
        <w:t>10</w:t>
      </w:r>
      <w:r>
        <w:rPr>
          <w:rFonts w:hint="eastAsia" w:ascii="仿宋_GB2312" w:hAnsi="仿宋_GB2312" w:eastAsia="仿宋_GB2312" w:cs="仿宋_GB2312"/>
          <w:b w:val="0"/>
          <w:sz w:val="24"/>
          <w:szCs w:val="24"/>
          <w:highlight w:val="none"/>
          <w:u w:val="single"/>
        </w:rPr>
        <w:t>%</w:t>
      </w:r>
      <w:r>
        <w:rPr>
          <w:rFonts w:hint="eastAsia" w:ascii="仿宋_GB2312" w:hAnsi="仿宋_GB2312" w:eastAsia="仿宋_GB2312" w:cs="仿宋_GB2312"/>
          <w:b w:val="0"/>
          <w:sz w:val="24"/>
          <w:szCs w:val="24"/>
          <w:highlight w:val="none"/>
        </w:rPr>
        <w:t>；迟延交付货物的违约金计算数额达到前述最高限额之日起，甲方有权在要求乙方支付违约金的同时，书面通知乙方解除本合同；</w:t>
      </w:r>
    </w:p>
    <w:p w14:paraId="660DDBC1">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1.8.3除不可抗力外，如果甲方没有按照本合同约定的付款方式付款，那么乙方可要求甲方支付违约金，违约金按每迟延付款一日的应付而未付款的0.5‰%计算，最高限额为本合同总价的</w:t>
      </w:r>
      <w:r>
        <w:rPr>
          <w:rFonts w:hint="eastAsia" w:ascii="仿宋_GB2312" w:hAnsi="仿宋_GB2312" w:eastAsia="仿宋_GB2312" w:cs="仿宋_GB2312"/>
          <w:sz w:val="24"/>
          <w:szCs w:val="24"/>
          <w:highlight w:val="none"/>
          <w:u w:val="single"/>
          <w:lang w:val="en-US" w:eastAsia="zh-CN"/>
        </w:rPr>
        <w:t>10</w:t>
      </w:r>
      <w:r>
        <w:rPr>
          <w:rFonts w:hint="eastAsia" w:ascii="仿宋_GB2312" w:hAnsi="仿宋_GB2312" w:eastAsia="仿宋_GB2312" w:cs="仿宋_GB2312"/>
          <w:sz w:val="24"/>
          <w:szCs w:val="24"/>
          <w:highlight w:val="none"/>
          <w:u w:val="single"/>
        </w:rPr>
        <w:t>%</w:t>
      </w:r>
      <w:r>
        <w:rPr>
          <w:rFonts w:hint="eastAsia" w:ascii="仿宋_GB2312" w:hAnsi="仿宋_GB2312" w:eastAsia="仿宋_GB2312" w:cs="仿宋_GB2312"/>
          <w:sz w:val="24"/>
          <w:szCs w:val="24"/>
          <w:highlight w:val="none"/>
        </w:rPr>
        <w:t>；迟延付款的违约金计算数额达到前述最高限额之日起，乙方有权在要求甲方支付违约金的同时，书面通知甲方解除本合同；</w:t>
      </w:r>
    </w:p>
    <w:p w14:paraId="04745B44">
      <w:pPr>
        <w:spacing w:line="560" w:lineRule="exact"/>
        <w:ind w:firstLine="480" w:firstLineChars="200"/>
        <w:rPr>
          <w:rFonts w:hint="eastAsia" w:ascii="仿宋_GB2312" w:hAnsi="仿宋_GB2312" w:eastAsia="仿宋_GB2312" w:cs="仿宋_GB2312"/>
          <w:sz w:val="24"/>
          <w:szCs w:val="24"/>
          <w:highlight w:val="none"/>
        </w:rPr>
      </w:pPr>
      <w:bookmarkStart w:id="423" w:name="_Toc32454"/>
      <w:bookmarkStart w:id="424" w:name="_Toc26807"/>
      <w:bookmarkStart w:id="425" w:name="_Toc9497"/>
      <w:bookmarkStart w:id="426" w:name="_Toc30329"/>
      <w:bookmarkStart w:id="427" w:name="_Toc18683"/>
      <w:r>
        <w:rPr>
          <w:rFonts w:hint="eastAsia" w:ascii="仿宋_GB2312" w:hAnsi="仿宋_GB2312" w:eastAsia="仿宋_GB2312" w:cs="仿宋_GB2312"/>
          <w:sz w:val="24"/>
          <w:szCs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6CD59BB">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A0D6945">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0E4F8010">
      <w:pPr>
        <w:spacing w:line="560" w:lineRule="exact"/>
        <w:ind w:right="-420" w:rightChars="-20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1.8.7违约责任</w:t>
      </w:r>
      <w:r>
        <w:rPr>
          <w:rFonts w:hint="eastAsia" w:ascii="仿宋_GB2312" w:hAnsi="仿宋_GB2312" w:eastAsia="仿宋_GB2312" w:cs="仿宋_GB2312"/>
          <w:b/>
          <w:i/>
          <w:sz w:val="24"/>
          <w:szCs w:val="24"/>
          <w:highlight w:val="none"/>
          <w:u w:val="single"/>
        </w:rPr>
        <w:t>合同专用条款</w:t>
      </w:r>
      <w:r>
        <w:rPr>
          <w:rFonts w:hint="eastAsia" w:ascii="仿宋_GB2312" w:hAnsi="仿宋_GB2312" w:eastAsia="仿宋_GB2312" w:cs="仿宋_GB2312"/>
          <w:sz w:val="24"/>
          <w:szCs w:val="24"/>
          <w:highlight w:val="none"/>
        </w:rPr>
        <w:t>另有约定的，从其约定。</w:t>
      </w:r>
    </w:p>
    <w:bookmarkEnd w:id="423"/>
    <w:bookmarkEnd w:id="424"/>
    <w:bookmarkEnd w:id="425"/>
    <w:bookmarkEnd w:id="426"/>
    <w:bookmarkEnd w:id="427"/>
    <w:p w14:paraId="3AAB3407">
      <w:pPr>
        <w:spacing w:line="560" w:lineRule="exact"/>
        <w:ind w:firstLine="482" w:firstLineChars="200"/>
        <w:outlineLvl w:val="0"/>
        <w:rPr>
          <w:rFonts w:hint="eastAsia" w:ascii="仿宋_GB2312" w:hAnsi="仿宋_GB2312" w:eastAsia="仿宋_GB2312" w:cs="仿宋_GB2312"/>
          <w:b/>
          <w:sz w:val="24"/>
          <w:szCs w:val="24"/>
          <w:highlight w:val="none"/>
        </w:rPr>
      </w:pPr>
      <w:bookmarkStart w:id="428" w:name="_Toc15583"/>
      <w:bookmarkStart w:id="429" w:name="_Toc28375"/>
      <w:bookmarkStart w:id="430" w:name="_Toc16021"/>
      <w:r>
        <w:rPr>
          <w:rFonts w:hint="eastAsia" w:ascii="仿宋_GB2312" w:hAnsi="仿宋_GB2312" w:eastAsia="仿宋_GB2312" w:cs="仿宋_GB2312"/>
          <w:b/>
          <w:sz w:val="24"/>
          <w:szCs w:val="24"/>
          <w:highlight w:val="none"/>
        </w:rPr>
        <w:t>1.9合同争议的解决</w:t>
      </w:r>
      <w:bookmarkEnd w:id="428"/>
      <w:bookmarkEnd w:id="429"/>
      <w:bookmarkEnd w:id="430"/>
    </w:p>
    <w:p w14:paraId="38B36133">
      <w:pPr>
        <w:pStyle w:val="2"/>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 xml:space="preserve">  本合同履行过程中发生的任何争议，双方当事人均可通过和解或者调解解决；不愿和解、调解或者和解、调解不成的，可以选择以下第条款规定的方式解决：</w:t>
      </w:r>
    </w:p>
    <w:p w14:paraId="6F10D8E7">
      <w:pPr>
        <w:pStyle w:val="2"/>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1.9.1 将争议提交舟山仲裁委员会依申请仲裁时其现行有效的仲裁规则裁决；</w:t>
      </w:r>
    </w:p>
    <w:p w14:paraId="63DF7B4E">
      <w:pPr>
        <w:pStyle w:val="2"/>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1.9.2 向</w:t>
      </w:r>
      <w:r>
        <w:rPr>
          <w:rFonts w:hint="eastAsia" w:ascii="仿宋_GB2312" w:hAnsi="仿宋_GB2312" w:eastAsia="仿宋_GB2312" w:cs="仿宋_GB2312"/>
          <w:b/>
          <w:i/>
          <w:kern w:val="2"/>
          <w:sz w:val="24"/>
          <w:szCs w:val="24"/>
          <w:highlight w:val="none"/>
          <w:u w:val="single"/>
          <w:lang w:val="en-US" w:eastAsia="zh-CN" w:bidi="ar-SA"/>
        </w:rPr>
        <w:t>合同专用条款</w:t>
      </w:r>
      <w:r>
        <w:rPr>
          <w:rFonts w:hint="eastAsia" w:ascii="仿宋_GB2312" w:hAnsi="仿宋_GB2312" w:eastAsia="仿宋_GB2312" w:cs="仿宋_GB2312"/>
          <w:sz w:val="24"/>
          <w:szCs w:val="24"/>
          <w:highlight w:val="none"/>
          <w:lang w:val="en-US" w:eastAsia="zh-CN"/>
        </w:rPr>
        <w:t>人民法院起诉。</w:t>
      </w:r>
    </w:p>
    <w:p w14:paraId="39178D71">
      <w:pPr>
        <w:pStyle w:val="2"/>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1.9.3本合同未尽事宜，遵照《民典法》有关条文和《浙江国际海运职业技术学院办公电脑采购项目》（项目编号：）执行。</w:t>
      </w:r>
    </w:p>
    <w:p w14:paraId="07483562">
      <w:pPr>
        <w:spacing w:line="560" w:lineRule="exact"/>
        <w:ind w:firstLine="482" w:firstLineChars="200"/>
        <w:outlineLvl w:val="0"/>
        <w:rPr>
          <w:rFonts w:hint="eastAsia" w:ascii="仿宋_GB2312" w:hAnsi="仿宋_GB2312" w:eastAsia="仿宋_GB2312" w:cs="仿宋_GB2312"/>
          <w:b/>
          <w:sz w:val="24"/>
          <w:szCs w:val="24"/>
          <w:highlight w:val="none"/>
        </w:rPr>
      </w:pPr>
      <w:bookmarkStart w:id="431" w:name="_Toc11173"/>
      <w:bookmarkStart w:id="432" w:name="_Toc7245"/>
      <w:bookmarkStart w:id="433" w:name="_Toc15322"/>
      <w:r>
        <w:rPr>
          <w:rFonts w:hint="eastAsia" w:ascii="仿宋_GB2312" w:hAnsi="仿宋_GB2312" w:eastAsia="仿宋_GB2312" w:cs="仿宋_GB2312"/>
          <w:b/>
          <w:sz w:val="24"/>
          <w:szCs w:val="24"/>
          <w:highlight w:val="none"/>
        </w:rPr>
        <w:t>2.0 合同生效</w:t>
      </w:r>
      <w:bookmarkEnd w:id="431"/>
      <w:bookmarkEnd w:id="432"/>
      <w:bookmarkEnd w:id="433"/>
    </w:p>
    <w:p w14:paraId="6EADCD72">
      <w:pPr>
        <w:spacing w:line="560" w:lineRule="exact"/>
        <w:ind w:firstLine="480" w:firstLineChars="200"/>
        <w:rPr>
          <w:rFonts w:hint="eastAsia" w:ascii="仿宋_GB2312" w:hAnsi="仿宋_GB2312" w:eastAsia="仿宋_GB2312" w:cs="仿宋_GB2312"/>
          <w:b/>
          <w:sz w:val="24"/>
          <w:szCs w:val="24"/>
          <w:highlight w:val="none"/>
        </w:rPr>
      </w:pPr>
      <w:r>
        <w:rPr>
          <w:rFonts w:hint="eastAsia" w:ascii="仿宋_GB2312" w:hAnsi="仿宋_GB2312" w:eastAsia="仿宋_GB2312" w:cs="仿宋_GB2312"/>
          <w:sz w:val="24"/>
          <w:szCs w:val="24"/>
          <w:highlight w:val="none"/>
        </w:rPr>
        <w:t>本合同自双方当事人盖章签字时生效。</w:t>
      </w:r>
    </w:p>
    <w:p w14:paraId="6942AA83">
      <w:pPr>
        <w:autoSpaceDE w:val="0"/>
        <w:autoSpaceDN w:val="0"/>
        <w:spacing w:line="560" w:lineRule="exact"/>
        <w:rPr>
          <w:rFonts w:hint="eastAsia" w:ascii="仿宋_GB2312" w:hAnsi="仿宋_GB2312" w:eastAsia="仿宋_GB2312" w:cs="仿宋_GB2312"/>
          <w:sz w:val="24"/>
          <w:szCs w:val="24"/>
          <w:highlight w:val="none"/>
          <w:lang w:val="zh-CN"/>
        </w:rPr>
      </w:pPr>
    </w:p>
    <w:p w14:paraId="5D401751">
      <w:pPr>
        <w:autoSpaceDE w:val="0"/>
        <w:autoSpaceDN w:val="0"/>
        <w:spacing w:line="560" w:lineRule="exact"/>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b/>
          <w:sz w:val="24"/>
          <w:szCs w:val="24"/>
          <w:highlight w:val="none"/>
          <w:lang w:val="zh-CN"/>
        </w:rPr>
        <w:t>甲方</w:t>
      </w:r>
      <w:r>
        <w:rPr>
          <w:rFonts w:hint="eastAsia" w:ascii="仿宋_GB2312" w:hAnsi="仿宋_GB2312" w:eastAsia="仿宋_GB2312" w:cs="仿宋_GB2312"/>
          <w:sz w:val="24"/>
          <w:szCs w:val="24"/>
          <w:highlight w:val="none"/>
          <w:lang w:val="zh-CN"/>
        </w:rPr>
        <w:t xml:space="preserve">：                             </w:t>
      </w:r>
      <w:r>
        <w:rPr>
          <w:rFonts w:hint="eastAsia" w:ascii="仿宋_GB2312" w:hAnsi="仿宋_GB2312" w:eastAsia="仿宋_GB2312" w:cs="仿宋_GB2312"/>
          <w:b/>
          <w:sz w:val="24"/>
          <w:szCs w:val="24"/>
          <w:highlight w:val="none"/>
          <w:lang w:val="zh-CN"/>
        </w:rPr>
        <w:t xml:space="preserve">      乙方</w:t>
      </w:r>
      <w:r>
        <w:rPr>
          <w:rFonts w:hint="eastAsia" w:ascii="仿宋_GB2312" w:hAnsi="仿宋_GB2312" w:eastAsia="仿宋_GB2312" w:cs="仿宋_GB2312"/>
          <w:sz w:val="24"/>
          <w:szCs w:val="24"/>
          <w:highlight w:val="none"/>
          <w:lang w:val="zh-CN"/>
        </w:rPr>
        <w:t>：</w:t>
      </w:r>
    </w:p>
    <w:p w14:paraId="1EF0A3B5">
      <w:pPr>
        <w:autoSpaceDE w:val="0"/>
        <w:autoSpaceDN w:val="0"/>
        <w:spacing w:line="560" w:lineRule="exact"/>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zh-CN"/>
        </w:rPr>
        <w:t>统一社会信用代码：                        统一社会信用代码或身份证号码：</w:t>
      </w:r>
    </w:p>
    <w:p w14:paraId="6B825609">
      <w:pPr>
        <w:autoSpaceDE w:val="0"/>
        <w:autoSpaceDN w:val="0"/>
        <w:spacing w:line="560" w:lineRule="exact"/>
        <w:rPr>
          <w:rFonts w:hint="eastAsia" w:ascii="仿宋_GB2312" w:hAnsi="仿宋_GB2312" w:eastAsia="仿宋_GB2312" w:cs="仿宋_GB2312"/>
          <w:sz w:val="24"/>
          <w:szCs w:val="24"/>
          <w:highlight w:val="none"/>
          <w:lang w:val="zh-CN"/>
        </w:rPr>
      </w:pPr>
    </w:p>
    <w:p w14:paraId="67BA9B8D">
      <w:pPr>
        <w:autoSpaceDE w:val="0"/>
        <w:autoSpaceDN w:val="0"/>
        <w:spacing w:line="560" w:lineRule="exact"/>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zh-CN"/>
        </w:rPr>
        <w:t>住所：                                   住所：</w:t>
      </w:r>
    </w:p>
    <w:p w14:paraId="24BA38E7">
      <w:pPr>
        <w:autoSpaceDE w:val="0"/>
        <w:autoSpaceDN w:val="0"/>
        <w:spacing w:line="560" w:lineRule="exact"/>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zh-CN"/>
        </w:rPr>
        <w:t>法定代表人或                             法定代表人或</w:t>
      </w:r>
    </w:p>
    <w:p w14:paraId="61646FF6">
      <w:pPr>
        <w:autoSpaceDE w:val="0"/>
        <w:autoSpaceDN w:val="0"/>
        <w:spacing w:line="560" w:lineRule="exact"/>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zh-CN"/>
        </w:rPr>
        <w:t xml:space="preserve">授权代表（签字）：                       授权代表（签字）: </w:t>
      </w:r>
    </w:p>
    <w:p w14:paraId="38D7324A">
      <w:pPr>
        <w:autoSpaceDE w:val="0"/>
        <w:autoSpaceDN w:val="0"/>
        <w:spacing w:line="560" w:lineRule="exact"/>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zh-CN"/>
        </w:rPr>
        <w:t>联系人：                                 联系人：</w:t>
      </w:r>
    </w:p>
    <w:p w14:paraId="6FA3E0AD">
      <w:pPr>
        <w:autoSpaceDE w:val="0"/>
        <w:autoSpaceDN w:val="0"/>
        <w:spacing w:line="560" w:lineRule="exact"/>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zh-CN"/>
        </w:rPr>
        <w:t>约定送达地址：                           约定送达地址：</w:t>
      </w:r>
    </w:p>
    <w:p w14:paraId="6045959E">
      <w:pPr>
        <w:autoSpaceDE w:val="0"/>
        <w:autoSpaceDN w:val="0"/>
        <w:spacing w:line="560" w:lineRule="exact"/>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zh-CN"/>
        </w:rPr>
        <w:t>邮政编码：                               邮政编码：</w:t>
      </w:r>
    </w:p>
    <w:p w14:paraId="10844A29">
      <w:pPr>
        <w:autoSpaceDE w:val="0"/>
        <w:autoSpaceDN w:val="0"/>
        <w:spacing w:line="560" w:lineRule="exact"/>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zh-CN"/>
        </w:rPr>
        <w:t xml:space="preserve">电话:                                    电话: </w:t>
      </w:r>
    </w:p>
    <w:p w14:paraId="587035B8">
      <w:pPr>
        <w:autoSpaceDE w:val="0"/>
        <w:autoSpaceDN w:val="0"/>
        <w:spacing w:line="560" w:lineRule="exact"/>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zh-CN"/>
        </w:rPr>
        <w:t>传真:                                    传真:</w:t>
      </w:r>
    </w:p>
    <w:p w14:paraId="65921D6D">
      <w:pPr>
        <w:autoSpaceDE w:val="0"/>
        <w:autoSpaceDN w:val="0"/>
        <w:spacing w:line="56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zh-CN"/>
        </w:rPr>
        <w:t>电子邮箱：                               电子邮箱：</w:t>
      </w:r>
    </w:p>
    <w:p w14:paraId="65D7A29F">
      <w:pPr>
        <w:autoSpaceDE w:val="0"/>
        <w:autoSpaceDN w:val="0"/>
        <w:spacing w:line="56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开户银行：                               开户银行： </w:t>
      </w:r>
    </w:p>
    <w:p w14:paraId="716C7A37">
      <w:pPr>
        <w:autoSpaceDE w:val="0"/>
        <w:autoSpaceDN w:val="0"/>
        <w:spacing w:line="56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开户名称：                               开户名称： </w:t>
      </w:r>
    </w:p>
    <w:p w14:paraId="5EA45408">
      <w:pPr>
        <w:autoSpaceDE w:val="0"/>
        <w:autoSpaceDN w:val="0"/>
        <w:spacing w:line="56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开户账号：</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开户账号：</w:t>
      </w:r>
    </w:p>
    <w:p w14:paraId="1A35D015">
      <w:pPr>
        <w:rPr>
          <w:rFonts w:hint="eastAsia" w:ascii="仿宋_GB2312" w:hAnsi="仿宋_GB2312" w:eastAsia="仿宋_GB2312" w:cs="仿宋_GB2312"/>
          <w:b/>
          <w:sz w:val="24"/>
          <w:szCs w:val="24"/>
          <w:highlight w:val="none"/>
          <w:lang w:eastAsia="zh-CN"/>
        </w:rPr>
      </w:pPr>
      <w:r>
        <w:rPr>
          <w:rFonts w:hint="eastAsia" w:ascii="仿宋_GB2312" w:hAnsi="仿宋_GB2312" w:eastAsia="仿宋_GB2312" w:cs="仿宋_GB2312"/>
          <w:b/>
          <w:sz w:val="24"/>
          <w:szCs w:val="24"/>
          <w:highlight w:val="none"/>
          <w:lang w:eastAsia="zh-CN"/>
        </w:rPr>
        <w:br w:type="page"/>
      </w:r>
    </w:p>
    <w:p w14:paraId="5A071048">
      <w:pPr>
        <w:pStyle w:val="63"/>
        <w:spacing w:line="560" w:lineRule="exact"/>
        <w:ind w:firstLine="562"/>
        <w:jc w:val="center"/>
        <w:rPr>
          <w:rFonts w:hint="eastAsia" w:ascii="仿宋_GB2312" w:hAnsi="仿宋_GB2312" w:eastAsia="仿宋_GB2312" w:cs="仿宋_GB2312"/>
          <w:b/>
          <w:sz w:val="24"/>
          <w:szCs w:val="24"/>
          <w:highlight w:val="none"/>
          <w:lang w:eastAsia="zh-CN"/>
        </w:rPr>
      </w:pPr>
      <w:r>
        <w:rPr>
          <w:rFonts w:hint="eastAsia" w:ascii="仿宋_GB2312" w:hAnsi="仿宋_GB2312" w:eastAsia="仿宋_GB2312" w:cs="仿宋_GB2312"/>
          <w:b/>
          <w:sz w:val="24"/>
          <w:szCs w:val="24"/>
          <w:highlight w:val="none"/>
          <w:lang w:eastAsia="zh-CN"/>
        </w:rPr>
        <w:t>第二部分 合同一般条款</w:t>
      </w:r>
    </w:p>
    <w:p w14:paraId="12C0FEDA">
      <w:pPr>
        <w:spacing w:line="560" w:lineRule="exact"/>
        <w:ind w:firstLine="482" w:firstLineChars="200"/>
        <w:outlineLvl w:val="0"/>
        <w:rPr>
          <w:rFonts w:hint="eastAsia" w:ascii="仿宋_GB2312" w:hAnsi="仿宋_GB2312" w:eastAsia="仿宋_GB2312" w:cs="仿宋_GB2312"/>
          <w:b/>
          <w:sz w:val="24"/>
          <w:szCs w:val="24"/>
          <w:highlight w:val="none"/>
        </w:rPr>
      </w:pPr>
      <w:bookmarkStart w:id="434" w:name="_Toc25079"/>
      <w:bookmarkStart w:id="435" w:name="_Toc31297"/>
      <w:bookmarkStart w:id="436" w:name="_Toc5228"/>
      <w:bookmarkStart w:id="437" w:name="_Toc14021"/>
      <w:bookmarkStart w:id="438" w:name="_Toc19680"/>
      <w:r>
        <w:rPr>
          <w:rFonts w:hint="eastAsia" w:ascii="仿宋_GB2312" w:hAnsi="仿宋_GB2312" w:eastAsia="仿宋_GB2312" w:cs="仿宋_GB2312"/>
          <w:b/>
          <w:sz w:val="24"/>
          <w:szCs w:val="24"/>
          <w:highlight w:val="none"/>
        </w:rPr>
        <w:t>2.1 定义</w:t>
      </w:r>
      <w:bookmarkEnd w:id="434"/>
      <w:bookmarkEnd w:id="435"/>
      <w:bookmarkEnd w:id="436"/>
      <w:bookmarkEnd w:id="437"/>
      <w:bookmarkEnd w:id="438"/>
    </w:p>
    <w:p w14:paraId="38D8099C">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本合同中的下列词语应按以下内容进行解释：</w:t>
      </w:r>
    </w:p>
    <w:p w14:paraId="6355D811">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2.1.1 “合同”系指采购人和中标或成交供应商签订的载明双方当事人所达成的协议，并包括所有的附件、附录和构成合同的其他文件。</w:t>
      </w:r>
    </w:p>
    <w:p w14:paraId="2DB31576">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2.1.2 “合同价”系指根据合同约定，中标或成交供应商在完全履行合同义务后，采购人应支付给中标或成交供应商的价格。</w:t>
      </w:r>
    </w:p>
    <w:p w14:paraId="5DBAD998">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2.1.3 “服务”系指中标或成交供应商根据合同约定应向采购人履行的除货物和工程以外的其他政府采购对象，包括采购人自身需要的服务和向社会公众提供的公共服务。</w:t>
      </w:r>
    </w:p>
    <w:p w14:paraId="19A76B66">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2.1.4 “甲方”系指与中标或成交供应商签署合同的采购人；采购人委托采购代理机构代表其与乙方签订合同的，采购人的授权委托书作为合同附件。</w:t>
      </w:r>
    </w:p>
    <w:p w14:paraId="18035AA8">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2.1.5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2FDEB739">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2.1.6 “现场”系指合同约定提供服务的地点。</w:t>
      </w:r>
    </w:p>
    <w:p w14:paraId="088507E9">
      <w:pPr>
        <w:spacing w:line="560" w:lineRule="exact"/>
        <w:ind w:firstLine="482" w:firstLineChars="200"/>
        <w:outlineLvl w:val="0"/>
        <w:rPr>
          <w:rFonts w:hint="eastAsia" w:ascii="仿宋_GB2312" w:hAnsi="仿宋_GB2312" w:eastAsia="仿宋_GB2312" w:cs="仿宋_GB2312"/>
          <w:b/>
          <w:sz w:val="24"/>
          <w:szCs w:val="24"/>
          <w:highlight w:val="none"/>
        </w:rPr>
      </w:pPr>
      <w:bookmarkStart w:id="439" w:name="_Toc19539"/>
      <w:bookmarkStart w:id="440" w:name="_Toc23289"/>
      <w:bookmarkStart w:id="441" w:name="_Toc3769"/>
      <w:bookmarkStart w:id="442" w:name="_Toc31402"/>
      <w:bookmarkStart w:id="443" w:name="_Toc16752"/>
      <w:r>
        <w:rPr>
          <w:rFonts w:hint="eastAsia" w:ascii="仿宋_GB2312" w:hAnsi="仿宋_GB2312" w:eastAsia="仿宋_GB2312" w:cs="仿宋_GB2312"/>
          <w:b/>
          <w:sz w:val="24"/>
          <w:szCs w:val="24"/>
          <w:highlight w:val="none"/>
        </w:rPr>
        <w:t>2.2 技术规范</w:t>
      </w:r>
      <w:bookmarkEnd w:id="439"/>
      <w:bookmarkEnd w:id="440"/>
      <w:bookmarkEnd w:id="441"/>
      <w:bookmarkEnd w:id="442"/>
      <w:bookmarkEnd w:id="443"/>
    </w:p>
    <w:p w14:paraId="2B93DAB1">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4717DF8">
      <w:pPr>
        <w:spacing w:line="560" w:lineRule="exact"/>
        <w:ind w:firstLine="482" w:firstLineChars="200"/>
        <w:outlineLvl w:val="0"/>
        <w:rPr>
          <w:rFonts w:hint="eastAsia" w:ascii="仿宋_GB2312" w:hAnsi="仿宋_GB2312" w:eastAsia="仿宋_GB2312" w:cs="仿宋_GB2312"/>
          <w:b/>
          <w:sz w:val="24"/>
          <w:szCs w:val="24"/>
          <w:highlight w:val="none"/>
        </w:rPr>
      </w:pPr>
      <w:bookmarkStart w:id="444" w:name="_Toc4133"/>
      <w:bookmarkStart w:id="445" w:name="_Toc13673"/>
      <w:bookmarkStart w:id="446" w:name="_Toc12412"/>
      <w:bookmarkStart w:id="447" w:name="_Toc9161"/>
      <w:bookmarkStart w:id="448" w:name="_Toc27945"/>
      <w:r>
        <w:rPr>
          <w:rFonts w:hint="eastAsia" w:ascii="仿宋_GB2312" w:hAnsi="仿宋_GB2312" w:eastAsia="仿宋_GB2312" w:cs="仿宋_GB2312"/>
          <w:b/>
          <w:sz w:val="24"/>
          <w:szCs w:val="24"/>
          <w:highlight w:val="none"/>
        </w:rPr>
        <w:t>2.3 知识产权</w:t>
      </w:r>
      <w:bookmarkEnd w:id="444"/>
      <w:bookmarkEnd w:id="445"/>
      <w:bookmarkEnd w:id="446"/>
      <w:bookmarkEnd w:id="447"/>
      <w:bookmarkEnd w:id="448"/>
    </w:p>
    <w:p w14:paraId="5A1C3348">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3556B03F">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2.3.2 合同涉及技术成果的归属和收益的分成办法的，详见</w:t>
      </w:r>
      <w:r>
        <w:rPr>
          <w:rFonts w:hint="eastAsia" w:ascii="仿宋_GB2312" w:hAnsi="仿宋_GB2312" w:eastAsia="仿宋_GB2312" w:cs="仿宋_GB2312"/>
          <w:b/>
          <w:i/>
          <w:sz w:val="24"/>
          <w:szCs w:val="24"/>
          <w:highlight w:val="none"/>
          <w:u w:val="single"/>
        </w:rPr>
        <w:t>合同专用条款</w:t>
      </w:r>
      <w:r>
        <w:rPr>
          <w:rFonts w:hint="eastAsia" w:ascii="仿宋_GB2312" w:hAnsi="仿宋_GB2312" w:eastAsia="仿宋_GB2312" w:cs="仿宋_GB2312"/>
          <w:sz w:val="24"/>
          <w:szCs w:val="24"/>
          <w:highlight w:val="none"/>
        </w:rPr>
        <w:t>。</w:t>
      </w:r>
    </w:p>
    <w:p w14:paraId="7E38F38F">
      <w:pPr>
        <w:spacing w:line="560" w:lineRule="exact"/>
        <w:ind w:firstLine="482" w:firstLineChars="200"/>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2.4 履约检查和问题反馈</w:t>
      </w:r>
    </w:p>
    <w:p w14:paraId="3E028B43">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4048C00B">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2.4.2 合同履行期间，甲方有权将履行过程中出现的问题反馈给乙方，双方当事人应以书面形式约定需要完善和改进的内容。</w:t>
      </w:r>
    </w:p>
    <w:p w14:paraId="17460086">
      <w:pPr>
        <w:spacing w:line="560" w:lineRule="exact"/>
        <w:ind w:firstLine="482" w:firstLineChars="200"/>
        <w:outlineLvl w:val="0"/>
        <w:rPr>
          <w:rFonts w:hint="eastAsia" w:ascii="仿宋_GB2312" w:hAnsi="仿宋_GB2312" w:eastAsia="仿宋_GB2312" w:cs="仿宋_GB2312"/>
          <w:b/>
          <w:sz w:val="24"/>
          <w:szCs w:val="24"/>
          <w:highlight w:val="none"/>
        </w:rPr>
      </w:pPr>
      <w:bookmarkStart w:id="449" w:name="_Toc26555"/>
      <w:bookmarkStart w:id="450" w:name="_Toc22011"/>
      <w:bookmarkStart w:id="451" w:name="_Toc31233"/>
      <w:bookmarkStart w:id="452" w:name="_Toc32670"/>
      <w:bookmarkStart w:id="453" w:name="_Toc15447"/>
      <w:r>
        <w:rPr>
          <w:rFonts w:hint="eastAsia" w:ascii="仿宋_GB2312" w:hAnsi="仿宋_GB2312" w:eastAsia="仿宋_GB2312" w:cs="仿宋_GB2312"/>
          <w:b/>
          <w:sz w:val="24"/>
          <w:szCs w:val="24"/>
          <w:highlight w:val="none"/>
        </w:rPr>
        <w:t>2.5 结算方式和付款条件</w:t>
      </w:r>
      <w:bookmarkEnd w:id="449"/>
      <w:bookmarkEnd w:id="450"/>
      <w:bookmarkEnd w:id="451"/>
      <w:bookmarkEnd w:id="452"/>
      <w:bookmarkEnd w:id="453"/>
    </w:p>
    <w:p w14:paraId="2E8B445D">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详见</w:t>
      </w:r>
      <w:r>
        <w:rPr>
          <w:rFonts w:hint="eastAsia" w:ascii="仿宋_GB2312" w:hAnsi="仿宋_GB2312" w:eastAsia="仿宋_GB2312" w:cs="仿宋_GB2312"/>
          <w:b/>
          <w:i/>
          <w:sz w:val="24"/>
          <w:szCs w:val="24"/>
          <w:highlight w:val="none"/>
          <w:u w:val="single"/>
        </w:rPr>
        <w:t>合同专用条款</w:t>
      </w:r>
      <w:r>
        <w:rPr>
          <w:rFonts w:hint="eastAsia" w:ascii="仿宋_GB2312" w:hAnsi="仿宋_GB2312" w:eastAsia="仿宋_GB2312" w:cs="仿宋_GB2312"/>
          <w:sz w:val="24"/>
          <w:szCs w:val="24"/>
          <w:highlight w:val="none"/>
        </w:rPr>
        <w:t>。</w:t>
      </w:r>
    </w:p>
    <w:p w14:paraId="569554A5">
      <w:pPr>
        <w:spacing w:line="560" w:lineRule="exact"/>
        <w:ind w:firstLine="482" w:firstLineChars="200"/>
        <w:outlineLvl w:val="0"/>
        <w:rPr>
          <w:rFonts w:hint="eastAsia" w:ascii="仿宋_GB2312" w:hAnsi="仿宋_GB2312" w:eastAsia="仿宋_GB2312" w:cs="仿宋_GB2312"/>
          <w:b/>
          <w:sz w:val="24"/>
          <w:szCs w:val="24"/>
          <w:highlight w:val="none"/>
        </w:rPr>
      </w:pPr>
      <w:bookmarkStart w:id="454" w:name="_Toc18990"/>
      <w:bookmarkStart w:id="455" w:name="_Toc13154"/>
      <w:bookmarkStart w:id="456" w:name="_Toc30507"/>
      <w:bookmarkStart w:id="457" w:name="_Toc13467"/>
      <w:bookmarkStart w:id="458" w:name="_Toc16163"/>
      <w:r>
        <w:rPr>
          <w:rFonts w:hint="eastAsia" w:ascii="仿宋_GB2312" w:hAnsi="仿宋_GB2312" w:eastAsia="仿宋_GB2312" w:cs="仿宋_GB2312"/>
          <w:b/>
          <w:sz w:val="24"/>
          <w:szCs w:val="24"/>
          <w:highlight w:val="none"/>
        </w:rPr>
        <w:t>2.6 技术资料和保密义务</w:t>
      </w:r>
      <w:bookmarkEnd w:id="454"/>
      <w:bookmarkEnd w:id="455"/>
      <w:bookmarkEnd w:id="456"/>
      <w:bookmarkEnd w:id="457"/>
      <w:bookmarkEnd w:id="458"/>
    </w:p>
    <w:p w14:paraId="7C3882E1">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2.6.1 乙方有权依据合同约定和项目需要，向甲方了解有关情况，调阅有关资料等，甲方应予积极配合；</w:t>
      </w:r>
    </w:p>
    <w:p w14:paraId="788DEA3A">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2.6.2 乙方有义务妥善保管和保护由甲方提供的前款信息和资料等；</w:t>
      </w:r>
    </w:p>
    <w:p w14:paraId="349AE1F6">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AC66493">
      <w:pPr>
        <w:spacing w:line="560" w:lineRule="exact"/>
        <w:ind w:firstLine="482" w:firstLineChars="200"/>
        <w:outlineLvl w:val="0"/>
        <w:rPr>
          <w:rFonts w:hint="eastAsia" w:ascii="仿宋_GB2312" w:hAnsi="仿宋_GB2312" w:eastAsia="仿宋_GB2312" w:cs="仿宋_GB2312"/>
          <w:b/>
          <w:sz w:val="24"/>
          <w:szCs w:val="24"/>
          <w:highlight w:val="none"/>
        </w:rPr>
      </w:pPr>
      <w:bookmarkStart w:id="459" w:name="_Toc19069"/>
      <w:r>
        <w:rPr>
          <w:rFonts w:hint="eastAsia" w:ascii="仿宋_GB2312" w:hAnsi="仿宋_GB2312" w:eastAsia="仿宋_GB2312" w:cs="仿宋_GB2312"/>
          <w:b/>
          <w:sz w:val="24"/>
          <w:szCs w:val="24"/>
          <w:highlight w:val="none"/>
        </w:rPr>
        <w:t>2.7 质量保证</w:t>
      </w:r>
      <w:bookmarkEnd w:id="459"/>
    </w:p>
    <w:p w14:paraId="1FD4C08B">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2.7.1 乙方应建立和完善履行合同的内部质量保证体系，并提供相关内部规章制度给甲方，以便甲方进行监督检查；</w:t>
      </w:r>
    </w:p>
    <w:p w14:paraId="6F8F83CE">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2.7.2 乙方应保证履行合同的人员数量和素质、软件和硬件设备的配置、场地、环境和设施等满足全面履行合同的要求，并应接受甲方的监督检查。</w:t>
      </w:r>
    </w:p>
    <w:p w14:paraId="7AFF85E0">
      <w:pPr>
        <w:spacing w:line="560" w:lineRule="exact"/>
        <w:ind w:firstLine="482" w:firstLineChars="200"/>
        <w:outlineLvl w:val="0"/>
        <w:rPr>
          <w:rFonts w:hint="eastAsia" w:ascii="仿宋_GB2312" w:hAnsi="仿宋_GB2312" w:eastAsia="仿宋_GB2312" w:cs="仿宋_GB2312"/>
          <w:b/>
          <w:sz w:val="24"/>
          <w:szCs w:val="24"/>
          <w:highlight w:val="none"/>
        </w:rPr>
      </w:pPr>
      <w:bookmarkStart w:id="460" w:name="_Toc22267"/>
      <w:r>
        <w:rPr>
          <w:rFonts w:hint="eastAsia" w:ascii="仿宋_GB2312" w:hAnsi="仿宋_GB2312" w:eastAsia="仿宋_GB2312" w:cs="仿宋_GB2312"/>
          <w:b/>
          <w:sz w:val="24"/>
          <w:szCs w:val="24"/>
          <w:highlight w:val="none"/>
        </w:rPr>
        <w:t>2.8 延迟履行</w:t>
      </w:r>
      <w:bookmarkEnd w:id="460"/>
    </w:p>
    <w:p w14:paraId="2D520A0D">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4A4587A9">
      <w:pPr>
        <w:spacing w:line="560" w:lineRule="exact"/>
        <w:ind w:firstLine="482" w:firstLineChars="200"/>
        <w:outlineLvl w:val="0"/>
        <w:rPr>
          <w:rFonts w:hint="eastAsia" w:ascii="仿宋_GB2312" w:hAnsi="仿宋_GB2312" w:eastAsia="仿宋_GB2312" w:cs="仿宋_GB2312"/>
          <w:b/>
          <w:sz w:val="24"/>
          <w:szCs w:val="24"/>
          <w:highlight w:val="none"/>
        </w:rPr>
      </w:pPr>
      <w:bookmarkStart w:id="461" w:name="_Toc10611"/>
      <w:r>
        <w:rPr>
          <w:rFonts w:hint="eastAsia" w:ascii="仿宋_GB2312" w:hAnsi="仿宋_GB2312" w:eastAsia="仿宋_GB2312" w:cs="仿宋_GB2312"/>
          <w:b/>
          <w:sz w:val="24"/>
          <w:szCs w:val="24"/>
          <w:highlight w:val="none"/>
        </w:rPr>
        <w:t>2.9 合同变更</w:t>
      </w:r>
      <w:bookmarkEnd w:id="461"/>
    </w:p>
    <w:p w14:paraId="3D386402">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合同继续履行将损害国家利益和社会公共利益的，双方当事人应当以书面形式变更合同。有过错的一方应当承担赔偿责任，双方当事人都有过错的，各自承担相应的责任。</w:t>
      </w:r>
    </w:p>
    <w:p w14:paraId="5703251E">
      <w:pPr>
        <w:spacing w:line="560" w:lineRule="exact"/>
        <w:ind w:firstLine="482" w:firstLineChars="200"/>
        <w:outlineLvl w:val="0"/>
        <w:rPr>
          <w:rFonts w:hint="eastAsia" w:ascii="仿宋_GB2312" w:hAnsi="仿宋_GB2312" w:eastAsia="仿宋_GB2312" w:cs="仿宋_GB2312"/>
          <w:b/>
          <w:sz w:val="24"/>
          <w:szCs w:val="24"/>
          <w:highlight w:val="none"/>
        </w:rPr>
      </w:pPr>
      <w:bookmarkStart w:id="462" w:name="_Toc23368"/>
      <w:bookmarkStart w:id="463" w:name="_Toc26689"/>
      <w:bookmarkStart w:id="464" w:name="_Toc10663"/>
      <w:bookmarkStart w:id="465" w:name="_Toc42"/>
      <w:bookmarkStart w:id="466" w:name="_Toc21830"/>
      <w:r>
        <w:rPr>
          <w:rFonts w:hint="eastAsia" w:ascii="仿宋_GB2312" w:hAnsi="仿宋_GB2312" w:eastAsia="仿宋_GB2312" w:cs="仿宋_GB2312"/>
          <w:b/>
          <w:sz w:val="24"/>
          <w:szCs w:val="24"/>
          <w:highlight w:val="none"/>
        </w:rPr>
        <w:t>2.10 合同转让和分包</w:t>
      </w:r>
      <w:bookmarkEnd w:id="462"/>
      <w:bookmarkEnd w:id="463"/>
      <w:bookmarkEnd w:id="464"/>
      <w:bookmarkEnd w:id="465"/>
      <w:bookmarkEnd w:id="466"/>
    </w:p>
    <w:p w14:paraId="16A9AEE2">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F66F5C5">
      <w:pPr>
        <w:spacing w:line="560" w:lineRule="exact"/>
        <w:ind w:firstLine="482" w:firstLineChars="200"/>
        <w:outlineLvl w:val="0"/>
        <w:rPr>
          <w:rFonts w:hint="eastAsia" w:ascii="仿宋_GB2312" w:hAnsi="仿宋_GB2312" w:eastAsia="仿宋_GB2312" w:cs="仿宋_GB2312"/>
          <w:b/>
          <w:sz w:val="24"/>
          <w:szCs w:val="24"/>
          <w:highlight w:val="none"/>
        </w:rPr>
      </w:pPr>
      <w:bookmarkStart w:id="467" w:name="_Toc32494"/>
      <w:bookmarkStart w:id="468" w:name="_Toc4720"/>
      <w:bookmarkStart w:id="469" w:name="_Toc26633"/>
      <w:bookmarkStart w:id="470" w:name="_Toc25571"/>
      <w:bookmarkStart w:id="471" w:name="_Toc14371"/>
      <w:r>
        <w:rPr>
          <w:rFonts w:hint="eastAsia" w:ascii="仿宋_GB2312" w:hAnsi="仿宋_GB2312" w:eastAsia="仿宋_GB2312" w:cs="仿宋_GB2312"/>
          <w:b/>
          <w:sz w:val="24"/>
          <w:szCs w:val="24"/>
          <w:highlight w:val="none"/>
        </w:rPr>
        <w:t>2.11 不可抗力</w:t>
      </w:r>
      <w:bookmarkEnd w:id="467"/>
      <w:bookmarkEnd w:id="468"/>
      <w:bookmarkEnd w:id="469"/>
      <w:bookmarkEnd w:id="470"/>
      <w:bookmarkEnd w:id="471"/>
    </w:p>
    <w:p w14:paraId="62851D7A">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2.11.1如果任何一方遭遇法律规定的不可抗力，致使合同履行受阻时，履行合同的期限应予延长，延长的期限应相当于不可抗力所影响的时间；</w:t>
      </w:r>
    </w:p>
    <w:p w14:paraId="02F231B3">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2.11.2 因不可抗力致使不能实现合同目的的，当事人可以解除合同；</w:t>
      </w:r>
    </w:p>
    <w:p w14:paraId="00FC5A17">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2.11.3 因不可抗力致使合同有变更必要的，双方当事人应在</w:t>
      </w:r>
      <w:r>
        <w:rPr>
          <w:rFonts w:hint="eastAsia" w:ascii="仿宋_GB2312" w:hAnsi="仿宋_GB2312" w:eastAsia="仿宋_GB2312" w:cs="仿宋_GB2312"/>
          <w:b/>
          <w:i/>
          <w:sz w:val="24"/>
          <w:szCs w:val="24"/>
          <w:highlight w:val="none"/>
          <w:u w:val="single"/>
        </w:rPr>
        <w:t>合同专用条款</w:t>
      </w:r>
      <w:r>
        <w:rPr>
          <w:rFonts w:hint="eastAsia" w:ascii="仿宋_GB2312" w:hAnsi="仿宋_GB2312" w:eastAsia="仿宋_GB2312" w:cs="仿宋_GB2312"/>
          <w:sz w:val="24"/>
          <w:szCs w:val="24"/>
          <w:highlight w:val="none"/>
        </w:rPr>
        <w:t>约定时间内以书面形式变更合同；</w:t>
      </w:r>
    </w:p>
    <w:p w14:paraId="24C02755">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2.11.4受不可抗力影响的一方在不可抗力发生后，应在</w:t>
      </w:r>
      <w:r>
        <w:rPr>
          <w:rFonts w:hint="eastAsia" w:ascii="仿宋_GB2312" w:hAnsi="仿宋_GB2312" w:eastAsia="仿宋_GB2312" w:cs="仿宋_GB2312"/>
          <w:b/>
          <w:i/>
          <w:sz w:val="24"/>
          <w:szCs w:val="24"/>
          <w:highlight w:val="none"/>
          <w:u w:val="single"/>
        </w:rPr>
        <w:t>合同专用条款</w:t>
      </w:r>
      <w:r>
        <w:rPr>
          <w:rFonts w:hint="eastAsia" w:ascii="仿宋_GB2312" w:hAnsi="仿宋_GB2312" w:eastAsia="仿宋_GB2312" w:cs="仿宋_GB2312"/>
          <w:sz w:val="24"/>
          <w:szCs w:val="24"/>
          <w:highlight w:val="none"/>
        </w:rPr>
        <w:t>约定时间内以书面形式通知对方当事人，并在</w:t>
      </w:r>
      <w:r>
        <w:rPr>
          <w:rFonts w:hint="eastAsia" w:ascii="仿宋_GB2312" w:hAnsi="仿宋_GB2312" w:eastAsia="仿宋_GB2312" w:cs="仿宋_GB2312"/>
          <w:b/>
          <w:i/>
          <w:sz w:val="24"/>
          <w:szCs w:val="24"/>
          <w:highlight w:val="none"/>
          <w:u w:val="single"/>
        </w:rPr>
        <w:t>合同专用条款</w:t>
      </w:r>
      <w:r>
        <w:rPr>
          <w:rFonts w:hint="eastAsia" w:ascii="仿宋_GB2312" w:hAnsi="仿宋_GB2312" w:eastAsia="仿宋_GB2312" w:cs="仿宋_GB2312"/>
          <w:sz w:val="24"/>
          <w:szCs w:val="24"/>
          <w:highlight w:val="none"/>
        </w:rPr>
        <w:t>约定时间内，将有关部门出具的证明文件送达对方当事人。</w:t>
      </w:r>
    </w:p>
    <w:p w14:paraId="0D36C97D">
      <w:pPr>
        <w:spacing w:line="560" w:lineRule="exact"/>
        <w:ind w:firstLine="482" w:firstLineChars="200"/>
        <w:outlineLvl w:val="0"/>
        <w:rPr>
          <w:rFonts w:hint="eastAsia" w:ascii="仿宋_GB2312" w:hAnsi="仿宋_GB2312" w:eastAsia="仿宋_GB2312" w:cs="仿宋_GB2312"/>
          <w:b/>
          <w:sz w:val="24"/>
          <w:szCs w:val="24"/>
          <w:highlight w:val="none"/>
        </w:rPr>
      </w:pPr>
      <w:bookmarkStart w:id="472" w:name="_Toc3638"/>
      <w:bookmarkStart w:id="473" w:name="_Toc25783"/>
      <w:bookmarkStart w:id="474" w:name="_Toc14115"/>
      <w:bookmarkStart w:id="475" w:name="_Toc23854"/>
      <w:bookmarkStart w:id="476" w:name="_Toc24465"/>
      <w:r>
        <w:rPr>
          <w:rFonts w:hint="eastAsia" w:ascii="仿宋_GB2312" w:hAnsi="仿宋_GB2312" w:eastAsia="仿宋_GB2312" w:cs="仿宋_GB2312"/>
          <w:b/>
          <w:sz w:val="24"/>
          <w:szCs w:val="24"/>
          <w:highlight w:val="none"/>
        </w:rPr>
        <w:t>2.12 税费</w:t>
      </w:r>
      <w:bookmarkEnd w:id="472"/>
      <w:bookmarkEnd w:id="473"/>
      <w:bookmarkEnd w:id="474"/>
      <w:bookmarkEnd w:id="475"/>
      <w:bookmarkEnd w:id="476"/>
    </w:p>
    <w:p w14:paraId="3058FA3A">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与合同有关的一切税费，均按照中华人民共和国法律的相关规定缴纳。</w:t>
      </w:r>
    </w:p>
    <w:p w14:paraId="1011B927">
      <w:pPr>
        <w:spacing w:line="560" w:lineRule="exact"/>
        <w:ind w:firstLine="482" w:firstLineChars="200"/>
        <w:outlineLvl w:val="0"/>
        <w:rPr>
          <w:rFonts w:hint="eastAsia" w:ascii="仿宋_GB2312" w:hAnsi="仿宋_GB2312" w:eastAsia="仿宋_GB2312" w:cs="仿宋_GB2312"/>
          <w:b/>
          <w:sz w:val="24"/>
          <w:szCs w:val="24"/>
          <w:highlight w:val="none"/>
        </w:rPr>
      </w:pPr>
      <w:bookmarkStart w:id="477" w:name="_Toc7315"/>
      <w:bookmarkStart w:id="478" w:name="_Toc30105"/>
      <w:bookmarkStart w:id="479" w:name="_Toc14814"/>
      <w:bookmarkStart w:id="480" w:name="_Toc26883"/>
      <w:bookmarkStart w:id="481" w:name="_Toc25525"/>
      <w:r>
        <w:rPr>
          <w:rFonts w:hint="eastAsia" w:ascii="仿宋_GB2312" w:hAnsi="仿宋_GB2312" w:eastAsia="仿宋_GB2312" w:cs="仿宋_GB2312"/>
          <w:b/>
          <w:sz w:val="24"/>
          <w:szCs w:val="24"/>
          <w:highlight w:val="none"/>
        </w:rPr>
        <w:t>2.13 乙方破产</w:t>
      </w:r>
      <w:bookmarkEnd w:id="477"/>
      <w:bookmarkEnd w:id="478"/>
      <w:bookmarkEnd w:id="479"/>
      <w:bookmarkEnd w:id="480"/>
      <w:bookmarkEnd w:id="481"/>
    </w:p>
    <w:p w14:paraId="13E00C20">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16AEEEA">
      <w:pPr>
        <w:spacing w:line="560" w:lineRule="exact"/>
        <w:ind w:firstLine="482" w:firstLineChars="200"/>
        <w:outlineLvl w:val="0"/>
        <w:rPr>
          <w:rFonts w:hint="eastAsia" w:ascii="仿宋_GB2312" w:hAnsi="仿宋_GB2312" w:eastAsia="仿宋_GB2312" w:cs="仿宋_GB2312"/>
          <w:b/>
          <w:sz w:val="24"/>
          <w:szCs w:val="24"/>
          <w:highlight w:val="none"/>
        </w:rPr>
      </w:pPr>
      <w:bookmarkStart w:id="482" w:name="_Toc2016"/>
      <w:bookmarkStart w:id="483" w:name="_Toc1123"/>
      <w:bookmarkStart w:id="484" w:name="_Toc23323"/>
      <w:r>
        <w:rPr>
          <w:rFonts w:hint="eastAsia" w:ascii="仿宋_GB2312" w:hAnsi="仿宋_GB2312" w:eastAsia="仿宋_GB2312" w:cs="仿宋_GB2312"/>
          <w:b/>
          <w:sz w:val="24"/>
          <w:szCs w:val="24"/>
          <w:highlight w:val="none"/>
        </w:rPr>
        <w:t>2.14 合同中止、终止</w:t>
      </w:r>
      <w:bookmarkEnd w:id="482"/>
      <w:bookmarkEnd w:id="483"/>
      <w:bookmarkEnd w:id="484"/>
    </w:p>
    <w:p w14:paraId="02E7EC3E">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2.14.1 双方当事人不得擅自中止或者终止合同；</w:t>
      </w:r>
    </w:p>
    <w:p w14:paraId="148F27CD">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2B72FC6C">
      <w:pPr>
        <w:spacing w:line="560" w:lineRule="exact"/>
        <w:ind w:firstLine="482" w:firstLineChars="200"/>
        <w:outlineLvl w:val="0"/>
        <w:rPr>
          <w:rFonts w:hint="eastAsia" w:ascii="仿宋_GB2312" w:hAnsi="仿宋_GB2312" w:eastAsia="仿宋_GB2312" w:cs="仿宋_GB2312"/>
          <w:b/>
          <w:sz w:val="24"/>
          <w:szCs w:val="24"/>
          <w:highlight w:val="none"/>
        </w:rPr>
      </w:pPr>
      <w:bookmarkStart w:id="485" w:name="_Toc14525"/>
      <w:bookmarkStart w:id="486" w:name="_Toc17363"/>
      <w:bookmarkStart w:id="487" w:name="_Toc1969"/>
      <w:r>
        <w:rPr>
          <w:rFonts w:hint="eastAsia" w:ascii="仿宋_GB2312" w:hAnsi="仿宋_GB2312" w:eastAsia="仿宋_GB2312" w:cs="仿宋_GB2312"/>
          <w:b/>
          <w:sz w:val="24"/>
          <w:szCs w:val="24"/>
          <w:highlight w:val="none"/>
        </w:rPr>
        <w:t>2.15 检验和验收</w:t>
      </w:r>
      <w:bookmarkEnd w:id="485"/>
      <w:bookmarkEnd w:id="486"/>
      <w:bookmarkEnd w:id="487"/>
    </w:p>
    <w:p w14:paraId="4B37D96F">
      <w:pPr>
        <w:tabs>
          <w:tab w:val="left" w:pos="360"/>
          <w:tab w:val="left" w:pos="540"/>
          <w:tab w:val="left" w:pos="1080"/>
        </w:tabs>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2.15.1 货物交付前，乙方应对货物的质量、数量等方面进行详细、全面的检验，并向甲方出具证明货物符合合同约定的文件；货物交付时，甲方在规定时间内组织验收，并可依法邀请相关方参加，验收应出具验收书；</w:t>
      </w:r>
    </w:p>
    <w:p w14:paraId="279D0C6B">
      <w:pPr>
        <w:tabs>
          <w:tab w:val="left" w:pos="360"/>
          <w:tab w:val="left" w:pos="540"/>
          <w:tab w:val="left" w:pos="1080"/>
        </w:tabs>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7BCDA20">
      <w:pPr>
        <w:spacing w:line="560" w:lineRule="exact"/>
        <w:ind w:firstLine="482" w:firstLineChars="200"/>
        <w:outlineLvl w:val="0"/>
        <w:rPr>
          <w:rFonts w:hint="eastAsia" w:ascii="仿宋_GB2312" w:hAnsi="仿宋_GB2312" w:eastAsia="仿宋_GB2312" w:cs="仿宋_GB2312"/>
          <w:b/>
          <w:sz w:val="24"/>
          <w:szCs w:val="24"/>
          <w:highlight w:val="none"/>
        </w:rPr>
      </w:pPr>
      <w:bookmarkStart w:id="488" w:name="_Toc12666"/>
      <w:bookmarkStart w:id="489" w:name="_Toc25198"/>
      <w:bookmarkStart w:id="490" w:name="_Toc31892"/>
      <w:bookmarkStart w:id="491" w:name="_Toc2308"/>
      <w:bookmarkStart w:id="492" w:name="_Toc9808"/>
      <w:r>
        <w:rPr>
          <w:rFonts w:hint="eastAsia" w:ascii="仿宋_GB2312" w:hAnsi="仿宋_GB2312" w:eastAsia="仿宋_GB2312" w:cs="仿宋_GB2312"/>
          <w:b/>
          <w:sz w:val="24"/>
          <w:szCs w:val="24"/>
          <w:highlight w:val="none"/>
        </w:rPr>
        <w:t>2.16 通知和送达</w:t>
      </w:r>
      <w:bookmarkEnd w:id="488"/>
      <w:bookmarkEnd w:id="489"/>
      <w:bookmarkEnd w:id="490"/>
      <w:bookmarkEnd w:id="491"/>
      <w:bookmarkEnd w:id="492"/>
    </w:p>
    <w:p w14:paraId="09ED1A45">
      <w:pPr>
        <w:spacing w:line="560" w:lineRule="exact"/>
        <w:ind w:firstLine="480" w:firstLineChars="200"/>
        <w:rPr>
          <w:rFonts w:hint="eastAsia" w:ascii="仿宋_GB2312" w:hAnsi="仿宋_GB2312" w:eastAsia="仿宋_GB2312" w:cs="仿宋_GB2312"/>
          <w:sz w:val="24"/>
          <w:szCs w:val="24"/>
          <w:highlight w:val="none"/>
        </w:rPr>
      </w:pPr>
      <w:bookmarkStart w:id="493" w:name="_Toc18401"/>
      <w:bookmarkStart w:id="494" w:name="_Toc27674"/>
      <w:r>
        <w:rPr>
          <w:rFonts w:hint="eastAsia" w:ascii="仿宋_GB2312" w:hAnsi="仿宋_GB2312" w:eastAsia="仿宋_GB2312" w:cs="仿宋_GB2312"/>
          <w:sz w:val="24"/>
          <w:szCs w:val="24"/>
          <w:highlight w:val="none"/>
        </w:rPr>
        <w:t>2.17.1任何一方因履行合同而以合同第一部分尾部所列明的传真或电子邮件 发出的所有通知、文件、材料，均视为已向对方当事人送达；任何一方变更上述送达方式或者地址的，应于</w:t>
      </w:r>
      <w:r>
        <w:rPr>
          <w:rFonts w:hint="eastAsia" w:ascii="仿宋_GB2312" w:hAnsi="仿宋_GB2312" w:eastAsia="仿宋_GB2312" w:cs="仿宋_GB2312"/>
          <w:sz w:val="24"/>
          <w:szCs w:val="24"/>
          <w:highlight w:val="none"/>
          <w:u w:val="single"/>
        </w:rPr>
        <w:t>3</w:t>
      </w:r>
      <w:r>
        <w:rPr>
          <w:rFonts w:hint="eastAsia" w:ascii="仿宋_GB2312" w:hAnsi="仿宋_GB2312" w:eastAsia="仿宋_GB2312" w:cs="仿宋_GB2312"/>
          <w:sz w:val="24"/>
          <w:szCs w:val="24"/>
          <w:highlight w:val="none"/>
        </w:rPr>
        <w:t>个工作日内书面通知对方当事人，在对方当事人收到有关变更通知之前，变更前的约定送达方式或者地址仍视为有效。</w:t>
      </w:r>
    </w:p>
    <w:p w14:paraId="5F3DA1DA">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493"/>
      <w:bookmarkEnd w:id="494"/>
    </w:p>
    <w:p w14:paraId="48F1E422">
      <w:pPr>
        <w:spacing w:line="560" w:lineRule="exact"/>
        <w:ind w:firstLine="482" w:firstLineChars="200"/>
        <w:outlineLvl w:val="0"/>
        <w:rPr>
          <w:rFonts w:hint="eastAsia" w:ascii="仿宋_GB2312" w:hAnsi="仿宋_GB2312" w:eastAsia="仿宋_GB2312" w:cs="仿宋_GB2312"/>
          <w:b/>
          <w:sz w:val="24"/>
          <w:szCs w:val="24"/>
          <w:highlight w:val="none"/>
        </w:rPr>
      </w:pPr>
      <w:bookmarkStart w:id="495" w:name="_Toc28906"/>
      <w:bookmarkStart w:id="496" w:name="_Toc20808"/>
      <w:bookmarkStart w:id="497" w:name="_Toc27644"/>
      <w:bookmarkStart w:id="498" w:name="_Toc5063"/>
      <w:bookmarkStart w:id="499" w:name="_Toc12254"/>
      <w:r>
        <w:rPr>
          <w:rFonts w:hint="eastAsia" w:ascii="仿宋_GB2312" w:hAnsi="仿宋_GB2312" w:eastAsia="仿宋_GB2312" w:cs="仿宋_GB2312"/>
          <w:b/>
          <w:sz w:val="24"/>
          <w:szCs w:val="24"/>
          <w:highlight w:val="none"/>
        </w:rPr>
        <w:t>2.17 合同使用的文字和适用的法律</w:t>
      </w:r>
      <w:bookmarkEnd w:id="495"/>
      <w:bookmarkEnd w:id="496"/>
      <w:bookmarkEnd w:id="497"/>
      <w:bookmarkEnd w:id="498"/>
      <w:bookmarkEnd w:id="499"/>
    </w:p>
    <w:p w14:paraId="27028D57">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2.17.1 合同使用汉语书就、变更和解释；</w:t>
      </w:r>
    </w:p>
    <w:p w14:paraId="246F42AC">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2.17.2 合同适用中华人民共和国法律。</w:t>
      </w:r>
    </w:p>
    <w:p w14:paraId="011712B5">
      <w:pPr>
        <w:spacing w:line="560" w:lineRule="exact"/>
        <w:ind w:firstLine="482" w:firstLineChars="200"/>
        <w:outlineLvl w:val="0"/>
        <w:rPr>
          <w:rFonts w:hint="eastAsia" w:ascii="仿宋_GB2312" w:hAnsi="仿宋_GB2312" w:eastAsia="仿宋_GB2312" w:cs="仿宋_GB2312"/>
          <w:b/>
          <w:sz w:val="24"/>
          <w:szCs w:val="24"/>
          <w:highlight w:val="none"/>
        </w:rPr>
      </w:pPr>
      <w:bookmarkStart w:id="500" w:name="_Toc30599"/>
      <w:bookmarkStart w:id="501" w:name="_Toc4355"/>
      <w:bookmarkStart w:id="502" w:name="_Toc18540"/>
      <w:r>
        <w:rPr>
          <w:rFonts w:hint="eastAsia" w:ascii="仿宋_GB2312" w:hAnsi="仿宋_GB2312" w:eastAsia="仿宋_GB2312" w:cs="仿宋_GB2312"/>
          <w:b/>
          <w:sz w:val="24"/>
          <w:szCs w:val="24"/>
          <w:highlight w:val="none"/>
        </w:rPr>
        <w:t>2.18 计量单位</w:t>
      </w:r>
      <w:bookmarkEnd w:id="500"/>
      <w:bookmarkEnd w:id="501"/>
      <w:bookmarkEnd w:id="502"/>
    </w:p>
    <w:p w14:paraId="46C83A80">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除技术规范中另有规定外,合同的计量单位均使用国家法定计量单位。</w:t>
      </w:r>
    </w:p>
    <w:p w14:paraId="796343B8">
      <w:pPr>
        <w:spacing w:line="560" w:lineRule="exact"/>
        <w:ind w:firstLine="482" w:firstLineChars="200"/>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2.19合同份数</w:t>
      </w:r>
    </w:p>
    <w:p w14:paraId="5471A0E2">
      <w:pPr>
        <w:spacing w:line="56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合同份数按</w:t>
      </w:r>
      <w:r>
        <w:rPr>
          <w:rFonts w:hint="eastAsia" w:ascii="仿宋_GB2312" w:hAnsi="仿宋_GB2312" w:eastAsia="仿宋_GB2312" w:cs="仿宋_GB2312"/>
          <w:b/>
          <w:i/>
          <w:sz w:val="24"/>
          <w:szCs w:val="24"/>
          <w:highlight w:val="none"/>
          <w:u w:val="single"/>
        </w:rPr>
        <w:t>合同专用条款</w:t>
      </w:r>
      <w:r>
        <w:rPr>
          <w:rFonts w:hint="eastAsia" w:ascii="仿宋_GB2312" w:hAnsi="仿宋_GB2312" w:eastAsia="仿宋_GB2312" w:cs="仿宋_GB2312"/>
          <w:sz w:val="24"/>
          <w:szCs w:val="24"/>
          <w:highlight w:val="none"/>
        </w:rPr>
        <w:t>规定，每份均具有同等法律效力。</w:t>
      </w:r>
    </w:p>
    <w:p w14:paraId="3AED95CE">
      <w:pPr>
        <w:pStyle w:val="12"/>
        <w:rPr>
          <w:rFonts w:hint="eastAsia" w:ascii="仿宋_GB2312" w:hAnsi="仿宋_GB2312" w:eastAsia="仿宋_GB2312" w:cs="仿宋_GB2312"/>
          <w:sz w:val="24"/>
          <w:szCs w:val="24"/>
          <w:highlight w:val="none"/>
        </w:rPr>
      </w:pPr>
    </w:p>
    <w:p w14:paraId="26C6E65B">
      <w:pPr>
        <w:spacing w:line="560" w:lineRule="exact"/>
        <w:jc w:val="center"/>
        <w:outlineLvl w:val="0"/>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第三部分  合同专用条款</w:t>
      </w:r>
    </w:p>
    <w:p w14:paraId="33742178">
      <w:pPr>
        <w:spacing w:line="560" w:lineRule="exact"/>
        <w:ind w:left="-420" w:leftChars="-200" w:right="-420" w:rightChars="-20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7"/>
        <w:tblW w:w="4979"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171"/>
        <w:gridCol w:w="7917"/>
      </w:tblGrid>
      <w:tr w14:paraId="7FB20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644" w:type="pct"/>
            <w:tcBorders>
              <w:left w:val="single" w:color="auto" w:sz="4" w:space="0"/>
            </w:tcBorders>
            <w:vAlign w:val="center"/>
          </w:tcPr>
          <w:p w14:paraId="2826A9BC">
            <w:pPr>
              <w:wordWrap w:val="0"/>
              <w:spacing w:line="560" w:lineRule="exact"/>
              <w:jc w:val="left"/>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条款号</w:t>
            </w:r>
          </w:p>
        </w:tc>
        <w:tc>
          <w:tcPr>
            <w:tcW w:w="4355" w:type="pct"/>
            <w:vAlign w:val="center"/>
          </w:tcPr>
          <w:p w14:paraId="5E01B28E">
            <w:pPr>
              <w:wordWrap w:val="0"/>
              <w:spacing w:line="560" w:lineRule="exact"/>
              <w:jc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约定内容</w:t>
            </w:r>
          </w:p>
        </w:tc>
      </w:tr>
      <w:tr w14:paraId="738B4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644" w:type="pct"/>
            <w:tcBorders>
              <w:left w:val="single" w:color="auto" w:sz="4" w:space="0"/>
            </w:tcBorders>
            <w:vAlign w:val="center"/>
          </w:tcPr>
          <w:p w14:paraId="3D11DAA9">
            <w:pPr>
              <w:wordWrap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1.5.1 </w:t>
            </w:r>
          </w:p>
        </w:tc>
        <w:tc>
          <w:tcPr>
            <w:tcW w:w="4355" w:type="pct"/>
            <w:vAlign w:val="center"/>
          </w:tcPr>
          <w:p w14:paraId="6B9ADC74">
            <w:pPr>
              <w:wordWrap w:val="0"/>
              <w:spacing w:line="360" w:lineRule="auto"/>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预付款：合同签订后，在合同生效后以及具备实施条件后的</w:t>
            </w:r>
            <w:r>
              <w:rPr>
                <w:rFonts w:hint="eastAsia" w:ascii="仿宋_GB2312" w:hAnsi="仿宋_GB2312" w:eastAsia="仿宋_GB2312" w:cs="仿宋_GB2312"/>
                <w:sz w:val="24"/>
                <w:szCs w:val="24"/>
                <w:highlight w:val="none"/>
                <w:lang w:val="en-US" w:eastAsia="zh-CN"/>
              </w:rPr>
              <w:t>7</w:t>
            </w:r>
            <w:r>
              <w:rPr>
                <w:rFonts w:hint="eastAsia" w:ascii="仿宋_GB2312" w:hAnsi="仿宋_GB2312" w:eastAsia="仿宋_GB2312" w:cs="仿宋_GB2312"/>
                <w:sz w:val="24"/>
                <w:szCs w:val="24"/>
                <w:highlight w:val="none"/>
              </w:rPr>
              <w:t>个工作日内，采购单位根据供应商提供的等额正规发票，按财政部门规定的支付方式向供应商支付合同总额的40%到合同约定的供应商账户。</w:t>
            </w:r>
          </w:p>
        </w:tc>
      </w:tr>
      <w:tr w14:paraId="6CDA7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644" w:type="pct"/>
            <w:tcBorders>
              <w:left w:val="single" w:color="auto" w:sz="4" w:space="0"/>
            </w:tcBorders>
            <w:vAlign w:val="center"/>
          </w:tcPr>
          <w:p w14:paraId="25067420">
            <w:pPr>
              <w:wordWrap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1.5.2</w:t>
            </w:r>
          </w:p>
        </w:tc>
        <w:tc>
          <w:tcPr>
            <w:tcW w:w="4355" w:type="pct"/>
            <w:vAlign w:val="center"/>
          </w:tcPr>
          <w:p w14:paraId="0CF8E029">
            <w:pPr>
              <w:wordWrap w:val="0"/>
              <w:spacing w:line="360" w:lineRule="auto"/>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本项目无须预付款担保</w:t>
            </w:r>
          </w:p>
        </w:tc>
      </w:tr>
      <w:tr w14:paraId="6B3C9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644" w:type="pct"/>
            <w:tcBorders>
              <w:left w:val="single" w:color="auto" w:sz="4" w:space="0"/>
            </w:tcBorders>
            <w:vAlign w:val="center"/>
          </w:tcPr>
          <w:p w14:paraId="4BBB4100">
            <w:pPr>
              <w:wordWrap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1.6.2</w:t>
            </w:r>
          </w:p>
        </w:tc>
        <w:tc>
          <w:tcPr>
            <w:tcW w:w="4355" w:type="pct"/>
            <w:vAlign w:val="center"/>
          </w:tcPr>
          <w:p w14:paraId="302DE328">
            <w:pPr>
              <w:wordWrap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完成所有设备到货安装调试</w:t>
            </w:r>
            <w:r>
              <w:rPr>
                <w:rFonts w:hint="eastAsia" w:ascii="仿宋_GB2312" w:hAnsi="仿宋_GB2312" w:eastAsia="仿宋_GB2312" w:cs="仿宋_GB2312"/>
                <w:sz w:val="24"/>
                <w:szCs w:val="24"/>
                <w:highlight w:val="none"/>
                <w:lang w:val="en-US" w:eastAsia="zh-CN"/>
              </w:rPr>
              <w:t>完毕并通过终验后5个</w:t>
            </w:r>
            <w:r>
              <w:rPr>
                <w:rFonts w:hint="eastAsia" w:ascii="仿宋_GB2312" w:hAnsi="仿宋_GB2312" w:eastAsia="仿宋_GB2312" w:cs="仿宋_GB2312"/>
                <w:sz w:val="24"/>
                <w:szCs w:val="24"/>
                <w:highlight w:val="none"/>
              </w:rPr>
              <w:t>工作日内，</w:t>
            </w:r>
            <w:r>
              <w:rPr>
                <w:rFonts w:hint="eastAsia" w:ascii="仿宋_GB2312" w:hAnsi="仿宋_GB2312" w:eastAsia="仿宋_GB2312" w:cs="仿宋_GB2312"/>
                <w:sz w:val="24"/>
                <w:szCs w:val="24"/>
                <w:highlight w:val="none"/>
                <w:lang w:val="en-US" w:eastAsia="zh-CN"/>
              </w:rPr>
              <w:t>采购人根据供应商提供的正规发票，</w:t>
            </w:r>
            <w:r>
              <w:rPr>
                <w:rFonts w:hint="eastAsia" w:ascii="仿宋_GB2312" w:hAnsi="仿宋_GB2312" w:eastAsia="仿宋_GB2312" w:cs="仿宋_GB2312"/>
                <w:sz w:val="24"/>
                <w:szCs w:val="24"/>
                <w:highlight w:val="none"/>
              </w:rPr>
              <w:t>按财政部门规定的支付方式支付60%合同款。</w:t>
            </w:r>
          </w:p>
        </w:tc>
      </w:tr>
      <w:tr w14:paraId="540AA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644" w:type="pct"/>
            <w:tcBorders>
              <w:left w:val="single" w:color="auto" w:sz="4" w:space="0"/>
            </w:tcBorders>
            <w:vAlign w:val="center"/>
          </w:tcPr>
          <w:p w14:paraId="130CF124">
            <w:pPr>
              <w:wordWrap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1.7.1</w:t>
            </w:r>
          </w:p>
        </w:tc>
        <w:tc>
          <w:tcPr>
            <w:tcW w:w="4355" w:type="pct"/>
            <w:vAlign w:val="center"/>
          </w:tcPr>
          <w:p w14:paraId="231A78B5">
            <w:pPr>
              <w:wordWrap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货物或服务的交付（实施）时间（期限）：</w:t>
            </w:r>
            <w:r>
              <w:rPr>
                <w:rFonts w:hint="eastAsia" w:ascii="仿宋_GB2312" w:hAnsi="仿宋_GB2312" w:eastAsia="仿宋_GB2312" w:cs="仿宋_GB2312"/>
                <w:color w:val="000000" w:themeColor="text1"/>
                <w:spacing w:val="-5"/>
                <w:kern w:val="0"/>
                <w:sz w:val="24"/>
                <w:szCs w:val="24"/>
                <w:highlight w:val="none"/>
                <w14:textFill>
                  <w14:solidFill>
                    <w14:schemeClr w14:val="tx1"/>
                  </w14:solidFill>
                </w14:textFill>
              </w:rPr>
              <w:t>自合同签订后</w:t>
            </w:r>
            <w:r>
              <w:rPr>
                <w:rFonts w:hint="eastAsia" w:ascii="仿宋_GB2312" w:hAnsi="仿宋_GB2312" w:eastAsia="仿宋_GB2312" w:cs="仿宋_GB2312"/>
                <w:color w:val="000000" w:themeColor="text1"/>
                <w:spacing w:val="-5"/>
                <w:kern w:val="0"/>
                <w:sz w:val="24"/>
                <w:szCs w:val="24"/>
                <w:highlight w:val="none"/>
                <w:lang w:val="en-US" w:eastAsia="zh-CN"/>
                <w14:textFill>
                  <w14:solidFill>
                    <w14:schemeClr w14:val="tx1"/>
                  </w14:solidFill>
                </w14:textFill>
              </w:rPr>
              <w:t>60</w:t>
            </w:r>
            <w:r>
              <w:rPr>
                <w:rFonts w:hint="eastAsia" w:ascii="仿宋_GB2312" w:hAnsi="仿宋_GB2312" w:eastAsia="仿宋_GB2312" w:cs="仿宋_GB2312"/>
                <w:color w:val="000000" w:themeColor="text1"/>
                <w:spacing w:val="-5"/>
                <w:kern w:val="0"/>
                <w:sz w:val="24"/>
                <w:szCs w:val="24"/>
                <w:highlight w:val="none"/>
                <w14:textFill>
                  <w14:solidFill>
                    <w14:schemeClr w14:val="tx1"/>
                  </w14:solidFill>
                </w14:textFill>
              </w:rPr>
              <w:t>天内完成安装调试并通过终验。</w:t>
            </w:r>
          </w:p>
        </w:tc>
      </w:tr>
      <w:tr w14:paraId="06208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51" w:hRule="atLeast"/>
        </w:trPr>
        <w:tc>
          <w:tcPr>
            <w:tcW w:w="644" w:type="pct"/>
            <w:tcBorders>
              <w:left w:val="single" w:color="auto" w:sz="4" w:space="0"/>
              <w:bottom w:val="single" w:color="auto" w:sz="4" w:space="0"/>
            </w:tcBorders>
            <w:vAlign w:val="center"/>
          </w:tcPr>
          <w:p w14:paraId="57EB1B14">
            <w:pPr>
              <w:wordWrap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1.7.2</w:t>
            </w:r>
          </w:p>
        </w:tc>
        <w:tc>
          <w:tcPr>
            <w:tcW w:w="4355" w:type="pct"/>
            <w:tcBorders>
              <w:bottom w:val="single" w:color="auto" w:sz="4" w:space="0"/>
            </w:tcBorders>
            <w:vAlign w:val="center"/>
          </w:tcPr>
          <w:p w14:paraId="02F12E47">
            <w:pPr>
              <w:spacing w:line="360" w:lineRule="auto"/>
              <w:rPr>
                <w:rFonts w:hint="eastAsia" w:ascii="仿宋_GB2312" w:hAnsi="仿宋_GB2312" w:eastAsia="仿宋_GB2312" w:cs="仿宋_GB2312"/>
                <w:spacing w:val="-5"/>
                <w:kern w:val="0"/>
                <w:sz w:val="24"/>
                <w:szCs w:val="24"/>
                <w:highlight w:val="none"/>
              </w:rPr>
            </w:pPr>
            <w:r>
              <w:rPr>
                <w:rFonts w:hint="eastAsia" w:ascii="仿宋_GB2312" w:hAnsi="仿宋_GB2312" w:eastAsia="仿宋_GB2312" w:cs="仿宋_GB2312"/>
                <w:sz w:val="24"/>
                <w:szCs w:val="24"/>
                <w:highlight w:val="none"/>
              </w:rPr>
              <w:t>货物或服务的交付（实施）地点（地域范围）：</w:t>
            </w:r>
            <w:r>
              <w:rPr>
                <w:rFonts w:hint="eastAsia" w:ascii="仿宋_GB2312" w:hAnsi="仿宋_GB2312" w:eastAsia="仿宋_GB2312" w:cs="仿宋_GB2312"/>
                <w:spacing w:val="-5"/>
                <w:kern w:val="0"/>
                <w:sz w:val="24"/>
                <w:szCs w:val="24"/>
                <w:highlight w:val="none"/>
              </w:rPr>
              <w:t>采购单位指定地点，投标人须派专业人员将产品送到指定地点并安装调试完毕，其所有费用由投标人承担</w:t>
            </w:r>
            <w:r>
              <w:rPr>
                <w:rFonts w:hint="eastAsia" w:ascii="仿宋_GB2312" w:hAnsi="仿宋_GB2312" w:eastAsia="仿宋_GB2312" w:cs="仿宋_GB2312"/>
                <w:sz w:val="24"/>
                <w:szCs w:val="24"/>
                <w:highlight w:val="none"/>
              </w:rPr>
              <w:t>。</w:t>
            </w:r>
          </w:p>
        </w:tc>
      </w:tr>
      <w:tr w14:paraId="380C68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8" w:hRule="atLeast"/>
        </w:trPr>
        <w:tc>
          <w:tcPr>
            <w:tcW w:w="644" w:type="pct"/>
            <w:tcBorders>
              <w:top w:val="single" w:color="auto" w:sz="4" w:space="0"/>
              <w:left w:val="single" w:color="auto" w:sz="4" w:space="0"/>
            </w:tcBorders>
            <w:vAlign w:val="center"/>
          </w:tcPr>
          <w:p w14:paraId="3874A161">
            <w:pPr>
              <w:wordWrap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1.7.3</w:t>
            </w:r>
          </w:p>
        </w:tc>
        <w:tc>
          <w:tcPr>
            <w:tcW w:w="4355" w:type="pct"/>
            <w:tcBorders>
              <w:top w:val="single" w:color="auto" w:sz="4" w:space="0"/>
            </w:tcBorders>
            <w:vAlign w:val="center"/>
          </w:tcPr>
          <w:p w14:paraId="6CDE2948">
            <w:pPr>
              <w:wordWrap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送货上门，乙方负责安装调试，经履约验收合格后交付甲方使用。</w:t>
            </w:r>
          </w:p>
        </w:tc>
      </w:tr>
      <w:tr w14:paraId="38044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60" w:hRule="atLeast"/>
        </w:trPr>
        <w:tc>
          <w:tcPr>
            <w:tcW w:w="644" w:type="pct"/>
            <w:tcBorders>
              <w:left w:val="single" w:color="auto" w:sz="4" w:space="0"/>
            </w:tcBorders>
            <w:vAlign w:val="center"/>
          </w:tcPr>
          <w:p w14:paraId="1A8A2AC4">
            <w:pPr>
              <w:wordWrap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1.8.7</w:t>
            </w:r>
          </w:p>
        </w:tc>
        <w:tc>
          <w:tcPr>
            <w:tcW w:w="4355" w:type="pct"/>
            <w:vAlign w:val="center"/>
          </w:tcPr>
          <w:p w14:paraId="72835966">
            <w:pPr>
              <w:wordWrap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1．合同签订后，任何一方不履行或不完全履行本合同约定条款的，即构成违约。任何一方违约时，守约方有权要求违约方继续履行本合同，同时有权要求违约方支付违约金。</w:t>
            </w:r>
          </w:p>
          <w:p w14:paraId="361375B6">
            <w:pPr>
              <w:wordWrap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如果甲方未按照合同约定支付价款，乙方有权要求其每天承担应付未付金额千分之零点五（0.5‰）的违约金，但违约金总额不超过合同总金额的百分之十（10%）；除合同另有约定外，如果乙方未能按照本合同约定履行义务或无正当理由擅自解除本合同，甲方有权要求其承担合同总金额百分之十（10%）的违约金。</w:t>
            </w:r>
          </w:p>
          <w:p w14:paraId="7CFA5C6E">
            <w:pPr>
              <w:wordWrap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如因乙方未经甲方事先书面同意，乙方将合同的权利或义务全部或部分转让或分包给第三人或违反相关法律规定或侵犯第三方合法权利而使甲方遭受损失的，乙方应承担全部责任，甲方有权解除本合同并要求乙方返还全部已收款项，按合同价款的10%承担违约金并赔偿甲方由此所遭受全部经济损失。</w:t>
            </w:r>
          </w:p>
          <w:p w14:paraId="602091D1">
            <w:pPr>
              <w:wordWrap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4．乙方逾期履行合同的，自逾期之日起，向甲方每日偿付合同总价千分之零点五（0.5‰）的违约金。</w:t>
            </w:r>
          </w:p>
          <w:p w14:paraId="320A0C71">
            <w:pPr>
              <w:wordWrap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乙方所交的货物品种、型号、规格、技术参数、质量不符合合同规定及采购文件规定标准的，或经验收不合格的，甲方有权拒收该货物，乙方愿意更换货物但逾期交货的，按乙方逾期交货处理；乙方拒绝更换货物的，甲方可单方面解除合同，同时乙方应按合同价款的10%承担违约金，并退还全部已收款项。</w:t>
            </w:r>
          </w:p>
          <w:p w14:paraId="3BA6A58F">
            <w:pPr>
              <w:wordWrap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6．上述第6项应退回或更换的货物，由乙方在一周内运离安装地点，所需费用由乙方承担。如乙方在二周内不处理（搬走）的，视为乙方放弃，甲方有权自行处置（包括废物处理）。</w:t>
            </w:r>
          </w:p>
          <w:p w14:paraId="6FD090E9">
            <w:pPr>
              <w:wordWrap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7．乙方未按采购文件及合同约定履行质保义务的，每次应向甲方偿付</w:t>
            </w:r>
          </w:p>
          <w:p w14:paraId="59827728">
            <w:pPr>
              <w:wordWrap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元的违约金，并赔偿甲方的损失；同时，乙方应继续履行质保义务。</w:t>
            </w:r>
          </w:p>
          <w:p w14:paraId="7946C887">
            <w:pPr>
              <w:wordWrap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因乙方违约行为给甲方造成损失的，如违约金不足以弥补甲方经济损失，乙方还应当赔偿甲方其余经济损失，包括直接经济损失及可预见的间接经济损失。间接经济损失包括但不限于：因违约方违约事项致使守约方损失的可期待利益及守约方为此支出的诉讼费、仲裁费、律师费、差旅费、公证费、鉴定费、评估费、保全费、执行费等费用以及其它可预见的间接经济损失。</w:t>
            </w:r>
          </w:p>
        </w:tc>
      </w:tr>
      <w:tr w14:paraId="0E0DD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644" w:type="pct"/>
            <w:tcBorders>
              <w:left w:val="single" w:color="auto" w:sz="4" w:space="0"/>
            </w:tcBorders>
            <w:vAlign w:val="center"/>
          </w:tcPr>
          <w:p w14:paraId="1AFE0C7C">
            <w:pPr>
              <w:wordWrap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1.9.2</w:t>
            </w:r>
          </w:p>
        </w:tc>
        <w:tc>
          <w:tcPr>
            <w:tcW w:w="4355" w:type="pct"/>
            <w:vAlign w:val="center"/>
          </w:tcPr>
          <w:p w14:paraId="6F90685C">
            <w:pPr>
              <w:wordWrap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甲方所在地</w:t>
            </w:r>
          </w:p>
        </w:tc>
      </w:tr>
      <w:tr w14:paraId="6E6E3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644" w:type="pct"/>
            <w:tcBorders>
              <w:left w:val="single" w:color="auto" w:sz="4" w:space="0"/>
            </w:tcBorders>
            <w:vAlign w:val="center"/>
          </w:tcPr>
          <w:p w14:paraId="3C95412B">
            <w:pPr>
              <w:wordWrap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2.3.2</w:t>
            </w:r>
          </w:p>
        </w:tc>
        <w:tc>
          <w:tcPr>
            <w:tcW w:w="4355" w:type="pct"/>
            <w:vAlign w:val="center"/>
          </w:tcPr>
          <w:p w14:paraId="5BA84589">
            <w:pPr>
              <w:wordWrap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乙方承诺对所提供的产品、技术和服务等拥有完整、合法的占有、使用、收益和处分权，并对本项目的所有内容可能涉及侵权行为的指控负责，保证不伤害甲方的利益。在法律范围内，如果出现文字、图片、商标和技术等侵权行为而造成的纠纷和产生的一切费用，甲方概不负责，由此给甲方造成损失的，乙方要承担相应后果，并负责赔偿。乙方为执行本项目合同而提供的技术资料等归甲方所有。</w:t>
            </w:r>
          </w:p>
        </w:tc>
      </w:tr>
      <w:tr w14:paraId="307B4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644" w:type="pct"/>
            <w:tcBorders>
              <w:left w:val="single" w:color="auto" w:sz="4" w:space="0"/>
            </w:tcBorders>
            <w:vAlign w:val="center"/>
          </w:tcPr>
          <w:p w14:paraId="10053785">
            <w:pPr>
              <w:wordWrap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2.5</w:t>
            </w:r>
          </w:p>
        </w:tc>
        <w:tc>
          <w:tcPr>
            <w:tcW w:w="4355" w:type="pct"/>
            <w:vAlign w:val="center"/>
          </w:tcPr>
          <w:p w14:paraId="55D3EB44">
            <w:pPr>
              <w:wordWrap w:val="0"/>
              <w:spacing w:line="560" w:lineRule="exact"/>
              <w:ind w:right="59" w:rightChars="28"/>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除本合同明确约定可以另行收取的费用外，所有费用均包括在内：包括产品、产品标准配件、备品备件、专用工具、包装、工时、运输、装卸、保险、税金、设备保护、安装、调试与试运行、培训、保修、售后服务费、工程配套费，以及实施本项目所需的其他一切费用。</w:t>
            </w:r>
          </w:p>
        </w:tc>
      </w:tr>
      <w:tr w14:paraId="462C3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644" w:type="pct"/>
            <w:tcBorders>
              <w:left w:val="single" w:color="auto" w:sz="4" w:space="0"/>
            </w:tcBorders>
            <w:vAlign w:val="center"/>
          </w:tcPr>
          <w:p w14:paraId="079D4054">
            <w:pPr>
              <w:wordWrap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2.11.3</w:t>
            </w:r>
          </w:p>
        </w:tc>
        <w:tc>
          <w:tcPr>
            <w:tcW w:w="4355" w:type="pct"/>
            <w:vAlign w:val="center"/>
          </w:tcPr>
          <w:p w14:paraId="726CF677">
            <w:pPr>
              <w:wordWrap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因不可抗力致使合同有变更必要的，双方当事人应在不可抗力事件发生后30日内以书面形式变更合同。</w:t>
            </w:r>
          </w:p>
        </w:tc>
      </w:tr>
      <w:tr w14:paraId="0A236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644" w:type="pct"/>
            <w:tcBorders>
              <w:left w:val="single" w:color="auto" w:sz="4" w:space="0"/>
            </w:tcBorders>
          </w:tcPr>
          <w:p w14:paraId="00F053E2">
            <w:pPr>
              <w:wordWrap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2.11.4 </w:t>
            </w:r>
          </w:p>
        </w:tc>
        <w:tc>
          <w:tcPr>
            <w:tcW w:w="4355" w:type="pct"/>
          </w:tcPr>
          <w:p w14:paraId="20F9BEBD">
            <w:pPr>
              <w:wordWrap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受不可抗力影响的一方在不可抗力发生后，应在不可抗力事件发生后1天内以书面形式通知对方当事人，并在不可抗力事件发生后7天内，将有关部门出具的证明文件送达对方当事人。</w:t>
            </w:r>
          </w:p>
        </w:tc>
      </w:tr>
      <w:tr w14:paraId="31150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644" w:type="pct"/>
            <w:tcBorders>
              <w:left w:val="single" w:color="auto" w:sz="4" w:space="0"/>
            </w:tcBorders>
          </w:tcPr>
          <w:p w14:paraId="0D5136EF">
            <w:pPr>
              <w:wordWrap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2.19</w:t>
            </w:r>
          </w:p>
        </w:tc>
        <w:tc>
          <w:tcPr>
            <w:tcW w:w="4355" w:type="pct"/>
          </w:tcPr>
          <w:p w14:paraId="3354631E">
            <w:pPr>
              <w:wordWrap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合同份数按甲方执陆份，乙方执贰份规定，每份均具有同等法律效力。</w:t>
            </w:r>
          </w:p>
        </w:tc>
      </w:tr>
    </w:tbl>
    <w:p w14:paraId="3D1F2B39">
      <w:pPr>
        <w:spacing w:line="540" w:lineRule="exact"/>
        <w:ind w:firstLine="562"/>
        <w:contextualSpacing/>
        <w:jc w:val="center"/>
        <w:rPr>
          <w:rFonts w:hint="eastAsia" w:ascii="仿宋_GB2312" w:hAnsi="仿宋_GB2312" w:eastAsia="仿宋_GB2312" w:cs="仿宋_GB2312"/>
          <w:b/>
          <w:sz w:val="24"/>
          <w:szCs w:val="24"/>
          <w:highlight w:val="none"/>
        </w:rPr>
      </w:pPr>
    </w:p>
    <w:p w14:paraId="34845508">
      <w:pPr>
        <w:pStyle w:val="2"/>
        <w:rPr>
          <w:rFonts w:hint="eastAsia" w:ascii="仿宋_GB2312" w:hAnsi="仿宋_GB2312" w:eastAsia="仿宋_GB2312" w:cs="仿宋_GB2312"/>
          <w:b/>
          <w:color w:val="auto"/>
          <w:sz w:val="28"/>
          <w:szCs w:val="28"/>
          <w:highlight w:val="none"/>
        </w:rPr>
      </w:pPr>
    </w:p>
    <w:p w14:paraId="63582B27">
      <w:pPr>
        <w:pStyle w:val="2"/>
        <w:rPr>
          <w:rFonts w:hint="eastAsia" w:ascii="仿宋_GB2312" w:hAnsi="仿宋_GB2312" w:eastAsia="仿宋_GB2312" w:cs="仿宋_GB2312"/>
          <w:b/>
          <w:color w:val="auto"/>
          <w:sz w:val="28"/>
          <w:szCs w:val="28"/>
          <w:highlight w:val="none"/>
        </w:rPr>
      </w:pPr>
    </w:p>
    <w:p w14:paraId="032804C4">
      <w:pPr>
        <w:pStyle w:val="2"/>
        <w:rPr>
          <w:rFonts w:hint="eastAsia" w:ascii="仿宋_GB2312" w:hAnsi="仿宋_GB2312" w:eastAsia="仿宋_GB2312" w:cs="仿宋_GB2312"/>
          <w:b/>
          <w:color w:val="auto"/>
          <w:sz w:val="28"/>
          <w:szCs w:val="28"/>
          <w:highlight w:val="none"/>
        </w:rPr>
      </w:pPr>
    </w:p>
    <w:p w14:paraId="175CC7F6">
      <w:pPr>
        <w:pStyle w:val="2"/>
        <w:rPr>
          <w:rFonts w:hint="eastAsia" w:ascii="仿宋_GB2312" w:hAnsi="仿宋_GB2312" w:eastAsia="仿宋_GB2312" w:cs="仿宋_GB2312"/>
          <w:b/>
          <w:color w:val="auto"/>
          <w:sz w:val="28"/>
          <w:szCs w:val="28"/>
          <w:highlight w:val="none"/>
        </w:rPr>
      </w:pPr>
    </w:p>
    <w:p w14:paraId="63270146">
      <w:pPr>
        <w:pStyle w:val="2"/>
        <w:ind w:left="0" w:leftChars="0" w:firstLine="0" w:firstLineChars="0"/>
        <w:rPr>
          <w:rFonts w:hint="eastAsia" w:ascii="仿宋_GB2312" w:hAnsi="仿宋_GB2312" w:eastAsia="仿宋_GB2312" w:cs="仿宋_GB2312"/>
          <w:b/>
          <w:color w:val="auto"/>
          <w:sz w:val="28"/>
          <w:szCs w:val="28"/>
          <w:highlight w:val="none"/>
        </w:rPr>
      </w:pPr>
    </w:p>
    <w:p w14:paraId="4EC31599">
      <w:pPr>
        <w:rPr>
          <w:rFonts w:hint="eastAsia" w:ascii="仿宋_GB2312" w:hAnsi="仿宋_GB2312" w:eastAsia="仿宋_GB2312" w:cs="仿宋_GB2312"/>
          <w:b/>
          <w:color w:val="auto"/>
          <w:sz w:val="28"/>
          <w:szCs w:val="28"/>
          <w:highlight w:val="none"/>
        </w:rPr>
      </w:pPr>
    </w:p>
    <w:p w14:paraId="7BFB91FF">
      <w:pPr>
        <w:pStyle w:val="2"/>
        <w:rPr>
          <w:rFonts w:hint="eastAsia"/>
        </w:rPr>
      </w:pPr>
    </w:p>
    <w:p w14:paraId="6E9A8B30">
      <w:pPr>
        <w:rPr>
          <w:rFonts w:hint="eastAsia"/>
        </w:rPr>
      </w:pPr>
    </w:p>
    <w:p w14:paraId="6822C9DD">
      <w:pPr>
        <w:pStyle w:val="2"/>
        <w:rPr>
          <w:rFonts w:hint="eastAsia" w:ascii="仿宋_GB2312" w:hAnsi="仿宋_GB2312" w:eastAsia="仿宋_GB2312" w:cs="仿宋_GB2312"/>
          <w:b/>
          <w:color w:val="auto"/>
          <w:sz w:val="28"/>
          <w:szCs w:val="28"/>
          <w:highlight w:val="none"/>
        </w:rPr>
      </w:pPr>
    </w:p>
    <w:p w14:paraId="2DD6C9B9">
      <w:pPr>
        <w:spacing w:line="540" w:lineRule="exact"/>
        <w:contextualSpacing/>
        <w:jc w:val="both"/>
        <w:rPr>
          <w:rFonts w:hint="eastAsia" w:ascii="仿宋_GB2312" w:hAnsi="仿宋_GB2312" w:eastAsia="仿宋_GB2312" w:cs="仿宋_GB2312"/>
          <w:b/>
          <w:color w:val="auto"/>
          <w:sz w:val="28"/>
          <w:szCs w:val="28"/>
          <w:highlight w:val="none"/>
        </w:rPr>
      </w:pPr>
    </w:p>
    <w:p w14:paraId="68311C97">
      <w:pPr>
        <w:spacing w:line="540" w:lineRule="exact"/>
        <w:contextualSpacing/>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第六部分</w:t>
      </w:r>
      <w:bookmarkEnd w:id="393"/>
      <w:bookmarkEnd w:id="394"/>
      <w:r>
        <w:rPr>
          <w:rFonts w:hint="eastAsia" w:ascii="仿宋_GB2312" w:hAnsi="仿宋_GB2312" w:eastAsia="仿宋_GB2312" w:cs="仿宋_GB2312"/>
          <w:b/>
          <w:color w:val="auto"/>
          <w:sz w:val="28"/>
          <w:szCs w:val="28"/>
          <w:highlight w:val="none"/>
          <w:lang w:val="en-US" w:eastAsia="zh-CN"/>
        </w:rPr>
        <w:t xml:space="preserve">  </w:t>
      </w:r>
      <w:r>
        <w:rPr>
          <w:rFonts w:hint="eastAsia" w:ascii="仿宋_GB2312" w:hAnsi="仿宋_GB2312" w:eastAsia="仿宋_GB2312" w:cs="仿宋_GB2312"/>
          <w:b/>
          <w:color w:val="auto"/>
          <w:sz w:val="28"/>
          <w:szCs w:val="28"/>
          <w:highlight w:val="none"/>
        </w:rPr>
        <w:t>应提交的有关格式范例</w:t>
      </w:r>
    </w:p>
    <w:p w14:paraId="11D9EA51">
      <w:pPr>
        <w:spacing w:line="540" w:lineRule="exact"/>
        <w:contextualSpacing/>
        <w:rPr>
          <w:rFonts w:hint="eastAsia" w:ascii="仿宋_GB2312" w:hAnsi="仿宋_GB2312" w:eastAsia="仿宋_GB2312" w:cs="仿宋_GB2312"/>
          <w:color w:val="auto"/>
          <w:sz w:val="28"/>
          <w:szCs w:val="28"/>
          <w:highlight w:val="none"/>
        </w:rPr>
      </w:pPr>
    </w:p>
    <w:p w14:paraId="32DD1DA3">
      <w:pPr>
        <w:spacing w:line="540" w:lineRule="exact"/>
        <w:contextualSpacing/>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资格文件部分</w:t>
      </w:r>
    </w:p>
    <w:p w14:paraId="316DE93D">
      <w:pPr>
        <w:spacing w:line="540" w:lineRule="exact"/>
        <w:contextualSpacing/>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目录</w:t>
      </w:r>
    </w:p>
    <w:p w14:paraId="1DA45E9D">
      <w:pPr>
        <w:spacing w:line="540" w:lineRule="exact"/>
        <w:contextualSpacing/>
        <w:rPr>
          <w:rFonts w:hint="eastAsia" w:ascii="仿宋_GB2312" w:hAnsi="仿宋_GB2312" w:eastAsia="仿宋_GB2312" w:cs="仿宋_GB2312"/>
          <w:color w:val="auto"/>
          <w:sz w:val="28"/>
          <w:szCs w:val="28"/>
          <w:highlight w:val="none"/>
        </w:rPr>
      </w:pPr>
    </w:p>
    <w:p w14:paraId="2E7150AD">
      <w:pPr>
        <w:spacing w:line="540" w:lineRule="exact"/>
        <w:contextualSpacing/>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一、符合参加政府采购活动应当具备的一般条件的承诺函…………（页码）</w:t>
      </w:r>
    </w:p>
    <w:p w14:paraId="58358268">
      <w:pPr>
        <w:spacing w:line="540" w:lineRule="exact"/>
        <w:contextualSpacing/>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二、联合协议（如果有）………………………………………………（页码）</w:t>
      </w:r>
    </w:p>
    <w:p w14:paraId="6C098275">
      <w:pPr>
        <w:spacing w:line="540" w:lineRule="exact"/>
        <w:contextualSpacing/>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三、落实政府采购政策需满足的资格要求（如果有）………………（页码）</w:t>
      </w:r>
    </w:p>
    <w:p w14:paraId="7C65753F">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8"/>
          <w:szCs w:val="28"/>
          <w:highlight w:val="none"/>
        </w:rPr>
        <w:t>四、本项目的特定资格要求（如果有）………………………………（页码）</w:t>
      </w:r>
      <w:r>
        <w:rPr>
          <w:rFonts w:hint="eastAsia" w:ascii="仿宋_GB2312" w:hAnsi="仿宋_GB2312" w:eastAsia="仿宋_GB2312" w:cs="仿宋_GB2312"/>
          <w:color w:val="auto"/>
          <w:sz w:val="24"/>
          <w:szCs w:val="24"/>
          <w:highlight w:val="none"/>
        </w:rPr>
        <w:br w:type="page"/>
      </w:r>
    </w:p>
    <w:p w14:paraId="2666A849">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8"/>
          <w:szCs w:val="28"/>
          <w:highlight w:val="none"/>
        </w:rPr>
        <w:t>一、符合参加政府采购活动应当具备的一般条件的承诺函</w:t>
      </w:r>
    </w:p>
    <w:p w14:paraId="3DCC5C9A">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（采购人）、（采购代理机构）：</w:t>
      </w:r>
    </w:p>
    <w:p w14:paraId="346F8E1A">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我方参与（项目名称）【招标编号：（采购编号）】政府采购活动，郑重承诺：</w:t>
      </w:r>
    </w:p>
    <w:p w14:paraId="288A5732">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（一）具备《中华人民共和国政府采购法》第二十二条第一款规定的条件：</w:t>
      </w:r>
    </w:p>
    <w:p w14:paraId="5F88D777">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1.具有独立承担民事责任的能力；</w:t>
      </w:r>
    </w:p>
    <w:p w14:paraId="3FA797BD">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2.具有良好的商业信誉和健全的财务会计制度；</w:t>
      </w:r>
    </w:p>
    <w:p w14:paraId="763939D9">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3.具有履行合同所必需的设备和专业技术能力；</w:t>
      </w:r>
    </w:p>
    <w:p w14:paraId="1BC7B90D">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4.有依法缴纳税收和社会保障资金的良好记录；</w:t>
      </w:r>
    </w:p>
    <w:p w14:paraId="46775CC6">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5.参加政府采购活动前三年内，在经营活动中没有重大违法记录；</w:t>
      </w:r>
    </w:p>
    <w:p w14:paraId="04EAB221">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6.具有法律、行政法规规定的其他条件。</w:t>
      </w:r>
    </w:p>
    <w:p w14:paraId="1C76FE83">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（二）未被信用中国（www.creditchina.gov.cn)、中国政府采购网（www.ccgp.gov.cn）列入失信被执行人、重大税收违法失信主体、政府采购严重违法失信行为记录名单。</w:t>
      </w:r>
    </w:p>
    <w:p w14:paraId="7373FAAF">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（三）不存在以下情况：</w:t>
      </w:r>
    </w:p>
    <w:p w14:paraId="3CC33836">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1.单位负责人为同一人或者存在直接控股、管理关系的不同供应商参加同一合同项下的政府采购活动的；</w:t>
      </w:r>
    </w:p>
    <w:p w14:paraId="225EBEA5">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2.为采购项目提供整体设计、规范编制或者项目管理、监理、检测等服务后再参加该采购项目的其他采购活动的。</w:t>
      </w:r>
    </w:p>
    <w:p w14:paraId="4E508AE3">
      <w:pPr>
        <w:pStyle w:val="2"/>
        <w:ind w:left="479" w:leftChars="228" w:firstLine="0" w:firstLineChars="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（四）如我方中标，我方承诺：</w:t>
      </w:r>
    </w:p>
    <w:p w14:paraId="7ED23BE8">
      <w:pPr>
        <w:pStyle w:val="2"/>
        <w:ind w:left="0" w:leftChars="0" w:firstLine="480" w:firstLineChars="2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1.在签订合同前向采购人提交在投标（响应）中涉及客观分评审内容的检测报告、</w:t>
      </w:r>
      <w:r>
        <w:rPr>
          <w:rFonts w:hint="eastAsia" w:ascii="仿宋_GB2312" w:hAnsi="仿宋_GB2312" w:eastAsia="仿宋_GB2312" w:cs="仿宋_GB2312"/>
          <w:color w:val="auto"/>
          <w:kern w:val="2"/>
          <w:sz w:val="24"/>
          <w:szCs w:val="24"/>
          <w:highlight w:val="none"/>
          <w:lang w:val="en-US" w:eastAsia="zh-CN" w:bidi="ar-SA"/>
        </w:rPr>
        <w:br w:type="textWrapping"/>
      </w:r>
      <w:r>
        <w:rPr>
          <w:rFonts w:hint="eastAsia" w:ascii="仿宋_GB2312" w:hAnsi="仿宋_GB2312" w:eastAsia="仿宋_GB2312" w:cs="仿宋_GB2312"/>
          <w:color w:val="auto"/>
          <w:kern w:val="2"/>
          <w:sz w:val="24"/>
          <w:szCs w:val="24"/>
          <w:highlight w:val="none"/>
          <w:lang w:val="en-US" w:eastAsia="zh-CN" w:bidi="ar-SA"/>
        </w:rPr>
        <w:t>认证证书等资料；</w:t>
      </w:r>
      <w:r>
        <w:rPr>
          <w:rFonts w:hint="eastAsia" w:ascii="仿宋_GB2312" w:hAnsi="仿宋_GB2312" w:eastAsia="仿宋_GB2312" w:cs="仿宋_GB2312"/>
          <w:color w:val="auto"/>
          <w:kern w:val="2"/>
          <w:sz w:val="24"/>
          <w:szCs w:val="24"/>
          <w:highlight w:val="none"/>
          <w:lang w:val="en-US" w:eastAsia="zh-CN" w:bidi="ar-SA"/>
        </w:rPr>
        <w:br w:type="textWrapping"/>
      </w:r>
      <w:r>
        <w:rPr>
          <w:rFonts w:hint="eastAsia" w:ascii="仿宋_GB2312" w:hAnsi="仿宋_GB2312" w:eastAsia="仿宋_GB2312" w:cs="仿宋_GB2312"/>
          <w:color w:val="auto"/>
          <w:kern w:val="2"/>
          <w:sz w:val="24"/>
          <w:szCs w:val="24"/>
          <w:highlight w:val="none"/>
          <w:lang w:val="en-US" w:eastAsia="zh-CN" w:bidi="ar-SA"/>
        </w:rPr>
        <w:t xml:space="preserve">   2.除采购文件中要求在投标文件中提供的认证证书外，采购人拟采购的产品按政策须进行国家强制认证的产品，在项目验收时提供该产品相关认证证书复印件或证明材料。</w:t>
      </w:r>
    </w:p>
    <w:p w14:paraId="2FAEEAEF">
      <w:pPr>
        <w:spacing w:line="500" w:lineRule="exact"/>
        <w:ind w:firstLine="480" w:firstLineChars="200"/>
        <w:contextualSpacing/>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（五）本承诺函条款不得变动，如供应商擅自变动的，作无效供应商处理。</w:t>
      </w:r>
    </w:p>
    <w:p w14:paraId="7D5CD4B2">
      <w:pPr>
        <w:spacing w:line="540" w:lineRule="exact"/>
        <w:ind w:firstLine="5520" w:firstLineChars="23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投标人名称(电子签名)：</w:t>
      </w:r>
    </w:p>
    <w:p w14:paraId="5FA6815D">
      <w:pPr>
        <w:spacing w:line="540" w:lineRule="exact"/>
        <w:ind w:firstLine="5640" w:firstLineChars="235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日期：年月日</w:t>
      </w:r>
    </w:p>
    <w:p w14:paraId="463AA3A7">
      <w:pPr>
        <w:widowControl/>
        <w:spacing w:line="360" w:lineRule="auto"/>
        <w:jc w:val="both"/>
        <w:rPr>
          <w:rFonts w:hint="eastAsia" w:ascii="仿宋_GB2312" w:hAnsi="仿宋_GB2312" w:eastAsia="仿宋_GB2312" w:cs="仿宋_GB2312"/>
          <w:b/>
          <w:color w:val="auto"/>
          <w:kern w:val="0"/>
          <w:sz w:val="32"/>
          <w:szCs w:val="32"/>
          <w:highlight w:val="none"/>
        </w:rPr>
      </w:pPr>
    </w:p>
    <w:p w14:paraId="71CD7CBE">
      <w:pPr>
        <w:widowControl/>
        <w:spacing w:line="560" w:lineRule="exact"/>
        <w:ind w:firstLine="482" w:firstLineChars="20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二、联合协议（如果有）</w:t>
      </w:r>
    </w:p>
    <w:p w14:paraId="786B9F0F">
      <w:pPr>
        <w:widowControl/>
        <w:spacing w:line="560" w:lineRule="exact"/>
        <w:ind w:firstLine="482" w:firstLineChars="200"/>
        <w:jc w:val="lef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[以联合体形式投标的，提供联合协议（附件6）；本项目不接受联合体投标或者投标人不以联合体形式投标的，则不需要提供）]</w:t>
      </w:r>
    </w:p>
    <w:p w14:paraId="1D950318">
      <w:pPr>
        <w:snapToGrid w:val="0"/>
        <w:spacing w:line="560" w:lineRule="exact"/>
        <w:ind w:right="480"/>
        <w:jc w:val="center"/>
        <w:rPr>
          <w:rFonts w:hint="eastAsia" w:ascii="仿宋_GB2312" w:hAnsi="仿宋_GB2312" w:eastAsia="仿宋_GB2312" w:cs="仿宋_GB2312"/>
          <w:b/>
          <w:color w:val="auto"/>
          <w:kern w:val="0"/>
          <w:sz w:val="24"/>
          <w:szCs w:val="24"/>
          <w:highlight w:val="none"/>
        </w:rPr>
      </w:pPr>
    </w:p>
    <w:p w14:paraId="2112B2A9">
      <w:pPr>
        <w:pStyle w:val="12"/>
        <w:rPr>
          <w:rFonts w:hint="eastAsia" w:ascii="仿宋_GB2312" w:hAnsi="仿宋_GB2312" w:eastAsia="仿宋_GB2312" w:cs="仿宋_GB2312"/>
          <w:color w:val="auto"/>
          <w:sz w:val="24"/>
          <w:szCs w:val="24"/>
          <w:highlight w:val="none"/>
        </w:rPr>
      </w:pPr>
    </w:p>
    <w:p w14:paraId="655A47F8">
      <w:pPr>
        <w:snapToGrid w:val="0"/>
        <w:spacing w:line="560" w:lineRule="exact"/>
        <w:ind w:right="480"/>
        <w:jc w:val="center"/>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三、落实政府采购政策需满足的资格要求</w:t>
      </w:r>
    </w:p>
    <w:p w14:paraId="38AA5BA0">
      <w:pPr>
        <w:spacing w:line="560" w:lineRule="exact"/>
        <w:rPr>
          <w:rFonts w:ascii="仿宋_GB2312" w:hAnsi="宋体" w:eastAsia="仿宋_GB2312" w:cs="宋体"/>
          <w:color w:val="auto"/>
          <w:sz w:val="24"/>
          <w:szCs w:val="24"/>
        </w:rPr>
      </w:pPr>
      <w:r>
        <w:rPr>
          <w:rFonts w:hint="eastAsia" w:ascii="仿宋_GB2312" w:hAnsi="宋体" w:eastAsia="仿宋_GB2312" w:cs="宋体"/>
          <w:color w:val="auto"/>
          <w:sz w:val="24"/>
          <w:szCs w:val="24"/>
        </w:rPr>
        <w:t>（根据招标公告落实政府采购政策需满足的资格要求选择提供相应的材料；未要求的，无需提供）</w:t>
      </w:r>
    </w:p>
    <w:p w14:paraId="14755CC1">
      <w:pPr>
        <w:widowControl/>
        <w:spacing w:line="560" w:lineRule="exact"/>
        <w:ind w:left="150"/>
        <w:jc w:val="center"/>
        <w:rPr>
          <w:rFonts w:hint="eastAsia" w:ascii="仿宋_GB2312" w:hAnsi="仿宋_GB2312" w:eastAsia="仿宋_GB2312" w:cs="仿宋_GB2312"/>
          <w:b/>
          <w:color w:val="auto"/>
          <w:kern w:val="0"/>
          <w:sz w:val="24"/>
          <w:szCs w:val="24"/>
          <w:highlight w:val="none"/>
        </w:rPr>
      </w:pPr>
    </w:p>
    <w:p w14:paraId="1C61A8BF">
      <w:pPr>
        <w:widowControl/>
        <w:spacing w:line="560" w:lineRule="exact"/>
        <w:ind w:firstLine="482" w:firstLineChars="20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kern w:val="0"/>
          <w:sz w:val="24"/>
          <w:szCs w:val="24"/>
          <w:highlight w:val="none"/>
        </w:rPr>
        <w:t>四、本项目的特定资格要求</w:t>
      </w:r>
      <w:r>
        <w:rPr>
          <w:rFonts w:hint="eastAsia" w:ascii="仿宋_GB2312" w:hAnsi="仿宋_GB2312" w:eastAsia="仿宋_GB2312" w:cs="仿宋_GB2312"/>
          <w:b/>
          <w:color w:val="auto"/>
          <w:sz w:val="24"/>
          <w:szCs w:val="24"/>
          <w:highlight w:val="none"/>
        </w:rPr>
        <w:t>（如果有）</w:t>
      </w:r>
    </w:p>
    <w:p w14:paraId="3BED49BF">
      <w:pPr>
        <w:spacing w:line="56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（根据招标公告本项目的特定资格要求提供相应的材料；未要求的，无需提供）</w:t>
      </w:r>
    </w:p>
    <w:p w14:paraId="5280E86A">
      <w:pPr>
        <w:spacing w:line="560" w:lineRule="exact"/>
        <w:contextualSpacing/>
        <w:jc w:val="center"/>
        <w:rPr>
          <w:rFonts w:hint="eastAsia" w:ascii="仿宋_GB2312" w:hAnsi="仿宋_GB2312" w:eastAsia="仿宋_GB2312" w:cs="仿宋_GB2312"/>
          <w:b/>
          <w:color w:val="auto"/>
          <w:sz w:val="24"/>
          <w:szCs w:val="24"/>
          <w:highlight w:val="none"/>
        </w:rPr>
      </w:pPr>
    </w:p>
    <w:p w14:paraId="6B54D907">
      <w:pPr>
        <w:pStyle w:val="2"/>
        <w:ind w:left="0" w:leftChars="0" w:firstLine="0" w:firstLineChars="0"/>
        <w:rPr>
          <w:rFonts w:hint="eastAsia" w:ascii="仿宋_GB2312" w:hAnsi="仿宋_GB2312" w:eastAsia="仿宋_GB2312" w:cs="仿宋_GB2312"/>
          <w:color w:val="auto"/>
          <w:highlight w:val="none"/>
        </w:rPr>
      </w:pPr>
    </w:p>
    <w:p w14:paraId="118506AA">
      <w:pPr>
        <w:pStyle w:val="2"/>
        <w:ind w:left="0" w:leftChars="0" w:firstLine="0" w:firstLineChars="0"/>
        <w:rPr>
          <w:rFonts w:hint="eastAsia" w:ascii="仿宋_GB2312" w:hAnsi="仿宋_GB2312" w:eastAsia="仿宋_GB2312" w:cs="仿宋_GB2312"/>
          <w:color w:val="auto"/>
          <w:highlight w:val="none"/>
        </w:rPr>
      </w:pPr>
    </w:p>
    <w:p w14:paraId="07555E8C">
      <w:pPr>
        <w:rPr>
          <w:rFonts w:hint="eastAsia" w:ascii="仿宋_GB2312" w:hAnsi="仿宋_GB2312" w:eastAsia="仿宋_GB2312" w:cs="仿宋_GB2312"/>
          <w:color w:val="auto"/>
          <w:highlight w:val="none"/>
        </w:rPr>
      </w:pPr>
    </w:p>
    <w:p w14:paraId="148C580B">
      <w:pPr>
        <w:pStyle w:val="2"/>
        <w:rPr>
          <w:rFonts w:hint="eastAsia" w:ascii="仿宋_GB2312" w:hAnsi="仿宋_GB2312" w:eastAsia="仿宋_GB2312" w:cs="仿宋_GB2312"/>
          <w:color w:val="auto"/>
          <w:highlight w:val="none"/>
        </w:rPr>
      </w:pPr>
    </w:p>
    <w:p w14:paraId="6A14A6F3">
      <w:pPr>
        <w:rPr>
          <w:rFonts w:hint="eastAsia" w:ascii="仿宋_GB2312" w:hAnsi="仿宋_GB2312" w:eastAsia="仿宋_GB2312" w:cs="仿宋_GB2312"/>
          <w:color w:val="auto"/>
          <w:highlight w:val="none"/>
        </w:rPr>
      </w:pPr>
    </w:p>
    <w:p w14:paraId="340FBFA8">
      <w:pPr>
        <w:pStyle w:val="2"/>
        <w:rPr>
          <w:rFonts w:hint="eastAsia" w:ascii="仿宋_GB2312" w:hAnsi="仿宋_GB2312" w:eastAsia="仿宋_GB2312" w:cs="仿宋_GB2312"/>
          <w:color w:val="auto"/>
          <w:highlight w:val="none"/>
        </w:rPr>
      </w:pPr>
    </w:p>
    <w:p w14:paraId="5ABFE8CE">
      <w:pPr>
        <w:rPr>
          <w:rFonts w:hint="eastAsia" w:ascii="仿宋_GB2312" w:hAnsi="仿宋_GB2312" w:eastAsia="仿宋_GB2312" w:cs="仿宋_GB2312"/>
          <w:color w:val="auto"/>
          <w:highlight w:val="none"/>
        </w:rPr>
      </w:pPr>
    </w:p>
    <w:p w14:paraId="4BAD00F4">
      <w:pPr>
        <w:pStyle w:val="2"/>
        <w:rPr>
          <w:rFonts w:hint="eastAsia" w:ascii="仿宋_GB2312" w:hAnsi="仿宋_GB2312" w:eastAsia="仿宋_GB2312" w:cs="仿宋_GB2312"/>
          <w:color w:val="auto"/>
          <w:highlight w:val="none"/>
        </w:rPr>
      </w:pPr>
    </w:p>
    <w:p w14:paraId="7865F1AF">
      <w:pPr>
        <w:rPr>
          <w:rFonts w:hint="eastAsia" w:ascii="仿宋_GB2312" w:hAnsi="仿宋_GB2312" w:eastAsia="仿宋_GB2312" w:cs="仿宋_GB2312"/>
          <w:color w:val="auto"/>
          <w:highlight w:val="none"/>
        </w:rPr>
      </w:pPr>
    </w:p>
    <w:p w14:paraId="1A7892D6">
      <w:pPr>
        <w:pStyle w:val="2"/>
        <w:rPr>
          <w:rFonts w:hint="eastAsia" w:ascii="仿宋_GB2312" w:hAnsi="仿宋_GB2312" w:eastAsia="仿宋_GB2312" w:cs="仿宋_GB2312"/>
          <w:color w:val="auto"/>
          <w:highlight w:val="none"/>
        </w:rPr>
      </w:pPr>
    </w:p>
    <w:p w14:paraId="51AA56E4">
      <w:pPr>
        <w:rPr>
          <w:rFonts w:hint="eastAsia" w:ascii="仿宋_GB2312" w:hAnsi="仿宋_GB2312" w:eastAsia="仿宋_GB2312" w:cs="仿宋_GB2312"/>
          <w:color w:val="auto"/>
          <w:highlight w:val="none"/>
        </w:rPr>
      </w:pPr>
    </w:p>
    <w:p w14:paraId="0AD2DB45">
      <w:pPr>
        <w:pStyle w:val="2"/>
        <w:rPr>
          <w:rFonts w:hint="eastAsia" w:ascii="仿宋_GB2312" w:hAnsi="仿宋_GB2312" w:eastAsia="仿宋_GB2312" w:cs="仿宋_GB2312"/>
          <w:color w:val="auto"/>
          <w:highlight w:val="none"/>
        </w:rPr>
      </w:pPr>
    </w:p>
    <w:p w14:paraId="78F86F9D">
      <w:pPr>
        <w:rPr>
          <w:rFonts w:hint="eastAsia" w:ascii="仿宋_GB2312" w:hAnsi="仿宋_GB2312" w:eastAsia="仿宋_GB2312" w:cs="仿宋_GB2312"/>
          <w:color w:val="auto"/>
          <w:highlight w:val="none"/>
        </w:rPr>
      </w:pPr>
    </w:p>
    <w:p w14:paraId="761AFB30">
      <w:pPr>
        <w:pStyle w:val="2"/>
        <w:rPr>
          <w:rFonts w:hint="eastAsia" w:ascii="仿宋_GB2312" w:hAnsi="仿宋_GB2312" w:eastAsia="仿宋_GB2312" w:cs="仿宋_GB2312"/>
          <w:color w:val="auto"/>
          <w:highlight w:val="none"/>
        </w:rPr>
      </w:pPr>
    </w:p>
    <w:p w14:paraId="1C449292">
      <w:pPr>
        <w:rPr>
          <w:rFonts w:hint="eastAsia" w:ascii="仿宋_GB2312" w:hAnsi="仿宋_GB2312" w:eastAsia="仿宋_GB2312" w:cs="仿宋_GB2312"/>
          <w:color w:val="auto"/>
          <w:highlight w:val="none"/>
        </w:rPr>
      </w:pPr>
    </w:p>
    <w:p w14:paraId="6F4FF8F7">
      <w:pPr>
        <w:pStyle w:val="2"/>
        <w:rPr>
          <w:rFonts w:hint="eastAsia" w:ascii="仿宋_GB2312" w:hAnsi="仿宋_GB2312" w:eastAsia="仿宋_GB2312" w:cs="仿宋_GB2312"/>
          <w:color w:val="auto"/>
          <w:highlight w:val="none"/>
        </w:rPr>
      </w:pPr>
    </w:p>
    <w:p w14:paraId="2302E4CB">
      <w:pPr>
        <w:rPr>
          <w:rFonts w:hint="eastAsia" w:ascii="仿宋_GB2312" w:hAnsi="仿宋_GB2312" w:eastAsia="仿宋_GB2312" w:cs="仿宋_GB2312"/>
          <w:color w:val="auto"/>
          <w:highlight w:val="none"/>
        </w:rPr>
      </w:pPr>
    </w:p>
    <w:p w14:paraId="565D70D3">
      <w:pPr>
        <w:pStyle w:val="2"/>
        <w:rPr>
          <w:rFonts w:hint="eastAsia"/>
        </w:rPr>
      </w:pPr>
    </w:p>
    <w:p w14:paraId="7AD37E15">
      <w:pPr>
        <w:pStyle w:val="2"/>
        <w:rPr>
          <w:rFonts w:hint="eastAsia"/>
        </w:rPr>
      </w:pPr>
    </w:p>
    <w:p w14:paraId="20A6DD17">
      <w:pPr>
        <w:spacing w:line="560" w:lineRule="exact"/>
        <w:contextualSpacing/>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商务技术文件部分</w:t>
      </w:r>
    </w:p>
    <w:p w14:paraId="76EE52D7">
      <w:pPr>
        <w:spacing w:line="560" w:lineRule="exact"/>
        <w:contextualSpacing/>
        <w:rPr>
          <w:rFonts w:hint="eastAsia" w:ascii="仿宋_GB2312" w:hAnsi="仿宋_GB2312" w:eastAsia="仿宋_GB2312" w:cs="仿宋_GB2312"/>
          <w:color w:val="auto"/>
          <w:sz w:val="28"/>
          <w:szCs w:val="28"/>
          <w:highlight w:val="none"/>
        </w:rPr>
      </w:pPr>
    </w:p>
    <w:p w14:paraId="2739C593">
      <w:pPr>
        <w:spacing w:line="540" w:lineRule="exact"/>
        <w:contextualSpacing/>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目录</w:t>
      </w:r>
    </w:p>
    <w:p w14:paraId="55DABA86">
      <w:pPr>
        <w:pStyle w:val="61"/>
        <w:numPr>
          <w:ilvl w:val="0"/>
          <w:numId w:val="5"/>
        </w:numPr>
        <w:spacing w:line="540" w:lineRule="exact"/>
        <w:ind w:firstLineChars="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投标函…………………………………………………………………………（页码）</w:t>
      </w:r>
    </w:p>
    <w:p w14:paraId="089BC226">
      <w:pPr>
        <w:pStyle w:val="61"/>
        <w:numPr>
          <w:ilvl w:val="0"/>
          <w:numId w:val="5"/>
        </w:numPr>
        <w:spacing w:line="540" w:lineRule="exact"/>
        <w:ind w:firstLineChars="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联合协议（如果有）…………………………………………………………（页码）</w:t>
      </w:r>
    </w:p>
    <w:p w14:paraId="395D3C7A">
      <w:pPr>
        <w:pStyle w:val="61"/>
        <w:numPr>
          <w:ilvl w:val="0"/>
          <w:numId w:val="5"/>
        </w:numPr>
        <w:spacing w:line="540" w:lineRule="exact"/>
        <w:ind w:firstLineChars="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分包意向协议（如果有）……………………………………………………（页码）</w:t>
      </w:r>
    </w:p>
    <w:p w14:paraId="190EA743">
      <w:pPr>
        <w:pStyle w:val="61"/>
        <w:numPr>
          <w:ilvl w:val="0"/>
          <w:numId w:val="5"/>
        </w:numPr>
        <w:spacing w:line="540" w:lineRule="exact"/>
        <w:ind w:firstLineChars="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符合性审查资料………………………………………………………………（页码）</w:t>
      </w:r>
    </w:p>
    <w:p w14:paraId="08F30C45">
      <w:pPr>
        <w:pStyle w:val="61"/>
        <w:numPr>
          <w:ilvl w:val="0"/>
          <w:numId w:val="5"/>
        </w:numPr>
        <w:spacing w:line="540" w:lineRule="exact"/>
        <w:ind w:firstLineChars="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拟投入的项目班子格式（如果有）…………………………………………（页码）</w:t>
      </w:r>
    </w:p>
    <w:p w14:paraId="0284CF33">
      <w:pPr>
        <w:pStyle w:val="61"/>
        <w:numPr>
          <w:ilvl w:val="0"/>
          <w:numId w:val="5"/>
        </w:numPr>
        <w:spacing w:line="540" w:lineRule="exact"/>
        <w:ind w:firstLineChars="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评标标准相应的商务技术资料………………………………………………（页码）</w:t>
      </w:r>
    </w:p>
    <w:p w14:paraId="7A1E54CA">
      <w:pPr>
        <w:pStyle w:val="61"/>
        <w:numPr>
          <w:ilvl w:val="0"/>
          <w:numId w:val="5"/>
        </w:numPr>
        <w:spacing w:line="540" w:lineRule="exact"/>
        <w:ind w:firstLineChars="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投标标的清单………………………………………………………………（页码）</w:t>
      </w:r>
    </w:p>
    <w:p w14:paraId="5ACD85C2">
      <w:pPr>
        <w:pStyle w:val="61"/>
        <w:numPr>
          <w:ilvl w:val="0"/>
          <w:numId w:val="5"/>
        </w:numPr>
        <w:spacing w:line="540" w:lineRule="exact"/>
        <w:ind w:firstLineChars="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商务技术偏离表……………………………………………………………（页码）</w:t>
      </w:r>
    </w:p>
    <w:p w14:paraId="4AE2AA0B">
      <w:pPr>
        <w:pStyle w:val="61"/>
        <w:numPr>
          <w:ilvl w:val="0"/>
          <w:numId w:val="5"/>
        </w:numPr>
        <w:spacing w:line="540" w:lineRule="exact"/>
        <w:ind w:firstLineChars="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政府采购供应商廉洁自律承诺书……………………………………………（页码）</w:t>
      </w:r>
    </w:p>
    <w:p w14:paraId="0415BE83">
      <w:pPr>
        <w:spacing w:line="540" w:lineRule="exact"/>
        <w:contextualSpacing/>
        <w:rPr>
          <w:rFonts w:hint="eastAsia" w:ascii="仿宋_GB2312" w:hAnsi="仿宋_GB2312" w:eastAsia="仿宋_GB2312" w:cs="仿宋_GB2312"/>
          <w:color w:val="auto"/>
          <w:sz w:val="24"/>
          <w:szCs w:val="24"/>
          <w:highlight w:val="none"/>
        </w:rPr>
      </w:pPr>
    </w:p>
    <w:p w14:paraId="27B64716">
      <w:pPr>
        <w:spacing w:line="540" w:lineRule="exact"/>
        <w:contextualSpacing/>
        <w:rPr>
          <w:rFonts w:hint="eastAsia" w:ascii="仿宋_GB2312" w:hAnsi="仿宋_GB2312" w:eastAsia="仿宋_GB2312" w:cs="仿宋_GB2312"/>
          <w:color w:val="auto"/>
          <w:sz w:val="24"/>
          <w:szCs w:val="24"/>
          <w:highlight w:val="none"/>
        </w:rPr>
      </w:pPr>
    </w:p>
    <w:p w14:paraId="62A709E7">
      <w:pPr>
        <w:pStyle w:val="12"/>
        <w:rPr>
          <w:rFonts w:hint="eastAsia" w:ascii="仿宋_GB2312" w:hAnsi="仿宋_GB2312" w:eastAsia="仿宋_GB2312" w:cs="仿宋_GB2312"/>
          <w:color w:val="auto"/>
          <w:highlight w:val="none"/>
        </w:rPr>
      </w:pPr>
    </w:p>
    <w:p w14:paraId="6348A496">
      <w:pPr>
        <w:spacing w:line="540" w:lineRule="exact"/>
        <w:contextualSpacing/>
        <w:rPr>
          <w:rFonts w:hint="eastAsia" w:ascii="仿宋_GB2312" w:hAnsi="仿宋_GB2312" w:eastAsia="仿宋_GB2312" w:cs="仿宋_GB2312"/>
          <w:color w:val="auto"/>
          <w:sz w:val="24"/>
          <w:szCs w:val="24"/>
          <w:highlight w:val="none"/>
        </w:rPr>
      </w:pPr>
    </w:p>
    <w:p w14:paraId="6E335993">
      <w:pPr>
        <w:spacing w:line="540" w:lineRule="exact"/>
        <w:contextualSpacing/>
        <w:rPr>
          <w:rFonts w:hint="eastAsia" w:ascii="仿宋_GB2312" w:hAnsi="仿宋_GB2312" w:eastAsia="仿宋_GB2312" w:cs="仿宋_GB2312"/>
          <w:color w:val="auto"/>
          <w:sz w:val="24"/>
          <w:szCs w:val="24"/>
          <w:highlight w:val="none"/>
        </w:rPr>
      </w:pPr>
    </w:p>
    <w:p w14:paraId="29134EB4">
      <w:pPr>
        <w:spacing w:line="540" w:lineRule="exact"/>
        <w:contextualSpacing/>
        <w:rPr>
          <w:rFonts w:hint="eastAsia" w:ascii="仿宋_GB2312" w:hAnsi="仿宋_GB2312" w:eastAsia="仿宋_GB2312" w:cs="仿宋_GB2312"/>
          <w:color w:val="auto"/>
          <w:sz w:val="24"/>
          <w:szCs w:val="24"/>
          <w:highlight w:val="none"/>
        </w:rPr>
      </w:pPr>
    </w:p>
    <w:p w14:paraId="4D73F2F6">
      <w:pPr>
        <w:pStyle w:val="2"/>
        <w:rPr>
          <w:rFonts w:hint="eastAsia" w:ascii="仿宋_GB2312" w:hAnsi="仿宋_GB2312" w:eastAsia="仿宋_GB2312" w:cs="仿宋_GB2312"/>
          <w:color w:val="auto"/>
          <w:highlight w:val="none"/>
        </w:rPr>
      </w:pPr>
    </w:p>
    <w:p w14:paraId="01F0D65F">
      <w:pPr>
        <w:spacing w:line="540" w:lineRule="exact"/>
        <w:contextualSpacing/>
        <w:rPr>
          <w:rFonts w:hint="eastAsia" w:ascii="仿宋_GB2312" w:hAnsi="仿宋_GB2312" w:eastAsia="仿宋_GB2312" w:cs="仿宋_GB2312"/>
          <w:color w:val="auto"/>
          <w:sz w:val="24"/>
          <w:szCs w:val="24"/>
          <w:highlight w:val="none"/>
        </w:rPr>
      </w:pPr>
    </w:p>
    <w:p w14:paraId="53E855DC">
      <w:pPr>
        <w:spacing w:line="540" w:lineRule="exact"/>
        <w:contextualSpacing/>
        <w:rPr>
          <w:rFonts w:hint="eastAsia" w:ascii="仿宋_GB2312" w:hAnsi="仿宋_GB2312" w:eastAsia="仿宋_GB2312" w:cs="仿宋_GB2312"/>
          <w:color w:val="auto"/>
          <w:sz w:val="24"/>
          <w:szCs w:val="24"/>
          <w:highlight w:val="none"/>
        </w:rPr>
      </w:pPr>
    </w:p>
    <w:p w14:paraId="222695BA">
      <w:pPr>
        <w:spacing w:line="540" w:lineRule="exact"/>
        <w:contextualSpacing/>
        <w:rPr>
          <w:rFonts w:hint="eastAsia" w:ascii="仿宋_GB2312" w:hAnsi="仿宋_GB2312" w:eastAsia="仿宋_GB2312" w:cs="仿宋_GB2312"/>
          <w:color w:val="auto"/>
          <w:sz w:val="24"/>
          <w:szCs w:val="24"/>
          <w:highlight w:val="none"/>
        </w:rPr>
      </w:pPr>
    </w:p>
    <w:p w14:paraId="3B117DF5">
      <w:pPr>
        <w:spacing w:line="540" w:lineRule="exact"/>
        <w:contextualSpacing/>
        <w:rPr>
          <w:rFonts w:hint="eastAsia" w:ascii="仿宋_GB2312" w:hAnsi="仿宋_GB2312" w:eastAsia="仿宋_GB2312" w:cs="仿宋_GB2312"/>
          <w:color w:val="auto"/>
          <w:sz w:val="24"/>
          <w:szCs w:val="24"/>
          <w:highlight w:val="none"/>
        </w:rPr>
      </w:pPr>
    </w:p>
    <w:p w14:paraId="358151F1">
      <w:pPr>
        <w:spacing w:line="540" w:lineRule="exact"/>
        <w:contextualSpacing/>
        <w:rPr>
          <w:rFonts w:hint="eastAsia" w:ascii="仿宋_GB2312" w:hAnsi="仿宋_GB2312" w:eastAsia="仿宋_GB2312" w:cs="仿宋_GB2312"/>
          <w:color w:val="auto"/>
          <w:sz w:val="24"/>
          <w:szCs w:val="24"/>
          <w:highlight w:val="none"/>
        </w:rPr>
      </w:pPr>
    </w:p>
    <w:p w14:paraId="21F412BF">
      <w:pPr>
        <w:spacing w:line="540" w:lineRule="exact"/>
        <w:contextualSpacing/>
        <w:rPr>
          <w:rFonts w:hint="eastAsia" w:ascii="仿宋_GB2312" w:hAnsi="仿宋_GB2312" w:eastAsia="仿宋_GB2312" w:cs="仿宋_GB2312"/>
          <w:color w:val="auto"/>
          <w:sz w:val="24"/>
          <w:szCs w:val="24"/>
          <w:highlight w:val="none"/>
        </w:rPr>
      </w:pPr>
    </w:p>
    <w:p w14:paraId="47EA5B3E">
      <w:pPr>
        <w:spacing w:line="540" w:lineRule="exact"/>
        <w:contextualSpacing/>
        <w:rPr>
          <w:rFonts w:hint="eastAsia" w:ascii="仿宋_GB2312" w:hAnsi="仿宋_GB2312" w:eastAsia="仿宋_GB2312" w:cs="仿宋_GB2312"/>
          <w:color w:val="auto"/>
          <w:sz w:val="24"/>
          <w:szCs w:val="24"/>
          <w:highlight w:val="none"/>
        </w:rPr>
      </w:pPr>
    </w:p>
    <w:p w14:paraId="736958C4">
      <w:pPr>
        <w:spacing w:line="540" w:lineRule="exact"/>
        <w:contextualSpacing/>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一、投标函</w:t>
      </w:r>
    </w:p>
    <w:p w14:paraId="47935A04">
      <w:pPr>
        <w:spacing w:line="540" w:lineRule="exact"/>
        <w:contextualSpacing/>
        <w:rPr>
          <w:rFonts w:hint="eastAsia" w:ascii="仿宋_GB2312" w:hAnsi="仿宋_GB2312" w:eastAsia="仿宋_GB2312" w:cs="仿宋_GB2312"/>
          <w:color w:val="auto"/>
          <w:sz w:val="24"/>
          <w:szCs w:val="24"/>
          <w:highlight w:val="none"/>
        </w:rPr>
      </w:pPr>
    </w:p>
    <w:p w14:paraId="28DEE463">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（采购人）、（采购代理机构）：</w:t>
      </w:r>
    </w:p>
    <w:p w14:paraId="49289580">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我方参加你方组织的（项目名称）【招标编号：（采购编号）】招标的有关活动，并对此项目进行投标。为此：</w:t>
      </w:r>
    </w:p>
    <w:p w14:paraId="01591D5F">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我方承诺投标有效期从提交投标文件的截止之日起</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天（不少于90天），本投标文件在投标有效期满之前均具有约束力。</w:t>
      </w:r>
    </w:p>
    <w:p w14:paraId="6BEE19F5">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1.我方的投标文件包括以下内容：</w:t>
      </w:r>
    </w:p>
    <w:p w14:paraId="425480FC">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2.1资格文件：</w:t>
      </w:r>
    </w:p>
    <w:p w14:paraId="3944A598">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2.1.1承诺函；</w:t>
      </w:r>
    </w:p>
    <w:p w14:paraId="3B791A42">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2.1.2联合协议（如果有)；</w:t>
      </w:r>
    </w:p>
    <w:p w14:paraId="3CB793C0">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2.1.3落实政府采购政策需满足的资格要求（如果有)；</w:t>
      </w:r>
    </w:p>
    <w:p w14:paraId="6985B8E3">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2.2.4本项目的特定资格要求（如果有）。</w:t>
      </w:r>
    </w:p>
    <w:p w14:paraId="6640D71D">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 商务技术文件：</w:t>
      </w:r>
    </w:p>
    <w:p w14:paraId="2B359332">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2.2.1投标函； </w:t>
      </w:r>
    </w:p>
    <w:p w14:paraId="42854D17">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联合协议（如果有）；</w:t>
      </w:r>
    </w:p>
    <w:p w14:paraId="2D5729E9">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分包意向协议（如果有）；</w:t>
      </w:r>
    </w:p>
    <w:p w14:paraId="02FCC1A0">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符合性审查资料；</w:t>
      </w:r>
    </w:p>
    <w:p w14:paraId="0BA8E97A">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拟投入的项目班子格式；</w:t>
      </w:r>
    </w:p>
    <w:p w14:paraId="23291ABE">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评标标准相应的商务技术资料；</w:t>
      </w:r>
    </w:p>
    <w:p w14:paraId="1938EFEA">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投标标的清单（如果有）；</w:t>
      </w:r>
    </w:p>
    <w:p w14:paraId="5E57079D">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商务技术偏离表；</w:t>
      </w:r>
    </w:p>
    <w:p w14:paraId="4BA4B942">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政府采购供应商廉洁自律承诺书。</w:t>
      </w:r>
    </w:p>
    <w:p w14:paraId="5DBE258F">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2.3报价文件</w:t>
      </w:r>
    </w:p>
    <w:p w14:paraId="0FC12583">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2.3.1开标一览表（报价表）；</w:t>
      </w:r>
    </w:p>
    <w:p w14:paraId="6299C3B0">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2.3.2中小企业声明函（如果有）；</w:t>
      </w:r>
    </w:p>
    <w:p w14:paraId="0D2E853E">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2.3.3关于符合本国产品标准的声明函（如果有）；</w:t>
      </w:r>
    </w:p>
    <w:p w14:paraId="26821227">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2.3.4</w:t>
      </w:r>
      <w:r>
        <w:rPr>
          <w:rFonts w:hint="eastAsia" w:ascii="仿宋_GB2312" w:eastAsia="仿宋_GB2312"/>
          <w:color w:val="auto"/>
          <w:sz w:val="24"/>
          <w:szCs w:val="24"/>
          <w:highlight w:val="none"/>
          <w:lang w:eastAsia="zh-CN"/>
        </w:rPr>
        <w:t>书面说明及必要的证明材料，对投标价格作出解释。（如果报价低于项目最高限价</w:t>
      </w:r>
      <w:r>
        <w:rPr>
          <w:rFonts w:hint="eastAsia" w:ascii="仿宋_GB2312" w:eastAsia="仿宋_GB2312"/>
          <w:color w:val="auto"/>
          <w:sz w:val="24"/>
          <w:szCs w:val="24"/>
          <w:highlight w:val="none"/>
          <w:lang w:val="en-US" w:eastAsia="zh-CN"/>
        </w:rPr>
        <w:t>4</w:t>
      </w:r>
      <w:r>
        <w:rPr>
          <w:rFonts w:hint="eastAsia" w:ascii="仿宋_GB2312" w:eastAsia="仿宋_GB2312"/>
          <w:color w:val="auto"/>
          <w:sz w:val="24"/>
          <w:szCs w:val="24"/>
          <w:highlight w:val="none"/>
          <w:lang w:eastAsia="zh-CN"/>
        </w:rPr>
        <w:t>5%的）</w:t>
      </w:r>
      <w:r>
        <w:rPr>
          <w:rFonts w:hint="eastAsia" w:ascii="仿宋_GB2312" w:hAnsi="仿宋_GB2312" w:eastAsia="仿宋_GB2312" w:cs="仿宋_GB2312"/>
          <w:color w:val="auto"/>
          <w:sz w:val="24"/>
          <w:szCs w:val="24"/>
          <w:highlight w:val="none"/>
        </w:rPr>
        <w:t>。</w:t>
      </w:r>
    </w:p>
    <w:p w14:paraId="3A76C53E">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3.我方承诺除商务技术偏离表（如果有）列出的偏离外，我方响应招标文件的全部要求。</w:t>
      </w:r>
    </w:p>
    <w:p w14:paraId="7D7980B0">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4.如我方中标，我方承诺：</w:t>
      </w:r>
    </w:p>
    <w:p w14:paraId="3F835DD4">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4.1在收到中标通知书后，在中标通知书规定的期限内与你方签订合同；</w:t>
      </w:r>
    </w:p>
    <w:p w14:paraId="2A8AE447">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4.2在签订合同时不向你方提出附加条件；</w:t>
      </w:r>
    </w:p>
    <w:p w14:paraId="06D9A0BE">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4.3按照招标文件要求提交履约保证金；</w:t>
      </w:r>
    </w:p>
    <w:p w14:paraId="0987425E">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4.4在合同约定的期限内完成合同规定的全部义务。</w:t>
      </w:r>
    </w:p>
    <w:p w14:paraId="0067A4B3">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5.其他补充说明:。</w:t>
      </w:r>
    </w:p>
    <w:p w14:paraId="34FAE231">
      <w:pPr>
        <w:spacing w:line="540" w:lineRule="exact"/>
        <w:contextualSpacing/>
        <w:rPr>
          <w:rFonts w:hint="eastAsia" w:ascii="仿宋_GB2312" w:hAnsi="仿宋_GB2312" w:eastAsia="仿宋_GB2312" w:cs="仿宋_GB2312"/>
          <w:color w:val="auto"/>
          <w:sz w:val="24"/>
          <w:szCs w:val="24"/>
          <w:highlight w:val="none"/>
        </w:rPr>
      </w:pPr>
    </w:p>
    <w:p w14:paraId="24927F1A">
      <w:pPr>
        <w:spacing w:line="540" w:lineRule="exact"/>
        <w:contextualSpacing/>
        <w:rPr>
          <w:rFonts w:hint="eastAsia" w:ascii="仿宋_GB2312" w:hAnsi="仿宋_GB2312" w:eastAsia="仿宋_GB2312" w:cs="仿宋_GB2312"/>
          <w:color w:val="auto"/>
          <w:sz w:val="24"/>
          <w:szCs w:val="24"/>
          <w:highlight w:val="none"/>
        </w:rPr>
      </w:pPr>
    </w:p>
    <w:p w14:paraId="4D9AFECD">
      <w:pPr>
        <w:spacing w:line="540" w:lineRule="exact"/>
        <w:contextualSpacing/>
        <w:rPr>
          <w:rFonts w:hint="eastAsia" w:ascii="仿宋_GB2312" w:hAnsi="仿宋_GB2312" w:eastAsia="仿宋_GB2312" w:cs="仿宋_GB2312"/>
          <w:color w:val="auto"/>
          <w:sz w:val="24"/>
          <w:szCs w:val="24"/>
          <w:highlight w:val="none"/>
        </w:rPr>
      </w:pPr>
    </w:p>
    <w:p w14:paraId="659D1D7D">
      <w:pPr>
        <w:spacing w:line="540" w:lineRule="exact"/>
        <w:contextualSpacing/>
        <w:rPr>
          <w:rFonts w:hint="eastAsia" w:ascii="仿宋_GB2312" w:hAnsi="仿宋_GB2312" w:eastAsia="仿宋_GB2312" w:cs="仿宋_GB2312"/>
          <w:color w:val="auto"/>
          <w:sz w:val="24"/>
          <w:szCs w:val="24"/>
          <w:highlight w:val="none"/>
        </w:rPr>
      </w:pPr>
    </w:p>
    <w:p w14:paraId="50A7B117">
      <w:pPr>
        <w:spacing w:line="540" w:lineRule="exact"/>
        <w:contextualSpacing/>
        <w:rPr>
          <w:rFonts w:hint="eastAsia" w:ascii="仿宋_GB2312" w:hAnsi="仿宋_GB2312" w:eastAsia="仿宋_GB2312" w:cs="仿宋_GB2312"/>
          <w:color w:val="auto"/>
          <w:sz w:val="24"/>
          <w:szCs w:val="24"/>
          <w:highlight w:val="none"/>
        </w:rPr>
      </w:pPr>
    </w:p>
    <w:p w14:paraId="19B37639">
      <w:pPr>
        <w:spacing w:line="540" w:lineRule="exact"/>
        <w:contextualSpacing/>
        <w:rPr>
          <w:rFonts w:hint="eastAsia" w:ascii="仿宋_GB2312" w:hAnsi="仿宋_GB2312" w:eastAsia="仿宋_GB2312" w:cs="仿宋_GB2312"/>
          <w:color w:val="auto"/>
          <w:sz w:val="24"/>
          <w:szCs w:val="24"/>
          <w:highlight w:val="none"/>
        </w:rPr>
      </w:pPr>
    </w:p>
    <w:p w14:paraId="1513155A">
      <w:pPr>
        <w:spacing w:line="540" w:lineRule="exact"/>
        <w:ind w:firstLine="3840" w:firstLineChars="16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投标人名称（电子签名）：</w:t>
      </w:r>
    </w:p>
    <w:p w14:paraId="24AA29B1">
      <w:pPr>
        <w:spacing w:line="540" w:lineRule="exact"/>
        <w:ind w:firstLine="3840" w:firstLineChars="16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日期：年月日</w:t>
      </w:r>
    </w:p>
    <w:p w14:paraId="6D9867FE">
      <w:pPr>
        <w:spacing w:line="540" w:lineRule="exact"/>
        <w:contextualSpacing/>
        <w:rPr>
          <w:rFonts w:hint="eastAsia" w:ascii="仿宋_GB2312" w:hAnsi="仿宋_GB2312" w:eastAsia="仿宋_GB2312" w:cs="仿宋_GB2312"/>
          <w:color w:val="auto"/>
          <w:sz w:val="24"/>
          <w:szCs w:val="24"/>
          <w:highlight w:val="none"/>
        </w:rPr>
      </w:pPr>
    </w:p>
    <w:p w14:paraId="39C98D84">
      <w:pPr>
        <w:spacing w:line="540" w:lineRule="exact"/>
        <w:contextualSpacing/>
        <w:rPr>
          <w:rFonts w:hint="eastAsia" w:ascii="仿宋_GB2312" w:hAnsi="仿宋_GB2312" w:eastAsia="仿宋_GB2312" w:cs="仿宋_GB2312"/>
          <w:color w:val="auto"/>
          <w:sz w:val="24"/>
          <w:szCs w:val="24"/>
          <w:highlight w:val="none"/>
        </w:rPr>
      </w:pPr>
    </w:p>
    <w:p w14:paraId="2401E82A">
      <w:pPr>
        <w:spacing w:line="540" w:lineRule="exact"/>
        <w:contextualSpacing/>
        <w:rPr>
          <w:rFonts w:hint="eastAsia" w:ascii="仿宋_GB2312" w:hAnsi="仿宋_GB2312" w:eastAsia="仿宋_GB2312" w:cs="仿宋_GB2312"/>
          <w:color w:val="auto"/>
          <w:sz w:val="24"/>
          <w:szCs w:val="24"/>
          <w:highlight w:val="none"/>
        </w:rPr>
      </w:pPr>
    </w:p>
    <w:p w14:paraId="36C4F2A9">
      <w:pPr>
        <w:spacing w:line="540" w:lineRule="exact"/>
        <w:contextualSpacing/>
        <w:rPr>
          <w:rFonts w:hint="eastAsia" w:ascii="仿宋_GB2312" w:hAnsi="仿宋_GB2312" w:eastAsia="仿宋_GB2312" w:cs="仿宋_GB2312"/>
          <w:color w:val="auto"/>
          <w:sz w:val="24"/>
          <w:szCs w:val="24"/>
          <w:highlight w:val="none"/>
        </w:rPr>
      </w:pPr>
    </w:p>
    <w:p w14:paraId="56E731BE">
      <w:pPr>
        <w:spacing w:line="540" w:lineRule="exact"/>
        <w:contextualSpacing/>
        <w:rPr>
          <w:rFonts w:hint="eastAsia" w:ascii="仿宋_GB2312" w:hAnsi="仿宋_GB2312" w:eastAsia="仿宋_GB2312" w:cs="仿宋_GB2312"/>
          <w:color w:val="auto"/>
          <w:sz w:val="24"/>
          <w:szCs w:val="24"/>
          <w:highlight w:val="none"/>
        </w:rPr>
      </w:pPr>
    </w:p>
    <w:p w14:paraId="7C8B35E8">
      <w:pPr>
        <w:spacing w:line="540" w:lineRule="exact"/>
        <w:contextualSpacing/>
        <w:rPr>
          <w:rFonts w:hint="eastAsia" w:ascii="仿宋_GB2312" w:hAnsi="仿宋_GB2312" w:eastAsia="仿宋_GB2312" w:cs="仿宋_GB2312"/>
          <w:color w:val="auto"/>
          <w:sz w:val="24"/>
          <w:szCs w:val="24"/>
          <w:highlight w:val="none"/>
        </w:rPr>
      </w:pPr>
    </w:p>
    <w:p w14:paraId="6FF35E7D">
      <w:pPr>
        <w:pStyle w:val="12"/>
        <w:rPr>
          <w:rFonts w:hint="eastAsia" w:ascii="仿宋_GB2312" w:hAnsi="仿宋_GB2312" w:eastAsia="仿宋_GB2312" w:cs="仿宋_GB2312"/>
          <w:color w:val="auto"/>
          <w:highlight w:val="none"/>
        </w:rPr>
      </w:pPr>
    </w:p>
    <w:p w14:paraId="1E6CB4CC">
      <w:pPr>
        <w:widowControl/>
        <w:spacing w:line="56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eastAsia="zh-CN"/>
        </w:rPr>
        <w:t>二</w:t>
      </w:r>
      <w:r>
        <w:rPr>
          <w:rFonts w:hint="eastAsia" w:ascii="仿宋_GB2312" w:hAnsi="仿宋_GB2312" w:eastAsia="仿宋_GB2312" w:cs="仿宋_GB2312"/>
          <w:b/>
          <w:color w:val="auto"/>
          <w:sz w:val="28"/>
          <w:szCs w:val="28"/>
          <w:highlight w:val="none"/>
        </w:rPr>
        <w:t>、联合协议（如果有）</w:t>
      </w:r>
    </w:p>
    <w:p w14:paraId="64E17D3B">
      <w:pPr>
        <w:widowControl/>
        <w:spacing w:line="560" w:lineRule="exact"/>
        <w:ind w:firstLine="562" w:firstLineChars="200"/>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[以联合体形式投标的，提供联合协议（附件6）；本项目不接受联合体投标或者投标人不以联合体形式投标的，则不需要提供）]</w:t>
      </w:r>
    </w:p>
    <w:p w14:paraId="22A220E6">
      <w:pPr>
        <w:pStyle w:val="12"/>
        <w:rPr>
          <w:rFonts w:hint="eastAsia" w:ascii="仿宋_GB2312" w:hAnsi="仿宋_GB2312" w:eastAsia="仿宋_GB2312" w:cs="仿宋_GB2312"/>
          <w:color w:val="auto"/>
          <w:highlight w:val="none"/>
        </w:rPr>
      </w:pPr>
    </w:p>
    <w:p w14:paraId="7AF582F0">
      <w:pPr>
        <w:rPr>
          <w:rFonts w:hint="eastAsia"/>
        </w:rPr>
      </w:pPr>
    </w:p>
    <w:p w14:paraId="3EFBD5B8">
      <w:pPr>
        <w:snapToGrid w:val="0"/>
        <w:spacing w:line="360" w:lineRule="auto"/>
        <w:jc w:val="center"/>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lang w:eastAsia="zh-CN"/>
        </w:rPr>
        <w:t>三</w:t>
      </w:r>
      <w:r>
        <w:rPr>
          <w:rFonts w:hint="eastAsia" w:ascii="仿宋_GB2312" w:hAnsi="仿宋_GB2312" w:eastAsia="仿宋_GB2312" w:cs="仿宋_GB2312"/>
          <w:b/>
          <w:color w:val="auto"/>
          <w:kern w:val="0"/>
          <w:sz w:val="28"/>
          <w:szCs w:val="28"/>
          <w:highlight w:val="none"/>
        </w:rPr>
        <w:t>、分包意向协议（如果有）</w:t>
      </w:r>
    </w:p>
    <w:p w14:paraId="0A8876F4">
      <w:pPr>
        <w:widowControl/>
        <w:spacing w:line="360" w:lineRule="auto"/>
        <w:jc w:val="lef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
          <w:color w:val="auto"/>
          <w:sz w:val="28"/>
          <w:szCs w:val="28"/>
          <w:highlight w:val="none"/>
        </w:rPr>
        <w:t>中标后以分包方式履行合同的，提供分包意向协议(附件7)；采购人不同意分包或者投标人中标后不以分包方式履行合同的，则不需要提供。</w:t>
      </w:r>
      <w:r>
        <w:rPr>
          <w:rFonts w:hint="eastAsia" w:ascii="仿宋_GB2312" w:hAnsi="仿宋_GB2312" w:eastAsia="仿宋_GB2312" w:cs="仿宋_GB2312"/>
          <w:color w:val="auto"/>
          <w:sz w:val="28"/>
          <w:szCs w:val="28"/>
          <w:highlight w:val="none"/>
        </w:rPr>
        <w:t>]</w:t>
      </w:r>
    </w:p>
    <w:p w14:paraId="62297BE7">
      <w:pPr>
        <w:pStyle w:val="2"/>
        <w:rPr>
          <w:rFonts w:hint="eastAsia" w:ascii="仿宋_GB2312" w:hAnsi="仿宋_GB2312" w:eastAsia="仿宋_GB2312" w:cs="仿宋_GB2312"/>
          <w:color w:val="auto"/>
          <w:highlight w:val="none"/>
        </w:rPr>
      </w:pPr>
    </w:p>
    <w:p w14:paraId="31AB332A">
      <w:pPr>
        <w:spacing w:line="540" w:lineRule="exact"/>
        <w:contextualSpacing/>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eastAsia="zh-CN"/>
        </w:rPr>
        <w:t>四</w:t>
      </w:r>
      <w:r>
        <w:rPr>
          <w:rFonts w:hint="eastAsia" w:ascii="仿宋_GB2312" w:hAnsi="仿宋_GB2312" w:eastAsia="仿宋_GB2312" w:cs="仿宋_GB2312"/>
          <w:b/>
          <w:color w:val="auto"/>
          <w:sz w:val="28"/>
          <w:szCs w:val="28"/>
          <w:highlight w:val="none"/>
        </w:rPr>
        <w:t>、符合性审查资料</w:t>
      </w:r>
    </w:p>
    <w:tbl>
      <w:tblPr>
        <w:tblStyle w:val="2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3E159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14:paraId="060C9A3E">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4991" w:type="dxa"/>
            <w:noWrap w:val="0"/>
            <w:vAlign w:val="center"/>
          </w:tcPr>
          <w:p w14:paraId="5A19AEA5">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实质性要求</w:t>
            </w:r>
          </w:p>
        </w:tc>
        <w:tc>
          <w:tcPr>
            <w:tcW w:w="2551" w:type="dxa"/>
            <w:noWrap w:val="0"/>
            <w:vAlign w:val="center"/>
          </w:tcPr>
          <w:p w14:paraId="27079880">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需要提供的符合性审查资料</w:t>
            </w:r>
          </w:p>
        </w:tc>
        <w:tc>
          <w:tcPr>
            <w:tcW w:w="1418" w:type="dxa"/>
            <w:noWrap w:val="0"/>
            <w:vAlign w:val="center"/>
          </w:tcPr>
          <w:p w14:paraId="62E9A732">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投标文件中的页码位置</w:t>
            </w:r>
          </w:p>
        </w:tc>
      </w:tr>
      <w:tr w14:paraId="4CD3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noWrap w:val="0"/>
            <w:vAlign w:val="center"/>
          </w:tcPr>
          <w:p w14:paraId="625BCCEC">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4991" w:type="dxa"/>
            <w:noWrap w:val="0"/>
            <w:vAlign w:val="center"/>
          </w:tcPr>
          <w:p w14:paraId="30274A05">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投标文件按照招标文件要求签署、盖章。</w:t>
            </w:r>
          </w:p>
        </w:tc>
        <w:tc>
          <w:tcPr>
            <w:tcW w:w="2551" w:type="dxa"/>
            <w:noWrap w:val="0"/>
            <w:vAlign w:val="center"/>
          </w:tcPr>
          <w:p w14:paraId="3CB24003">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需要使用电子签名或者签字盖章的投标文件的组成部分</w:t>
            </w:r>
          </w:p>
        </w:tc>
        <w:tc>
          <w:tcPr>
            <w:tcW w:w="1418" w:type="dxa"/>
            <w:noWrap w:val="0"/>
            <w:vAlign w:val="center"/>
          </w:tcPr>
          <w:p w14:paraId="7590E160">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见投标文件</w:t>
            </w:r>
          </w:p>
          <w:p w14:paraId="13E023AB">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第页</w:t>
            </w:r>
          </w:p>
        </w:tc>
      </w:tr>
      <w:tr w14:paraId="7299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noWrap w:val="0"/>
            <w:vAlign w:val="center"/>
          </w:tcPr>
          <w:p w14:paraId="55C4111C">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4991" w:type="dxa"/>
            <w:noWrap w:val="0"/>
            <w:vAlign w:val="center"/>
          </w:tcPr>
          <w:p w14:paraId="48D5A7B4">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采购人拟采购的产品属于政府强制采购的节能产品品目清单范围的，投标人按招标文件要求提供国家确定的认证机构出具的、处于有效期之内的节能产品认证证书。</w:t>
            </w:r>
          </w:p>
        </w:tc>
        <w:tc>
          <w:tcPr>
            <w:tcW w:w="2551" w:type="dxa"/>
            <w:noWrap w:val="0"/>
            <w:vAlign w:val="center"/>
          </w:tcPr>
          <w:p w14:paraId="09D38409">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节能产品认证证书（本项目拟采购的产品不属于政府强制采购的节能产品品目清单范围的，无需提供）</w:t>
            </w:r>
          </w:p>
        </w:tc>
        <w:tc>
          <w:tcPr>
            <w:tcW w:w="1418" w:type="dxa"/>
            <w:noWrap w:val="0"/>
            <w:vAlign w:val="center"/>
          </w:tcPr>
          <w:p w14:paraId="27B59E58">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见投标文件</w:t>
            </w:r>
          </w:p>
          <w:p w14:paraId="792FF0AD">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第页</w:t>
            </w:r>
          </w:p>
        </w:tc>
      </w:tr>
      <w:tr w14:paraId="1DC1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noWrap w:val="0"/>
            <w:vAlign w:val="center"/>
          </w:tcPr>
          <w:p w14:paraId="683B494F">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4991" w:type="dxa"/>
            <w:noWrap w:val="0"/>
            <w:vAlign w:val="center"/>
          </w:tcPr>
          <w:p w14:paraId="1AB661DD">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投标文件中承诺的投标有效期不少于招标文件中载明的投标有效期。</w:t>
            </w:r>
          </w:p>
        </w:tc>
        <w:tc>
          <w:tcPr>
            <w:tcW w:w="2551" w:type="dxa"/>
            <w:noWrap w:val="0"/>
            <w:vAlign w:val="center"/>
          </w:tcPr>
          <w:p w14:paraId="08132A09">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投标函</w:t>
            </w:r>
          </w:p>
        </w:tc>
        <w:tc>
          <w:tcPr>
            <w:tcW w:w="1418" w:type="dxa"/>
            <w:noWrap w:val="0"/>
            <w:vAlign w:val="center"/>
          </w:tcPr>
          <w:p w14:paraId="4BFB7AC3">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见投标文件第页</w:t>
            </w:r>
          </w:p>
        </w:tc>
      </w:tr>
      <w:tr w14:paraId="440CC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noWrap w:val="0"/>
            <w:vAlign w:val="center"/>
          </w:tcPr>
          <w:p w14:paraId="06D60F8D">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4991" w:type="dxa"/>
            <w:noWrap w:val="0"/>
            <w:vAlign w:val="center"/>
          </w:tcPr>
          <w:p w14:paraId="3F7521F7">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投标文件满足招标文件的其它实质性要求。</w:t>
            </w:r>
          </w:p>
        </w:tc>
        <w:tc>
          <w:tcPr>
            <w:tcW w:w="2551" w:type="dxa"/>
            <w:noWrap w:val="0"/>
            <w:vAlign w:val="center"/>
          </w:tcPr>
          <w:p w14:paraId="1B2964DC">
            <w:p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招标文件其它实质性要求相应的材料（“▲”系指实质性要求条款，招标文件无其它实质性要求的，无需提供）</w:t>
            </w:r>
          </w:p>
        </w:tc>
        <w:tc>
          <w:tcPr>
            <w:tcW w:w="1418" w:type="dxa"/>
            <w:noWrap w:val="0"/>
            <w:vAlign w:val="center"/>
          </w:tcPr>
          <w:p w14:paraId="09DDA2EF">
            <w:pPr>
              <w:spacing w:line="40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见投标文件第页</w:t>
            </w:r>
          </w:p>
        </w:tc>
      </w:tr>
    </w:tbl>
    <w:p w14:paraId="6B2BC39D">
      <w:pPr>
        <w:spacing w:line="540" w:lineRule="exact"/>
        <w:ind w:firstLine="4440" w:firstLineChars="1850"/>
        <w:contextualSpacing/>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投标人名称(电子签名)：</w:t>
      </w:r>
    </w:p>
    <w:p w14:paraId="6A713A0C">
      <w:pPr>
        <w:spacing w:line="540" w:lineRule="exact"/>
        <w:ind w:firstLine="4440" w:firstLineChars="1850"/>
        <w:contextualSpacing/>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w:t>
      </w:r>
    </w:p>
    <w:p w14:paraId="450EDBA1">
      <w:pPr>
        <w:spacing w:line="540" w:lineRule="exact"/>
        <w:contextualSpacing/>
        <w:rPr>
          <w:rFonts w:hint="eastAsia" w:ascii="仿宋_GB2312" w:hAnsi="仿宋_GB2312" w:eastAsia="仿宋_GB2312" w:cs="仿宋_GB2312"/>
          <w:color w:val="auto"/>
          <w:sz w:val="24"/>
          <w:szCs w:val="24"/>
          <w:highlight w:val="none"/>
        </w:rPr>
      </w:pPr>
    </w:p>
    <w:p w14:paraId="3C67C72B">
      <w:pPr>
        <w:spacing w:line="540" w:lineRule="exact"/>
        <w:contextualSpacing/>
        <w:jc w:val="center"/>
        <w:rPr>
          <w:rFonts w:hint="eastAsia" w:ascii="仿宋_GB2312" w:hAnsi="仿宋_GB2312" w:eastAsia="仿宋_GB2312" w:cs="仿宋_GB2312"/>
          <w:b/>
          <w:color w:val="auto"/>
          <w:sz w:val="28"/>
          <w:szCs w:val="28"/>
          <w:highlight w:val="none"/>
          <w:lang w:eastAsia="zh-CN"/>
        </w:rPr>
      </w:pPr>
    </w:p>
    <w:p w14:paraId="48524491">
      <w:pPr>
        <w:spacing w:line="540" w:lineRule="exact"/>
        <w:contextualSpacing/>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eastAsia="zh-CN"/>
        </w:rPr>
        <w:t>五</w:t>
      </w:r>
      <w:r>
        <w:rPr>
          <w:rFonts w:hint="eastAsia" w:ascii="仿宋_GB2312" w:hAnsi="仿宋_GB2312" w:eastAsia="仿宋_GB2312" w:cs="仿宋_GB2312"/>
          <w:b/>
          <w:color w:val="auto"/>
          <w:sz w:val="28"/>
          <w:szCs w:val="28"/>
          <w:highlight w:val="none"/>
        </w:rPr>
        <w:t>、拟投入的项目班子格式（如果有）</w:t>
      </w:r>
    </w:p>
    <w:p w14:paraId="12DFA870">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（格式仅供参考）</w:t>
      </w:r>
    </w:p>
    <w:p w14:paraId="7D27A645">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项目负责人简历表</w:t>
      </w:r>
    </w:p>
    <w:tbl>
      <w:tblPr>
        <w:tblStyle w:val="27"/>
        <w:tblW w:w="9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709"/>
        <w:gridCol w:w="456"/>
        <w:gridCol w:w="1155"/>
        <w:gridCol w:w="686"/>
        <w:gridCol w:w="469"/>
        <w:gridCol w:w="1232"/>
        <w:gridCol w:w="1513"/>
        <w:gridCol w:w="1800"/>
      </w:tblGrid>
      <w:tr w14:paraId="3D5C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noWrap w:val="0"/>
            <w:vAlign w:val="center"/>
          </w:tcPr>
          <w:p w14:paraId="1A2EEE5E">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姓名</w:t>
            </w:r>
          </w:p>
        </w:tc>
        <w:tc>
          <w:tcPr>
            <w:tcW w:w="1165" w:type="dxa"/>
            <w:gridSpan w:val="2"/>
            <w:noWrap w:val="0"/>
            <w:vAlign w:val="center"/>
          </w:tcPr>
          <w:p w14:paraId="616E8A98">
            <w:pPr>
              <w:spacing w:line="540" w:lineRule="exact"/>
              <w:contextualSpacing/>
              <w:rPr>
                <w:rFonts w:hint="eastAsia" w:ascii="仿宋_GB2312" w:hAnsi="仿宋_GB2312" w:eastAsia="仿宋_GB2312" w:cs="仿宋_GB2312"/>
                <w:color w:val="auto"/>
                <w:sz w:val="24"/>
                <w:szCs w:val="24"/>
                <w:highlight w:val="none"/>
              </w:rPr>
            </w:pPr>
          </w:p>
        </w:tc>
        <w:tc>
          <w:tcPr>
            <w:tcW w:w="1155" w:type="dxa"/>
            <w:noWrap w:val="0"/>
            <w:vAlign w:val="center"/>
          </w:tcPr>
          <w:p w14:paraId="66B2D151">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年龄</w:t>
            </w:r>
          </w:p>
        </w:tc>
        <w:tc>
          <w:tcPr>
            <w:tcW w:w="1155" w:type="dxa"/>
            <w:gridSpan w:val="2"/>
            <w:noWrap w:val="0"/>
            <w:vAlign w:val="center"/>
          </w:tcPr>
          <w:p w14:paraId="513C060F">
            <w:pPr>
              <w:spacing w:line="540" w:lineRule="exact"/>
              <w:contextualSpacing/>
              <w:rPr>
                <w:rFonts w:hint="eastAsia" w:ascii="仿宋_GB2312" w:hAnsi="仿宋_GB2312" w:eastAsia="仿宋_GB2312" w:cs="仿宋_GB2312"/>
                <w:color w:val="auto"/>
                <w:sz w:val="24"/>
                <w:szCs w:val="24"/>
                <w:highlight w:val="none"/>
              </w:rPr>
            </w:pPr>
          </w:p>
        </w:tc>
        <w:tc>
          <w:tcPr>
            <w:tcW w:w="2745" w:type="dxa"/>
            <w:gridSpan w:val="2"/>
            <w:noWrap w:val="0"/>
            <w:vAlign w:val="center"/>
          </w:tcPr>
          <w:p w14:paraId="0157EE0E">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学历</w:t>
            </w:r>
          </w:p>
        </w:tc>
        <w:tc>
          <w:tcPr>
            <w:tcW w:w="1800" w:type="dxa"/>
            <w:noWrap w:val="0"/>
            <w:vAlign w:val="center"/>
          </w:tcPr>
          <w:p w14:paraId="4FA15759">
            <w:pPr>
              <w:spacing w:line="540" w:lineRule="exact"/>
              <w:contextualSpacing/>
              <w:rPr>
                <w:rFonts w:hint="eastAsia" w:ascii="仿宋_GB2312" w:hAnsi="仿宋_GB2312" w:eastAsia="仿宋_GB2312" w:cs="仿宋_GB2312"/>
                <w:color w:val="auto"/>
                <w:sz w:val="24"/>
                <w:szCs w:val="24"/>
                <w:highlight w:val="none"/>
              </w:rPr>
            </w:pPr>
          </w:p>
        </w:tc>
      </w:tr>
      <w:tr w14:paraId="20546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noWrap w:val="0"/>
            <w:vAlign w:val="center"/>
          </w:tcPr>
          <w:p w14:paraId="15A2F0B8">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职称</w:t>
            </w:r>
          </w:p>
        </w:tc>
        <w:tc>
          <w:tcPr>
            <w:tcW w:w="1165" w:type="dxa"/>
            <w:gridSpan w:val="2"/>
            <w:noWrap w:val="0"/>
            <w:vAlign w:val="center"/>
          </w:tcPr>
          <w:p w14:paraId="53E44F51">
            <w:pPr>
              <w:spacing w:line="540" w:lineRule="exact"/>
              <w:contextualSpacing/>
              <w:rPr>
                <w:rFonts w:hint="eastAsia" w:ascii="仿宋_GB2312" w:hAnsi="仿宋_GB2312" w:eastAsia="仿宋_GB2312" w:cs="仿宋_GB2312"/>
                <w:color w:val="auto"/>
                <w:sz w:val="24"/>
                <w:szCs w:val="24"/>
                <w:highlight w:val="none"/>
              </w:rPr>
            </w:pPr>
          </w:p>
        </w:tc>
        <w:tc>
          <w:tcPr>
            <w:tcW w:w="1155" w:type="dxa"/>
            <w:noWrap w:val="0"/>
            <w:vAlign w:val="center"/>
          </w:tcPr>
          <w:p w14:paraId="53604388">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职务</w:t>
            </w:r>
          </w:p>
        </w:tc>
        <w:tc>
          <w:tcPr>
            <w:tcW w:w="1155" w:type="dxa"/>
            <w:gridSpan w:val="2"/>
            <w:noWrap w:val="0"/>
            <w:vAlign w:val="center"/>
          </w:tcPr>
          <w:p w14:paraId="7FFE2C76">
            <w:pPr>
              <w:spacing w:line="540" w:lineRule="exact"/>
              <w:contextualSpacing/>
              <w:rPr>
                <w:rFonts w:hint="eastAsia" w:ascii="仿宋_GB2312" w:hAnsi="仿宋_GB2312" w:eastAsia="仿宋_GB2312" w:cs="仿宋_GB2312"/>
                <w:color w:val="auto"/>
                <w:sz w:val="24"/>
                <w:szCs w:val="24"/>
                <w:highlight w:val="none"/>
              </w:rPr>
            </w:pPr>
          </w:p>
        </w:tc>
        <w:tc>
          <w:tcPr>
            <w:tcW w:w="2745" w:type="dxa"/>
            <w:gridSpan w:val="2"/>
            <w:noWrap w:val="0"/>
            <w:vAlign w:val="center"/>
          </w:tcPr>
          <w:p w14:paraId="1C467295">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拟在本项目任职</w:t>
            </w:r>
          </w:p>
        </w:tc>
        <w:tc>
          <w:tcPr>
            <w:tcW w:w="1800" w:type="dxa"/>
            <w:noWrap w:val="0"/>
            <w:vAlign w:val="center"/>
          </w:tcPr>
          <w:p w14:paraId="5E7CF96A">
            <w:pPr>
              <w:spacing w:line="540" w:lineRule="exact"/>
              <w:contextualSpacing/>
              <w:rPr>
                <w:rFonts w:hint="eastAsia" w:ascii="仿宋_GB2312" w:hAnsi="仿宋_GB2312" w:eastAsia="仿宋_GB2312" w:cs="仿宋_GB2312"/>
                <w:color w:val="auto"/>
                <w:sz w:val="24"/>
                <w:szCs w:val="24"/>
                <w:highlight w:val="none"/>
              </w:rPr>
            </w:pPr>
          </w:p>
        </w:tc>
      </w:tr>
      <w:tr w14:paraId="442D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noWrap w:val="0"/>
            <w:vAlign w:val="center"/>
          </w:tcPr>
          <w:p w14:paraId="1E21C524">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毕业院校</w:t>
            </w:r>
          </w:p>
        </w:tc>
        <w:tc>
          <w:tcPr>
            <w:tcW w:w="8020" w:type="dxa"/>
            <w:gridSpan w:val="8"/>
            <w:noWrap w:val="0"/>
            <w:vAlign w:val="center"/>
          </w:tcPr>
          <w:p w14:paraId="7DD4FD96">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年毕业于学校专业</w:t>
            </w:r>
          </w:p>
        </w:tc>
      </w:tr>
      <w:tr w14:paraId="1BA5A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24" w:type="dxa"/>
            <w:gridSpan w:val="9"/>
            <w:noWrap w:val="0"/>
            <w:vAlign w:val="center"/>
          </w:tcPr>
          <w:p w14:paraId="2513D381">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主要工作履历</w:t>
            </w:r>
          </w:p>
        </w:tc>
      </w:tr>
      <w:tr w14:paraId="27CF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3" w:type="dxa"/>
            <w:gridSpan w:val="2"/>
            <w:noWrap w:val="0"/>
            <w:vAlign w:val="center"/>
          </w:tcPr>
          <w:p w14:paraId="7CBE5CAE">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时间</w:t>
            </w:r>
          </w:p>
        </w:tc>
        <w:tc>
          <w:tcPr>
            <w:tcW w:w="2297" w:type="dxa"/>
            <w:gridSpan w:val="3"/>
            <w:noWrap w:val="0"/>
            <w:vAlign w:val="center"/>
          </w:tcPr>
          <w:p w14:paraId="4E26BB53">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参加过类似项目</w:t>
            </w:r>
          </w:p>
        </w:tc>
        <w:tc>
          <w:tcPr>
            <w:tcW w:w="1701" w:type="dxa"/>
            <w:gridSpan w:val="2"/>
            <w:noWrap w:val="0"/>
            <w:vAlign w:val="center"/>
          </w:tcPr>
          <w:p w14:paraId="103CF4CD">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担任职务</w:t>
            </w:r>
          </w:p>
        </w:tc>
        <w:tc>
          <w:tcPr>
            <w:tcW w:w="3313" w:type="dxa"/>
            <w:gridSpan w:val="2"/>
            <w:noWrap w:val="0"/>
            <w:vAlign w:val="center"/>
          </w:tcPr>
          <w:p w14:paraId="309A65C9">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业主及联系电话</w:t>
            </w:r>
          </w:p>
        </w:tc>
      </w:tr>
      <w:tr w14:paraId="09F5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3" w:type="dxa"/>
            <w:gridSpan w:val="2"/>
            <w:noWrap w:val="0"/>
            <w:vAlign w:val="center"/>
          </w:tcPr>
          <w:p w14:paraId="764BAD4A">
            <w:pPr>
              <w:spacing w:line="540" w:lineRule="exact"/>
              <w:contextualSpacing/>
              <w:rPr>
                <w:rFonts w:hint="eastAsia" w:ascii="仿宋_GB2312" w:hAnsi="仿宋_GB2312" w:eastAsia="仿宋_GB2312" w:cs="仿宋_GB2312"/>
                <w:color w:val="auto"/>
                <w:sz w:val="24"/>
                <w:szCs w:val="24"/>
                <w:highlight w:val="none"/>
              </w:rPr>
            </w:pPr>
          </w:p>
        </w:tc>
        <w:tc>
          <w:tcPr>
            <w:tcW w:w="2297" w:type="dxa"/>
            <w:gridSpan w:val="3"/>
            <w:noWrap w:val="0"/>
            <w:vAlign w:val="center"/>
          </w:tcPr>
          <w:p w14:paraId="4FF3FC14">
            <w:pPr>
              <w:spacing w:line="540" w:lineRule="exact"/>
              <w:contextualSpacing/>
              <w:rPr>
                <w:rFonts w:hint="eastAsia" w:ascii="仿宋_GB2312" w:hAnsi="仿宋_GB2312" w:eastAsia="仿宋_GB2312" w:cs="仿宋_GB2312"/>
                <w:color w:val="auto"/>
                <w:sz w:val="24"/>
                <w:szCs w:val="24"/>
                <w:highlight w:val="none"/>
              </w:rPr>
            </w:pPr>
          </w:p>
        </w:tc>
        <w:tc>
          <w:tcPr>
            <w:tcW w:w="1701" w:type="dxa"/>
            <w:gridSpan w:val="2"/>
            <w:noWrap w:val="0"/>
            <w:vAlign w:val="center"/>
          </w:tcPr>
          <w:p w14:paraId="381D1BF9">
            <w:pPr>
              <w:spacing w:line="540" w:lineRule="exact"/>
              <w:contextualSpacing/>
              <w:rPr>
                <w:rFonts w:hint="eastAsia" w:ascii="仿宋_GB2312" w:hAnsi="仿宋_GB2312" w:eastAsia="仿宋_GB2312" w:cs="仿宋_GB2312"/>
                <w:color w:val="auto"/>
                <w:sz w:val="24"/>
                <w:szCs w:val="24"/>
                <w:highlight w:val="none"/>
              </w:rPr>
            </w:pPr>
          </w:p>
        </w:tc>
        <w:tc>
          <w:tcPr>
            <w:tcW w:w="3313" w:type="dxa"/>
            <w:gridSpan w:val="2"/>
            <w:noWrap w:val="0"/>
            <w:vAlign w:val="center"/>
          </w:tcPr>
          <w:p w14:paraId="2F38897F">
            <w:pPr>
              <w:spacing w:line="540" w:lineRule="exact"/>
              <w:contextualSpacing/>
              <w:rPr>
                <w:rFonts w:hint="eastAsia" w:ascii="仿宋_GB2312" w:hAnsi="仿宋_GB2312" w:eastAsia="仿宋_GB2312" w:cs="仿宋_GB2312"/>
                <w:color w:val="auto"/>
                <w:sz w:val="24"/>
                <w:szCs w:val="24"/>
                <w:highlight w:val="none"/>
              </w:rPr>
            </w:pPr>
          </w:p>
        </w:tc>
      </w:tr>
      <w:tr w14:paraId="1D2E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3" w:type="dxa"/>
            <w:gridSpan w:val="2"/>
            <w:noWrap w:val="0"/>
            <w:vAlign w:val="center"/>
          </w:tcPr>
          <w:p w14:paraId="245AAD86">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p>
        </w:tc>
        <w:tc>
          <w:tcPr>
            <w:tcW w:w="2297" w:type="dxa"/>
            <w:gridSpan w:val="3"/>
            <w:noWrap w:val="0"/>
            <w:vAlign w:val="center"/>
          </w:tcPr>
          <w:p w14:paraId="3BD2165C">
            <w:pPr>
              <w:spacing w:line="540" w:lineRule="exact"/>
              <w:contextualSpacing/>
              <w:rPr>
                <w:rFonts w:hint="eastAsia" w:ascii="仿宋_GB2312" w:hAnsi="仿宋_GB2312" w:eastAsia="仿宋_GB2312" w:cs="仿宋_GB2312"/>
                <w:color w:val="auto"/>
                <w:sz w:val="24"/>
                <w:szCs w:val="24"/>
                <w:highlight w:val="none"/>
              </w:rPr>
            </w:pPr>
          </w:p>
        </w:tc>
        <w:tc>
          <w:tcPr>
            <w:tcW w:w="1701" w:type="dxa"/>
            <w:gridSpan w:val="2"/>
            <w:noWrap w:val="0"/>
            <w:vAlign w:val="center"/>
          </w:tcPr>
          <w:p w14:paraId="0D964221">
            <w:pPr>
              <w:spacing w:line="540" w:lineRule="exact"/>
              <w:contextualSpacing/>
              <w:rPr>
                <w:rFonts w:hint="eastAsia" w:ascii="仿宋_GB2312" w:hAnsi="仿宋_GB2312" w:eastAsia="仿宋_GB2312" w:cs="仿宋_GB2312"/>
                <w:color w:val="auto"/>
                <w:sz w:val="24"/>
                <w:szCs w:val="24"/>
                <w:highlight w:val="none"/>
              </w:rPr>
            </w:pPr>
          </w:p>
        </w:tc>
        <w:tc>
          <w:tcPr>
            <w:tcW w:w="3313" w:type="dxa"/>
            <w:gridSpan w:val="2"/>
            <w:noWrap w:val="0"/>
            <w:vAlign w:val="center"/>
          </w:tcPr>
          <w:p w14:paraId="5991993B">
            <w:pPr>
              <w:spacing w:line="540" w:lineRule="exact"/>
              <w:contextualSpacing/>
              <w:rPr>
                <w:rFonts w:hint="eastAsia" w:ascii="仿宋_GB2312" w:hAnsi="仿宋_GB2312" w:eastAsia="仿宋_GB2312" w:cs="仿宋_GB2312"/>
                <w:color w:val="auto"/>
                <w:sz w:val="24"/>
                <w:szCs w:val="24"/>
                <w:highlight w:val="none"/>
              </w:rPr>
            </w:pPr>
          </w:p>
        </w:tc>
      </w:tr>
    </w:tbl>
    <w:p w14:paraId="199FFB91">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附：执业资格证书、职称证书等证明材料</w:t>
      </w:r>
    </w:p>
    <w:p w14:paraId="142A5303">
      <w:pPr>
        <w:spacing w:line="540" w:lineRule="exact"/>
        <w:contextualSpacing/>
        <w:rPr>
          <w:rFonts w:hint="eastAsia" w:ascii="仿宋_GB2312" w:hAnsi="仿宋_GB2312" w:eastAsia="仿宋_GB2312" w:cs="仿宋_GB2312"/>
          <w:color w:val="auto"/>
          <w:sz w:val="24"/>
          <w:szCs w:val="24"/>
          <w:highlight w:val="none"/>
        </w:rPr>
      </w:pPr>
    </w:p>
    <w:p w14:paraId="1F4A5CBE">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项目班子一览表</w:t>
      </w:r>
    </w:p>
    <w:tbl>
      <w:tblPr>
        <w:tblStyle w:val="27"/>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418"/>
        <w:gridCol w:w="1984"/>
        <w:gridCol w:w="1843"/>
        <w:gridCol w:w="2755"/>
      </w:tblGrid>
      <w:tr w14:paraId="4063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noWrap w:val="0"/>
            <w:vAlign w:val="center"/>
          </w:tcPr>
          <w:p w14:paraId="1E4D87E2">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姓名</w:t>
            </w:r>
          </w:p>
        </w:tc>
        <w:tc>
          <w:tcPr>
            <w:tcW w:w="1418" w:type="dxa"/>
            <w:noWrap w:val="0"/>
            <w:vAlign w:val="center"/>
          </w:tcPr>
          <w:p w14:paraId="5429AD86">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职务</w:t>
            </w:r>
          </w:p>
        </w:tc>
        <w:tc>
          <w:tcPr>
            <w:tcW w:w="1984" w:type="dxa"/>
            <w:noWrap w:val="0"/>
            <w:vAlign w:val="center"/>
          </w:tcPr>
          <w:p w14:paraId="2DA5BDF7">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专业技术资格</w:t>
            </w:r>
          </w:p>
        </w:tc>
        <w:tc>
          <w:tcPr>
            <w:tcW w:w="1843" w:type="dxa"/>
            <w:noWrap w:val="0"/>
            <w:vAlign w:val="center"/>
          </w:tcPr>
          <w:p w14:paraId="794F022E">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证书编号</w:t>
            </w:r>
          </w:p>
        </w:tc>
        <w:tc>
          <w:tcPr>
            <w:tcW w:w="2755" w:type="dxa"/>
            <w:noWrap w:val="0"/>
            <w:vAlign w:val="center"/>
          </w:tcPr>
          <w:p w14:paraId="2C752F42">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实施经验说明</w:t>
            </w:r>
          </w:p>
        </w:tc>
      </w:tr>
      <w:tr w14:paraId="5CFA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noWrap w:val="0"/>
            <w:vAlign w:val="center"/>
          </w:tcPr>
          <w:p w14:paraId="31860AE6">
            <w:pPr>
              <w:spacing w:line="540" w:lineRule="exact"/>
              <w:contextualSpacing/>
              <w:rPr>
                <w:rFonts w:hint="eastAsia" w:ascii="仿宋_GB2312" w:hAnsi="仿宋_GB2312" w:eastAsia="仿宋_GB2312" w:cs="仿宋_GB2312"/>
                <w:color w:val="auto"/>
                <w:sz w:val="24"/>
                <w:szCs w:val="24"/>
                <w:highlight w:val="none"/>
              </w:rPr>
            </w:pPr>
          </w:p>
        </w:tc>
        <w:tc>
          <w:tcPr>
            <w:tcW w:w="1418" w:type="dxa"/>
            <w:noWrap w:val="0"/>
            <w:vAlign w:val="center"/>
          </w:tcPr>
          <w:p w14:paraId="240D6196">
            <w:pPr>
              <w:spacing w:line="540" w:lineRule="exact"/>
              <w:contextualSpacing/>
              <w:rPr>
                <w:rFonts w:hint="eastAsia" w:ascii="仿宋_GB2312" w:hAnsi="仿宋_GB2312" w:eastAsia="仿宋_GB2312" w:cs="仿宋_GB2312"/>
                <w:color w:val="auto"/>
                <w:sz w:val="24"/>
                <w:szCs w:val="24"/>
                <w:highlight w:val="none"/>
              </w:rPr>
            </w:pPr>
          </w:p>
        </w:tc>
        <w:tc>
          <w:tcPr>
            <w:tcW w:w="1984" w:type="dxa"/>
            <w:noWrap w:val="0"/>
            <w:vAlign w:val="center"/>
          </w:tcPr>
          <w:p w14:paraId="160BAE55">
            <w:pPr>
              <w:spacing w:line="540" w:lineRule="exact"/>
              <w:contextualSpacing/>
              <w:rPr>
                <w:rFonts w:hint="eastAsia" w:ascii="仿宋_GB2312" w:hAnsi="仿宋_GB2312" w:eastAsia="仿宋_GB2312" w:cs="仿宋_GB2312"/>
                <w:color w:val="auto"/>
                <w:sz w:val="24"/>
                <w:szCs w:val="24"/>
                <w:highlight w:val="none"/>
              </w:rPr>
            </w:pPr>
          </w:p>
        </w:tc>
        <w:tc>
          <w:tcPr>
            <w:tcW w:w="1843" w:type="dxa"/>
            <w:noWrap w:val="0"/>
            <w:vAlign w:val="center"/>
          </w:tcPr>
          <w:p w14:paraId="6E81032C">
            <w:pPr>
              <w:spacing w:line="540" w:lineRule="exact"/>
              <w:contextualSpacing/>
              <w:rPr>
                <w:rFonts w:hint="eastAsia" w:ascii="仿宋_GB2312" w:hAnsi="仿宋_GB2312" w:eastAsia="仿宋_GB2312" w:cs="仿宋_GB2312"/>
                <w:color w:val="auto"/>
                <w:sz w:val="24"/>
                <w:szCs w:val="24"/>
                <w:highlight w:val="none"/>
              </w:rPr>
            </w:pPr>
          </w:p>
        </w:tc>
        <w:tc>
          <w:tcPr>
            <w:tcW w:w="2755" w:type="dxa"/>
            <w:noWrap w:val="0"/>
            <w:vAlign w:val="center"/>
          </w:tcPr>
          <w:p w14:paraId="1169F142">
            <w:pPr>
              <w:spacing w:line="540" w:lineRule="exact"/>
              <w:contextualSpacing/>
              <w:rPr>
                <w:rFonts w:hint="eastAsia" w:ascii="仿宋_GB2312" w:hAnsi="仿宋_GB2312" w:eastAsia="仿宋_GB2312" w:cs="仿宋_GB2312"/>
                <w:color w:val="auto"/>
                <w:sz w:val="24"/>
                <w:szCs w:val="24"/>
                <w:highlight w:val="none"/>
              </w:rPr>
            </w:pPr>
          </w:p>
        </w:tc>
      </w:tr>
      <w:tr w14:paraId="78118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noWrap w:val="0"/>
            <w:vAlign w:val="center"/>
          </w:tcPr>
          <w:p w14:paraId="4DFF933D">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p>
        </w:tc>
        <w:tc>
          <w:tcPr>
            <w:tcW w:w="1418" w:type="dxa"/>
            <w:noWrap w:val="0"/>
            <w:vAlign w:val="center"/>
          </w:tcPr>
          <w:p w14:paraId="05CDA738">
            <w:pPr>
              <w:spacing w:line="540" w:lineRule="exact"/>
              <w:contextualSpacing/>
              <w:rPr>
                <w:rFonts w:hint="eastAsia" w:ascii="仿宋_GB2312" w:hAnsi="仿宋_GB2312" w:eastAsia="仿宋_GB2312" w:cs="仿宋_GB2312"/>
                <w:color w:val="auto"/>
                <w:sz w:val="24"/>
                <w:szCs w:val="24"/>
                <w:highlight w:val="none"/>
              </w:rPr>
            </w:pPr>
          </w:p>
        </w:tc>
        <w:tc>
          <w:tcPr>
            <w:tcW w:w="1984" w:type="dxa"/>
            <w:noWrap w:val="0"/>
            <w:vAlign w:val="center"/>
          </w:tcPr>
          <w:p w14:paraId="7C28F4D2">
            <w:pPr>
              <w:spacing w:line="540" w:lineRule="exact"/>
              <w:contextualSpacing/>
              <w:rPr>
                <w:rFonts w:hint="eastAsia" w:ascii="仿宋_GB2312" w:hAnsi="仿宋_GB2312" w:eastAsia="仿宋_GB2312" w:cs="仿宋_GB2312"/>
                <w:color w:val="auto"/>
                <w:sz w:val="24"/>
                <w:szCs w:val="24"/>
                <w:highlight w:val="none"/>
              </w:rPr>
            </w:pPr>
          </w:p>
        </w:tc>
        <w:tc>
          <w:tcPr>
            <w:tcW w:w="1843" w:type="dxa"/>
            <w:noWrap w:val="0"/>
            <w:vAlign w:val="center"/>
          </w:tcPr>
          <w:p w14:paraId="7746EAF1">
            <w:pPr>
              <w:spacing w:line="540" w:lineRule="exact"/>
              <w:contextualSpacing/>
              <w:rPr>
                <w:rFonts w:hint="eastAsia" w:ascii="仿宋_GB2312" w:hAnsi="仿宋_GB2312" w:eastAsia="仿宋_GB2312" w:cs="仿宋_GB2312"/>
                <w:color w:val="auto"/>
                <w:sz w:val="24"/>
                <w:szCs w:val="24"/>
                <w:highlight w:val="none"/>
              </w:rPr>
            </w:pPr>
          </w:p>
        </w:tc>
        <w:tc>
          <w:tcPr>
            <w:tcW w:w="2755" w:type="dxa"/>
            <w:noWrap w:val="0"/>
            <w:vAlign w:val="center"/>
          </w:tcPr>
          <w:p w14:paraId="48703F96">
            <w:pPr>
              <w:spacing w:line="540" w:lineRule="exact"/>
              <w:contextualSpacing/>
              <w:rPr>
                <w:rFonts w:hint="eastAsia" w:ascii="仿宋_GB2312" w:hAnsi="仿宋_GB2312" w:eastAsia="仿宋_GB2312" w:cs="仿宋_GB2312"/>
                <w:color w:val="auto"/>
                <w:sz w:val="24"/>
                <w:szCs w:val="24"/>
                <w:highlight w:val="none"/>
              </w:rPr>
            </w:pPr>
          </w:p>
        </w:tc>
      </w:tr>
    </w:tbl>
    <w:p w14:paraId="0C32F79F">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附：相关人员的专业技术资格证书证明材料</w:t>
      </w:r>
    </w:p>
    <w:p w14:paraId="61FCB0AE">
      <w:pPr>
        <w:spacing w:line="540" w:lineRule="exact"/>
        <w:contextualSpacing/>
        <w:rPr>
          <w:rFonts w:hint="eastAsia" w:ascii="仿宋_GB2312" w:hAnsi="仿宋_GB2312" w:eastAsia="仿宋_GB2312" w:cs="仿宋_GB2312"/>
          <w:color w:val="auto"/>
          <w:sz w:val="24"/>
          <w:szCs w:val="24"/>
          <w:highlight w:val="none"/>
        </w:rPr>
      </w:pPr>
    </w:p>
    <w:p w14:paraId="4997A4EE">
      <w:pPr>
        <w:spacing w:line="540" w:lineRule="exact"/>
        <w:contextualSpacing/>
        <w:rPr>
          <w:rFonts w:hint="eastAsia" w:ascii="仿宋_GB2312" w:hAnsi="仿宋_GB2312" w:eastAsia="仿宋_GB2312" w:cs="仿宋_GB2312"/>
          <w:color w:val="auto"/>
          <w:sz w:val="24"/>
          <w:szCs w:val="24"/>
          <w:highlight w:val="none"/>
        </w:rPr>
      </w:pPr>
    </w:p>
    <w:p w14:paraId="0936E0A7">
      <w:pPr>
        <w:spacing w:line="540" w:lineRule="exact"/>
        <w:contextualSpacing/>
        <w:rPr>
          <w:rFonts w:hint="eastAsia" w:ascii="仿宋_GB2312" w:hAnsi="仿宋_GB2312" w:eastAsia="仿宋_GB2312" w:cs="仿宋_GB2312"/>
          <w:color w:val="auto"/>
          <w:sz w:val="24"/>
          <w:szCs w:val="24"/>
          <w:highlight w:val="none"/>
        </w:rPr>
      </w:pPr>
    </w:p>
    <w:p w14:paraId="45928470">
      <w:pPr>
        <w:spacing w:line="540" w:lineRule="exact"/>
        <w:contextualSpacing/>
        <w:rPr>
          <w:rFonts w:hint="eastAsia" w:ascii="仿宋_GB2312" w:hAnsi="仿宋_GB2312" w:eastAsia="仿宋_GB2312" w:cs="仿宋_GB2312"/>
          <w:color w:val="auto"/>
          <w:sz w:val="24"/>
          <w:szCs w:val="24"/>
          <w:highlight w:val="none"/>
        </w:rPr>
      </w:pPr>
    </w:p>
    <w:p w14:paraId="31106AF6">
      <w:pPr>
        <w:spacing w:line="540" w:lineRule="exact"/>
        <w:ind w:firstLine="4440" w:firstLineChars="185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投标人名称(电子签名)：</w:t>
      </w:r>
    </w:p>
    <w:p w14:paraId="596AAAD3">
      <w:pPr>
        <w:spacing w:line="540" w:lineRule="exact"/>
        <w:ind w:firstLine="4440" w:firstLineChars="185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w:t>
      </w:r>
    </w:p>
    <w:p w14:paraId="4074E0D1">
      <w:pPr>
        <w:spacing w:line="540" w:lineRule="exact"/>
        <w:contextualSpacing/>
        <w:jc w:val="center"/>
        <w:rPr>
          <w:rFonts w:hint="eastAsia" w:ascii="仿宋_GB2312" w:hAnsi="仿宋_GB2312" w:eastAsia="仿宋_GB2312" w:cs="仿宋_GB2312"/>
          <w:b/>
          <w:color w:val="auto"/>
          <w:sz w:val="24"/>
          <w:szCs w:val="24"/>
          <w:highlight w:val="none"/>
        </w:rPr>
      </w:pPr>
    </w:p>
    <w:p w14:paraId="6BA959D0">
      <w:pPr>
        <w:spacing w:line="540" w:lineRule="exact"/>
        <w:contextualSpacing/>
        <w:jc w:val="center"/>
        <w:rPr>
          <w:rFonts w:hint="eastAsia" w:ascii="仿宋_GB2312" w:hAnsi="仿宋_GB2312" w:eastAsia="仿宋_GB2312" w:cs="仿宋_GB2312"/>
          <w:b/>
          <w:color w:val="auto"/>
          <w:sz w:val="28"/>
          <w:szCs w:val="28"/>
          <w:highlight w:val="none"/>
        </w:rPr>
      </w:pPr>
    </w:p>
    <w:p w14:paraId="61F932A9">
      <w:pPr>
        <w:pStyle w:val="26"/>
        <w:rPr>
          <w:rFonts w:hint="eastAsia"/>
        </w:rPr>
      </w:pPr>
    </w:p>
    <w:p w14:paraId="1E2FE350">
      <w:pPr>
        <w:spacing w:line="540" w:lineRule="exact"/>
        <w:contextualSpacing/>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eastAsia="zh-CN"/>
        </w:rPr>
        <w:t>六</w:t>
      </w:r>
      <w:r>
        <w:rPr>
          <w:rFonts w:hint="eastAsia" w:ascii="仿宋_GB2312" w:hAnsi="仿宋_GB2312" w:eastAsia="仿宋_GB2312" w:cs="仿宋_GB2312"/>
          <w:b/>
          <w:color w:val="auto"/>
          <w:sz w:val="28"/>
          <w:szCs w:val="28"/>
          <w:highlight w:val="none"/>
        </w:rPr>
        <w:t>、评标标准相应的商务技术资料</w:t>
      </w:r>
    </w:p>
    <w:p w14:paraId="4BD54AAB">
      <w:pPr>
        <w:spacing w:line="540" w:lineRule="exact"/>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（按招标文件第四部分评标办法前附表中“投标文件中评标标准相应的商务技术资料目录”提供资料）</w:t>
      </w:r>
    </w:p>
    <w:p w14:paraId="27D5DEFF">
      <w:pPr>
        <w:ind w:firstLine="2891" w:firstLineChars="900"/>
        <w:rPr>
          <w:rFonts w:hint="eastAsia" w:ascii="仿宋_GB2312" w:hAnsi="仿宋_GB2312" w:eastAsia="仿宋_GB2312" w:cs="仿宋_GB2312"/>
          <w:b/>
          <w:color w:val="auto"/>
          <w:kern w:val="0"/>
          <w:sz w:val="32"/>
          <w:szCs w:val="32"/>
          <w:highlight w:val="none"/>
        </w:rPr>
      </w:pPr>
    </w:p>
    <w:p w14:paraId="04E27500">
      <w:pPr>
        <w:rPr>
          <w:rFonts w:hint="eastAsia" w:ascii="仿宋_GB2312" w:hAnsi="仿宋_GB2312" w:eastAsia="仿宋_GB2312" w:cs="仿宋_GB2312"/>
          <w:b/>
          <w:color w:val="auto"/>
          <w:kern w:val="0"/>
          <w:sz w:val="32"/>
          <w:szCs w:val="32"/>
          <w:highlight w:val="none"/>
        </w:rPr>
      </w:pPr>
    </w:p>
    <w:p w14:paraId="2DF30CED">
      <w:pPr>
        <w:jc w:val="center"/>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lang w:eastAsia="zh-CN"/>
        </w:rPr>
        <w:t>七</w:t>
      </w:r>
      <w:r>
        <w:rPr>
          <w:rFonts w:hint="eastAsia" w:ascii="仿宋_GB2312" w:hAnsi="仿宋_GB2312" w:eastAsia="仿宋_GB2312" w:cs="仿宋_GB2312"/>
          <w:b/>
          <w:color w:val="auto"/>
          <w:kern w:val="0"/>
          <w:sz w:val="28"/>
          <w:szCs w:val="28"/>
          <w:highlight w:val="none"/>
        </w:rPr>
        <w:t>、投标标的清单</w:t>
      </w:r>
    </w:p>
    <w:tbl>
      <w:tblPr>
        <w:tblStyle w:val="27"/>
        <w:tblW w:w="91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7"/>
        <w:gridCol w:w="2126"/>
        <w:gridCol w:w="851"/>
        <w:gridCol w:w="1701"/>
        <w:gridCol w:w="992"/>
        <w:gridCol w:w="1134"/>
        <w:gridCol w:w="851"/>
        <w:gridCol w:w="699"/>
      </w:tblGrid>
      <w:tr w14:paraId="157ECD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275C5E40">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FE6850C">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产品名称</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77DD297A">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品牌</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F80AFF8">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规格型号</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630A986">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单位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7D25CAA">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数量</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1FFC246">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产地</w:t>
            </w:r>
          </w:p>
        </w:tc>
        <w:tc>
          <w:tcPr>
            <w:tcW w:w="699" w:type="dxa"/>
            <w:tcBorders>
              <w:top w:val="single" w:color="auto" w:sz="4" w:space="0"/>
              <w:left w:val="single" w:color="auto" w:sz="4" w:space="0"/>
              <w:bottom w:val="single" w:color="auto" w:sz="4" w:space="0"/>
              <w:right w:val="single" w:color="auto" w:sz="4" w:space="0"/>
            </w:tcBorders>
            <w:noWrap w:val="0"/>
            <w:vAlign w:val="center"/>
          </w:tcPr>
          <w:p w14:paraId="08664197">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r>
      <w:tr w14:paraId="5B35E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6AFD3800">
            <w:pPr>
              <w:snapToGrid w:val="0"/>
              <w:jc w:val="center"/>
              <w:rPr>
                <w:rFonts w:hint="eastAsia" w:ascii="仿宋_GB2312" w:hAnsi="仿宋_GB2312" w:eastAsia="仿宋_GB2312" w:cs="仿宋_GB2312"/>
                <w:color w:val="auto"/>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BC0E14B">
            <w:pPr>
              <w:snapToGrid w:val="0"/>
              <w:jc w:val="center"/>
              <w:rPr>
                <w:rFonts w:hint="eastAsia" w:ascii="仿宋_GB2312" w:hAnsi="仿宋_GB2312" w:eastAsia="仿宋_GB2312" w:cs="仿宋_GB2312"/>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91D9B88">
            <w:pPr>
              <w:snapToGrid w:val="0"/>
              <w:jc w:val="center"/>
              <w:rPr>
                <w:rFonts w:hint="eastAsia" w:ascii="仿宋_GB2312" w:hAnsi="仿宋_GB2312" w:eastAsia="仿宋_GB2312" w:cs="仿宋_GB2312"/>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AFF3DED">
            <w:pPr>
              <w:snapToGrid w:val="0"/>
              <w:jc w:val="center"/>
              <w:rPr>
                <w:rFonts w:hint="eastAsia" w:ascii="仿宋_GB2312" w:hAnsi="仿宋_GB2312" w:eastAsia="仿宋_GB2312" w:cs="仿宋_GB2312"/>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49302E5">
            <w:pPr>
              <w:snapToGrid w:val="0"/>
              <w:jc w:val="center"/>
              <w:rPr>
                <w:rFonts w:hint="eastAsia" w:ascii="仿宋_GB2312" w:hAnsi="仿宋_GB2312" w:eastAsia="仿宋_GB2312" w:cs="仿宋_GB2312"/>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F10FA58">
            <w:pPr>
              <w:snapToGrid w:val="0"/>
              <w:jc w:val="center"/>
              <w:rPr>
                <w:rFonts w:hint="eastAsia" w:ascii="仿宋_GB2312" w:hAnsi="仿宋_GB2312" w:eastAsia="仿宋_GB2312" w:cs="仿宋_GB2312"/>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3E99CD0">
            <w:pPr>
              <w:snapToGrid w:val="0"/>
              <w:jc w:val="center"/>
              <w:rPr>
                <w:rFonts w:hint="eastAsia" w:ascii="仿宋_GB2312" w:hAnsi="仿宋_GB2312" w:eastAsia="仿宋_GB2312" w:cs="仿宋_GB2312"/>
                <w:color w:val="auto"/>
                <w:sz w:val="24"/>
                <w:szCs w:val="24"/>
                <w:highlight w:val="none"/>
              </w:rPr>
            </w:pPr>
          </w:p>
        </w:tc>
        <w:tc>
          <w:tcPr>
            <w:tcW w:w="699" w:type="dxa"/>
            <w:tcBorders>
              <w:top w:val="single" w:color="auto" w:sz="4" w:space="0"/>
              <w:left w:val="single" w:color="auto" w:sz="4" w:space="0"/>
              <w:bottom w:val="single" w:color="auto" w:sz="4" w:space="0"/>
              <w:right w:val="single" w:color="auto" w:sz="4" w:space="0"/>
            </w:tcBorders>
            <w:noWrap w:val="0"/>
            <w:vAlign w:val="center"/>
          </w:tcPr>
          <w:p w14:paraId="26CE9F06">
            <w:pPr>
              <w:snapToGrid w:val="0"/>
              <w:jc w:val="center"/>
              <w:rPr>
                <w:rFonts w:hint="eastAsia" w:ascii="仿宋_GB2312" w:hAnsi="仿宋_GB2312" w:eastAsia="仿宋_GB2312" w:cs="仿宋_GB2312"/>
                <w:color w:val="auto"/>
                <w:sz w:val="24"/>
                <w:szCs w:val="24"/>
                <w:highlight w:val="none"/>
              </w:rPr>
            </w:pPr>
          </w:p>
        </w:tc>
      </w:tr>
      <w:tr w14:paraId="355BA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18FA50AF">
            <w:pPr>
              <w:snapToGrid w:val="0"/>
              <w:jc w:val="center"/>
              <w:rPr>
                <w:rFonts w:hint="eastAsia" w:ascii="仿宋_GB2312" w:hAnsi="仿宋_GB2312" w:eastAsia="仿宋_GB2312" w:cs="仿宋_GB2312"/>
                <w:color w:val="auto"/>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75A1A8E">
            <w:pPr>
              <w:snapToGrid w:val="0"/>
              <w:jc w:val="center"/>
              <w:rPr>
                <w:rFonts w:hint="eastAsia" w:ascii="仿宋_GB2312" w:hAnsi="仿宋_GB2312" w:eastAsia="仿宋_GB2312" w:cs="仿宋_GB2312"/>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45D37331">
            <w:pPr>
              <w:snapToGrid w:val="0"/>
              <w:jc w:val="center"/>
              <w:rPr>
                <w:rFonts w:hint="eastAsia" w:ascii="仿宋_GB2312" w:hAnsi="仿宋_GB2312" w:eastAsia="仿宋_GB2312" w:cs="仿宋_GB2312"/>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B4F7D29">
            <w:pPr>
              <w:snapToGrid w:val="0"/>
              <w:jc w:val="center"/>
              <w:rPr>
                <w:rFonts w:hint="eastAsia" w:ascii="仿宋_GB2312" w:hAnsi="仿宋_GB2312" w:eastAsia="仿宋_GB2312" w:cs="仿宋_GB2312"/>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D9FBC90">
            <w:pPr>
              <w:snapToGrid w:val="0"/>
              <w:jc w:val="center"/>
              <w:rPr>
                <w:rFonts w:hint="eastAsia" w:ascii="仿宋_GB2312" w:hAnsi="仿宋_GB2312" w:eastAsia="仿宋_GB2312" w:cs="仿宋_GB2312"/>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B8DE658">
            <w:pPr>
              <w:snapToGrid w:val="0"/>
              <w:jc w:val="center"/>
              <w:rPr>
                <w:rFonts w:hint="eastAsia" w:ascii="仿宋_GB2312" w:hAnsi="仿宋_GB2312" w:eastAsia="仿宋_GB2312" w:cs="仿宋_GB2312"/>
                <w:color w:val="auto"/>
                <w:sz w:val="24"/>
                <w:szCs w:val="24"/>
                <w:highlight w:val="none"/>
              </w:rPr>
            </w:pPr>
          </w:p>
        </w:tc>
        <w:tc>
          <w:tcPr>
            <w:tcW w:w="851" w:type="dxa"/>
            <w:tcBorders>
              <w:top w:val="single" w:color="auto" w:sz="4" w:space="0"/>
              <w:left w:val="single" w:color="auto" w:sz="4" w:space="0"/>
              <w:bottom w:val="nil"/>
              <w:right w:val="single" w:color="auto" w:sz="4" w:space="0"/>
            </w:tcBorders>
            <w:noWrap w:val="0"/>
            <w:vAlign w:val="center"/>
          </w:tcPr>
          <w:p w14:paraId="7FCBCBEE">
            <w:pPr>
              <w:snapToGrid w:val="0"/>
              <w:jc w:val="center"/>
              <w:rPr>
                <w:rFonts w:hint="eastAsia" w:ascii="仿宋_GB2312" w:hAnsi="仿宋_GB2312" w:eastAsia="仿宋_GB2312" w:cs="仿宋_GB2312"/>
                <w:color w:val="auto"/>
                <w:sz w:val="24"/>
                <w:szCs w:val="24"/>
                <w:highlight w:val="none"/>
              </w:rPr>
            </w:pPr>
          </w:p>
        </w:tc>
        <w:tc>
          <w:tcPr>
            <w:tcW w:w="699" w:type="dxa"/>
            <w:tcBorders>
              <w:top w:val="single" w:color="auto" w:sz="4" w:space="0"/>
              <w:left w:val="single" w:color="auto" w:sz="4" w:space="0"/>
              <w:bottom w:val="nil"/>
              <w:right w:val="single" w:color="auto" w:sz="4" w:space="0"/>
            </w:tcBorders>
            <w:noWrap w:val="0"/>
            <w:vAlign w:val="center"/>
          </w:tcPr>
          <w:p w14:paraId="26F42F14">
            <w:pPr>
              <w:snapToGrid w:val="0"/>
              <w:jc w:val="center"/>
              <w:rPr>
                <w:rFonts w:hint="eastAsia" w:ascii="仿宋_GB2312" w:hAnsi="仿宋_GB2312" w:eastAsia="仿宋_GB2312" w:cs="仿宋_GB2312"/>
                <w:color w:val="auto"/>
                <w:sz w:val="24"/>
                <w:szCs w:val="24"/>
                <w:highlight w:val="none"/>
              </w:rPr>
            </w:pPr>
          </w:p>
        </w:tc>
      </w:tr>
      <w:tr w14:paraId="620452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5FF4144D">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EA22D2">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24"/>
                <w:highlight w:val="none"/>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F4CE2FD">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24"/>
                <w:highlight w:val="none"/>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3888A34">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24"/>
                <w:highlight w:val="none"/>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9D88D6B">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24"/>
                <w:highlight w:val="none"/>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37F89E8">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24"/>
                <w:highlight w:val="none"/>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D8D832A">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24"/>
                <w:highlight w:val="none"/>
              </w:rPr>
              <w:t>…</w:t>
            </w:r>
          </w:p>
        </w:tc>
        <w:tc>
          <w:tcPr>
            <w:tcW w:w="699" w:type="dxa"/>
            <w:tcBorders>
              <w:top w:val="single" w:color="auto" w:sz="4" w:space="0"/>
              <w:left w:val="single" w:color="auto" w:sz="4" w:space="0"/>
              <w:bottom w:val="single" w:color="auto" w:sz="4" w:space="0"/>
              <w:right w:val="single" w:color="auto" w:sz="4" w:space="0"/>
            </w:tcBorders>
            <w:noWrap w:val="0"/>
            <w:vAlign w:val="center"/>
          </w:tcPr>
          <w:p w14:paraId="0FA98B22">
            <w:pPr>
              <w:jc w:val="center"/>
              <w:rPr>
                <w:rFonts w:hint="eastAsia" w:ascii="仿宋_GB2312" w:hAnsi="仿宋_GB2312" w:eastAsia="仿宋_GB2312" w:cs="仿宋_GB2312"/>
                <w:color w:val="auto"/>
                <w:highlight w:val="none"/>
              </w:rPr>
            </w:pPr>
          </w:p>
        </w:tc>
      </w:tr>
    </w:tbl>
    <w:p w14:paraId="32889E57">
      <w:pPr>
        <w:pStyle w:val="12"/>
        <w:rPr>
          <w:rFonts w:hint="eastAsia" w:ascii="仿宋_GB2312" w:hAnsi="仿宋_GB2312" w:eastAsia="仿宋_GB2312" w:cs="仿宋_GB2312"/>
          <w:color w:val="auto"/>
          <w:highlight w:val="none"/>
        </w:rPr>
      </w:pPr>
    </w:p>
    <w:p w14:paraId="03C42E9D">
      <w:pPr>
        <w:spacing w:line="540" w:lineRule="exact"/>
        <w:ind w:firstLine="4440" w:firstLineChars="185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投标人名称(电子签名)：</w:t>
      </w:r>
    </w:p>
    <w:p w14:paraId="2A861C9E">
      <w:pPr>
        <w:spacing w:line="540" w:lineRule="exact"/>
        <w:ind w:firstLine="4440" w:firstLineChars="185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w:t>
      </w:r>
    </w:p>
    <w:p w14:paraId="4834253C">
      <w:pPr>
        <w:jc w:val="center"/>
        <w:rPr>
          <w:rFonts w:hint="eastAsia" w:ascii="仿宋_GB2312" w:hAnsi="仿宋_GB2312" w:eastAsia="仿宋_GB2312" w:cs="仿宋_GB2312"/>
          <w:b/>
          <w:color w:val="auto"/>
          <w:kern w:val="0"/>
          <w:sz w:val="28"/>
          <w:szCs w:val="28"/>
          <w:highlight w:val="none"/>
        </w:rPr>
      </w:pPr>
    </w:p>
    <w:p w14:paraId="5F420A29">
      <w:pPr>
        <w:jc w:val="center"/>
        <w:rPr>
          <w:rFonts w:hint="eastAsia" w:ascii="仿宋_GB2312" w:hAnsi="仿宋_GB2312" w:eastAsia="仿宋_GB2312" w:cs="仿宋_GB2312"/>
          <w:b/>
          <w:color w:val="auto"/>
          <w:kern w:val="0"/>
          <w:sz w:val="28"/>
          <w:szCs w:val="28"/>
          <w:highlight w:val="none"/>
        </w:rPr>
      </w:pPr>
    </w:p>
    <w:p w14:paraId="3FFED16E">
      <w:pPr>
        <w:jc w:val="center"/>
        <w:rPr>
          <w:rFonts w:hint="eastAsia" w:ascii="仿宋_GB2312" w:hAnsi="仿宋_GB2312" w:eastAsia="仿宋_GB2312" w:cs="仿宋_GB2312"/>
          <w:b/>
          <w:color w:val="auto"/>
          <w:kern w:val="0"/>
          <w:sz w:val="28"/>
          <w:szCs w:val="28"/>
          <w:highlight w:val="none"/>
        </w:rPr>
      </w:pPr>
    </w:p>
    <w:p w14:paraId="713045DA">
      <w:pPr>
        <w:jc w:val="center"/>
        <w:rPr>
          <w:rFonts w:hint="eastAsia" w:ascii="仿宋_GB2312" w:hAnsi="仿宋_GB2312" w:eastAsia="仿宋_GB2312" w:cs="仿宋_GB2312"/>
          <w:b/>
          <w:color w:val="auto"/>
          <w:kern w:val="0"/>
          <w:sz w:val="28"/>
          <w:szCs w:val="28"/>
          <w:highlight w:val="none"/>
        </w:rPr>
      </w:pPr>
    </w:p>
    <w:p w14:paraId="3ED7A7C9">
      <w:pPr>
        <w:jc w:val="center"/>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lang w:eastAsia="zh-CN"/>
        </w:rPr>
        <w:t>八</w:t>
      </w:r>
      <w:r>
        <w:rPr>
          <w:rFonts w:hint="eastAsia" w:ascii="仿宋_GB2312" w:hAnsi="仿宋_GB2312" w:eastAsia="仿宋_GB2312" w:cs="仿宋_GB2312"/>
          <w:b/>
          <w:color w:val="auto"/>
          <w:kern w:val="0"/>
          <w:sz w:val="28"/>
          <w:szCs w:val="28"/>
          <w:highlight w:val="none"/>
        </w:rPr>
        <w:t>、商务技术偏离表</w:t>
      </w:r>
    </w:p>
    <w:tbl>
      <w:tblPr>
        <w:tblStyle w:val="28"/>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512"/>
      </w:tblGrid>
      <w:tr w14:paraId="6A11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6CF1D5F9">
            <w:pPr>
              <w:jc w:val="cente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序号</w:t>
            </w:r>
          </w:p>
        </w:tc>
        <w:tc>
          <w:tcPr>
            <w:tcW w:w="3683" w:type="dxa"/>
            <w:noWrap w:val="0"/>
            <w:vAlign w:val="top"/>
          </w:tcPr>
          <w:p w14:paraId="5765B138">
            <w:pPr>
              <w:jc w:val="cente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招标文件章节及具体内容</w:t>
            </w:r>
          </w:p>
        </w:tc>
        <w:tc>
          <w:tcPr>
            <w:tcW w:w="3546" w:type="dxa"/>
            <w:noWrap w:val="0"/>
            <w:vAlign w:val="top"/>
          </w:tcPr>
          <w:p w14:paraId="5F5CBD2E">
            <w:pPr>
              <w:jc w:val="cente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投标文件章节及具体内容</w:t>
            </w:r>
          </w:p>
        </w:tc>
        <w:tc>
          <w:tcPr>
            <w:tcW w:w="1512" w:type="dxa"/>
            <w:noWrap w:val="0"/>
            <w:vAlign w:val="top"/>
          </w:tcPr>
          <w:p w14:paraId="19E90820">
            <w:pPr>
              <w:jc w:val="cente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偏离说明</w:t>
            </w:r>
          </w:p>
        </w:tc>
      </w:tr>
      <w:tr w14:paraId="7E09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60E8238">
            <w:pPr>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w:t>
            </w:r>
          </w:p>
        </w:tc>
        <w:tc>
          <w:tcPr>
            <w:tcW w:w="3683" w:type="dxa"/>
            <w:noWrap w:val="0"/>
            <w:vAlign w:val="top"/>
          </w:tcPr>
          <w:p w14:paraId="015B9D28">
            <w:pPr>
              <w:jc w:val="center"/>
              <w:rPr>
                <w:rFonts w:hint="eastAsia" w:ascii="仿宋_GB2312" w:hAnsi="仿宋_GB2312" w:eastAsia="仿宋_GB2312" w:cs="仿宋_GB2312"/>
                <w:b/>
                <w:color w:val="auto"/>
                <w:kern w:val="0"/>
                <w:sz w:val="28"/>
                <w:szCs w:val="28"/>
                <w:highlight w:val="none"/>
              </w:rPr>
            </w:pPr>
          </w:p>
        </w:tc>
        <w:tc>
          <w:tcPr>
            <w:tcW w:w="3546" w:type="dxa"/>
            <w:noWrap w:val="0"/>
            <w:vAlign w:val="top"/>
          </w:tcPr>
          <w:p w14:paraId="1CAB5444">
            <w:pPr>
              <w:jc w:val="center"/>
              <w:rPr>
                <w:rFonts w:hint="eastAsia" w:ascii="仿宋_GB2312" w:hAnsi="仿宋_GB2312" w:eastAsia="仿宋_GB2312" w:cs="仿宋_GB2312"/>
                <w:b/>
                <w:color w:val="auto"/>
                <w:kern w:val="0"/>
                <w:sz w:val="28"/>
                <w:szCs w:val="28"/>
                <w:highlight w:val="none"/>
              </w:rPr>
            </w:pPr>
          </w:p>
        </w:tc>
        <w:tc>
          <w:tcPr>
            <w:tcW w:w="1512" w:type="dxa"/>
            <w:noWrap w:val="0"/>
            <w:vAlign w:val="top"/>
          </w:tcPr>
          <w:p w14:paraId="229FD7AF">
            <w:pPr>
              <w:jc w:val="center"/>
              <w:rPr>
                <w:rFonts w:hint="eastAsia" w:ascii="仿宋_GB2312" w:hAnsi="仿宋_GB2312" w:eastAsia="仿宋_GB2312" w:cs="仿宋_GB2312"/>
                <w:b/>
                <w:color w:val="auto"/>
                <w:kern w:val="0"/>
                <w:sz w:val="28"/>
                <w:szCs w:val="28"/>
                <w:highlight w:val="none"/>
              </w:rPr>
            </w:pPr>
          </w:p>
        </w:tc>
      </w:tr>
      <w:tr w14:paraId="00DA8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2B4CEE0F">
            <w:pPr>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w:t>
            </w:r>
          </w:p>
        </w:tc>
        <w:tc>
          <w:tcPr>
            <w:tcW w:w="3683" w:type="dxa"/>
            <w:noWrap w:val="0"/>
            <w:vAlign w:val="top"/>
          </w:tcPr>
          <w:p w14:paraId="615D8DB1">
            <w:pPr>
              <w:jc w:val="center"/>
              <w:rPr>
                <w:rFonts w:hint="eastAsia" w:ascii="仿宋_GB2312" w:hAnsi="仿宋_GB2312" w:eastAsia="仿宋_GB2312" w:cs="仿宋_GB2312"/>
                <w:b/>
                <w:color w:val="auto"/>
                <w:kern w:val="0"/>
                <w:sz w:val="28"/>
                <w:szCs w:val="28"/>
                <w:highlight w:val="none"/>
              </w:rPr>
            </w:pPr>
          </w:p>
        </w:tc>
        <w:tc>
          <w:tcPr>
            <w:tcW w:w="3546" w:type="dxa"/>
            <w:noWrap w:val="0"/>
            <w:vAlign w:val="top"/>
          </w:tcPr>
          <w:p w14:paraId="037317FF">
            <w:pPr>
              <w:jc w:val="center"/>
              <w:rPr>
                <w:rFonts w:hint="eastAsia" w:ascii="仿宋_GB2312" w:hAnsi="仿宋_GB2312" w:eastAsia="仿宋_GB2312" w:cs="仿宋_GB2312"/>
                <w:b/>
                <w:color w:val="auto"/>
                <w:kern w:val="0"/>
                <w:sz w:val="28"/>
                <w:szCs w:val="28"/>
                <w:highlight w:val="none"/>
              </w:rPr>
            </w:pPr>
          </w:p>
        </w:tc>
        <w:tc>
          <w:tcPr>
            <w:tcW w:w="1512" w:type="dxa"/>
            <w:noWrap w:val="0"/>
            <w:vAlign w:val="top"/>
          </w:tcPr>
          <w:p w14:paraId="1EA36D09">
            <w:pPr>
              <w:jc w:val="center"/>
              <w:rPr>
                <w:rFonts w:hint="eastAsia" w:ascii="仿宋_GB2312" w:hAnsi="仿宋_GB2312" w:eastAsia="仿宋_GB2312" w:cs="仿宋_GB2312"/>
                <w:b/>
                <w:color w:val="auto"/>
                <w:kern w:val="0"/>
                <w:sz w:val="28"/>
                <w:szCs w:val="28"/>
                <w:highlight w:val="none"/>
              </w:rPr>
            </w:pPr>
          </w:p>
        </w:tc>
      </w:tr>
      <w:tr w14:paraId="2906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noWrap w:val="0"/>
            <w:vAlign w:val="top"/>
          </w:tcPr>
          <w:p w14:paraId="06F20775">
            <w:pPr>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w:t>
            </w:r>
          </w:p>
        </w:tc>
        <w:tc>
          <w:tcPr>
            <w:tcW w:w="3683" w:type="dxa"/>
            <w:noWrap w:val="0"/>
            <w:vAlign w:val="top"/>
          </w:tcPr>
          <w:p w14:paraId="075AF8B3">
            <w:pPr>
              <w:jc w:val="center"/>
              <w:rPr>
                <w:rFonts w:hint="eastAsia" w:ascii="仿宋_GB2312" w:hAnsi="仿宋_GB2312" w:eastAsia="仿宋_GB2312" w:cs="仿宋_GB2312"/>
                <w:b/>
                <w:color w:val="auto"/>
                <w:kern w:val="0"/>
                <w:sz w:val="28"/>
                <w:szCs w:val="28"/>
                <w:highlight w:val="none"/>
              </w:rPr>
            </w:pPr>
          </w:p>
        </w:tc>
        <w:tc>
          <w:tcPr>
            <w:tcW w:w="3546" w:type="dxa"/>
            <w:noWrap w:val="0"/>
            <w:vAlign w:val="top"/>
          </w:tcPr>
          <w:p w14:paraId="59F921A9">
            <w:pPr>
              <w:jc w:val="center"/>
              <w:rPr>
                <w:rFonts w:hint="eastAsia" w:ascii="仿宋_GB2312" w:hAnsi="仿宋_GB2312" w:eastAsia="仿宋_GB2312" w:cs="仿宋_GB2312"/>
                <w:b/>
                <w:color w:val="auto"/>
                <w:kern w:val="0"/>
                <w:sz w:val="28"/>
                <w:szCs w:val="28"/>
                <w:highlight w:val="none"/>
              </w:rPr>
            </w:pPr>
          </w:p>
        </w:tc>
        <w:tc>
          <w:tcPr>
            <w:tcW w:w="1512" w:type="dxa"/>
            <w:noWrap w:val="0"/>
            <w:vAlign w:val="top"/>
          </w:tcPr>
          <w:p w14:paraId="5E60295D">
            <w:pPr>
              <w:jc w:val="center"/>
              <w:rPr>
                <w:rFonts w:hint="eastAsia" w:ascii="仿宋_GB2312" w:hAnsi="仿宋_GB2312" w:eastAsia="仿宋_GB2312" w:cs="仿宋_GB2312"/>
                <w:b/>
                <w:color w:val="auto"/>
                <w:kern w:val="0"/>
                <w:sz w:val="28"/>
                <w:szCs w:val="28"/>
                <w:highlight w:val="none"/>
              </w:rPr>
            </w:pPr>
          </w:p>
        </w:tc>
      </w:tr>
    </w:tbl>
    <w:p w14:paraId="064BF173">
      <w:pPr>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投标人保证：除商务技术偏离表列出的偏离外，投标人响应招标文件的全部要求</w:t>
      </w:r>
    </w:p>
    <w:p w14:paraId="51A5E600">
      <w:pPr>
        <w:jc w:val="center"/>
        <w:rPr>
          <w:rFonts w:hint="eastAsia" w:ascii="仿宋_GB2312" w:hAnsi="仿宋_GB2312" w:eastAsia="仿宋_GB2312" w:cs="仿宋_GB2312"/>
          <w:b/>
          <w:color w:val="auto"/>
          <w:kern w:val="0"/>
          <w:sz w:val="28"/>
          <w:szCs w:val="28"/>
          <w:highlight w:val="none"/>
        </w:rPr>
      </w:pPr>
    </w:p>
    <w:p w14:paraId="1C71F09F">
      <w:pPr>
        <w:spacing w:line="540" w:lineRule="exact"/>
        <w:ind w:firstLine="4440" w:firstLineChars="185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投标人名称(电子签名)：</w:t>
      </w:r>
    </w:p>
    <w:p w14:paraId="5432FD35">
      <w:pPr>
        <w:spacing w:line="540" w:lineRule="exact"/>
        <w:ind w:firstLine="4440" w:firstLineChars="185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w:t>
      </w:r>
    </w:p>
    <w:p w14:paraId="19599765">
      <w:pPr>
        <w:spacing w:line="540" w:lineRule="exact"/>
        <w:contextualSpacing/>
        <w:rPr>
          <w:rFonts w:hint="eastAsia" w:ascii="仿宋_GB2312" w:hAnsi="仿宋_GB2312" w:eastAsia="仿宋_GB2312" w:cs="仿宋_GB2312"/>
          <w:color w:val="auto"/>
          <w:sz w:val="24"/>
          <w:szCs w:val="24"/>
          <w:highlight w:val="none"/>
        </w:rPr>
      </w:pPr>
    </w:p>
    <w:p w14:paraId="7C34DA23">
      <w:pPr>
        <w:spacing w:line="540" w:lineRule="exact"/>
        <w:contextualSpacing/>
        <w:rPr>
          <w:rFonts w:hint="eastAsia" w:ascii="仿宋_GB2312" w:hAnsi="仿宋_GB2312" w:eastAsia="仿宋_GB2312" w:cs="仿宋_GB2312"/>
          <w:color w:val="auto"/>
          <w:sz w:val="24"/>
          <w:szCs w:val="24"/>
          <w:highlight w:val="none"/>
        </w:rPr>
      </w:pPr>
    </w:p>
    <w:p w14:paraId="27F204A8">
      <w:pPr>
        <w:spacing w:line="540" w:lineRule="exact"/>
        <w:contextualSpacing/>
        <w:jc w:val="center"/>
        <w:rPr>
          <w:rFonts w:hint="eastAsia" w:ascii="仿宋_GB2312" w:hAnsi="仿宋_GB2312" w:eastAsia="仿宋_GB2312" w:cs="仿宋_GB2312"/>
          <w:b/>
          <w:color w:val="auto"/>
          <w:sz w:val="24"/>
          <w:szCs w:val="24"/>
          <w:highlight w:val="none"/>
        </w:rPr>
      </w:pPr>
    </w:p>
    <w:p w14:paraId="1D43101D">
      <w:pPr>
        <w:spacing w:line="540" w:lineRule="exact"/>
        <w:contextualSpacing/>
        <w:jc w:val="center"/>
        <w:rPr>
          <w:rFonts w:hint="eastAsia" w:ascii="仿宋_GB2312" w:hAnsi="仿宋_GB2312" w:eastAsia="仿宋_GB2312" w:cs="仿宋_GB2312"/>
          <w:b/>
          <w:color w:val="auto"/>
          <w:sz w:val="24"/>
          <w:szCs w:val="24"/>
          <w:highlight w:val="none"/>
        </w:rPr>
      </w:pPr>
    </w:p>
    <w:p w14:paraId="6C5E4B96">
      <w:pPr>
        <w:spacing w:line="540" w:lineRule="exact"/>
        <w:contextualSpacing/>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eastAsia="zh-CN"/>
        </w:rPr>
        <w:t>九</w:t>
      </w:r>
      <w:r>
        <w:rPr>
          <w:rFonts w:hint="eastAsia" w:ascii="仿宋_GB2312" w:hAnsi="仿宋_GB2312" w:eastAsia="仿宋_GB2312" w:cs="仿宋_GB2312"/>
          <w:b/>
          <w:color w:val="auto"/>
          <w:sz w:val="28"/>
          <w:szCs w:val="28"/>
          <w:highlight w:val="none"/>
        </w:rPr>
        <w:t>、政府采购供应商廉洁自律承诺书</w:t>
      </w:r>
    </w:p>
    <w:p w14:paraId="694298C4">
      <w:pPr>
        <w:spacing w:line="540" w:lineRule="exact"/>
        <w:contextualSpacing/>
        <w:rPr>
          <w:rFonts w:hint="eastAsia" w:ascii="仿宋_GB2312" w:hAnsi="仿宋_GB2312" w:eastAsia="仿宋_GB2312" w:cs="仿宋_GB2312"/>
          <w:color w:val="auto"/>
          <w:sz w:val="24"/>
          <w:szCs w:val="24"/>
          <w:highlight w:val="none"/>
        </w:rPr>
      </w:pPr>
    </w:p>
    <w:p w14:paraId="109CE3B8">
      <w:pPr>
        <w:spacing w:line="5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（采购人）、（采购代理机构）：</w:t>
      </w:r>
    </w:p>
    <w:p w14:paraId="32DC5A82">
      <w:pPr>
        <w:spacing w:line="50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我单位响应你单位项目招标要求参加投标。在这次投标过程中和中标后，我们将严格遵守国家法律法规要求，并郑重承诺：</w:t>
      </w:r>
    </w:p>
    <w:p w14:paraId="70158CEF">
      <w:pPr>
        <w:spacing w:line="50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一、不向项目有关人员及部门赠送礼金礼物、有价证券、回扣以及中介费、介绍费、咨询费等好处费；</w:t>
      </w:r>
    </w:p>
    <w:p w14:paraId="25BE532D">
      <w:pPr>
        <w:spacing w:line="50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二、不为项目有关人员及部门报销应由你方单位或个人支付的费用；</w:t>
      </w:r>
    </w:p>
    <w:p w14:paraId="765E2444">
      <w:pPr>
        <w:spacing w:line="50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三、不向项目有关人员及部门提供有可能影响公正的宴请和健身娱乐等活动；</w:t>
      </w:r>
    </w:p>
    <w:p w14:paraId="2D863AEB">
      <w:pPr>
        <w:spacing w:line="50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四、不为项目有关人员及部门出国（境）、旅游等提供方便；</w:t>
      </w:r>
    </w:p>
    <w:p w14:paraId="5394E952">
      <w:pPr>
        <w:spacing w:line="50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五、不为项目有关人员个人装修住房、婚丧嫁娶、配偶子女工作安排等提供好处；</w:t>
      </w:r>
    </w:p>
    <w:p w14:paraId="7C669269">
      <w:pPr>
        <w:spacing w:line="50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六、严格遵守《中华人民共和国政府采购法》《中华人民共和国招标投标法》《中华人民共和国民法典》等法律法规，诚实守信，合法经营，坚决抵制各种违法违纪行为。</w:t>
      </w:r>
    </w:p>
    <w:p w14:paraId="24753EC7">
      <w:pPr>
        <w:spacing w:line="50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如违反上述承诺，你单位有权立即取消我单位投标、中标或在建项目的建设资格，有权拒绝我单位在一定时期内进入你单位进行项目建设或其他经营活动，并通报市财政局。由此引起的相应损失均由我单位承担。</w:t>
      </w:r>
    </w:p>
    <w:p w14:paraId="7D8EB6FA">
      <w:pPr>
        <w:spacing w:line="500" w:lineRule="exact"/>
        <w:contextualSpacing/>
        <w:rPr>
          <w:rFonts w:hint="eastAsia" w:ascii="仿宋_GB2312" w:hAnsi="仿宋_GB2312" w:eastAsia="仿宋_GB2312" w:cs="仿宋_GB2312"/>
          <w:color w:val="auto"/>
          <w:sz w:val="24"/>
          <w:szCs w:val="24"/>
          <w:highlight w:val="none"/>
        </w:rPr>
      </w:pPr>
    </w:p>
    <w:p w14:paraId="099CA31A">
      <w:pPr>
        <w:pStyle w:val="12"/>
        <w:rPr>
          <w:rFonts w:hint="eastAsia" w:ascii="仿宋_GB2312" w:hAnsi="仿宋_GB2312" w:eastAsia="仿宋_GB2312" w:cs="仿宋_GB2312"/>
          <w:color w:val="auto"/>
          <w:highlight w:val="none"/>
        </w:rPr>
      </w:pPr>
    </w:p>
    <w:p w14:paraId="53AA6EB7">
      <w:pPr>
        <w:spacing w:line="500" w:lineRule="exact"/>
        <w:ind w:firstLine="4560" w:firstLineChars="19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投标人名称（电子签名）：</w:t>
      </w:r>
    </w:p>
    <w:p w14:paraId="5A64F58E">
      <w:pPr>
        <w:spacing w:line="500" w:lineRule="exact"/>
        <w:ind w:firstLine="4680" w:firstLineChars="195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日期：年月日</w:t>
      </w:r>
    </w:p>
    <w:p w14:paraId="26147903">
      <w:pPr>
        <w:spacing w:line="540" w:lineRule="exact"/>
        <w:contextualSpacing/>
        <w:rPr>
          <w:rFonts w:hint="eastAsia" w:ascii="仿宋_GB2312" w:hAnsi="仿宋_GB2312" w:eastAsia="仿宋_GB2312" w:cs="仿宋_GB2312"/>
          <w:color w:val="auto"/>
          <w:sz w:val="24"/>
          <w:szCs w:val="24"/>
          <w:highlight w:val="none"/>
        </w:rPr>
        <w:sectPr>
          <w:headerReference r:id="rId8" w:type="first"/>
          <w:footerReference r:id="rId10" w:type="first"/>
          <w:headerReference r:id="rId7" w:type="default"/>
          <w:footerReference r:id="rId9" w:type="default"/>
          <w:pgSz w:w="11906" w:h="16838"/>
          <w:pgMar w:top="1276" w:right="1418" w:bottom="1247" w:left="1418" w:header="851" w:footer="992" w:gutter="0"/>
          <w:cols w:space="720" w:num="1"/>
          <w:titlePg/>
          <w:docGrid w:linePitch="312" w:charSpace="0"/>
        </w:sectPr>
      </w:pPr>
    </w:p>
    <w:p w14:paraId="0315FDEA">
      <w:pPr>
        <w:spacing w:line="540" w:lineRule="exact"/>
        <w:contextualSpacing/>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报价文件部分</w:t>
      </w:r>
    </w:p>
    <w:p w14:paraId="0A7EFA8D">
      <w:pPr>
        <w:spacing w:line="540" w:lineRule="exact"/>
        <w:contextualSpacing/>
        <w:rPr>
          <w:rFonts w:hint="eastAsia" w:ascii="仿宋_GB2312" w:hAnsi="仿宋_GB2312" w:eastAsia="仿宋_GB2312" w:cs="仿宋_GB2312"/>
          <w:color w:val="auto"/>
          <w:sz w:val="24"/>
          <w:szCs w:val="24"/>
          <w:highlight w:val="none"/>
        </w:rPr>
      </w:pPr>
    </w:p>
    <w:p w14:paraId="39397B4B">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（1）开标一览表（报价表）…………………………………………………（页码）</w:t>
      </w:r>
    </w:p>
    <w:p w14:paraId="6D774199">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（2）中小企业声明函（如果有）……………………………………………（页码）</w:t>
      </w:r>
    </w:p>
    <w:p w14:paraId="7DF50A89">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（3）关于符合本国产品标准的声明函（如果有）…………………………（页码）</w:t>
      </w:r>
    </w:p>
    <w:p w14:paraId="632BE59F">
      <w:pPr>
        <w:spacing w:line="420" w:lineRule="exact"/>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）书面说明及必要的证明材料，对投标价格作出解释。（如果报价低于项目</w:t>
      </w:r>
      <w:r>
        <w:rPr>
          <w:rFonts w:hint="eastAsia" w:ascii="方正仿宋_GB2312" w:hAnsi="方正仿宋_GB2312" w:eastAsia="方正仿宋_GB2312" w:cs="方正仿宋_GB2312"/>
          <w:color w:val="auto"/>
          <w:sz w:val="24"/>
          <w:szCs w:val="24"/>
          <w:highlight w:val="none"/>
          <w:lang w:eastAsia="zh-CN"/>
        </w:rPr>
        <w:t>最高限价</w:t>
      </w:r>
      <w:r>
        <w:rPr>
          <w:rFonts w:hint="eastAsia" w:ascii="方正仿宋_GB2312" w:hAnsi="方正仿宋_GB2312" w:eastAsia="方正仿宋_GB2312" w:cs="方正仿宋_GB2312"/>
          <w:color w:val="auto"/>
          <w:sz w:val="24"/>
          <w:szCs w:val="24"/>
          <w:highlight w:val="none"/>
          <w:lang w:val="en-US" w:eastAsia="zh-CN"/>
        </w:rPr>
        <w:t>45</w:t>
      </w:r>
      <w:r>
        <w:rPr>
          <w:rFonts w:hint="eastAsia" w:ascii="方正仿宋_GB2312" w:hAnsi="方正仿宋_GB2312" w:eastAsia="方正仿宋_GB2312" w:cs="方正仿宋_GB2312"/>
          <w:color w:val="auto"/>
          <w:sz w:val="24"/>
          <w:szCs w:val="24"/>
          <w:highlight w:val="none"/>
        </w:rPr>
        <w:t>%的）……………………………………………………………………………（页码）</w:t>
      </w:r>
    </w:p>
    <w:p w14:paraId="2A629041">
      <w:pPr>
        <w:spacing w:line="540" w:lineRule="exact"/>
        <w:contextualSpacing/>
        <w:rPr>
          <w:rFonts w:hint="eastAsia" w:ascii="仿宋_GB2312" w:hAnsi="仿宋_GB2312" w:eastAsia="仿宋_GB2312" w:cs="仿宋_GB2312"/>
          <w:color w:val="auto"/>
          <w:sz w:val="24"/>
          <w:szCs w:val="24"/>
          <w:highlight w:val="none"/>
        </w:rPr>
      </w:pPr>
    </w:p>
    <w:p w14:paraId="01AF7CD7">
      <w:pPr>
        <w:spacing w:line="540" w:lineRule="exact"/>
        <w:contextualSpacing/>
        <w:rPr>
          <w:rFonts w:hint="eastAsia" w:ascii="仿宋_GB2312" w:hAnsi="仿宋_GB2312" w:eastAsia="仿宋_GB2312" w:cs="仿宋_GB2312"/>
          <w:color w:val="auto"/>
          <w:sz w:val="24"/>
          <w:szCs w:val="24"/>
          <w:highlight w:val="none"/>
        </w:rPr>
      </w:pPr>
    </w:p>
    <w:p w14:paraId="201EB316">
      <w:pPr>
        <w:spacing w:line="540" w:lineRule="exact"/>
        <w:contextualSpacing/>
        <w:rPr>
          <w:rFonts w:hint="eastAsia" w:ascii="仿宋_GB2312" w:hAnsi="仿宋_GB2312" w:eastAsia="仿宋_GB2312" w:cs="仿宋_GB2312"/>
          <w:color w:val="auto"/>
          <w:sz w:val="24"/>
          <w:szCs w:val="24"/>
          <w:highlight w:val="none"/>
        </w:rPr>
      </w:pPr>
    </w:p>
    <w:p w14:paraId="556B49DA">
      <w:pPr>
        <w:spacing w:line="540" w:lineRule="exact"/>
        <w:contextualSpacing/>
        <w:rPr>
          <w:rFonts w:hint="eastAsia" w:ascii="仿宋_GB2312" w:hAnsi="仿宋_GB2312" w:eastAsia="仿宋_GB2312" w:cs="仿宋_GB2312"/>
          <w:color w:val="auto"/>
          <w:sz w:val="24"/>
          <w:szCs w:val="24"/>
          <w:highlight w:val="none"/>
        </w:rPr>
      </w:pPr>
    </w:p>
    <w:p w14:paraId="432A286C">
      <w:pPr>
        <w:spacing w:line="540" w:lineRule="exact"/>
        <w:contextualSpacing/>
        <w:rPr>
          <w:rFonts w:hint="eastAsia" w:ascii="仿宋_GB2312" w:hAnsi="仿宋_GB2312" w:eastAsia="仿宋_GB2312" w:cs="仿宋_GB2312"/>
          <w:color w:val="auto"/>
          <w:sz w:val="24"/>
          <w:szCs w:val="24"/>
          <w:highlight w:val="none"/>
        </w:rPr>
      </w:pPr>
    </w:p>
    <w:p w14:paraId="56BAD79F">
      <w:pPr>
        <w:spacing w:line="540" w:lineRule="exact"/>
        <w:contextualSpacing/>
        <w:rPr>
          <w:rFonts w:hint="eastAsia" w:ascii="仿宋_GB2312" w:hAnsi="仿宋_GB2312" w:eastAsia="仿宋_GB2312" w:cs="仿宋_GB2312"/>
          <w:color w:val="auto"/>
          <w:sz w:val="24"/>
          <w:szCs w:val="24"/>
          <w:highlight w:val="none"/>
        </w:rPr>
      </w:pPr>
    </w:p>
    <w:p w14:paraId="6B45B3F9">
      <w:pPr>
        <w:spacing w:line="540" w:lineRule="exact"/>
        <w:contextualSpacing/>
        <w:rPr>
          <w:rFonts w:hint="eastAsia" w:ascii="仿宋_GB2312" w:hAnsi="仿宋_GB2312" w:eastAsia="仿宋_GB2312" w:cs="仿宋_GB2312"/>
          <w:color w:val="auto"/>
          <w:sz w:val="24"/>
          <w:szCs w:val="24"/>
          <w:highlight w:val="none"/>
        </w:rPr>
      </w:pPr>
    </w:p>
    <w:p w14:paraId="0D9E8850">
      <w:pPr>
        <w:spacing w:line="540" w:lineRule="exact"/>
        <w:contextualSpacing/>
        <w:rPr>
          <w:rFonts w:hint="eastAsia" w:ascii="仿宋_GB2312" w:hAnsi="仿宋_GB2312" w:eastAsia="仿宋_GB2312" w:cs="仿宋_GB2312"/>
          <w:color w:val="auto"/>
          <w:sz w:val="24"/>
          <w:szCs w:val="24"/>
          <w:highlight w:val="none"/>
        </w:rPr>
      </w:pPr>
    </w:p>
    <w:p w14:paraId="74237328">
      <w:pPr>
        <w:spacing w:line="540" w:lineRule="exact"/>
        <w:contextualSpacing/>
        <w:rPr>
          <w:rFonts w:hint="eastAsia" w:ascii="仿宋_GB2312" w:hAnsi="仿宋_GB2312" w:eastAsia="仿宋_GB2312" w:cs="仿宋_GB2312"/>
          <w:color w:val="auto"/>
          <w:sz w:val="24"/>
          <w:szCs w:val="24"/>
          <w:highlight w:val="none"/>
        </w:rPr>
      </w:pPr>
    </w:p>
    <w:p w14:paraId="0329E6B6">
      <w:pPr>
        <w:spacing w:line="540" w:lineRule="exact"/>
        <w:contextualSpacing/>
        <w:rPr>
          <w:rFonts w:hint="eastAsia" w:ascii="仿宋_GB2312" w:hAnsi="仿宋_GB2312" w:eastAsia="仿宋_GB2312" w:cs="仿宋_GB2312"/>
          <w:color w:val="auto"/>
          <w:sz w:val="24"/>
          <w:szCs w:val="24"/>
          <w:highlight w:val="none"/>
        </w:rPr>
      </w:pPr>
    </w:p>
    <w:p w14:paraId="20742E3A">
      <w:pPr>
        <w:spacing w:line="540" w:lineRule="exact"/>
        <w:contextualSpacing/>
        <w:rPr>
          <w:rFonts w:hint="eastAsia" w:ascii="仿宋_GB2312" w:hAnsi="仿宋_GB2312" w:eastAsia="仿宋_GB2312" w:cs="仿宋_GB2312"/>
          <w:color w:val="auto"/>
          <w:sz w:val="24"/>
          <w:szCs w:val="24"/>
          <w:highlight w:val="none"/>
        </w:rPr>
      </w:pPr>
    </w:p>
    <w:p w14:paraId="193F2BE8">
      <w:pPr>
        <w:spacing w:line="540" w:lineRule="exact"/>
        <w:contextualSpacing/>
        <w:rPr>
          <w:rFonts w:hint="eastAsia" w:ascii="仿宋_GB2312" w:hAnsi="仿宋_GB2312" w:eastAsia="仿宋_GB2312" w:cs="仿宋_GB2312"/>
          <w:color w:val="auto"/>
          <w:sz w:val="24"/>
          <w:szCs w:val="24"/>
          <w:highlight w:val="none"/>
        </w:rPr>
      </w:pPr>
    </w:p>
    <w:p w14:paraId="49A96706">
      <w:pPr>
        <w:spacing w:line="540" w:lineRule="exact"/>
        <w:contextualSpacing/>
        <w:rPr>
          <w:rFonts w:hint="eastAsia" w:ascii="仿宋_GB2312" w:hAnsi="仿宋_GB2312" w:eastAsia="仿宋_GB2312" w:cs="仿宋_GB2312"/>
          <w:color w:val="auto"/>
          <w:sz w:val="24"/>
          <w:szCs w:val="24"/>
          <w:highlight w:val="none"/>
        </w:rPr>
      </w:pPr>
    </w:p>
    <w:p w14:paraId="3271D899">
      <w:pPr>
        <w:spacing w:line="540" w:lineRule="exact"/>
        <w:contextualSpacing/>
        <w:rPr>
          <w:rFonts w:hint="eastAsia" w:ascii="仿宋_GB2312" w:hAnsi="仿宋_GB2312" w:eastAsia="仿宋_GB2312" w:cs="仿宋_GB2312"/>
          <w:color w:val="auto"/>
          <w:sz w:val="24"/>
          <w:szCs w:val="24"/>
          <w:highlight w:val="none"/>
        </w:rPr>
      </w:pPr>
    </w:p>
    <w:p w14:paraId="75B70AC3">
      <w:pPr>
        <w:spacing w:line="540" w:lineRule="exact"/>
        <w:contextualSpacing/>
        <w:rPr>
          <w:rFonts w:hint="eastAsia" w:ascii="仿宋_GB2312" w:hAnsi="仿宋_GB2312" w:eastAsia="仿宋_GB2312" w:cs="仿宋_GB2312"/>
          <w:color w:val="auto"/>
          <w:sz w:val="24"/>
          <w:szCs w:val="24"/>
          <w:highlight w:val="none"/>
        </w:rPr>
        <w:sectPr>
          <w:headerReference r:id="rId12" w:type="first"/>
          <w:footerReference r:id="rId14" w:type="first"/>
          <w:headerReference r:id="rId11" w:type="default"/>
          <w:footerReference r:id="rId13" w:type="default"/>
          <w:pgSz w:w="11906" w:h="16838"/>
          <w:pgMar w:top="1276" w:right="1418" w:bottom="1247" w:left="1418" w:header="851" w:footer="992" w:gutter="0"/>
          <w:cols w:space="720" w:num="1"/>
          <w:titlePg/>
          <w:docGrid w:linePitch="312" w:charSpace="0"/>
        </w:sectPr>
      </w:pPr>
    </w:p>
    <w:p w14:paraId="4937DB4E">
      <w:pPr>
        <w:spacing w:line="540" w:lineRule="exact"/>
        <w:contextualSpacing/>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一、开标一览表（报价表）</w:t>
      </w:r>
    </w:p>
    <w:p w14:paraId="720E6224">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（采购人）、（采购代理机构）：</w:t>
      </w:r>
    </w:p>
    <w:p w14:paraId="4C43D47A">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按你方招标文件要求，我们，本投标文件签字方，谨此向你方发出要约如下：如你方接受本投标，我方承诺按照如下开标一览表（报价表）的价格完成（项目名称）【招标编号：（采购编号）】的实施。</w:t>
      </w:r>
    </w:p>
    <w:p w14:paraId="1AD32276">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开标一览表（报价表）(单位均为人民币元)</w:t>
      </w:r>
    </w:p>
    <w:tbl>
      <w:tblPr>
        <w:tblStyle w:val="27"/>
        <w:tblW w:w="85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893"/>
        <w:gridCol w:w="929"/>
        <w:gridCol w:w="835"/>
        <w:gridCol w:w="823"/>
        <w:gridCol w:w="1134"/>
        <w:gridCol w:w="1417"/>
        <w:gridCol w:w="965"/>
      </w:tblGrid>
      <w:tr w14:paraId="467D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90" w:type="dxa"/>
            <w:noWrap w:val="0"/>
            <w:vAlign w:val="center"/>
          </w:tcPr>
          <w:p w14:paraId="59A9FA2B">
            <w:pPr>
              <w:spacing w:line="36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1893" w:type="dxa"/>
            <w:noWrap w:val="0"/>
            <w:vAlign w:val="center"/>
          </w:tcPr>
          <w:p w14:paraId="19CC7AB5">
            <w:pPr>
              <w:spacing w:line="36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名称</w:t>
            </w:r>
          </w:p>
        </w:tc>
        <w:tc>
          <w:tcPr>
            <w:tcW w:w="929" w:type="dxa"/>
            <w:noWrap w:val="0"/>
            <w:vAlign w:val="center"/>
          </w:tcPr>
          <w:p w14:paraId="348F091A">
            <w:pPr>
              <w:spacing w:line="36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品牌</w:t>
            </w:r>
          </w:p>
        </w:tc>
        <w:tc>
          <w:tcPr>
            <w:tcW w:w="835" w:type="dxa"/>
            <w:noWrap w:val="0"/>
            <w:vAlign w:val="center"/>
          </w:tcPr>
          <w:p w14:paraId="17264146">
            <w:pPr>
              <w:spacing w:line="36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规格型号</w:t>
            </w:r>
          </w:p>
        </w:tc>
        <w:tc>
          <w:tcPr>
            <w:tcW w:w="823" w:type="dxa"/>
            <w:noWrap w:val="0"/>
            <w:vAlign w:val="center"/>
          </w:tcPr>
          <w:p w14:paraId="119B0454">
            <w:pPr>
              <w:spacing w:line="36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单价</w:t>
            </w:r>
          </w:p>
        </w:tc>
        <w:tc>
          <w:tcPr>
            <w:tcW w:w="1134" w:type="dxa"/>
            <w:noWrap w:val="0"/>
            <w:vAlign w:val="center"/>
          </w:tcPr>
          <w:p w14:paraId="5D17DAD8">
            <w:pPr>
              <w:spacing w:line="36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数量</w:t>
            </w:r>
          </w:p>
        </w:tc>
        <w:tc>
          <w:tcPr>
            <w:tcW w:w="1417" w:type="dxa"/>
            <w:noWrap w:val="0"/>
            <w:vAlign w:val="center"/>
          </w:tcPr>
          <w:p w14:paraId="5EE4F39B">
            <w:pPr>
              <w:spacing w:line="36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总价</w:t>
            </w:r>
          </w:p>
        </w:tc>
        <w:tc>
          <w:tcPr>
            <w:tcW w:w="965" w:type="dxa"/>
            <w:noWrap w:val="0"/>
            <w:vAlign w:val="center"/>
          </w:tcPr>
          <w:p w14:paraId="62A9CD4D">
            <w:pPr>
              <w:spacing w:line="36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r>
      <w:tr w14:paraId="144B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0" w:type="dxa"/>
            <w:noWrap w:val="0"/>
            <w:vAlign w:val="center"/>
          </w:tcPr>
          <w:p w14:paraId="2318F6AD">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893" w:type="dxa"/>
            <w:noWrap w:val="0"/>
            <w:vAlign w:val="bottom"/>
          </w:tcPr>
          <w:p w14:paraId="2BC50968">
            <w:pPr>
              <w:spacing w:line="540" w:lineRule="exact"/>
              <w:contextualSpacing/>
              <w:rPr>
                <w:rFonts w:hint="eastAsia" w:ascii="仿宋_GB2312" w:hAnsi="仿宋_GB2312" w:eastAsia="仿宋_GB2312" w:cs="仿宋_GB2312"/>
                <w:color w:val="auto"/>
                <w:sz w:val="24"/>
                <w:szCs w:val="24"/>
                <w:highlight w:val="none"/>
              </w:rPr>
            </w:pPr>
          </w:p>
        </w:tc>
        <w:tc>
          <w:tcPr>
            <w:tcW w:w="929" w:type="dxa"/>
            <w:noWrap w:val="0"/>
            <w:vAlign w:val="bottom"/>
          </w:tcPr>
          <w:p w14:paraId="6C2D2C51">
            <w:pPr>
              <w:spacing w:line="540" w:lineRule="exact"/>
              <w:contextualSpacing/>
              <w:rPr>
                <w:rFonts w:hint="eastAsia" w:ascii="仿宋_GB2312" w:hAnsi="仿宋_GB2312" w:eastAsia="仿宋_GB2312" w:cs="仿宋_GB2312"/>
                <w:color w:val="auto"/>
                <w:sz w:val="24"/>
                <w:szCs w:val="24"/>
                <w:highlight w:val="none"/>
              </w:rPr>
            </w:pPr>
          </w:p>
        </w:tc>
        <w:tc>
          <w:tcPr>
            <w:tcW w:w="835" w:type="dxa"/>
            <w:noWrap w:val="0"/>
            <w:vAlign w:val="bottom"/>
          </w:tcPr>
          <w:p w14:paraId="4F923CAA">
            <w:pPr>
              <w:spacing w:line="540" w:lineRule="exact"/>
              <w:contextualSpacing/>
              <w:rPr>
                <w:rFonts w:hint="eastAsia" w:ascii="仿宋_GB2312" w:hAnsi="仿宋_GB2312" w:eastAsia="仿宋_GB2312" w:cs="仿宋_GB2312"/>
                <w:color w:val="auto"/>
                <w:sz w:val="24"/>
                <w:szCs w:val="24"/>
                <w:highlight w:val="none"/>
              </w:rPr>
            </w:pPr>
          </w:p>
        </w:tc>
        <w:tc>
          <w:tcPr>
            <w:tcW w:w="823" w:type="dxa"/>
            <w:noWrap w:val="0"/>
            <w:vAlign w:val="center"/>
          </w:tcPr>
          <w:p w14:paraId="326BFD8C">
            <w:pPr>
              <w:spacing w:line="540" w:lineRule="exact"/>
              <w:contextualSpacing/>
              <w:rPr>
                <w:rFonts w:hint="eastAsia" w:ascii="仿宋_GB2312" w:hAnsi="仿宋_GB2312" w:eastAsia="仿宋_GB2312" w:cs="仿宋_GB2312"/>
                <w:color w:val="auto"/>
                <w:sz w:val="24"/>
                <w:szCs w:val="24"/>
                <w:highlight w:val="none"/>
              </w:rPr>
            </w:pPr>
          </w:p>
        </w:tc>
        <w:tc>
          <w:tcPr>
            <w:tcW w:w="1134" w:type="dxa"/>
            <w:noWrap w:val="0"/>
            <w:vAlign w:val="center"/>
          </w:tcPr>
          <w:p w14:paraId="1390B6E8">
            <w:pPr>
              <w:spacing w:line="540" w:lineRule="exact"/>
              <w:contextualSpacing/>
              <w:rPr>
                <w:rFonts w:hint="eastAsia" w:ascii="仿宋_GB2312" w:hAnsi="仿宋_GB2312" w:eastAsia="仿宋_GB2312" w:cs="仿宋_GB2312"/>
                <w:color w:val="auto"/>
                <w:sz w:val="24"/>
                <w:szCs w:val="24"/>
                <w:highlight w:val="none"/>
              </w:rPr>
            </w:pPr>
          </w:p>
        </w:tc>
        <w:tc>
          <w:tcPr>
            <w:tcW w:w="1417" w:type="dxa"/>
            <w:noWrap w:val="0"/>
            <w:vAlign w:val="center"/>
          </w:tcPr>
          <w:p w14:paraId="15FA8AD1">
            <w:pPr>
              <w:spacing w:line="540" w:lineRule="exact"/>
              <w:contextualSpacing/>
              <w:rPr>
                <w:rFonts w:hint="eastAsia" w:ascii="仿宋_GB2312" w:hAnsi="仿宋_GB2312" w:eastAsia="仿宋_GB2312" w:cs="仿宋_GB2312"/>
                <w:color w:val="auto"/>
                <w:sz w:val="24"/>
                <w:szCs w:val="24"/>
                <w:highlight w:val="none"/>
              </w:rPr>
            </w:pPr>
          </w:p>
        </w:tc>
        <w:tc>
          <w:tcPr>
            <w:tcW w:w="965" w:type="dxa"/>
            <w:noWrap w:val="0"/>
            <w:vAlign w:val="center"/>
          </w:tcPr>
          <w:p w14:paraId="30F78179">
            <w:pPr>
              <w:spacing w:line="540" w:lineRule="exact"/>
              <w:contextualSpacing/>
              <w:rPr>
                <w:rFonts w:hint="eastAsia" w:ascii="仿宋_GB2312" w:hAnsi="仿宋_GB2312" w:eastAsia="仿宋_GB2312" w:cs="仿宋_GB2312"/>
                <w:color w:val="auto"/>
                <w:sz w:val="24"/>
                <w:szCs w:val="24"/>
                <w:highlight w:val="none"/>
              </w:rPr>
            </w:pPr>
          </w:p>
        </w:tc>
      </w:tr>
      <w:tr w14:paraId="3ACF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90" w:type="dxa"/>
            <w:noWrap w:val="0"/>
            <w:vAlign w:val="center"/>
          </w:tcPr>
          <w:p w14:paraId="336E6BE2">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893" w:type="dxa"/>
            <w:noWrap w:val="0"/>
            <w:vAlign w:val="bottom"/>
          </w:tcPr>
          <w:p w14:paraId="6CDDAAFA">
            <w:pPr>
              <w:spacing w:line="540" w:lineRule="exact"/>
              <w:contextualSpacing/>
              <w:rPr>
                <w:rFonts w:hint="eastAsia" w:ascii="仿宋_GB2312" w:hAnsi="仿宋_GB2312" w:eastAsia="仿宋_GB2312" w:cs="仿宋_GB2312"/>
                <w:color w:val="auto"/>
                <w:sz w:val="24"/>
                <w:szCs w:val="24"/>
                <w:highlight w:val="none"/>
              </w:rPr>
            </w:pPr>
          </w:p>
        </w:tc>
        <w:tc>
          <w:tcPr>
            <w:tcW w:w="929" w:type="dxa"/>
            <w:noWrap w:val="0"/>
            <w:vAlign w:val="bottom"/>
          </w:tcPr>
          <w:p w14:paraId="70317175">
            <w:pPr>
              <w:spacing w:line="540" w:lineRule="exact"/>
              <w:contextualSpacing/>
              <w:rPr>
                <w:rFonts w:hint="eastAsia" w:ascii="仿宋_GB2312" w:hAnsi="仿宋_GB2312" w:eastAsia="仿宋_GB2312" w:cs="仿宋_GB2312"/>
                <w:color w:val="auto"/>
                <w:sz w:val="24"/>
                <w:szCs w:val="24"/>
                <w:highlight w:val="none"/>
              </w:rPr>
            </w:pPr>
          </w:p>
        </w:tc>
        <w:tc>
          <w:tcPr>
            <w:tcW w:w="835" w:type="dxa"/>
            <w:noWrap w:val="0"/>
            <w:vAlign w:val="bottom"/>
          </w:tcPr>
          <w:p w14:paraId="2206E1FB">
            <w:pPr>
              <w:spacing w:line="540" w:lineRule="exact"/>
              <w:contextualSpacing/>
              <w:rPr>
                <w:rFonts w:hint="eastAsia" w:ascii="仿宋_GB2312" w:hAnsi="仿宋_GB2312" w:eastAsia="仿宋_GB2312" w:cs="仿宋_GB2312"/>
                <w:color w:val="auto"/>
                <w:sz w:val="24"/>
                <w:szCs w:val="24"/>
                <w:highlight w:val="none"/>
              </w:rPr>
            </w:pPr>
          </w:p>
        </w:tc>
        <w:tc>
          <w:tcPr>
            <w:tcW w:w="823" w:type="dxa"/>
            <w:noWrap w:val="0"/>
            <w:vAlign w:val="center"/>
          </w:tcPr>
          <w:p w14:paraId="6E937B34">
            <w:pPr>
              <w:spacing w:line="540" w:lineRule="exact"/>
              <w:contextualSpacing/>
              <w:rPr>
                <w:rFonts w:hint="eastAsia" w:ascii="仿宋_GB2312" w:hAnsi="仿宋_GB2312" w:eastAsia="仿宋_GB2312" w:cs="仿宋_GB2312"/>
                <w:color w:val="auto"/>
                <w:sz w:val="24"/>
                <w:szCs w:val="24"/>
                <w:highlight w:val="none"/>
              </w:rPr>
            </w:pPr>
          </w:p>
        </w:tc>
        <w:tc>
          <w:tcPr>
            <w:tcW w:w="1134" w:type="dxa"/>
            <w:noWrap w:val="0"/>
            <w:vAlign w:val="center"/>
          </w:tcPr>
          <w:p w14:paraId="1915E163">
            <w:pPr>
              <w:spacing w:line="540" w:lineRule="exact"/>
              <w:contextualSpacing/>
              <w:rPr>
                <w:rFonts w:hint="eastAsia" w:ascii="仿宋_GB2312" w:hAnsi="仿宋_GB2312" w:eastAsia="仿宋_GB2312" w:cs="仿宋_GB2312"/>
                <w:color w:val="auto"/>
                <w:sz w:val="24"/>
                <w:szCs w:val="24"/>
                <w:highlight w:val="none"/>
              </w:rPr>
            </w:pPr>
          </w:p>
        </w:tc>
        <w:tc>
          <w:tcPr>
            <w:tcW w:w="1417" w:type="dxa"/>
            <w:noWrap w:val="0"/>
            <w:vAlign w:val="center"/>
          </w:tcPr>
          <w:p w14:paraId="04BD3284">
            <w:pPr>
              <w:spacing w:line="540" w:lineRule="exact"/>
              <w:contextualSpacing/>
              <w:rPr>
                <w:rFonts w:hint="eastAsia" w:ascii="仿宋_GB2312" w:hAnsi="仿宋_GB2312" w:eastAsia="仿宋_GB2312" w:cs="仿宋_GB2312"/>
                <w:color w:val="auto"/>
                <w:sz w:val="24"/>
                <w:szCs w:val="24"/>
                <w:highlight w:val="none"/>
              </w:rPr>
            </w:pPr>
          </w:p>
        </w:tc>
        <w:tc>
          <w:tcPr>
            <w:tcW w:w="965" w:type="dxa"/>
            <w:noWrap w:val="0"/>
            <w:vAlign w:val="center"/>
          </w:tcPr>
          <w:p w14:paraId="4A1721C2">
            <w:pPr>
              <w:spacing w:line="540" w:lineRule="exact"/>
              <w:contextualSpacing/>
              <w:rPr>
                <w:rFonts w:hint="eastAsia" w:ascii="仿宋_GB2312" w:hAnsi="仿宋_GB2312" w:eastAsia="仿宋_GB2312" w:cs="仿宋_GB2312"/>
                <w:color w:val="auto"/>
                <w:sz w:val="24"/>
                <w:szCs w:val="24"/>
                <w:highlight w:val="none"/>
              </w:rPr>
            </w:pPr>
          </w:p>
        </w:tc>
      </w:tr>
      <w:tr w14:paraId="6FA1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590" w:type="dxa"/>
            <w:noWrap w:val="0"/>
            <w:vAlign w:val="center"/>
          </w:tcPr>
          <w:p w14:paraId="7453B574">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1893" w:type="dxa"/>
            <w:noWrap w:val="0"/>
            <w:vAlign w:val="bottom"/>
          </w:tcPr>
          <w:p w14:paraId="4C7B2AD6">
            <w:pPr>
              <w:spacing w:line="540" w:lineRule="exact"/>
              <w:contextualSpacing/>
              <w:rPr>
                <w:rFonts w:hint="eastAsia" w:ascii="仿宋_GB2312" w:hAnsi="仿宋_GB2312" w:eastAsia="仿宋_GB2312" w:cs="仿宋_GB2312"/>
                <w:color w:val="auto"/>
                <w:sz w:val="24"/>
                <w:szCs w:val="24"/>
                <w:highlight w:val="none"/>
              </w:rPr>
            </w:pPr>
          </w:p>
        </w:tc>
        <w:tc>
          <w:tcPr>
            <w:tcW w:w="929" w:type="dxa"/>
            <w:noWrap w:val="0"/>
            <w:vAlign w:val="bottom"/>
          </w:tcPr>
          <w:p w14:paraId="3BA2A220">
            <w:pPr>
              <w:spacing w:line="540" w:lineRule="exact"/>
              <w:contextualSpacing/>
              <w:rPr>
                <w:rFonts w:hint="eastAsia" w:ascii="仿宋_GB2312" w:hAnsi="仿宋_GB2312" w:eastAsia="仿宋_GB2312" w:cs="仿宋_GB2312"/>
                <w:color w:val="auto"/>
                <w:sz w:val="24"/>
                <w:szCs w:val="24"/>
                <w:highlight w:val="none"/>
              </w:rPr>
            </w:pPr>
          </w:p>
        </w:tc>
        <w:tc>
          <w:tcPr>
            <w:tcW w:w="835" w:type="dxa"/>
            <w:noWrap w:val="0"/>
            <w:vAlign w:val="bottom"/>
          </w:tcPr>
          <w:p w14:paraId="34869C74">
            <w:pPr>
              <w:spacing w:line="540" w:lineRule="exact"/>
              <w:contextualSpacing/>
              <w:rPr>
                <w:rFonts w:hint="eastAsia" w:ascii="仿宋_GB2312" w:hAnsi="仿宋_GB2312" w:eastAsia="仿宋_GB2312" w:cs="仿宋_GB2312"/>
                <w:color w:val="auto"/>
                <w:sz w:val="24"/>
                <w:szCs w:val="24"/>
                <w:highlight w:val="none"/>
              </w:rPr>
            </w:pPr>
          </w:p>
        </w:tc>
        <w:tc>
          <w:tcPr>
            <w:tcW w:w="823" w:type="dxa"/>
            <w:noWrap w:val="0"/>
            <w:vAlign w:val="center"/>
          </w:tcPr>
          <w:p w14:paraId="787D871D">
            <w:pPr>
              <w:spacing w:line="540" w:lineRule="exact"/>
              <w:contextualSpacing/>
              <w:rPr>
                <w:rFonts w:hint="eastAsia" w:ascii="仿宋_GB2312" w:hAnsi="仿宋_GB2312" w:eastAsia="仿宋_GB2312" w:cs="仿宋_GB2312"/>
                <w:color w:val="auto"/>
                <w:sz w:val="24"/>
                <w:szCs w:val="24"/>
                <w:highlight w:val="none"/>
              </w:rPr>
            </w:pPr>
          </w:p>
        </w:tc>
        <w:tc>
          <w:tcPr>
            <w:tcW w:w="1134" w:type="dxa"/>
            <w:noWrap w:val="0"/>
            <w:vAlign w:val="center"/>
          </w:tcPr>
          <w:p w14:paraId="0910A376">
            <w:pPr>
              <w:spacing w:line="540" w:lineRule="exact"/>
              <w:contextualSpacing/>
              <w:rPr>
                <w:rFonts w:hint="eastAsia" w:ascii="仿宋_GB2312" w:hAnsi="仿宋_GB2312" w:eastAsia="仿宋_GB2312" w:cs="仿宋_GB2312"/>
                <w:color w:val="auto"/>
                <w:sz w:val="24"/>
                <w:szCs w:val="24"/>
                <w:highlight w:val="none"/>
              </w:rPr>
            </w:pPr>
          </w:p>
        </w:tc>
        <w:tc>
          <w:tcPr>
            <w:tcW w:w="1417" w:type="dxa"/>
            <w:noWrap w:val="0"/>
            <w:vAlign w:val="center"/>
          </w:tcPr>
          <w:p w14:paraId="2FF482B0">
            <w:pPr>
              <w:spacing w:line="540" w:lineRule="exact"/>
              <w:contextualSpacing/>
              <w:rPr>
                <w:rFonts w:hint="eastAsia" w:ascii="仿宋_GB2312" w:hAnsi="仿宋_GB2312" w:eastAsia="仿宋_GB2312" w:cs="仿宋_GB2312"/>
                <w:color w:val="auto"/>
                <w:sz w:val="24"/>
                <w:szCs w:val="24"/>
                <w:highlight w:val="none"/>
              </w:rPr>
            </w:pPr>
          </w:p>
        </w:tc>
        <w:tc>
          <w:tcPr>
            <w:tcW w:w="965" w:type="dxa"/>
            <w:noWrap w:val="0"/>
            <w:vAlign w:val="center"/>
          </w:tcPr>
          <w:p w14:paraId="2CDD488D">
            <w:pPr>
              <w:spacing w:line="540" w:lineRule="exact"/>
              <w:contextualSpacing/>
              <w:rPr>
                <w:rFonts w:hint="eastAsia" w:ascii="仿宋_GB2312" w:hAnsi="仿宋_GB2312" w:eastAsia="仿宋_GB2312" w:cs="仿宋_GB2312"/>
                <w:color w:val="auto"/>
                <w:sz w:val="24"/>
                <w:szCs w:val="24"/>
                <w:highlight w:val="none"/>
              </w:rPr>
            </w:pPr>
          </w:p>
        </w:tc>
      </w:tr>
      <w:tr w14:paraId="2407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90" w:type="dxa"/>
            <w:noWrap w:val="0"/>
            <w:vAlign w:val="center"/>
          </w:tcPr>
          <w:p w14:paraId="2B9950D8">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1893" w:type="dxa"/>
            <w:noWrap w:val="0"/>
            <w:vAlign w:val="bottom"/>
          </w:tcPr>
          <w:p w14:paraId="4D018607">
            <w:pPr>
              <w:spacing w:line="540" w:lineRule="exact"/>
              <w:contextualSpacing/>
              <w:rPr>
                <w:rFonts w:hint="eastAsia" w:ascii="仿宋_GB2312" w:hAnsi="仿宋_GB2312" w:eastAsia="仿宋_GB2312" w:cs="仿宋_GB2312"/>
                <w:color w:val="auto"/>
                <w:sz w:val="24"/>
                <w:szCs w:val="24"/>
                <w:highlight w:val="none"/>
              </w:rPr>
            </w:pPr>
          </w:p>
        </w:tc>
        <w:tc>
          <w:tcPr>
            <w:tcW w:w="929" w:type="dxa"/>
            <w:noWrap w:val="0"/>
            <w:vAlign w:val="bottom"/>
          </w:tcPr>
          <w:p w14:paraId="0FCD0E20">
            <w:pPr>
              <w:spacing w:line="540" w:lineRule="exact"/>
              <w:contextualSpacing/>
              <w:rPr>
                <w:rFonts w:hint="eastAsia" w:ascii="仿宋_GB2312" w:hAnsi="仿宋_GB2312" w:eastAsia="仿宋_GB2312" w:cs="仿宋_GB2312"/>
                <w:color w:val="auto"/>
                <w:sz w:val="24"/>
                <w:szCs w:val="24"/>
                <w:highlight w:val="none"/>
              </w:rPr>
            </w:pPr>
          </w:p>
        </w:tc>
        <w:tc>
          <w:tcPr>
            <w:tcW w:w="835" w:type="dxa"/>
            <w:noWrap w:val="0"/>
            <w:vAlign w:val="bottom"/>
          </w:tcPr>
          <w:p w14:paraId="4DF1E064">
            <w:pPr>
              <w:spacing w:line="540" w:lineRule="exact"/>
              <w:contextualSpacing/>
              <w:rPr>
                <w:rFonts w:hint="eastAsia" w:ascii="仿宋_GB2312" w:hAnsi="仿宋_GB2312" w:eastAsia="仿宋_GB2312" w:cs="仿宋_GB2312"/>
                <w:color w:val="auto"/>
                <w:sz w:val="24"/>
                <w:szCs w:val="24"/>
                <w:highlight w:val="none"/>
              </w:rPr>
            </w:pPr>
          </w:p>
        </w:tc>
        <w:tc>
          <w:tcPr>
            <w:tcW w:w="823" w:type="dxa"/>
            <w:noWrap w:val="0"/>
            <w:vAlign w:val="center"/>
          </w:tcPr>
          <w:p w14:paraId="71194EC4">
            <w:pPr>
              <w:spacing w:line="540" w:lineRule="exact"/>
              <w:contextualSpacing/>
              <w:rPr>
                <w:rFonts w:hint="eastAsia" w:ascii="仿宋_GB2312" w:hAnsi="仿宋_GB2312" w:eastAsia="仿宋_GB2312" w:cs="仿宋_GB2312"/>
                <w:color w:val="auto"/>
                <w:sz w:val="24"/>
                <w:szCs w:val="24"/>
                <w:highlight w:val="none"/>
              </w:rPr>
            </w:pPr>
          </w:p>
        </w:tc>
        <w:tc>
          <w:tcPr>
            <w:tcW w:w="1134" w:type="dxa"/>
            <w:noWrap w:val="0"/>
            <w:vAlign w:val="center"/>
          </w:tcPr>
          <w:p w14:paraId="58A7AE41">
            <w:pPr>
              <w:spacing w:line="540" w:lineRule="exact"/>
              <w:contextualSpacing/>
              <w:rPr>
                <w:rFonts w:hint="eastAsia" w:ascii="仿宋_GB2312" w:hAnsi="仿宋_GB2312" w:eastAsia="仿宋_GB2312" w:cs="仿宋_GB2312"/>
                <w:color w:val="auto"/>
                <w:sz w:val="24"/>
                <w:szCs w:val="24"/>
                <w:highlight w:val="none"/>
              </w:rPr>
            </w:pPr>
          </w:p>
        </w:tc>
        <w:tc>
          <w:tcPr>
            <w:tcW w:w="1417" w:type="dxa"/>
            <w:noWrap w:val="0"/>
            <w:vAlign w:val="center"/>
          </w:tcPr>
          <w:p w14:paraId="612E604B">
            <w:pPr>
              <w:spacing w:line="540" w:lineRule="exact"/>
              <w:contextualSpacing/>
              <w:rPr>
                <w:rFonts w:hint="eastAsia" w:ascii="仿宋_GB2312" w:hAnsi="仿宋_GB2312" w:eastAsia="仿宋_GB2312" w:cs="仿宋_GB2312"/>
                <w:color w:val="auto"/>
                <w:sz w:val="24"/>
                <w:szCs w:val="24"/>
                <w:highlight w:val="none"/>
              </w:rPr>
            </w:pPr>
          </w:p>
        </w:tc>
        <w:tc>
          <w:tcPr>
            <w:tcW w:w="965" w:type="dxa"/>
            <w:noWrap w:val="0"/>
            <w:vAlign w:val="center"/>
          </w:tcPr>
          <w:p w14:paraId="1A3678AF">
            <w:pPr>
              <w:spacing w:line="540" w:lineRule="exact"/>
              <w:contextualSpacing/>
              <w:rPr>
                <w:rFonts w:hint="eastAsia" w:ascii="仿宋_GB2312" w:hAnsi="仿宋_GB2312" w:eastAsia="仿宋_GB2312" w:cs="仿宋_GB2312"/>
                <w:color w:val="auto"/>
                <w:sz w:val="24"/>
                <w:szCs w:val="24"/>
                <w:highlight w:val="none"/>
              </w:rPr>
            </w:pPr>
          </w:p>
        </w:tc>
      </w:tr>
      <w:tr w14:paraId="57A6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590" w:type="dxa"/>
            <w:noWrap w:val="0"/>
            <w:vAlign w:val="center"/>
          </w:tcPr>
          <w:p w14:paraId="0341D7C3">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1893" w:type="dxa"/>
            <w:noWrap w:val="0"/>
            <w:vAlign w:val="bottom"/>
          </w:tcPr>
          <w:p w14:paraId="3DB283E9">
            <w:pPr>
              <w:spacing w:line="540" w:lineRule="exact"/>
              <w:contextualSpacing/>
              <w:rPr>
                <w:rFonts w:hint="eastAsia" w:ascii="仿宋_GB2312" w:hAnsi="仿宋_GB2312" w:eastAsia="仿宋_GB2312" w:cs="仿宋_GB2312"/>
                <w:color w:val="auto"/>
                <w:sz w:val="24"/>
                <w:szCs w:val="24"/>
                <w:highlight w:val="none"/>
              </w:rPr>
            </w:pPr>
          </w:p>
        </w:tc>
        <w:tc>
          <w:tcPr>
            <w:tcW w:w="929" w:type="dxa"/>
            <w:noWrap w:val="0"/>
            <w:vAlign w:val="bottom"/>
          </w:tcPr>
          <w:p w14:paraId="1209B329">
            <w:pPr>
              <w:spacing w:line="540" w:lineRule="exact"/>
              <w:contextualSpacing/>
              <w:rPr>
                <w:rFonts w:hint="eastAsia" w:ascii="仿宋_GB2312" w:hAnsi="仿宋_GB2312" w:eastAsia="仿宋_GB2312" w:cs="仿宋_GB2312"/>
                <w:color w:val="auto"/>
                <w:sz w:val="24"/>
                <w:szCs w:val="24"/>
                <w:highlight w:val="none"/>
              </w:rPr>
            </w:pPr>
          </w:p>
        </w:tc>
        <w:tc>
          <w:tcPr>
            <w:tcW w:w="835" w:type="dxa"/>
            <w:noWrap w:val="0"/>
            <w:vAlign w:val="bottom"/>
          </w:tcPr>
          <w:p w14:paraId="17A1A57E">
            <w:pPr>
              <w:spacing w:line="540" w:lineRule="exact"/>
              <w:contextualSpacing/>
              <w:rPr>
                <w:rFonts w:hint="eastAsia" w:ascii="仿宋_GB2312" w:hAnsi="仿宋_GB2312" w:eastAsia="仿宋_GB2312" w:cs="仿宋_GB2312"/>
                <w:color w:val="auto"/>
                <w:sz w:val="24"/>
                <w:szCs w:val="24"/>
                <w:highlight w:val="none"/>
              </w:rPr>
            </w:pPr>
          </w:p>
        </w:tc>
        <w:tc>
          <w:tcPr>
            <w:tcW w:w="823" w:type="dxa"/>
            <w:noWrap w:val="0"/>
            <w:vAlign w:val="center"/>
          </w:tcPr>
          <w:p w14:paraId="335E782C">
            <w:pPr>
              <w:spacing w:line="540" w:lineRule="exact"/>
              <w:contextualSpacing/>
              <w:rPr>
                <w:rFonts w:hint="eastAsia" w:ascii="仿宋_GB2312" w:hAnsi="仿宋_GB2312" w:eastAsia="仿宋_GB2312" w:cs="仿宋_GB2312"/>
                <w:color w:val="auto"/>
                <w:sz w:val="24"/>
                <w:szCs w:val="24"/>
                <w:highlight w:val="none"/>
              </w:rPr>
            </w:pPr>
          </w:p>
        </w:tc>
        <w:tc>
          <w:tcPr>
            <w:tcW w:w="1134" w:type="dxa"/>
            <w:noWrap w:val="0"/>
            <w:vAlign w:val="center"/>
          </w:tcPr>
          <w:p w14:paraId="4473B4D5">
            <w:pPr>
              <w:spacing w:line="540" w:lineRule="exact"/>
              <w:contextualSpacing/>
              <w:rPr>
                <w:rFonts w:hint="eastAsia" w:ascii="仿宋_GB2312" w:hAnsi="仿宋_GB2312" w:eastAsia="仿宋_GB2312" w:cs="仿宋_GB2312"/>
                <w:color w:val="auto"/>
                <w:sz w:val="24"/>
                <w:szCs w:val="24"/>
                <w:highlight w:val="none"/>
              </w:rPr>
            </w:pPr>
          </w:p>
        </w:tc>
        <w:tc>
          <w:tcPr>
            <w:tcW w:w="1417" w:type="dxa"/>
            <w:noWrap w:val="0"/>
            <w:vAlign w:val="center"/>
          </w:tcPr>
          <w:p w14:paraId="3A5F0690">
            <w:pPr>
              <w:spacing w:line="540" w:lineRule="exact"/>
              <w:contextualSpacing/>
              <w:rPr>
                <w:rFonts w:hint="eastAsia" w:ascii="仿宋_GB2312" w:hAnsi="仿宋_GB2312" w:eastAsia="仿宋_GB2312" w:cs="仿宋_GB2312"/>
                <w:color w:val="auto"/>
                <w:sz w:val="24"/>
                <w:szCs w:val="24"/>
                <w:highlight w:val="none"/>
              </w:rPr>
            </w:pPr>
          </w:p>
        </w:tc>
        <w:tc>
          <w:tcPr>
            <w:tcW w:w="965" w:type="dxa"/>
            <w:noWrap w:val="0"/>
            <w:vAlign w:val="center"/>
          </w:tcPr>
          <w:p w14:paraId="45FBBB25">
            <w:pPr>
              <w:spacing w:line="540" w:lineRule="exact"/>
              <w:contextualSpacing/>
              <w:rPr>
                <w:rFonts w:hint="eastAsia" w:ascii="仿宋_GB2312" w:hAnsi="仿宋_GB2312" w:eastAsia="仿宋_GB2312" w:cs="仿宋_GB2312"/>
                <w:color w:val="auto"/>
                <w:sz w:val="24"/>
                <w:szCs w:val="24"/>
                <w:highlight w:val="none"/>
              </w:rPr>
            </w:pPr>
          </w:p>
        </w:tc>
      </w:tr>
      <w:tr w14:paraId="7304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590" w:type="dxa"/>
            <w:noWrap w:val="0"/>
            <w:vAlign w:val="center"/>
          </w:tcPr>
          <w:p w14:paraId="1458979F">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1893" w:type="dxa"/>
            <w:noWrap w:val="0"/>
            <w:vAlign w:val="bottom"/>
          </w:tcPr>
          <w:p w14:paraId="0B609E02">
            <w:pPr>
              <w:spacing w:line="540" w:lineRule="exact"/>
              <w:contextualSpacing/>
              <w:rPr>
                <w:rFonts w:hint="eastAsia" w:ascii="仿宋_GB2312" w:hAnsi="仿宋_GB2312" w:eastAsia="仿宋_GB2312" w:cs="仿宋_GB2312"/>
                <w:color w:val="auto"/>
                <w:sz w:val="24"/>
                <w:szCs w:val="24"/>
                <w:highlight w:val="none"/>
              </w:rPr>
            </w:pPr>
          </w:p>
        </w:tc>
        <w:tc>
          <w:tcPr>
            <w:tcW w:w="929" w:type="dxa"/>
            <w:noWrap w:val="0"/>
            <w:vAlign w:val="bottom"/>
          </w:tcPr>
          <w:p w14:paraId="6A0B9AA8">
            <w:pPr>
              <w:spacing w:line="540" w:lineRule="exact"/>
              <w:contextualSpacing/>
              <w:rPr>
                <w:rFonts w:hint="eastAsia" w:ascii="仿宋_GB2312" w:hAnsi="仿宋_GB2312" w:eastAsia="仿宋_GB2312" w:cs="仿宋_GB2312"/>
                <w:color w:val="auto"/>
                <w:sz w:val="24"/>
                <w:szCs w:val="24"/>
                <w:highlight w:val="none"/>
              </w:rPr>
            </w:pPr>
          </w:p>
        </w:tc>
        <w:tc>
          <w:tcPr>
            <w:tcW w:w="835" w:type="dxa"/>
            <w:noWrap w:val="0"/>
            <w:vAlign w:val="bottom"/>
          </w:tcPr>
          <w:p w14:paraId="51633DCA">
            <w:pPr>
              <w:spacing w:line="540" w:lineRule="exact"/>
              <w:contextualSpacing/>
              <w:rPr>
                <w:rFonts w:hint="eastAsia" w:ascii="仿宋_GB2312" w:hAnsi="仿宋_GB2312" w:eastAsia="仿宋_GB2312" w:cs="仿宋_GB2312"/>
                <w:color w:val="auto"/>
                <w:sz w:val="24"/>
                <w:szCs w:val="24"/>
                <w:highlight w:val="none"/>
              </w:rPr>
            </w:pPr>
          </w:p>
        </w:tc>
        <w:tc>
          <w:tcPr>
            <w:tcW w:w="823" w:type="dxa"/>
            <w:noWrap w:val="0"/>
            <w:vAlign w:val="center"/>
          </w:tcPr>
          <w:p w14:paraId="0B428E20">
            <w:pPr>
              <w:spacing w:line="540" w:lineRule="exact"/>
              <w:contextualSpacing/>
              <w:rPr>
                <w:rFonts w:hint="eastAsia" w:ascii="仿宋_GB2312" w:hAnsi="仿宋_GB2312" w:eastAsia="仿宋_GB2312" w:cs="仿宋_GB2312"/>
                <w:color w:val="auto"/>
                <w:sz w:val="24"/>
                <w:szCs w:val="24"/>
                <w:highlight w:val="none"/>
              </w:rPr>
            </w:pPr>
          </w:p>
        </w:tc>
        <w:tc>
          <w:tcPr>
            <w:tcW w:w="1134" w:type="dxa"/>
            <w:noWrap w:val="0"/>
            <w:vAlign w:val="center"/>
          </w:tcPr>
          <w:p w14:paraId="244258EE">
            <w:pPr>
              <w:spacing w:line="540" w:lineRule="exact"/>
              <w:contextualSpacing/>
              <w:rPr>
                <w:rFonts w:hint="eastAsia" w:ascii="仿宋_GB2312" w:hAnsi="仿宋_GB2312" w:eastAsia="仿宋_GB2312" w:cs="仿宋_GB2312"/>
                <w:color w:val="auto"/>
                <w:sz w:val="24"/>
                <w:szCs w:val="24"/>
                <w:highlight w:val="none"/>
              </w:rPr>
            </w:pPr>
          </w:p>
        </w:tc>
        <w:tc>
          <w:tcPr>
            <w:tcW w:w="1417" w:type="dxa"/>
            <w:noWrap w:val="0"/>
            <w:vAlign w:val="center"/>
          </w:tcPr>
          <w:p w14:paraId="52AC3487">
            <w:pPr>
              <w:spacing w:line="540" w:lineRule="exact"/>
              <w:contextualSpacing/>
              <w:rPr>
                <w:rFonts w:hint="eastAsia" w:ascii="仿宋_GB2312" w:hAnsi="仿宋_GB2312" w:eastAsia="仿宋_GB2312" w:cs="仿宋_GB2312"/>
                <w:color w:val="auto"/>
                <w:sz w:val="24"/>
                <w:szCs w:val="24"/>
                <w:highlight w:val="none"/>
              </w:rPr>
            </w:pPr>
          </w:p>
        </w:tc>
        <w:tc>
          <w:tcPr>
            <w:tcW w:w="965" w:type="dxa"/>
            <w:noWrap w:val="0"/>
            <w:vAlign w:val="center"/>
          </w:tcPr>
          <w:p w14:paraId="211B5AEB">
            <w:pPr>
              <w:spacing w:line="540" w:lineRule="exact"/>
              <w:contextualSpacing/>
              <w:rPr>
                <w:rFonts w:hint="eastAsia" w:ascii="仿宋_GB2312" w:hAnsi="仿宋_GB2312" w:eastAsia="仿宋_GB2312" w:cs="仿宋_GB2312"/>
                <w:color w:val="auto"/>
                <w:sz w:val="24"/>
                <w:szCs w:val="24"/>
                <w:highlight w:val="none"/>
              </w:rPr>
            </w:pPr>
          </w:p>
        </w:tc>
      </w:tr>
      <w:tr w14:paraId="2D24D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590" w:type="dxa"/>
            <w:noWrap w:val="0"/>
            <w:vAlign w:val="center"/>
          </w:tcPr>
          <w:p w14:paraId="32272EE2">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1893" w:type="dxa"/>
            <w:noWrap w:val="0"/>
            <w:vAlign w:val="center"/>
          </w:tcPr>
          <w:p w14:paraId="3AF5E8A7">
            <w:pPr>
              <w:spacing w:line="540" w:lineRule="exact"/>
              <w:contextualSpacing/>
              <w:rPr>
                <w:rFonts w:hint="eastAsia" w:ascii="仿宋_GB2312" w:hAnsi="仿宋_GB2312" w:eastAsia="仿宋_GB2312" w:cs="仿宋_GB2312"/>
                <w:color w:val="auto"/>
                <w:sz w:val="24"/>
                <w:szCs w:val="24"/>
                <w:highlight w:val="none"/>
              </w:rPr>
            </w:pPr>
          </w:p>
        </w:tc>
        <w:tc>
          <w:tcPr>
            <w:tcW w:w="929" w:type="dxa"/>
            <w:noWrap w:val="0"/>
            <w:vAlign w:val="center"/>
          </w:tcPr>
          <w:p w14:paraId="4448F2A6">
            <w:pPr>
              <w:spacing w:line="540" w:lineRule="exact"/>
              <w:contextualSpacing/>
              <w:rPr>
                <w:rFonts w:hint="eastAsia" w:ascii="仿宋_GB2312" w:hAnsi="仿宋_GB2312" w:eastAsia="仿宋_GB2312" w:cs="仿宋_GB2312"/>
                <w:color w:val="auto"/>
                <w:sz w:val="24"/>
                <w:szCs w:val="24"/>
                <w:highlight w:val="none"/>
              </w:rPr>
            </w:pPr>
          </w:p>
        </w:tc>
        <w:tc>
          <w:tcPr>
            <w:tcW w:w="835" w:type="dxa"/>
            <w:noWrap w:val="0"/>
            <w:vAlign w:val="center"/>
          </w:tcPr>
          <w:p w14:paraId="3DE647B0">
            <w:pPr>
              <w:spacing w:line="540" w:lineRule="exact"/>
              <w:contextualSpacing/>
              <w:rPr>
                <w:rFonts w:hint="eastAsia" w:ascii="仿宋_GB2312" w:hAnsi="仿宋_GB2312" w:eastAsia="仿宋_GB2312" w:cs="仿宋_GB2312"/>
                <w:color w:val="auto"/>
                <w:sz w:val="24"/>
                <w:szCs w:val="24"/>
                <w:highlight w:val="none"/>
              </w:rPr>
            </w:pPr>
          </w:p>
        </w:tc>
        <w:tc>
          <w:tcPr>
            <w:tcW w:w="823" w:type="dxa"/>
            <w:noWrap w:val="0"/>
            <w:vAlign w:val="center"/>
          </w:tcPr>
          <w:p w14:paraId="5D96DFFE">
            <w:pPr>
              <w:spacing w:line="540" w:lineRule="exact"/>
              <w:contextualSpacing/>
              <w:rPr>
                <w:rFonts w:hint="eastAsia" w:ascii="仿宋_GB2312" w:hAnsi="仿宋_GB2312" w:eastAsia="仿宋_GB2312" w:cs="仿宋_GB2312"/>
                <w:color w:val="auto"/>
                <w:sz w:val="24"/>
                <w:szCs w:val="24"/>
                <w:highlight w:val="none"/>
              </w:rPr>
            </w:pPr>
          </w:p>
        </w:tc>
        <w:tc>
          <w:tcPr>
            <w:tcW w:w="1134" w:type="dxa"/>
            <w:noWrap w:val="0"/>
            <w:vAlign w:val="center"/>
          </w:tcPr>
          <w:p w14:paraId="0BB1DEA1">
            <w:pPr>
              <w:spacing w:line="540" w:lineRule="exact"/>
              <w:contextualSpacing/>
              <w:rPr>
                <w:rFonts w:hint="eastAsia" w:ascii="仿宋_GB2312" w:hAnsi="仿宋_GB2312" w:eastAsia="仿宋_GB2312" w:cs="仿宋_GB2312"/>
                <w:color w:val="auto"/>
                <w:sz w:val="24"/>
                <w:szCs w:val="24"/>
                <w:highlight w:val="none"/>
              </w:rPr>
            </w:pPr>
          </w:p>
        </w:tc>
        <w:tc>
          <w:tcPr>
            <w:tcW w:w="1417" w:type="dxa"/>
            <w:noWrap w:val="0"/>
            <w:vAlign w:val="center"/>
          </w:tcPr>
          <w:p w14:paraId="0DD803CE">
            <w:pPr>
              <w:spacing w:line="540" w:lineRule="exact"/>
              <w:contextualSpacing/>
              <w:rPr>
                <w:rFonts w:hint="eastAsia" w:ascii="仿宋_GB2312" w:hAnsi="仿宋_GB2312" w:eastAsia="仿宋_GB2312" w:cs="仿宋_GB2312"/>
                <w:color w:val="auto"/>
                <w:sz w:val="24"/>
                <w:szCs w:val="24"/>
                <w:highlight w:val="none"/>
              </w:rPr>
            </w:pPr>
          </w:p>
        </w:tc>
        <w:tc>
          <w:tcPr>
            <w:tcW w:w="965" w:type="dxa"/>
            <w:noWrap w:val="0"/>
            <w:vAlign w:val="center"/>
          </w:tcPr>
          <w:p w14:paraId="2A1AFED0">
            <w:pPr>
              <w:spacing w:line="540" w:lineRule="exact"/>
              <w:contextualSpacing/>
              <w:rPr>
                <w:rFonts w:hint="eastAsia" w:ascii="仿宋_GB2312" w:hAnsi="仿宋_GB2312" w:eastAsia="仿宋_GB2312" w:cs="仿宋_GB2312"/>
                <w:color w:val="auto"/>
                <w:sz w:val="24"/>
                <w:szCs w:val="24"/>
                <w:highlight w:val="none"/>
              </w:rPr>
            </w:pPr>
          </w:p>
        </w:tc>
      </w:tr>
      <w:tr w14:paraId="1F2E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590" w:type="dxa"/>
            <w:noWrap w:val="0"/>
            <w:vAlign w:val="center"/>
          </w:tcPr>
          <w:p w14:paraId="501A7BBA">
            <w:pPr>
              <w:spacing w:line="540" w:lineRule="exact"/>
              <w:contextualSpacing/>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1893" w:type="dxa"/>
            <w:noWrap w:val="0"/>
            <w:vAlign w:val="center"/>
          </w:tcPr>
          <w:p w14:paraId="1B2F2445">
            <w:pPr>
              <w:spacing w:line="540" w:lineRule="exact"/>
              <w:contextualSpacing/>
              <w:rPr>
                <w:rFonts w:hint="eastAsia" w:ascii="仿宋_GB2312" w:hAnsi="仿宋_GB2312" w:eastAsia="仿宋_GB2312" w:cs="仿宋_GB2312"/>
                <w:color w:val="auto"/>
                <w:sz w:val="24"/>
                <w:szCs w:val="24"/>
                <w:highlight w:val="none"/>
              </w:rPr>
            </w:pPr>
          </w:p>
        </w:tc>
        <w:tc>
          <w:tcPr>
            <w:tcW w:w="929" w:type="dxa"/>
            <w:noWrap w:val="0"/>
            <w:vAlign w:val="center"/>
          </w:tcPr>
          <w:p w14:paraId="29D59624">
            <w:pPr>
              <w:spacing w:line="540" w:lineRule="exact"/>
              <w:contextualSpacing/>
              <w:rPr>
                <w:rFonts w:hint="eastAsia" w:ascii="仿宋_GB2312" w:hAnsi="仿宋_GB2312" w:eastAsia="仿宋_GB2312" w:cs="仿宋_GB2312"/>
                <w:color w:val="auto"/>
                <w:sz w:val="24"/>
                <w:szCs w:val="24"/>
                <w:highlight w:val="none"/>
              </w:rPr>
            </w:pPr>
          </w:p>
        </w:tc>
        <w:tc>
          <w:tcPr>
            <w:tcW w:w="835" w:type="dxa"/>
            <w:noWrap w:val="0"/>
            <w:vAlign w:val="center"/>
          </w:tcPr>
          <w:p w14:paraId="73987D53">
            <w:pPr>
              <w:spacing w:line="540" w:lineRule="exact"/>
              <w:contextualSpacing/>
              <w:rPr>
                <w:rFonts w:hint="eastAsia" w:ascii="仿宋_GB2312" w:hAnsi="仿宋_GB2312" w:eastAsia="仿宋_GB2312" w:cs="仿宋_GB2312"/>
                <w:color w:val="auto"/>
                <w:sz w:val="24"/>
                <w:szCs w:val="24"/>
                <w:highlight w:val="none"/>
              </w:rPr>
            </w:pPr>
          </w:p>
        </w:tc>
        <w:tc>
          <w:tcPr>
            <w:tcW w:w="823" w:type="dxa"/>
            <w:noWrap w:val="0"/>
            <w:vAlign w:val="center"/>
          </w:tcPr>
          <w:p w14:paraId="04A670FA">
            <w:pPr>
              <w:spacing w:line="540" w:lineRule="exact"/>
              <w:contextualSpacing/>
              <w:rPr>
                <w:rFonts w:hint="eastAsia" w:ascii="仿宋_GB2312" w:hAnsi="仿宋_GB2312" w:eastAsia="仿宋_GB2312" w:cs="仿宋_GB2312"/>
                <w:color w:val="auto"/>
                <w:sz w:val="24"/>
                <w:szCs w:val="24"/>
                <w:highlight w:val="none"/>
              </w:rPr>
            </w:pPr>
          </w:p>
        </w:tc>
        <w:tc>
          <w:tcPr>
            <w:tcW w:w="1134" w:type="dxa"/>
            <w:noWrap w:val="0"/>
            <w:vAlign w:val="center"/>
          </w:tcPr>
          <w:p w14:paraId="58FB7527">
            <w:pPr>
              <w:spacing w:line="540" w:lineRule="exact"/>
              <w:contextualSpacing/>
              <w:rPr>
                <w:rFonts w:hint="eastAsia" w:ascii="仿宋_GB2312" w:hAnsi="仿宋_GB2312" w:eastAsia="仿宋_GB2312" w:cs="仿宋_GB2312"/>
                <w:color w:val="auto"/>
                <w:sz w:val="24"/>
                <w:szCs w:val="24"/>
                <w:highlight w:val="none"/>
              </w:rPr>
            </w:pPr>
          </w:p>
        </w:tc>
        <w:tc>
          <w:tcPr>
            <w:tcW w:w="1417" w:type="dxa"/>
            <w:noWrap w:val="0"/>
            <w:vAlign w:val="center"/>
          </w:tcPr>
          <w:p w14:paraId="7465730A">
            <w:pPr>
              <w:spacing w:line="540" w:lineRule="exact"/>
              <w:contextualSpacing/>
              <w:rPr>
                <w:rFonts w:hint="eastAsia" w:ascii="仿宋_GB2312" w:hAnsi="仿宋_GB2312" w:eastAsia="仿宋_GB2312" w:cs="仿宋_GB2312"/>
                <w:color w:val="auto"/>
                <w:sz w:val="24"/>
                <w:szCs w:val="24"/>
                <w:highlight w:val="none"/>
              </w:rPr>
            </w:pPr>
          </w:p>
        </w:tc>
        <w:tc>
          <w:tcPr>
            <w:tcW w:w="965" w:type="dxa"/>
            <w:noWrap w:val="0"/>
            <w:vAlign w:val="center"/>
          </w:tcPr>
          <w:p w14:paraId="2BF713CE">
            <w:pPr>
              <w:spacing w:line="540" w:lineRule="exact"/>
              <w:contextualSpacing/>
              <w:rPr>
                <w:rFonts w:hint="eastAsia" w:ascii="仿宋_GB2312" w:hAnsi="仿宋_GB2312" w:eastAsia="仿宋_GB2312" w:cs="仿宋_GB2312"/>
                <w:color w:val="auto"/>
                <w:sz w:val="24"/>
                <w:szCs w:val="24"/>
                <w:highlight w:val="none"/>
              </w:rPr>
            </w:pPr>
          </w:p>
        </w:tc>
      </w:tr>
      <w:tr w14:paraId="37A02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590" w:type="dxa"/>
            <w:noWrap w:val="0"/>
            <w:vAlign w:val="center"/>
          </w:tcPr>
          <w:p w14:paraId="6E0F2325">
            <w:pPr>
              <w:spacing w:line="540" w:lineRule="exact"/>
              <w:contextualSpacing/>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w:t>
            </w:r>
          </w:p>
        </w:tc>
        <w:tc>
          <w:tcPr>
            <w:tcW w:w="1893" w:type="dxa"/>
            <w:noWrap w:val="0"/>
            <w:vAlign w:val="center"/>
          </w:tcPr>
          <w:p w14:paraId="6FD8D8C0">
            <w:pPr>
              <w:spacing w:line="540" w:lineRule="exact"/>
              <w:contextualSpacing/>
              <w:rPr>
                <w:rFonts w:hint="default" w:ascii="仿宋_GB2312" w:hAnsi="仿宋_GB2312" w:eastAsia="仿宋_GB2312" w:cs="仿宋_GB2312"/>
                <w:color w:val="auto"/>
                <w:sz w:val="24"/>
                <w:szCs w:val="24"/>
                <w:highlight w:val="none"/>
                <w:lang w:val="en-US" w:eastAsia="zh-CN"/>
              </w:rPr>
            </w:pPr>
          </w:p>
        </w:tc>
        <w:tc>
          <w:tcPr>
            <w:tcW w:w="929" w:type="dxa"/>
            <w:noWrap w:val="0"/>
            <w:vAlign w:val="center"/>
          </w:tcPr>
          <w:p w14:paraId="66DB77B7">
            <w:pPr>
              <w:spacing w:line="540" w:lineRule="exact"/>
              <w:contextualSpacing/>
              <w:rPr>
                <w:rFonts w:hint="eastAsia" w:ascii="仿宋_GB2312" w:hAnsi="仿宋_GB2312" w:eastAsia="仿宋_GB2312" w:cs="仿宋_GB2312"/>
                <w:color w:val="auto"/>
                <w:sz w:val="24"/>
                <w:szCs w:val="24"/>
                <w:highlight w:val="none"/>
              </w:rPr>
            </w:pPr>
          </w:p>
        </w:tc>
        <w:tc>
          <w:tcPr>
            <w:tcW w:w="835" w:type="dxa"/>
            <w:noWrap w:val="0"/>
            <w:vAlign w:val="center"/>
          </w:tcPr>
          <w:p w14:paraId="7A9FCA53">
            <w:pPr>
              <w:spacing w:line="540" w:lineRule="exact"/>
              <w:contextualSpacing/>
              <w:rPr>
                <w:rFonts w:hint="eastAsia" w:ascii="仿宋_GB2312" w:hAnsi="仿宋_GB2312" w:eastAsia="仿宋_GB2312" w:cs="仿宋_GB2312"/>
                <w:color w:val="auto"/>
                <w:sz w:val="24"/>
                <w:szCs w:val="24"/>
                <w:highlight w:val="none"/>
              </w:rPr>
            </w:pPr>
          </w:p>
        </w:tc>
        <w:tc>
          <w:tcPr>
            <w:tcW w:w="823" w:type="dxa"/>
            <w:noWrap w:val="0"/>
            <w:vAlign w:val="center"/>
          </w:tcPr>
          <w:p w14:paraId="37A8EFF1">
            <w:pPr>
              <w:spacing w:line="540" w:lineRule="exact"/>
              <w:contextualSpacing/>
              <w:rPr>
                <w:rFonts w:hint="eastAsia" w:ascii="仿宋_GB2312" w:hAnsi="仿宋_GB2312" w:eastAsia="仿宋_GB2312" w:cs="仿宋_GB2312"/>
                <w:color w:val="auto"/>
                <w:sz w:val="24"/>
                <w:szCs w:val="24"/>
                <w:highlight w:val="none"/>
              </w:rPr>
            </w:pPr>
          </w:p>
        </w:tc>
        <w:tc>
          <w:tcPr>
            <w:tcW w:w="1134" w:type="dxa"/>
            <w:noWrap w:val="0"/>
            <w:vAlign w:val="center"/>
          </w:tcPr>
          <w:p w14:paraId="2328ED0B">
            <w:pPr>
              <w:spacing w:line="540" w:lineRule="exact"/>
              <w:contextualSpacing/>
              <w:rPr>
                <w:rFonts w:hint="eastAsia" w:ascii="仿宋_GB2312" w:hAnsi="仿宋_GB2312" w:eastAsia="仿宋_GB2312" w:cs="仿宋_GB2312"/>
                <w:color w:val="auto"/>
                <w:sz w:val="24"/>
                <w:szCs w:val="24"/>
                <w:highlight w:val="none"/>
              </w:rPr>
            </w:pPr>
          </w:p>
        </w:tc>
        <w:tc>
          <w:tcPr>
            <w:tcW w:w="1417" w:type="dxa"/>
            <w:noWrap w:val="0"/>
            <w:vAlign w:val="center"/>
          </w:tcPr>
          <w:p w14:paraId="760615B3">
            <w:pPr>
              <w:spacing w:line="540" w:lineRule="exact"/>
              <w:contextualSpacing/>
              <w:rPr>
                <w:rFonts w:hint="eastAsia" w:ascii="仿宋_GB2312" w:hAnsi="仿宋_GB2312" w:eastAsia="仿宋_GB2312" w:cs="仿宋_GB2312"/>
                <w:color w:val="auto"/>
                <w:sz w:val="24"/>
                <w:szCs w:val="24"/>
                <w:highlight w:val="none"/>
              </w:rPr>
            </w:pPr>
          </w:p>
        </w:tc>
        <w:tc>
          <w:tcPr>
            <w:tcW w:w="965" w:type="dxa"/>
            <w:noWrap w:val="0"/>
            <w:vAlign w:val="center"/>
          </w:tcPr>
          <w:p w14:paraId="7BD26E25">
            <w:pPr>
              <w:spacing w:line="540" w:lineRule="exact"/>
              <w:contextualSpacing/>
              <w:rPr>
                <w:rFonts w:hint="eastAsia" w:ascii="仿宋_GB2312" w:hAnsi="仿宋_GB2312" w:eastAsia="仿宋_GB2312" w:cs="仿宋_GB2312"/>
                <w:color w:val="auto"/>
                <w:sz w:val="24"/>
                <w:szCs w:val="24"/>
                <w:highlight w:val="none"/>
              </w:rPr>
            </w:pPr>
          </w:p>
        </w:tc>
      </w:tr>
      <w:tr w14:paraId="06C9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204" w:type="dxa"/>
            <w:gridSpan w:val="6"/>
            <w:noWrap w:val="0"/>
            <w:vAlign w:val="center"/>
          </w:tcPr>
          <w:p w14:paraId="43BCE431">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投标报价（小写）</w:t>
            </w:r>
          </w:p>
        </w:tc>
        <w:tc>
          <w:tcPr>
            <w:tcW w:w="2382" w:type="dxa"/>
            <w:gridSpan w:val="2"/>
            <w:noWrap w:val="0"/>
            <w:vAlign w:val="top"/>
          </w:tcPr>
          <w:p w14:paraId="6BF44281">
            <w:pPr>
              <w:spacing w:line="540" w:lineRule="exact"/>
              <w:contextualSpacing/>
              <w:rPr>
                <w:rFonts w:hint="eastAsia" w:ascii="仿宋_GB2312" w:hAnsi="仿宋_GB2312" w:eastAsia="仿宋_GB2312" w:cs="仿宋_GB2312"/>
                <w:color w:val="auto"/>
                <w:sz w:val="24"/>
                <w:szCs w:val="24"/>
                <w:highlight w:val="none"/>
              </w:rPr>
            </w:pPr>
          </w:p>
        </w:tc>
      </w:tr>
      <w:tr w14:paraId="20427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204" w:type="dxa"/>
            <w:gridSpan w:val="6"/>
            <w:noWrap w:val="0"/>
            <w:vAlign w:val="center"/>
          </w:tcPr>
          <w:p w14:paraId="01535574">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投标报价（大写）</w:t>
            </w:r>
          </w:p>
        </w:tc>
        <w:tc>
          <w:tcPr>
            <w:tcW w:w="2382" w:type="dxa"/>
            <w:gridSpan w:val="2"/>
            <w:noWrap w:val="0"/>
            <w:vAlign w:val="top"/>
          </w:tcPr>
          <w:p w14:paraId="153D811B">
            <w:pPr>
              <w:spacing w:line="540" w:lineRule="exact"/>
              <w:contextualSpacing/>
              <w:rPr>
                <w:rFonts w:hint="eastAsia" w:ascii="仿宋_GB2312" w:hAnsi="仿宋_GB2312" w:eastAsia="仿宋_GB2312" w:cs="仿宋_GB2312"/>
                <w:color w:val="auto"/>
                <w:sz w:val="24"/>
                <w:szCs w:val="24"/>
                <w:highlight w:val="none"/>
              </w:rPr>
            </w:pPr>
          </w:p>
        </w:tc>
      </w:tr>
    </w:tbl>
    <w:p w14:paraId="29A2331B">
      <w:pPr>
        <w:spacing w:line="540" w:lineRule="exact"/>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注：</w:t>
      </w:r>
    </w:p>
    <w:p w14:paraId="7C4A21EA">
      <w:pPr>
        <w:spacing w:line="540" w:lineRule="exact"/>
        <w:ind w:firstLine="472" w:firstLineChars="196"/>
        <w:contextualSpacing/>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1.投标报价中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件的，投标无效。</w:t>
      </w:r>
    </w:p>
    <w:p w14:paraId="512DA002">
      <w:pPr>
        <w:spacing w:line="540" w:lineRule="exact"/>
        <w:ind w:firstLine="470" w:firstLineChars="196"/>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2.特别提示：采购代理机构将对项目名称和项目编号，中标供应商名称、地址和中标金额，主要中标标的的名称、规格型号、数量、单价、服务要求等予以公示。</w:t>
      </w:r>
    </w:p>
    <w:p w14:paraId="1ED27212">
      <w:pPr>
        <w:spacing w:line="540" w:lineRule="exact"/>
        <w:ind w:firstLine="470" w:firstLineChars="196"/>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7550FEEB">
      <w:pPr>
        <w:spacing w:line="540" w:lineRule="exact"/>
        <w:ind w:firstLine="470" w:firstLineChars="196"/>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4.投标报价一经涂改，应在涂改处加盖单位公章或投标人代表签字（或盖章），否则其投标作无效标处理。</w:t>
      </w:r>
    </w:p>
    <w:p w14:paraId="4DADC11C">
      <w:pPr>
        <w:spacing w:line="540" w:lineRule="exact"/>
        <w:ind w:firstLine="470" w:firstLineChars="196"/>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投标报价应包括产品、产品标准配件、备品备件、专用工具、包装、工时、运输、装卸、保险、税金、设备保护、安装、调试与试运行、培训、保修、售后服务费、工程配套费、以及实施本项目所需的其他一切费用。</w:t>
      </w:r>
    </w:p>
    <w:p w14:paraId="48B9152C">
      <w:pPr>
        <w:spacing w:line="540" w:lineRule="exact"/>
        <w:contextualSpacing/>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b/>
          <w:bCs/>
          <w:color w:val="auto"/>
          <w:sz w:val="24"/>
          <w:szCs w:val="24"/>
          <w:highlight w:val="none"/>
          <w:lang w:val="en-US" w:eastAsia="zh-CN"/>
        </w:rPr>
        <w:t>6.特别说明：供应商投标报价低于项目最高限价45%的，应当在报价文件中提供书面说明及必要的证明材料，对投标价格作出解释。书面说明、证明材料主要是项目具体成本测算等与报价合理性相关的说明、材料，包括但不限于原材料成本、人工成本、制造费用等。</w:t>
      </w:r>
    </w:p>
    <w:p w14:paraId="106975E9">
      <w:pPr>
        <w:pStyle w:val="25"/>
        <w:rPr>
          <w:rFonts w:hint="eastAsia" w:ascii="仿宋_GB2312" w:hAnsi="仿宋_GB2312" w:eastAsia="仿宋_GB2312" w:cs="仿宋_GB2312"/>
          <w:color w:val="auto"/>
          <w:sz w:val="24"/>
          <w:szCs w:val="24"/>
          <w:highlight w:val="none"/>
        </w:rPr>
      </w:pPr>
    </w:p>
    <w:p w14:paraId="6F8F5D98">
      <w:pPr>
        <w:rPr>
          <w:rFonts w:hint="eastAsia"/>
          <w:color w:val="auto"/>
        </w:rPr>
      </w:pPr>
    </w:p>
    <w:p w14:paraId="207ACF2F">
      <w:pPr>
        <w:spacing w:line="540" w:lineRule="exact"/>
        <w:contextualSpacing/>
        <w:rPr>
          <w:rFonts w:hint="eastAsia" w:ascii="仿宋_GB2312" w:hAnsi="仿宋_GB2312" w:eastAsia="仿宋_GB2312" w:cs="仿宋_GB2312"/>
          <w:color w:val="auto"/>
          <w:sz w:val="24"/>
          <w:szCs w:val="24"/>
          <w:highlight w:val="none"/>
        </w:rPr>
      </w:pPr>
    </w:p>
    <w:p w14:paraId="66850493">
      <w:pPr>
        <w:spacing w:line="540" w:lineRule="exact"/>
        <w:ind w:right="480" w:firstLine="4680" w:firstLineChars="195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投标人名称(电子签名)：</w:t>
      </w:r>
    </w:p>
    <w:p w14:paraId="0E53AA95">
      <w:pPr>
        <w:spacing w:line="500" w:lineRule="exact"/>
        <w:ind w:firstLine="4680" w:firstLineChars="195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日期：年月日</w:t>
      </w:r>
    </w:p>
    <w:p w14:paraId="20FAC0DD">
      <w:pPr>
        <w:pStyle w:val="12"/>
        <w:rPr>
          <w:rFonts w:hint="eastAsia" w:ascii="仿宋_GB2312" w:hAnsi="仿宋_GB2312" w:eastAsia="仿宋_GB2312" w:cs="仿宋_GB2312"/>
          <w:color w:val="auto"/>
          <w:highlight w:val="none"/>
        </w:rPr>
      </w:pPr>
    </w:p>
    <w:p w14:paraId="147DC05D">
      <w:pPr>
        <w:pStyle w:val="20"/>
        <w:rPr>
          <w:rFonts w:hint="eastAsia" w:ascii="仿宋_GB2312" w:hAnsi="仿宋_GB2312" w:eastAsia="仿宋_GB2312" w:cs="仿宋_GB2312"/>
          <w:color w:val="auto"/>
          <w:highlight w:val="none"/>
        </w:rPr>
      </w:pPr>
    </w:p>
    <w:p w14:paraId="253E620A">
      <w:pPr>
        <w:rPr>
          <w:rFonts w:hint="eastAsia" w:ascii="仿宋_GB2312" w:hAnsi="仿宋_GB2312" w:eastAsia="仿宋_GB2312" w:cs="仿宋_GB2312"/>
          <w:color w:val="auto"/>
          <w:highlight w:val="none"/>
        </w:rPr>
      </w:pPr>
    </w:p>
    <w:p w14:paraId="42EFFF81">
      <w:pPr>
        <w:pStyle w:val="2"/>
        <w:rPr>
          <w:rFonts w:hint="eastAsia" w:ascii="仿宋_GB2312" w:hAnsi="仿宋_GB2312" w:eastAsia="仿宋_GB2312" w:cs="仿宋_GB2312"/>
          <w:color w:val="auto"/>
          <w:highlight w:val="none"/>
        </w:rPr>
      </w:pPr>
    </w:p>
    <w:p w14:paraId="65DFFB28">
      <w:pPr>
        <w:pStyle w:val="2"/>
        <w:rPr>
          <w:rFonts w:hint="eastAsia" w:ascii="仿宋_GB2312" w:hAnsi="仿宋_GB2312" w:eastAsia="仿宋_GB2312" w:cs="仿宋_GB2312"/>
          <w:color w:val="auto"/>
          <w:highlight w:val="none"/>
        </w:rPr>
      </w:pPr>
    </w:p>
    <w:p w14:paraId="1B92F341">
      <w:pPr>
        <w:pStyle w:val="2"/>
        <w:rPr>
          <w:rFonts w:hint="eastAsia" w:ascii="仿宋_GB2312" w:hAnsi="仿宋_GB2312" w:eastAsia="仿宋_GB2312" w:cs="仿宋_GB2312"/>
          <w:color w:val="auto"/>
          <w:highlight w:val="none"/>
        </w:rPr>
      </w:pPr>
    </w:p>
    <w:p w14:paraId="45B0FC5E">
      <w:pPr>
        <w:pStyle w:val="2"/>
        <w:rPr>
          <w:rFonts w:hint="eastAsia" w:ascii="仿宋_GB2312" w:hAnsi="仿宋_GB2312" w:eastAsia="仿宋_GB2312" w:cs="仿宋_GB2312"/>
          <w:color w:val="auto"/>
          <w:highlight w:val="none"/>
        </w:rPr>
      </w:pPr>
    </w:p>
    <w:p w14:paraId="50BF9F7F">
      <w:pPr>
        <w:pStyle w:val="2"/>
        <w:rPr>
          <w:rFonts w:hint="eastAsia" w:ascii="仿宋_GB2312" w:hAnsi="仿宋_GB2312" w:eastAsia="仿宋_GB2312" w:cs="仿宋_GB2312"/>
          <w:color w:val="auto"/>
          <w:highlight w:val="none"/>
        </w:rPr>
      </w:pPr>
    </w:p>
    <w:p w14:paraId="0E7951F0">
      <w:pPr>
        <w:pStyle w:val="2"/>
        <w:rPr>
          <w:rFonts w:hint="eastAsia" w:ascii="仿宋_GB2312" w:hAnsi="仿宋_GB2312" w:eastAsia="仿宋_GB2312" w:cs="仿宋_GB2312"/>
          <w:color w:val="auto"/>
          <w:highlight w:val="none"/>
        </w:rPr>
      </w:pPr>
    </w:p>
    <w:p w14:paraId="1F11A6B5">
      <w:pPr>
        <w:rPr>
          <w:rFonts w:hint="eastAsia"/>
        </w:rPr>
      </w:pPr>
    </w:p>
    <w:p w14:paraId="482FF9AC">
      <w:pPr>
        <w:spacing w:line="540" w:lineRule="exact"/>
        <w:contextualSpacing/>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二、中小企业声明函（如果有）</w:t>
      </w:r>
    </w:p>
    <w:p w14:paraId="7B49494C">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5）。]</w:t>
      </w:r>
    </w:p>
    <w:p w14:paraId="52663C33">
      <w:pPr>
        <w:spacing w:line="540" w:lineRule="exact"/>
        <w:contextualSpacing/>
        <w:jc w:val="center"/>
        <w:rPr>
          <w:rFonts w:hint="eastAsia" w:ascii="仿宋_GB2312" w:hAnsi="仿宋_GB2312" w:eastAsia="仿宋_GB2312" w:cs="仿宋_GB2312"/>
          <w:b/>
          <w:color w:val="auto"/>
          <w:sz w:val="28"/>
          <w:szCs w:val="28"/>
          <w:highlight w:val="none"/>
        </w:rPr>
      </w:pPr>
    </w:p>
    <w:p w14:paraId="7C79CEE1">
      <w:pPr>
        <w:pStyle w:val="26"/>
        <w:rPr>
          <w:rFonts w:hint="eastAsia" w:ascii="仿宋_GB2312" w:hAnsi="仿宋_GB2312" w:eastAsia="仿宋_GB2312" w:cs="仿宋_GB2312"/>
          <w:b/>
          <w:color w:val="auto"/>
          <w:sz w:val="28"/>
          <w:szCs w:val="28"/>
          <w:highlight w:val="none"/>
        </w:rPr>
      </w:pPr>
    </w:p>
    <w:p w14:paraId="290675B5">
      <w:pPr>
        <w:pStyle w:val="12"/>
        <w:rPr>
          <w:rFonts w:hint="eastAsia" w:ascii="仿宋_GB2312" w:hAnsi="仿宋_GB2312" w:eastAsia="仿宋_GB2312" w:cs="仿宋_GB2312"/>
          <w:b/>
          <w:color w:val="auto"/>
          <w:sz w:val="28"/>
          <w:szCs w:val="28"/>
          <w:highlight w:val="none"/>
        </w:rPr>
      </w:pPr>
    </w:p>
    <w:p w14:paraId="1FFE597D">
      <w:pPr>
        <w:pStyle w:val="25"/>
        <w:rPr>
          <w:rFonts w:hint="eastAsia"/>
          <w:color w:val="auto"/>
          <w:highlight w:val="none"/>
        </w:rPr>
      </w:pPr>
    </w:p>
    <w:p w14:paraId="30FA193A">
      <w:pPr>
        <w:spacing w:line="540" w:lineRule="exact"/>
        <w:contextualSpacing/>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三、关于符合本国产品标准的声明函（如果有）</w:t>
      </w:r>
    </w:p>
    <w:p w14:paraId="3304C77E">
      <w:pPr>
        <w:spacing w:line="540" w:lineRule="exact"/>
        <w:ind w:firstLine="480" w:firstLineChars="200"/>
        <w:contextualSpacing/>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符合《国务院办公厅关于在政府采购中实施本国产品标准及相关政策的通知》规定的本国产品拟享受价格扣除政策的，需提供关于符合本国产品标准的声明函（附件8）。</w:t>
      </w:r>
    </w:p>
    <w:p w14:paraId="25B169DF">
      <w:pPr>
        <w:pStyle w:val="4"/>
        <w:rPr>
          <w:rFonts w:hint="eastAsia"/>
          <w:lang w:val="en-US" w:eastAsia="zh-CN"/>
        </w:rPr>
      </w:pPr>
    </w:p>
    <w:p w14:paraId="223A8BE9">
      <w:pPr>
        <w:rPr>
          <w:rFonts w:hint="eastAsia"/>
          <w:lang w:val="en-US" w:eastAsia="zh-CN"/>
        </w:rPr>
      </w:pPr>
    </w:p>
    <w:p w14:paraId="7D98F435">
      <w:pPr>
        <w:pStyle w:val="4"/>
        <w:rPr>
          <w:rFonts w:hint="eastAsia"/>
          <w:lang w:val="en-US" w:eastAsia="zh-CN"/>
        </w:rPr>
      </w:pPr>
    </w:p>
    <w:p w14:paraId="361F6B04">
      <w:pPr>
        <w:rPr>
          <w:rFonts w:hint="eastAsia"/>
          <w:lang w:val="en-US" w:eastAsia="zh-CN"/>
        </w:rPr>
      </w:pPr>
    </w:p>
    <w:p w14:paraId="2E59E0B4">
      <w:pPr>
        <w:pStyle w:val="26"/>
        <w:rPr>
          <w:rFonts w:hint="eastAsia" w:eastAsiaTheme="minorEastAsia"/>
          <w:color w:val="auto"/>
          <w:sz w:val="28"/>
          <w:szCs w:val="28"/>
          <w:highlight w:val="none"/>
          <w:lang w:val="en-US" w:eastAsia="zh-CN"/>
        </w:rPr>
      </w:pPr>
      <w:r>
        <w:rPr>
          <w:rFonts w:hint="eastAsia" w:ascii="方正仿宋_GB2312" w:hAnsi="方正仿宋_GB2312" w:eastAsia="方正仿宋_GB2312" w:cs="方正仿宋_GB2312"/>
          <w:b/>
          <w:color w:val="auto"/>
          <w:sz w:val="28"/>
          <w:szCs w:val="28"/>
          <w:highlight w:val="none"/>
          <w:lang w:eastAsia="zh-CN"/>
        </w:rPr>
        <w:t>四</w:t>
      </w:r>
      <w:r>
        <w:rPr>
          <w:rFonts w:hint="eastAsia" w:ascii="方正仿宋_GB2312" w:hAnsi="方正仿宋_GB2312" w:eastAsia="方正仿宋_GB2312" w:cs="方正仿宋_GB2312"/>
          <w:b/>
          <w:color w:val="auto"/>
          <w:sz w:val="28"/>
          <w:szCs w:val="28"/>
          <w:highlight w:val="none"/>
        </w:rPr>
        <w:t>、书面说明及必要的证明材料，对投标价格作出解释。（如果报价低于项目</w:t>
      </w:r>
      <w:r>
        <w:rPr>
          <w:rFonts w:hint="eastAsia" w:ascii="方正仿宋_GB2312" w:hAnsi="方正仿宋_GB2312" w:eastAsia="方正仿宋_GB2312" w:cs="方正仿宋_GB2312"/>
          <w:b/>
          <w:color w:val="auto"/>
          <w:sz w:val="28"/>
          <w:szCs w:val="28"/>
          <w:highlight w:val="none"/>
          <w:lang w:eastAsia="zh-CN"/>
        </w:rPr>
        <w:t>最高限价</w:t>
      </w:r>
      <w:r>
        <w:rPr>
          <w:rFonts w:hint="eastAsia" w:ascii="方正仿宋_GB2312" w:hAnsi="方正仿宋_GB2312" w:eastAsia="方正仿宋_GB2312" w:cs="方正仿宋_GB2312"/>
          <w:b/>
          <w:color w:val="auto"/>
          <w:sz w:val="28"/>
          <w:szCs w:val="28"/>
          <w:highlight w:val="none"/>
          <w:lang w:val="en-US" w:eastAsia="zh-CN"/>
        </w:rPr>
        <w:t>45</w:t>
      </w:r>
      <w:r>
        <w:rPr>
          <w:rFonts w:hint="eastAsia" w:ascii="方正仿宋_GB2312" w:hAnsi="方正仿宋_GB2312" w:eastAsia="方正仿宋_GB2312" w:cs="方正仿宋_GB2312"/>
          <w:b/>
          <w:color w:val="auto"/>
          <w:sz w:val="28"/>
          <w:szCs w:val="28"/>
          <w:highlight w:val="none"/>
        </w:rPr>
        <w:t>%的）</w:t>
      </w:r>
    </w:p>
    <w:p w14:paraId="23CE969C">
      <w:pPr>
        <w:spacing w:line="540" w:lineRule="exact"/>
        <w:ind w:firstLine="470" w:firstLineChars="196"/>
        <w:contextualSpacing/>
        <w:rPr>
          <w:rFonts w:hint="eastAsia" w:ascii="仿宋_GB2312" w:eastAsia="仿宋_GB2312"/>
          <w:b w:val="0"/>
          <w:bCs w:val="0"/>
          <w:color w:val="auto"/>
          <w:sz w:val="24"/>
          <w:szCs w:val="24"/>
          <w:highlight w:val="none"/>
          <w:lang w:eastAsia="zh-CN"/>
        </w:rPr>
      </w:pPr>
      <w:r>
        <w:rPr>
          <w:rFonts w:hint="eastAsia" w:ascii="仿宋_GB2312" w:eastAsia="仿宋_GB2312"/>
          <w:b w:val="0"/>
          <w:bCs w:val="0"/>
          <w:color w:val="auto"/>
          <w:sz w:val="24"/>
          <w:szCs w:val="24"/>
          <w:highlight w:val="none"/>
        </w:rPr>
        <w:t>特别说明：供应商投标报价低于项目</w:t>
      </w:r>
      <w:r>
        <w:rPr>
          <w:rFonts w:hint="eastAsia" w:ascii="仿宋_GB2312" w:hAnsi="仿宋_GB2312" w:eastAsia="仿宋_GB2312" w:cs="仿宋_GB2312"/>
          <w:b w:val="0"/>
          <w:bCs w:val="0"/>
          <w:i w:val="0"/>
          <w:iCs w:val="0"/>
          <w:caps w:val="0"/>
          <w:color w:val="auto"/>
          <w:spacing w:val="0"/>
          <w:w w:val="100"/>
          <w:kern w:val="0"/>
          <w:sz w:val="24"/>
          <w:szCs w:val="24"/>
          <w:highlight w:val="none"/>
          <w:shd w:val="clear" w:fill="FFFFFF"/>
          <w:vertAlign w:val="baseline"/>
          <w:lang w:val="en-US" w:eastAsia="zh-CN" w:bidi="ar"/>
        </w:rPr>
        <w:t>最高限价</w:t>
      </w:r>
      <w:r>
        <w:rPr>
          <w:rFonts w:hint="eastAsia" w:ascii="仿宋_GB2312" w:eastAsia="仿宋_GB2312"/>
          <w:b w:val="0"/>
          <w:bCs w:val="0"/>
          <w:color w:val="auto"/>
          <w:sz w:val="24"/>
          <w:szCs w:val="24"/>
          <w:highlight w:val="none"/>
          <w:lang w:val="en-US" w:eastAsia="zh-CN"/>
        </w:rPr>
        <w:t>45</w:t>
      </w:r>
      <w:r>
        <w:rPr>
          <w:rFonts w:hint="eastAsia" w:ascii="仿宋_GB2312" w:eastAsia="仿宋_GB2312"/>
          <w:b w:val="0"/>
          <w:bCs w:val="0"/>
          <w:color w:val="auto"/>
          <w:sz w:val="24"/>
          <w:szCs w:val="24"/>
          <w:highlight w:val="none"/>
        </w:rPr>
        <w:t>%的，应当在报价文件中</w:t>
      </w:r>
      <w:r>
        <w:rPr>
          <w:rFonts w:hint="eastAsia" w:ascii="仿宋_GB2312" w:eastAsia="仿宋_GB2312"/>
          <w:b w:val="0"/>
          <w:bCs w:val="0"/>
          <w:color w:val="auto"/>
          <w:sz w:val="24"/>
          <w:szCs w:val="24"/>
          <w:highlight w:val="none"/>
          <w:lang w:eastAsia="zh-CN"/>
        </w:rPr>
        <w:t>提供书面说明及必要的证明材料，对投标价格作出解释。书面说明、证明材料主要是项目具体成本测算等与报价合理性相关的说明、材料，包括但不限于原材料成本、人工成本、制造费用等。</w:t>
      </w:r>
    </w:p>
    <w:p w14:paraId="44F3EEC0">
      <w:pPr>
        <w:pStyle w:val="26"/>
        <w:rPr>
          <w:rFonts w:hint="eastAsia"/>
          <w:b w:val="0"/>
          <w:bCs w:val="0"/>
          <w:color w:val="auto"/>
          <w:lang w:val="en-US" w:eastAsia="zh-CN"/>
        </w:rPr>
        <w:sectPr>
          <w:pgSz w:w="11906" w:h="16838"/>
          <w:pgMar w:top="1247" w:right="1418" w:bottom="1276" w:left="1418" w:header="851" w:footer="992" w:gutter="0"/>
          <w:cols w:space="720" w:num="1"/>
          <w:titlePg/>
          <w:docGrid w:linePitch="312" w:charSpace="0"/>
        </w:sectPr>
      </w:pPr>
    </w:p>
    <w:p w14:paraId="06D39EC4">
      <w:pPr>
        <w:spacing w:line="540" w:lineRule="exact"/>
        <w:contextualSpacing/>
        <w:jc w:val="center"/>
        <w:rPr>
          <w:rFonts w:hint="eastAsia" w:ascii="仿宋_GB2312" w:hAnsi="仿宋_GB2312" w:eastAsia="仿宋_GB2312" w:cs="仿宋_GB2312"/>
          <w:b/>
          <w:color w:val="auto"/>
          <w:sz w:val="28"/>
          <w:szCs w:val="28"/>
          <w:highlight w:val="none"/>
        </w:rPr>
      </w:pPr>
      <w:bookmarkStart w:id="503" w:name="_Toc465665161"/>
      <w:r>
        <w:rPr>
          <w:rFonts w:hint="eastAsia" w:ascii="仿宋_GB2312" w:hAnsi="仿宋_GB2312" w:eastAsia="仿宋_GB2312" w:cs="仿宋_GB2312"/>
          <w:b/>
          <w:color w:val="auto"/>
          <w:sz w:val="28"/>
          <w:szCs w:val="28"/>
          <w:highlight w:val="none"/>
        </w:rPr>
        <w:t>附件</w:t>
      </w:r>
      <w:bookmarkEnd w:id="503"/>
    </w:p>
    <w:p w14:paraId="7126BC5A">
      <w:pPr>
        <w:spacing w:line="540" w:lineRule="exact"/>
        <w:contextualSpacing/>
        <w:rPr>
          <w:rFonts w:hint="eastAsia" w:ascii="仿宋_GB2312" w:hAnsi="仿宋_GB2312" w:eastAsia="仿宋_GB2312" w:cs="仿宋_GB2312"/>
          <w:color w:val="auto"/>
          <w:sz w:val="24"/>
          <w:szCs w:val="24"/>
          <w:highlight w:val="none"/>
        </w:rPr>
      </w:pPr>
    </w:p>
    <w:p w14:paraId="6EB84BD6">
      <w:pPr>
        <w:spacing w:line="540" w:lineRule="exact"/>
        <w:contextualSpacing/>
        <w:rPr>
          <w:rFonts w:hint="eastAsia" w:ascii="仿宋_GB2312" w:hAnsi="仿宋_GB2312" w:eastAsia="仿宋_GB2312" w:cs="仿宋_GB2312"/>
          <w:color w:val="auto"/>
          <w:sz w:val="24"/>
          <w:szCs w:val="24"/>
          <w:highlight w:val="none"/>
        </w:rPr>
      </w:pPr>
    </w:p>
    <w:p w14:paraId="0973D599">
      <w:pPr>
        <w:spacing w:line="540" w:lineRule="exact"/>
        <w:contextualSpacing/>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附件1：</w:t>
      </w:r>
    </w:p>
    <w:p w14:paraId="56698D58">
      <w:pPr>
        <w:spacing w:line="540" w:lineRule="exact"/>
        <w:contextualSpacing/>
        <w:jc w:val="center"/>
        <w:rPr>
          <w:rFonts w:hint="eastAsia" w:ascii="仿宋_GB2312" w:hAnsi="仿宋_GB2312" w:eastAsia="仿宋_GB2312" w:cs="仿宋_GB2312"/>
          <w:color w:val="auto"/>
          <w:sz w:val="24"/>
          <w:szCs w:val="24"/>
          <w:highlight w:val="none"/>
        </w:rPr>
      </w:pPr>
      <w:bookmarkStart w:id="504" w:name="OLE_LINK14"/>
      <w:bookmarkStart w:id="505" w:name="OLE_LINK13"/>
      <w:r>
        <w:rPr>
          <w:rFonts w:hint="eastAsia" w:ascii="仿宋_GB2312" w:hAnsi="仿宋_GB2312" w:eastAsia="仿宋_GB2312" w:cs="仿宋_GB2312"/>
          <w:color w:val="auto"/>
          <w:sz w:val="24"/>
          <w:szCs w:val="24"/>
          <w:highlight w:val="none"/>
        </w:rPr>
        <w:t>残疾人福利性单位声明函</w:t>
      </w:r>
    </w:p>
    <w:bookmarkEnd w:id="504"/>
    <w:bookmarkEnd w:id="505"/>
    <w:p w14:paraId="67C9E677">
      <w:pPr>
        <w:spacing w:line="540" w:lineRule="exact"/>
        <w:contextualSpacing/>
        <w:rPr>
          <w:rFonts w:hint="eastAsia" w:ascii="仿宋_GB2312" w:hAnsi="仿宋_GB2312" w:eastAsia="仿宋_GB2312" w:cs="仿宋_GB2312"/>
          <w:color w:val="auto"/>
          <w:sz w:val="24"/>
          <w:szCs w:val="24"/>
          <w:highlight w:val="none"/>
        </w:rPr>
      </w:pPr>
    </w:p>
    <w:p w14:paraId="38EB34EA">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ascii="仿宋_GB2312" w:hAnsi="仿宋_GB2312" w:eastAsia="仿宋_GB2312" w:cs="仿宋_GB2312"/>
          <w:color w:val="auto"/>
          <w:sz w:val="24"/>
          <w:szCs w:val="24"/>
          <w:highlight w:val="none"/>
          <w:u w:val="single"/>
        </w:rPr>
        <w:t>(采购人)</w:t>
      </w:r>
      <w:r>
        <w:rPr>
          <w:rFonts w:hint="eastAsia" w:ascii="仿宋_GB2312" w:hAnsi="仿宋_GB2312" w:eastAsia="仿宋_GB2312" w:cs="仿宋_GB2312"/>
          <w:color w:val="auto"/>
          <w:sz w:val="24"/>
          <w:szCs w:val="24"/>
          <w:highlight w:val="none"/>
        </w:rPr>
        <w:t>单位的</w:t>
      </w:r>
      <w:r>
        <w:rPr>
          <w:rFonts w:hint="eastAsia" w:ascii="仿宋_GB2312" w:hAnsi="仿宋_GB2312" w:eastAsia="仿宋_GB2312" w:cs="仿宋_GB2312"/>
          <w:color w:val="auto"/>
          <w:sz w:val="24"/>
          <w:szCs w:val="24"/>
          <w:highlight w:val="none"/>
          <w:u w:val="single"/>
        </w:rPr>
        <w:t>（项目名称）</w:t>
      </w:r>
      <w:r>
        <w:rPr>
          <w:rFonts w:hint="eastAsia" w:ascii="仿宋_GB2312" w:hAnsi="仿宋_GB2312" w:eastAsia="仿宋_GB2312" w:cs="仿宋_GB2312"/>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3A96BA6C">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本单位对上述声明的真实性负责。如有虚假，将依法承担相应责任。</w:t>
      </w:r>
    </w:p>
    <w:p w14:paraId="09AAF152">
      <w:pPr>
        <w:spacing w:line="540" w:lineRule="exact"/>
        <w:contextualSpacing/>
        <w:rPr>
          <w:rFonts w:hint="eastAsia" w:ascii="仿宋_GB2312" w:hAnsi="仿宋_GB2312" w:eastAsia="仿宋_GB2312" w:cs="仿宋_GB2312"/>
          <w:color w:val="auto"/>
          <w:sz w:val="24"/>
          <w:szCs w:val="24"/>
          <w:highlight w:val="none"/>
        </w:rPr>
      </w:pPr>
    </w:p>
    <w:p w14:paraId="54B5D1C7">
      <w:pPr>
        <w:spacing w:line="540" w:lineRule="exact"/>
        <w:contextualSpacing/>
        <w:rPr>
          <w:rFonts w:hint="eastAsia" w:ascii="仿宋_GB2312" w:hAnsi="仿宋_GB2312" w:eastAsia="仿宋_GB2312" w:cs="仿宋_GB2312"/>
          <w:color w:val="auto"/>
          <w:sz w:val="24"/>
          <w:szCs w:val="24"/>
          <w:highlight w:val="none"/>
        </w:rPr>
      </w:pPr>
    </w:p>
    <w:p w14:paraId="1059B613">
      <w:pPr>
        <w:spacing w:line="540" w:lineRule="exact"/>
        <w:contextualSpacing/>
        <w:rPr>
          <w:rFonts w:hint="eastAsia" w:ascii="仿宋_GB2312" w:hAnsi="仿宋_GB2312" w:eastAsia="仿宋_GB2312" w:cs="仿宋_GB2312"/>
          <w:color w:val="auto"/>
          <w:sz w:val="24"/>
          <w:szCs w:val="24"/>
          <w:highlight w:val="none"/>
        </w:rPr>
      </w:pPr>
    </w:p>
    <w:p w14:paraId="255DF146">
      <w:pPr>
        <w:spacing w:line="540" w:lineRule="exact"/>
        <w:contextualSpacing/>
        <w:rPr>
          <w:rFonts w:hint="eastAsia" w:ascii="仿宋_GB2312" w:hAnsi="仿宋_GB2312" w:eastAsia="仿宋_GB2312" w:cs="仿宋_GB2312"/>
          <w:color w:val="auto"/>
          <w:sz w:val="24"/>
          <w:szCs w:val="24"/>
          <w:highlight w:val="none"/>
        </w:rPr>
      </w:pPr>
    </w:p>
    <w:p w14:paraId="0C0C1372">
      <w:pPr>
        <w:spacing w:line="540" w:lineRule="exact"/>
        <w:contextualSpacing/>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投标人名称（电子签名）：</w:t>
      </w:r>
    </w:p>
    <w:p w14:paraId="710A5CAB">
      <w:pPr>
        <w:spacing w:line="540" w:lineRule="exact"/>
        <w:contextualSpacing/>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w:t>
      </w:r>
    </w:p>
    <w:p w14:paraId="3847CF24">
      <w:pPr>
        <w:spacing w:line="540" w:lineRule="exact"/>
        <w:contextualSpacing/>
        <w:rPr>
          <w:rFonts w:hint="eastAsia" w:ascii="仿宋_GB2312" w:hAnsi="仿宋_GB2312" w:eastAsia="仿宋_GB2312" w:cs="仿宋_GB2312"/>
          <w:color w:val="auto"/>
          <w:sz w:val="24"/>
          <w:szCs w:val="24"/>
          <w:highlight w:val="none"/>
        </w:rPr>
      </w:pPr>
    </w:p>
    <w:p w14:paraId="02733150">
      <w:pPr>
        <w:spacing w:line="540" w:lineRule="exact"/>
        <w:contextualSpacing/>
        <w:rPr>
          <w:rFonts w:hint="eastAsia" w:ascii="仿宋_GB2312" w:hAnsi="仿宋_GB2312" w:eastAsia="仿宋_GB2312" w:cs="仿宋_GB2312"/>
          <w:color w:val="auto"/>
          <w:sz w:val="24"/>
          <w:szCs w:val="24"/>
          <w:highlight w:val="none"/>
        </w:rPr>
      </w:pPr>
    </w:p>
    <w:p w14:paraId="20A14AA1">
      <w:pPr>
        <w:spacing w:line="540" w:lineRule="exact"/>
        <w:contextualSpacing/>
        <w:rPr>
          <w:rFonts w:hint="eastAsia" w:ascii="仿宋_GB2312" w:hAnsi="仿宋_GB2312" w:eastAsia="仿宋_GB2312" w:cs="仿宋_GB2312"/>
          <w:color w:val="auto"/>
          <w:sz w:val="24"/>
          <w:szCs w:val="24"/>
          <w:highlight w:val="none"/>
        </w:rPr>
      </w:pPr>
    </w:p>
    <w:p w14:paraId="60281DB4">
      <w:pPr>
        <w:spacing w:line="540" w:lineRule="exact"/>
        <w:contextualSpacing/>
        <w:rPr>
          <w:rFonts w:hint="eastAsia" w:ascii="仿宋_GB2312" w:hAnsi="仿宋_GB2312" w:eastAsia="仿宋_GB2312" w:cs="仿宋_GB2312"/>
          <w:color w:val="auto"/>
          <w:sz w:val="24"/>
          <w:szCs w:val="24"/>
          <w:highlight w:val="none"/>
        </w:rPr>
      </w:pPr>
    </w:p>
    <w:p w14:paraId="59387697">
      <w:pPr>
        <w:spacing w:line="540" w:lineRule="exact"/>
        <w:contextualSpacing/>
        <w:rPr>
          <w:rFonts w:hint="eastAsia" w:ascii="仿宋_GB2312" w:hAnsi="仿宋_GB2312" w:eastAsia="仿宋_GB2312" w:cs="仿宋_GB2312"/>
          <w:color w:val="auto"/>
          <w:sz w:val="24"/>
          <w:szCs w:val="24"/>
          <w:highlight w:val="none"/>
        </w:rPr>
      </w:pPr>
    </w:p>
    <w:p w14:paraId="60EDA7D2">
      <w:pPr>
        <w:spacing w:line="540" w:lineRule="exact"/>
        <w:contextualSpacing/>
        <w:rPr>
          <w:rFonts w:hint="eastAsia" w:ascii="仿宋_GB2312" w:hAnsi="仿宋_GB2312" w:eastAsia="仿宋_GB2312" w:cs="仿宋_GB2312"/>
          <w:color w:val="auto"/>
          <w:sz w:val="24"/>
          <w:szCs w:val="24"/>
          <w:highlight w:val="none"/>
        </w:rPr>
      </w:pPr>
    </w:p>
    <w:p w14:paraId="5AD08620">
      <w:pPr>
        <w:spacing w:line="540" w:lineRule="exact"/>
        <w:contextualSpacing/>
        <w:rPr>
          <w:rFonts w:hint="eastAsia" w:ascii="仿宋_GB2312" w:hAnsi="仿宋_GB2312" w:eastAsia="仿宋_GB2312" w:cs="仿宋_GB2312"/>
          <w:color w:val="auto"/>
          <w:sz w:val="24"/>
          <w:szCs w:val="24"/>
          <w:highlight w:val="none"/>
        </w:rPr>
      </w:pPr>
    </w:p>
    <w:p w14:paraId="3881BCA7">
      <w:pPr>
        <w:spacing w:line="540" w:lineRule="exact"/>
        <w:contextualSpacing/>
        <w:rPr>
          <w:rFonts w:hint="eastAsia" w:ascii="仿宋_GB2312" w:hAnsi="仿宋_GB2312" w:eastAsia="仿宋_GB2312" w:cs="仿宋_GB2312"/>
          <w:color w:val="auto"/>
          <w:sz w:val="24"/>
          <w:szCs w:val="24"/>
          <w:highlight w:val="none"/>
        </w:rPr>
      </w:pPr>
    </w:p>
    <w:p w14:paraId="13ABA220">
      <w:pPr>
        <w:spacing w:line="540" w:lineRule="exact"/>
        <w:contextualSpacing/>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附件2：</w:t>
      </w:r>
      <w:r>
        <w:rPr>
          <w:rFonts w:hint="eastAsia" w:ascii="仿宋_GB2312" w:hAnsi="仿宋_GB2312" w:eastAsia="仿宋_GB2312" w:cs="仿宋_GB2312"/>
          <w:b/>
          <w:color w:val="auto"/>
          <w:sz w:val="28"/>
          <w:szCs w:val="28"/>
          <w:highlight w:val="none"/>
        </w:rPr>
        <w:t>质疑函范本及制作说明</w:t>
      </w:r>
    </w:p>
    <w:p w14:paraId="65EA91E8">
      <w:pPr>
        <w:spacing w:line="540" w:lineRule="exact"/>
        <w:contextualSpacing/>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质疑函范本</w:t>
      </w:r>
    </w:p>
    <w:p w14:paraId="11BEF7F8">
      <w:pPr>
        <w:snapToGrid w:val="0"/>
        <w:spacing w:before="312" w:beforeLines="100" w:line="360" w:lineRule="auto"/>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一、质疑供应商基本信息</w:t>
      </w:r>
    </w:p>
    <w:p w14:paraId="6F33A01A">
      <w:pPr>
        <w:snapToGrid w:val="0"/>
        <w:spacing w:line="360" w:lineRule="auto"/>
        <w:rPr>
          <w:rFonts w:hint="eastAsia"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质疑供应商：</w:t>
      </w:r>
    </w:p>
    <w:p w14:paraId="288DA1BC">
      <w:pPr>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地址：邮编：</w:t>
      </w:r>
    </w:p>
    <w:p w14:paraId="552122C7">
      <w:pPr>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联系人：联系电话：</w:t>
      </w:r>
    </w:p>
    <w:p w14:paraId="6768F8AA">
      <w:pPr>
        <w:snapToGrid w:val="0"/>
        <w:spacing w:line="360" w:lineRule="auto"/>
        <w:rPr>
          <w:rFonts w:hint="eastAsia"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授权代表：</w:t>
      </w:r>
    </w:p>
    <w:p w14:paraId="4195D020">
      <w:pPr>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联系电话：</w:t>
      </w:r>
    </w:p>
    <w:p w14:paraId="6B7ABC31">
      <w:pPr>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地址：邮编：</w:t>
      </w:r>
    </w:p>
    <w:p w14:paraId="086DD7A5">
      <w:pPr>
        <w:snapToGrid w:val="0"/>
        <w:spacing w:line="360" w:lineRule="auto"/>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二、质疑项目基本情况</w:t>
      </w:r>
    </w:p>
    <w:p w14:paraId="23C3AED1">
      <w:pPr>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质疑项目的名称：</w:t>
      </w:r>
    </w:p>
    <w:p w14:paraId="6CDFCC6F">
      <w:pPr>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质疑项目的编号：包号：</w:t>
      </w:r>
    </w:p>
    <w:p w14:paraId="06446890">
      <w:pPr>
        <w:snapToGrid w:val="0"/>
        <w:spacing w:line="360" w:lineRule="auto"/>
        <w:rPr>
          <w:rFonts w:hint="eastAsia"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采购人名称：</w:t>
      </w:r>
    </w:p>
    <w:p w14:paraId="7414653C">
      <w:pPr>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采购文件获取日期：</w:t>
      </w:r>
    </w:p>
    <w:p w14:paraId="05A3E128">
      <w:pPr>
        <w:snapToGrid w:val="0"/>
        <w:spacing w:line="360" w:lineRule="auto"/>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三、质疑事项具体内容</w:t>
      </w:r>
    </w:p>
    <w:p w14:paraId="55E4FB0A">
      <w:pPr>
        <w:snapToGrid w:val="0"/>
        <w:spacing w:line="360" w:lineRule="auto"/>
        <w:rPr>
          <w:rFonts w:hint="eastAsia"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质疑事项1：</w:t>
      </w:r>
    </w:p>
    <w:p w14:paraId="06125D65">
      <w:pPr>
        <w:snapToGrid w:val="0"/>
        <w:spacing w:line="360" w:lineRule="auto"/>
        <w:rPr>
          <w:rFonts w:hint="eastAsia"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事实依据：</w:t>
      </w:r>
    </w:p>
    <w:p w14:paraId="0D15C2AB">
      <w:pPr>
        <w:snapToGrid w:val="0"/>
        <w:spacing w:line="360" w:lineRule="auto"/>
        <w:rPr>
          <w:rFonts w:hint="eastAsia" w:ascii="仿宋_GB2312" w:hAnsi="仿宋_GB2312" w:eastAsia="仿宋_GB2312" w:cs="仿宋_GB2312"/>
          <w:color w:val="auto"/>
          <w:sz w:val="24"/>
          <w:highlight w:val="none"/>
        </w:rPr>
      </w:pPr>
    </w:p>
    <w:p w14:paraId="02E8A94E">
      <w:pPr>
        <w:snapToGrid w:val="0"/>
        <w:spacing w:line="360" w:lineRule="auto"/>
        <w:rPr>
          <w:rFonts w:hint="eastAsia"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法律依据：</w:t>
      </w:r>
    </w:p>
    <w:p w14:paraId="41325DC5">
      <w:pPr>
        <w:snapToGrid w:val="0"/>
        <w:spacing w:line="360" w:lineRule="auto"/>
        <w:rPr>
          <w:rFonts w:hint="eastAsia" w:ascii="仿宋_GB2312" w:hAnsi="仿宋_GB2312" w:eastAsia="仿宋_GB2312" w:cs="仿宋_GB2312"/>
          <w:color w:val="auto"/>
          <w:sz w:val="24"/>
          <w:highlight w:val="none"/>
          <w:u w:val="dotted"/>
        </w:rPr>
      </w:pPr>
    </w:p>
    <w:p w14:paraId="3E60957D">
      <w:pPr>
        <w:snapToGrid w:val="0"/>
        <w:spacing w:line="360" w:lineRule="auto"/>
        <w:rPr>
          <w:rFonts w:hint="eastAsia"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质疑事项2</w:t>
      </w:r>
    </w:p>
    <w:p w14:paraId="382FAFA0">
      <w:pPr>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p>
    <w:p w14:paraId="6936E283">
      <w:pPr>
        <w:snapToGrid w:val="0"/>
        <w:spacing w:line="360" w:lineRule="auto"/>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四、与质疑事项相关的质疑请求</w:t>
      </w:r>
    </w:p>
    <w:p w14:paraId="71900094">
      <w:pPr>
        <w:snapToGrid w:val="0"/>
        <w:spacing w:line="360" w:lineRule="auto"/>
        <w:rPr>
          <w:rFonts w:hint="eastAsia"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请求：</w:t>
      </w:r>
    </w:p>
    <w:p w14:paraId="4FF8F6B6">
      <w:pPr>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签字(签章)：公章：</w:t>
      </w:r>
    </w:p>
    <w:p w14:paraId="7CADF9BF">
      <w:pPr>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日期：</w:t>
      </w:r>
    </w:p>
    <w:p w14:paraId="78B1A791">
      <w:pPr>
        <w:spacing w:line="360" w:lineRule="auto"/>
        <w:jc w:val="center"/>
        <w:rPr>
          <w:rFonts w:hint="eastAsia" w:ascii="仿宋_GB2312" w:hAnsi="仿宋_GB2312" w:eastAsia="仿宋_GB2312" w:cs="仿宋_GB2312"/>
          <w:b/>
          <w:bCs/>
          <w:color w:val="auto"/>
          <w:sz w:val="24"/>
          <w:highlight w:val="none"/>
        </w:rPr>
      </w:pPr>
    </w:p>
    <w:p w14:paraId="2AD34FA5">
      <w:pPr>
        <w:spacing w:line="360" w:lineRule="auto"/>
        <w:rPr>
          <w:rFonts w:hint="eastAsia" w:ascii="仿宋_GB2312" w:hAnsi="仿宋_GB2312" w:eastAsia="仿宋_GB2312" w:cs="仿宋_GB2312"/>
          <w:b/>
          <w:color w:val="auto"/>
          <w:sz w:val="24"/>
          <w:highlight w:val="none"/>
        </w:rPr>
      </w:pPr>
    </w:p>
    <w:p w14:paraId="40D1E952">
      <w:pPr>
        <w:spacing w:line="360" w:lineRule="auto"/>
        <w:rPr>
          <w:rFonts w:hint="eastAsia" w:ascii="仿宋_GB2312" w:hAnsi="仿宋_GB2312" w:eastAsia="仿宋_GB2312" w:cs="仿宋_GB2312"/>
          <w:b/>
          <w:color w:val="auto"/>
          <w:sz w:val="24"/>
          <w:highlight w:val="none"/>
        </w:rPr>
      </w:pPr>
    </w:p>
    <w:p w14:paraId="0FA36A33">
      <w:pPr>
        <w:spacing w:line="360" w:lineRule="auto"/>
        <w:rPr>
          <w:rFonts w:hint="eastAsia" w:ascii="仿宋_GB2312" w:hAnsi="仿宋_GB2312" w:eastAsia="仿宋_GB2312" w:cs="仿宋_GB2312"/>
          <w:b/>
          <w:color w:val="auto"/>
          <w:sz w:val="24"/>
          <w:highlight w:val="none"/>
        </w:rPr>
      </w:pPr>
    </w:p>
    <w:p w14:paraId="61B67B4B">
      <w:pPr>
        <w:spacing w:line="360" w:lineRule="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质疑函制作说明：</w:t>
      </w:r>
    </w:p>
    <w:p w14:paraId="199C2042">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1.供应商提出质疑时，应提交质疑函和必要的证明材料。</w:t>
      </w:r>
    </w:p>
    <w:p w14:paraId="76986F48">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2.质疑供应商若委托代理人进行质疑的，质疑函应按要求列明“授权代表”的有关内容，并在附件中提交由质疑</w:t>
      </w:r>
      <w:r>
        <w:rPr>
          <w:rFonts w:hint="eastAsia" w:ascii="仿宋_GB2312" w:hAnsi="仿宋_GB2312" w:eastAsia="仿宋_GB2312" w:cs="仿宋_GB2312"/>
          <w:color w:val="auto"/>
          <w:kern w:val="0"/>
          <w:sz w:val="24"/>
          <w:highlight w:val="none"/>
        </w:rPr>
        <w:t>供应商签署的授权委托书。授权委托书应载明代理人的姓名或者名称、代理事项、具体权限、期限和相关事项。</w:t>
      </w:r>
    </w:p>
    <w:p w14:paraId="254DE532">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3.质疑供应商若对项目的某一分包进行质疑，质疑函中应列明具体分包号。</w:t>
      </w:r>
    </w:p>
    <w:p w14:paraId="15DE7E9F">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4.质疑函的质疑事项应具体、明确，并有必要的事实依据和法律依据。</w:t>
      </w:r>
    </w:p>
    <w:p w14:paraId="7B7254B7">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5.质疑函的质疑请求应与质疑事项相关。</w:t>
      </w:r>
    </w:p>
    <w:p w14:paraId="50AB2F96">
      <w:pPr>
        <w:widowControl/>
        <w:spacing w:line="360" w:lineRule="auto"/>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6.质疑供应商为自然人的，质疑函应由本人签字；质疑供应商为法人或者其他组织的，质疑函应由法定代表人、主要负责人，或者其授权代表签字或者盖章，并加盖公章。</w:t>
      </w:r>
    </w:p>
    <w:p w14:paraId="40718385">
      <w:pPr>
        <w:spacing w:line="540" w:lineRule="exact"/>
        <w:contextualSpacing/>
        <w:rPr>
          <w:rFonts w:hint="eastAsia" w:ascii="仿宋_GB2312" w:hAnsi="仿宋_GB2312" w:eastAsia="仿宋_GB2312" w:cs="仿宋_GB2312"/>
          <w:color w:val="auto"/>
          <w:sz w:val="24"/>
          <w:szCs w:val="24"/>
          <w:highlight w:val="none"/>
        </w:rPr>
      </w:pPr>
    </w:p>
    <w:p w14:paraId="2467C1C1">
      <w:pPr>
        <w:spacing w:line="540" w:lineRule="exact"/>
        <w:contextualSpacing/>
        <w:rPr>
          <w:rFonts w:hint="eastAsia" w:ascii="仿宋_GB2312" w:hAnsi="仿宋_GB2312" w:eastAsia="仿宋_GB2312" w:cs="仿宋_GB2312"/>
          <w:color w:val="auto"/>
          <w:sz w:val="24"/>
          <w:szCs w:val="24"/>
          <w:highlight w:val="none"/>
        </w:rPr>
      </w:pPr>
    </w:p>
    <w:p w14:paraId="14E5A37F">
      <w:pPr>
        <w:spacing w:line="540" w:lineRule="exact"/>
        <w:contextualSpacing/>
        <w:rPr>
          <w:rFonts w:hint="eastAsia" w:ascii="仿宋_GB2312" w:hAnsi="仿宋_GB2312" w:eastAsia="仿宋_GB2312" w:cs="仿宋_GB2312"/>
          <w:color w:val="auto"/>
          <w:sz w:val="24"/>
          <w:szCs w:val="24"/>
          <w:highlight w:val="none"/>
        </w:rPr>
      </w:pPr>
    </w:p>
    <w:p w14:paraId="5390AFCC">
      <w:pPr>
        <w:spacing w:line="540" w:lineRule="exact"/>
        <w:contextualSpacing/>
        <w:rPr>
          <w:rFonts w:hint="eastAsia" w:ascii="仿宋_GB2312" w:hAnsi="仿宋_GB2312" w:eastAsia="仿宋_GB2312" w:cs="仿宋_GB2312"/>
          <w:color w:val="auto"/>
          <w:sz w:val="24"/>
          <w:szCs w:val="24"/>
          <w:highlight w:val="none"/>
        </w:rPr>
      </w:pPr>
    </w:p>
    <w:p w14:paraId="2A6AD5EC">
      <w:pPr>
        <w:spacing w:line="540" w:lineRule="exact"/>
        <w:contextualSpacing/>
        <w:rPr>
          <w:rFonts w:hint="eastAsia" w:ascii="仿宋_GB2312" w:hAnsi="仿宋_GB2312" w:eastAsia="仿宋_GB2312" w:cs="仿宋_GB2312"/>
          <w:color w:val="auto"/>
          <w:sz w:val="24"/>
          <w:szCs w:val="24"/>
          <w:highlight w:val="none"/>
        </w:rPr>
      </w:pPr>
    </w:p>
    <w:p w14:paraId="73BF8768">
      <w:pPr>
        <w:spacing w:line="540" w:lineRule="exact"/>
        <w:contextualSpacing/>
        <w:rPr>
          <w:rFonts w:hint="eastAsia" w:ascii="仿宋_GB2312" w:hAnsi="仿宋_GB2312" w:eastAsia="仿宋_GB2312" w:cs="仿宋_GB2312"/>
          <w:color w:val="auto"/>
          <w:sz w:val="24"/>
          <w:szCs w:val="24"/>
          <w:highlight w:val="none"/>
        </w:rPr>
      </w:pPr>
    </w:p>
    <w:p w14:paraId="1C11B77F">
      <w:pPr>
        <w:spacing w:line="540" w:lineRule="exact"/>
        <w:contextualSpacing/>
        <w:rPr>
          <w:rFonts w:hint="eastAsia" w:ascii="仿宋_GB2312" w:hAnsi="仿宋_GB2312" w:eastAsia="仿宋_GB2312" w:cs="仿宋_GB2312"/>
          <w:color w:val="auto"/>
          <w:sz w:val="24"/>
          <w:szCs w:val="24"/>
          <w:highlight w:val="none"/>
        </w:rPr>
      </w:pPr>
    </w:p>
    <w:p w14:paraId="669CA5BC">
      <w:pPr>
        <w:spacing w:line="540" w:lineRule="exact"/>
        <w:contextualSpacing/>
        <w:rPr>
          <w:rFonts w:hint="eastAsia" w:ascii="仿宋_GB2312" w:hAnsi="仿宋_GB2312" w:eastAsia="仿宋_GB2312" w:cs="仿宋_GB2312"/>
          <w:color w:val="auto"/>
          <w:sz w:val="24"/>
          <w:szCs w:val="24"/>
          <w:highlight w:val="none"/>
        </w:rPr>
      </w:pPr>
    </w:p>
    <w:p w14:paraId="47CC5FFC">
      <w:pPr>
        <w:spacing w:line="540" w:lineRule="exact"/>
        <w:contextualSpacing/>
        <w:rPr>
          <w:rFonts w:hint="eastAsia" w:ascii="仿宋_GB2312" w:hAnsi="仿宋_GB2312" w:eastAsia="仿宋_GB2312" w:cs="仿宋_GB2312"/>
          <w:color w:val="auto"/>
          <w:sz w:val="24"/>
          <w:szCs w:val="24"/>
          <w:highlight w:val="none"/>
        </w:rPr>
      </w:pPr>
    </w:p>
    <w:p w14:paraId="30ADC056">
      <w:pPr>
        <w:spacing w:line="540" w:lineRule="exact"/>
        <w:contextualSpacing/>
        <w:rPr>
          <w:rFonts w:hint="eastAsia" w:ascii="仿宋_GB2312" w:hAnsi="仿宋_GB2312" w:eastAsia="仿宋_GB2312" w:cs="仿宋_GB2312"/>
          <w:color w:val="auto"/>
          <w:sz w:val="24"/>
          <w:szCs w:val="24"/>
          <w:highlight w:val="none"/>
        </w:rPr>
      </w:pPr>
    </w:p>
    <w:p w14:paraId="16D7FFA6">
      <w:pPr>
        <w:spacing w:line="540" w:lineRule="exact"/>
        <w:contextualSpacing/>
        <w:rPr>
          <w:rFonts w:hint="eastAsia" w:ascii="仿宋_GB2312" w:hAnsi="仿宋_GB2312" w:eastAsia="仿宋_GB2312" w:cs="仿宋_GB2312"/>
          <w:color w:val="auto"/>
          <w:sz w:val="24"/>
          <w:szCs w:val="24"/>
          <w:highlight w:val="none"/>
        </w:rPr>
      </w:pPr>
    </w:p>
    <w:p w14:paraId="04C403D1">
      <w:pPr>
        <w:spacing w:line="540" w:lineRule="exact"/>
        <w:contextualSpacing/>
        <w:rPr>
          <w:rFonts w:hint="eastAsia" w:ascii="仿宋_GB2312" w:hAnsi="仿宋_GB2312" w:eastAsia="仿宋_GB2312" w:cs="仿宋_GB2312"/>
          <w:color w:val="auto"/>
          <w:sz w:val="24"/>
          <w:szCs w:val="24"/>
          <w:highlight w:val="none"/>
        </w:rPr>
      </w:pPr>
    </w:p>
    <w:p w14:paraId="158B8335">
      <w:pPr>
        <w:spacing w:line="540" w:lineRule="exact"/>
        <w:contextualSpacing/>
        <w:rPr>
          <w:rFonts w:hint="eastAsia" w:ascii="仿宋_GB2312" w:hAnsi="仿宋_GB2312" w:eastAsia="仿宋_GB2312" w:cs="仿宋_GB2312"/>
          <w:color w:val="auto"/>
          <w:sz w:val="24"/>
          <w:szCs w:val="24"/>
          <w:highlight w:val="none"/>
        </w:rPr>
      </w:pPr>
    </w:p>
    <w:p w14:paraId="2FFA85CF">
      <w:pPr>
        <w:spacing w:line="540" w:lineRule="exact"/>
        <w:contextualSpacing/>
        <w:rPr>
          <w:rFonts w:hint="eastAsia" w:ascii="仿宋_GB2312" w:hAnsi="仿宋_GB2312" w:eastAsia="仿宋_GB2312" w:cs="仿宋_GB2312"/>
          <w:color w:val="auto"/>
          <w:sz w:val="24"/>
          <w:szCs w:val="24"/>
          <w:highlight w:val="none"/>
        </w:rPr>
      </w:pPr>
    </w:p>
    <w:p w14:paraId="7BA438BE">
      <w:pPr>
        <w:pStyle w:val="12"/>
        <w:rPr>
          <w:rFonts w:hint="eastAsia" w:ascii="仿宋_GB2312" w:hAnsi="仿宋_GB2312" w:eastAsia="仿宋_GB2312" w:cs="仿宋_GB2312"/>
          <w:color w:val="auto"/>
          <w:highlight w:val="none"/>
        </w:rPr>
      </w:pPr>
    </w:p>
    <w:p w14:paraId="77214D14">
      <w:pPr>
        <w:pStyle w:val="20"/>
        <w:rPr>
          <w:rFonts w:hint="eastAsia" w:ascii="仿宋_GB2312" w:hAnsi="仿宋_GB2312" w:eastAsia="仿宋_GB2312" w:cs="仿宋_GB2312"/>
          <w:color w:val="auto"/>
          <w:highlight w:val="none"/>
        </w:rPr>
      </w:pPr>
    </w:p>
    <w:p w14:paraId="4A14BA74">
      <w:pPr>
        <w:spacing w:line="540" w:lineRule="exact"/>
        <w:contextualSpacing/>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附件3：</w:t>
      </w:r>
    </w:p>
    <w:p w14:paraId="73AAE90B">
      <w:pPr>
        <w:spacing w:line="540" w:lineRule="exact"/>
        <w:contextualSpacing/>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投诉书范本及制作说明</w:t>
      </w:r>
    </w:p>
    <w:p w14:paraId="7CB1B14A">
      <w:pPr>
        <w:spacing w:line="540" w:lineRule="exact"/>
        <w:contextualSpacing/>
        <w:rPr>
          <w:rFonts w:hint="eastAsia" w:ascii="仿宋_GB2312" w:hAnsi="仿宋_GB2312" w:eastAsia="仿宋_GB2312" w:cs="仿宋_GB2312"/>
          <w:color w:val="auto"/>
          <w:sz w:val="24"/>
          <w:szCs w:val="24"/>
          <w:highlight w:val="none"/>
        </w:rPr>
      </w:pPr>
    </w:p>
    <w:p w14:paraId="36213F12">
      <w:pPr>
        <w:spacing w:line="360" w:lineRule="auto"/>
        <w:jc w:val="center"/>
        <w:rPr>
          <w:rFonts w:hint="eastAsia" w:ascii="仿宋_GB2312" w:hAnsi="仿宋_GB2312" w:eastAsia="仿宋_GB2312" w:cs="仿宋_GB2312"/>
          <w:b/>
          <w:color w:val="auto"/>
          <w:spacing w:val="6"/>
          <w:sz w:val="24"/>
          <w:szCs w:val="24"/>
          <w:highlight w:val="none"/>
        </w:rPr>
      </w:pPr>
      <w:r>
        <w:rPr>
          <w:rFonts w:hint="eastAsia" w:ascii="仿宋_GB2312" w:hAnsi="仿宋_GB2312" w:eastAsia="仿宋_GB2312" w:cs="仿宋_GB2312"/>
          <w:b/>
          <w:color w:val="auto"/>
          <w:spacing w:val="6"/>
          <w:sz w:val="24"/>
          <w:szCs w:val="24"/>
          <w:highlight w:val="none"/>
        </w:rPr>
        <w:t>投诉书范本</w:t>
      </w:r>
    </w:p>
    <w:p w14:paraId="09B3C4BC">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一、投诉相关主体基本情况</w:t>
      </w:r>
    </w:p>
    <w:p w14:paraId="0CE0C6F2">
      <w:pPr>
        <w:spacing w:line="360" w:lineRule="auto"/>
        <w:rPr>
          <w:rFonts w:hint="eastAsia" w:ascii="仿宋_GB2312" w:hAnsi="仿宋_GB2312" w:eastAsia="仿宋_GB2312" w:cs="仿宋_GB2312"/>
          <w:color w:val="auto"/>
          <w:sz w:val="24"/>
          <w:szCs w:val="24"/>
          <w:highlight w:val="none"/>
          <w:u w:val="dotted"/>
        </w:rPr>
      </w:pPr>
      <w:r>
        <w:rPr>
          <w:rFonts w:hint="eastAsia" w:ascii="仿宋_GB2312" w:hAnsi="仿宋_GB2312" w:eastAsia="仿宋_GB2312" w:cs="仿宋_GB2312"/>
          <w:color w:val="auto"/>
          <w:sz w:val="24"/>
          <w:szCs w:val="24"/>
          <w:highlight w:val="none"/>
        </w:rPr>
        <w:t>投诉人：</w:t>
      </w:r>
    </w:p>
    <w:p w14:paraId="18470280">
      <w:pPr>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地址：邮编：</w:t>
      </w:r>
    </w:p>
    <w:p w14:paraId="381C17EF">
      <w:pPr>
        <w:tabs>
          <w:tab w:val="left" w:pos="6510"/>
        </w:tabs>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法定代表人/主要负责人：</w:t>
      </w:r>
    </w:p>
    <w:p w14:paraId="57B5B773">
      <w:pPr>
        <w:tabs>
          <w:tab w:val="left" w:pos="6510"/>
        </w:tabs>
        <w:spacing w:line="360" w:lineRule="auto"/>
        <w:rPr>
          <w:rFonts w:hint="eastAsia" w:ascii="仿宋_GB2312" w:hAnsi="仿宋_GB2312" w:eastAsia="仿宋_GB2312" w:cs="仿宋_GB2312"/>
          <w:color w:val="auto"/>
          <w:sz w:val="24"/>
          <w:szCs w:val="24"/>
          <w:highlight w:val="none"/>
          <w:u w:val="dotted"/>
        </w:rPr>
      </w:pPr>
      <w:r>
        <w:rPr>
          <w:rFonts w:hint="eastAsia" w:ascii="仿宋_GB2312" w:hAnsi="仿宋_GB2312" w:eastAsia="仿宋_GB2312" w:cs="仿宋_GB2312"/>
          <w:color w:val="auto"/>
          <w:sz w:val="24"/>
          <w:szCs w:val="24"/>
          <w:highlight w:val="none"/>
        </w:rPr>
        <w:t>联系电话：</w:t>
      </w:r>
    </w:p>
    <w:p w14:paraId="528C1725">
      <w:pPr>
        <w:spacing w:line="360" w:lineRule="auto"/>
        <w:rPr>
          <w:rFonts w:hint="eastAsia" w:ascii="仿宋_GB2312" w:hAnsi="仿宋_GB2312" w:eastAsia="仿宋_GB2312" w:cs="仿宋_GB2312"/>
          <w:color w:val="auto"/>
          <w:sz w:val="24"/>
          <w:szCs w:val="24"/>
          <w:highlight w:val="none"/>
          <w:u w:val="dotted"/>
        </w:rPr>
      </w:pPr>
      <w:r>
        <w:rPr>
          <w:rFonts w:hint="eastAsia" w:ascii="仿宋_GB2312" w:hAnsi="仿宋_GB2312" w:eastAsia="仿宋_GB2312" w:cs="仿宋_GB2312"/>
          <w:color w:val="auto"/>
          <w:sz w:val="24"/>
          <w:szCs w:val="24"/>
          <w:highlight w:val="none"/>
        </w:rPr>
        <w:t>授权代表：联系电话</w:t>
      </w:r>
      <w:r>
        <w:rPr>
          <w:rFonts w:hint="eastAsia" w:ascii="仿宋_GB2312" w:hAnsi="仿宋_GB2312" w:eastAsia="仿宋_GB2312" w:cs="仿宋_GB2312"/>
          <w:color w:val="auto"/>
          <w:sz w:val="24"/>
          <w:szCs w:val="24"/>
          <w:highlight w:val="none"/>
          <w:u w:val="dotted"/>
        </w:rPr>
        <w:t>：</w:t>
      </w:r>
    </w:p>
    <w:p w14:paraId="598599A8">
      <w:pPr>
        <w:spacing w:line="360" w:lineRule="auto"/>
        <w:rPr>
          <w:rFonts w:hint="eastAsia" w:ascii="仿宋_GB2312" w:hAnsi="仿宋_GB2312" w:eastAsia="仿宋_GB2312" w:cs="仿宋_GB2312"/>
          <w:color w:val="auto"/>
          <w:sz w:val="24"/>
          <w:szCs w:val="24"/>
          <w:highlight w:val="none"/>
          <w:u w:val="dotted"/>
        </w:rPr>
      </w:pPr>
      <w:r>
        <w:rPr>
          <w:rFonts w:hint="eastAsia" w:ascii="仿宋_GB2312" w:hAnsi="仿宋_GB2312" w:eastAsia="仿宋_GB2312" w:cs="仿宋_GB2312"/>
          <w:color w:val="auto"/>
          <w:sz w:val="24"/>
          <w:szCs w:val="24"/>
          <w:highlight w:val="none"/>
        </w:rPr>
        <w:t>地址：邮编：</w:t>
      </w:r>
    </w:p>
    <w:p w14:paraId="50ABC646">
      <w:pPr>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被投诉人1：</w:t>
      </w:r>
    </w:p>
    <w:p w14:paraId="7A495111">
      <w:pPr>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地址：邮编：</w:t>
      </w:r>
    </w:p>
    <w:p w14:paraId="1329E63D">
      <w:pPr>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联系人：联系电话：</w:t>
      </w:r>
    </w:p>
    <w:p w14:paraId="5C07B7BF">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被投诉人2</w:t>
      </w:r>
    </w:p>
    <w:p w14:paraId="38D6436E">
      <w:pPr>
        <w:spacing w:line="360" w:lineRule="auto"/>
        <w:rPr>
          <w:rFonts w:hint="eastAsia" w:ascii="仿宋_GB2312" w:hAnsi="仿宋_GB2312" w:eastAsia="仿宋_GB2312" w:cs="仿宋_GB2312"/>
          <w:color w:val="auto"/>
          <w:sz w:val="24"/>
          <w:szCs w:val="24"/>
          <w:highlight w:val="none"/>
          <w:u w:val="dotted"/>
        </w:rPr>
      </w:pPr>
      <w:r>
        <w:rPr>
          <w:rFonts w:hint="eastAsia" w:ascii="仿宋_GB2312" w:hAnsi="仿宋_GB2312" w:eastAsia="仿宋_GB2312" w:cs="仿宋_GB2312"/>
          <w:color w:val="auto"/>
          <w:sz w:val="24"/>
          <w:szCs w:val="24"/>
          <w:highlight w:val="none"/>
        </w:rPr>
        <w:t>……</w:t>
      </w:r>
    </w:p>
    <w:p w14:paraId="105C28E3">
      <w:pPr>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相关供应商：</w:t>
      </w:r>
    </w:p>
    <w:p w14:paraId="2208EC12">
      <w:pPr>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地址：邮编：</w:t>
      </w:r>
    </w:p>
    <w:p w14:paraId="10A49907">
      <w:pPr>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联系人：联系电话：</w:t>
      </w:r>
    </w:p>
    <w:p w14:paraId="0CE6845E">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二、投诉项目基本情况</w:t>
      </w:r>
    </w:p>
    <w:p w14:paraId="15D36B00">
      <w:pPr>
        <w:spacing w:line="360" w:lineRule="auto"/>
        <w:rPr>
          <w:rFonts w:hint="eastAsia" w:ascii="仿宋_GB2312" w:hAnsi="仿宋_GB2312" w:eastAsia="仿宋_GB2312" w:cs="仿宋_GB2312"/>
          <w:color w:val="auto"/>
          <w:sz w:val="24"/>
          <w:szCs w:val="24"/>
          <w:highlight w:val="none"/>
          <w:u w:val="dotted"/>
        </w:rPr>
      </w:pPr>
      <w:r>
        <w:rPr>
          <w:rFonts w:hint="eastAsia" w:ascii="仿宋_GB2312" w:hAnsi="仿宋_GB2312" w:eastAsia="仿宋_GB2312" w:cs="仿宋_GB2312"/>
          <w:color w:val="auto"/>
          <w:sz w:val="24"/>
          <w:szCs w:val="24"/>
          <w:highlight w:val="none"/>
        </w:rPr>
        <w:t>采购项目名称：</w:t>
      </w:r>
    </w:p>
    <w:p w14:paraId="10B68144">
      <w:pPr>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采购项目编号：包号：</w:t>
      </w:r>
    </w:p>
    <w:p w14:paraId="5AE967E3">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采购人名称：</w:t>
      </w:r>
    </w:p>
    <w:p w14:paraId="0E6F1128">
      <w:pPr>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代理机构名称：</w:t>
      </w:r>
    </w:p>
    <w:p w14:paraId="211921D4">
      <w:pPr>
        <w:spacing w:line="360" w:lineRule="auto"/>
        <w:rPr>
          <w:rFonts w:hint="eastAsia" w:ascii="仿宋_GB2312" w:hAnsi="仿宋_GB2312" w:eastAsia="仿宋_GB2312" w:cs="仿宋_GB2312"/>
          <w:color w:val="auto"/>
          <w:sz w:val="24"/>
          <w:szCs w:val="24"/>
          <w:highlight w:val="none"/>
          <w:u w:val="dotted"/>
        </w:rPr>
      </w:pPr>
      <w:r>
        <w:rPr>
          <w:rFonts w:hint="eastAsia" w:ascii="仿宋_GB2312" w:hAnsi="仿宋_GB2312" w:eastAsia="仿宋_GB2312" w:cs="仿宋_GB2312"/>
          <w:color w:val="auto"/>
          <w:sz w:val="24"/>
          <w:szCs w:val="24"/>
          <w:highlight w:val="none"/>
        </w:rPr>
        <w:t>采购文件公告:</w:t>
      </w:r>
      <w:r>
        <w:rPr>
          <w:rFonts w:hint="eastAsia" w:ascii="仿宋_GB2312" w:hAnsi="仿宋_GB2312" w:eastAsia="仿宋_GB2312" w:cs="仿宋_GB2312"/>
          <w:color w:val="auto"/>
          <w:sz w:val="24"/>
          <w:szCs w:val="24"/>
          <w:highlight w:val="none"/>
          <w:u w:val="dotted"/>
        </w:rPr>
        <w:t>是/否</w:t>
      </w:r>
      <w:r>
        <w:rPr>
          <w:rFonts w:hint="eastAsia" w:ascii="仿宋_GB2312" w:hAnsi="仿宋_GB2312" w:eastAsia="仿宋_GB2312" w:cs="仿宋_GB2312"/>
          <w:color w:val="auto"/>
          <w:sz w:val="24"/>
          <w:szCs w:val="24"/>
          <w:highlight w:val="none"/>
        </w:rPr>
        <w:t>公告期限：</w:t>
      </w:r>
    </w:p>
    <w:p w14:paraId="5F33E362">
      <w:pPr>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采购结果公告:</w:t>
      </w:r>
      <w:r>
        <w:rPr>
          <w:rFonts w:hint="eastAsia" w:ascii="仿宋_GB2312" w:hAnsi="仿宋_GB2312" w:eastAsia="仿宋_GB2312" w:cs="仿宋_GB2312"/>
          <w:color w:val="auto"/>
          <w:sz w:val="24"/>
          <w:szCs w:val="24"/>
          <w:highlight w:val="none"/>
          <w:u w:val="dotted"/>
        </w:rPr>
        <w:t>是/否</w:t>
      </w:r>
      <w:r>
        <w:rPr>
          <w:rFonts w:hint="eastAsia" w:ascii="仿宋_GB2312" w:hAnsi="仿宋_GB2312" w:eastAsia="仿宋_GB2312" w:cs="仿宋_GB2312"/>
          <w:color w:val="auto"/>
          <w:sz w:val="24"/>
          <w:szCs w:val="24"/>
          <w:highlight w:val="none"/>
        </w:rPr>
        <w:t>公告期限：</w:t>
      </w:r>
    </w:p>
    <w:p w14:paraId="175C245A">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三、质疑基本情况</w:t>
      </w:r>
    </w:p>
    <w:p w14:paraId="4392303A">
      <w:pPr>
        <w:spacing w:line="360" w:lineRule="auto"/>
        <w:rPr>
          <w:rFonts w:hint="eastAsia" w:ascii="仿宋_GB2312" w:hAnsi="仿宋_GB2312" w:eastAsia="仿宋_GB2312" w:cs="仿宋_GB2312"/>
          <w:color w:val="auto"/>
          <w:sz w:val="24"/>
          <w:szCs w:val="24"/>
          <w:highlight w:val="none"/>
          <w:u w:val="dotted"/>
        </w:rPr>
      </w:pPr>
      <w:r>
        <w:rPr>
          <w:rFonts w:hint="eastAsia" w:ascii="仿宋_GB2312" w:hAnsi="仿宋_GB2312" w:eastAsia="仿宋_GB2312" w:cs="仿宋_GB2312"/>
          <w:color w:val="auto"/>
          <w:sz w:val="24"/>
          <w:szCs w:val="24"/>
          <w:highlight w:val="none"/>
        </w:rPr>
        <w:t>投诉人于年月日,向提出质疑，质疑事项为：</w:t>
      </w:r>
    </w:p>
    <w:p w14:paraId="6087F720">
      <w:pPr>
        <w:spacing w:line="360" w:lineRule="auto"/>
        <w:rPr>
          <w:rFonts w:hint="eastAsia" w:ascii="仿宋_GB2312" w:hAnsi="仿宋_GB2312" w:eastAsia="仿宋_GB2312" w:cs="仿宋_GB2312"/>
          <w:color w:val="auto"/>
          <w:sz w:val="24"/>
          <w:szCs w:val="24"/>
          <w:highlight w:val="none"/>
          <w:u w:val="dotted"/>
        </w:rPr>
      </w:pPr>
    </w:p>
    <w:p w14:paraId="59EC8047">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dotted"/>
        </w:rPr>
        <w:t>采购人/代理机构</w:t>
      </w:r>
      <w:r>
        <w:rPr>
          <w:rFonts w:hint="eastAsia" w:ascii="仿宋_GB2312" w:hAnsi="仿宋_GB2312" w:eastAsia="仿宋_GB2312" w:cs="仿宋_GB2312"/>
          <w:color w:val="auto"/>
          <w:sz w:val="24"/>
          <w:szCs w:val="24"/>
          <w:highlight w:val="none"/>
        </w:rPr>
        <w:t>于年月日,就质疑事项作出了答复/没有在法定期限内作出答复。</w:t>
      </w:r>
    </w:p>
    <w:p w14:paraId="6642D0C3">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四、投诉事项具体内容</w:t>
      </w:r>
    </w:p>
    <w:p w14:paraId="5C3AF5F3">
      <w:pPr>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投诉事项 1：</w:t>
      </w:r>
    </w:p>
    <w:p w14:paraId="7B8BADBF">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事实依据：</w:t>
      </w:r>
    </w:p>
    <w:p w14:paraId="3934DD94">
      <w:pPr>
        <w:spacing w:line="360" w:lineRule="auto"/>
        <w:rPr>
          <w:rFonts w:hint="eastAsia" w:ascii="仿宋_GB2312" w:hAnsi="仿宋_GB2312" w:eastAsia="仿宋_GB2312" w:cs="仿宋_GB2312"/>
          <w:color w:val="auto"/>
          <w:sz w:val="24"/>
          <w:szCs w:val="24"/>
          <w:highlight w:val="none"/>
          <w:u w:val="dotted"/>
        </w:rPr>
      </w:pPr>
    </w:p>
    <w:p w14:paraId="0C2CDA6C">
      <w:pPr>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法律依据：</w:t>
      </w:r>
    </w:p>
    <w:p w14:paraId="311084F8">
      <w:pPr>
        <w:spacing w:line="360" w:lineRule="auto"/>
        <w:rPr>
          <w:rFonts w:hint="eastAsia" w:ascii="仿宋_GB2312" w:hAnsi="仿宋_GB2312" w:eastAsia="仿宋_GB2312" w:cs="仿宋_GB2312"/>
          <w:color w:val="auto"/>
          <w:sz w:val="24"/>
          <w:szCs w:val="24"/>
          <w:highlight w:val="none"/>
          <w:u w:val="dotted"/>
        </w:rPr>
      </w:pPr>
    </w:p>
    <w:p w14:paraId="3C65EB64">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投诉事项2</w:t>
      </w:r>
    </w:p>
    <w:p w14:paraId="67989967">
      <w:pPr>
        <w:spacing w:line="360" w:lineRule="auto"/>
        <w:rPr>
          <w:rFonts w:hint="eastAsia" w:ascii="仿宋_GB2312" w:hAnsi="仿宋_GB2312" w:eastAsia="仿宋_GB2312" w:cs="仿宋_GB2312"/>
          <w:color w:val="auto"/>
          <w:sz w:val="24"/>
          <w:szCs w:val="24"/>
          <w:highlight w:val="none"/>
          <w:u w:val="dotted"/>
        </w:rPr>
      </w:pPr>
      <w:r>
        <w:rPr>
          <w:rFonts w:hint="eastAsia" w:ascii="仿宋_GB2312" w:hAnsi="仿宋_GB2312" w:eastAsia="仿宋_GB2312" w:cs="仿宋_GB2312"/>
          <w:color w:val="auto"/>
          <w:sz w:val="24"/>
          <w:szCs w:val="24"/>
          <w:highlight w:val="none"/>
        </w:rPr>
        <w:t>……</w:t>
      </w:r>
    </w:p>
    <w:p w14:paraId="5E8C2568">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五、与投诉事项相关的投诉请求</w:t>
      </w:r>
    </w:p>
    <w:p w14:paraId="4723CCA1">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请求：</w:t>
      </w:r>
    </w:p>
    <w:p w14:paraId="7D2A86E3">
      <w:pPr>
        <w:spacing w:line="360" w:lineRule="auto"/>
        <w:rPr>
          <w:rFonts w:hint="eastAsia" w:ascii="仿宋_GB2312" w:hAnsi="仿宋_GB2312" w:eastAsia="仿宋_GB2312" w:cs="仿宋_GB2312"/>
          <w:color w:val="auto"/>
          <w:sz w:val="24"/>
          <w:szCs w:val="24"/>
          <w:highlight w:val="none"/>
          <w:u w:val="single"/>
        </w:rPr>
      </w:pPr>
    </w:p>
    <w:p w14:paraId="7534B7C6">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签字(签章)：公章：</w:t>
      </w:r>
    </w:p>
    <w:p w14:paraId="7623ED26">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w:t>
      </w:r>
    </w:p>
    <w:p w14:paraId="0BB441D1">
      <w:pPr>
        <w:spacing w:line="360" w:lineRule="auto"/>
        <w:rPr>
          <w:rFonts w:hint="eastAsia" w:ascii="仿宋_GB2312" w:hAnsi="仿宋_GB2312" w:eastAsia="仿宋_GB2312" w:cs="仿宋_GB2312"/>
          <w:b/>
          <w:color w:val="auto"/>
          <w:sz w:val="24"/>
          <w:szCs w:val="24"/>
          <w:highlight w:val="none"/>
        </w:rPr>
      </w:pPr>
    </w:p>
    <w:p w14:paraId="16DF6721">
      <w:pPr>
        <w:spacing w:line="360" w:lineRule="auto"/>
        <w:rPr>
          <w:rFonts w:hint="eastAsia" w:ascii="仿宋_GB2312" w:hAnsi="仿宋_GB2312" w:eastAsia="仿宋_GB2312" w:cs="仿宋_GB2312"/>
          <w:b/>
          <w:color w:val="auto"/>
          <w:sz w:val="24"/>
          <w:szCs w:val="24"/>
          <w:highlight w:val="none"/>
        </w:rPr>
      </w:pPr>
    </w:p>
    <w:p w14:paraId="75854A54">
      <w:pPr>
        <w:spacing w:line="360" w:lineRule="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投诉书制作说明：</w:t>
      </w:r>
    </w:p>
    <w:p w14:paraId="21D95CAE">
      <w:pPr>
        <w:widowControl/>
        <w:spacing w:line="360" w:lineRule="auto"/>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1.投诉人提起投诉时，应当提交投诉书和必要的证明材料，并按照被投诉人和与投诉事项有关的供应商数量提供投诉书副本。</w:t>
      </w:r>
    </w:p>
    <w:p w14:paraId="0A4494CF">
      <w:pPr>
        <w:widowControl/>
        <w:spacing w:line="360" w:lineRule="auto"/>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2.投诉人若委托代理人进行投诉的，投诉书应按照要求列明“授权代表”的有关内容，并在附件中提交由</w:t>
      </w:r>
      <w:r>
        <w:rPr>
          <w:rFonts w:hint="eastAsia" w:ascii="仿宋_GB2312" w:hAnsi="仿宋_GB2312" w:eastAsia="仿宋_GB2312" w:cs="仿宋_GB2312"/>
          <w:color w:val="auto"/>
          <w:kern w:val="0"/>
          <w:sz w:val="24"/>
          <w:szCs w:val="24"/>
          <w:highlight w:val="none"/>
        </w:rPr>
        <w:t>投诉人签署的授权委托书。授权委托书应当载明代理人的姓名或者名称、代理事项、具体权限、期限和相关事项。</w:t>
      </w:r>
    </w:p>
    <w:p w14:paraId="4AEC04BC">
      <w:pPr>
        <w:widowControl/>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3.投诉人若对项目的某一分包进行投诉，投诉书应列明具体分包号。</w:t>
      </w:r>
    </w:p>
    <w:p w14:paraId="550AEAB7">
      <w:pPr>
        <w:widowControl/>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4.投诉书应简要列明质疑事项，质疑函、质疑答复等作为附件材料提供。</w:t>
      </w:r>
    </w:p>
    <w:p w14:paraId="22F72B8C">
      <w:pPr>
        <w:widowControl/>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5.投诉书的投诉事项应具体、明确，并有必要的事实依据和法律依据。</w:t>
      </w:r>
    </w:p>
    <w:p w14:paraId="5A15722A">
      <w:pPr>
        <w:widowControl/>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6.投诉书的投诉请求应与投诉事项相关。</w:t>
      </w:r>
    </w:p>
    <w:p w14:paraId="26BCCAF8">
      <w:pPr>
        <w:spacing w:line="360" w:lineRule="auto"/>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7.投诉人为自然人的，投诉书应当由本人签字；投诉人为法人或者其他组织的，投诉书应当由法定代表人、主要负责人，或者其授权代表签字或者盖章，并加盖公章。</w:t>
      </w:r>
    </w:p>
    <w:p w14:paraId="32F5D522">
      <w:pPr>
        <w:spacing w:line="540" w:lineRule="exact"/>
        <w:contextualSpacing/>
        <w:rPr>
          <w:rFonts w:hint="eastAsia" w:ascii="仿宋_GB2312" w:hAnsi="仿宋_GB2312" w:eastAsia="仿宋_GB2312" w:cs="仿宋_GB2312"/>
          <w:color w:val="auto"/>
          <w:sz w:val="28"/>
          <w:szCs w:val="28"/>
          <w:highlight w:val="none"/>
        </w:rPr>
      </w:pPr>
    </w:p>
    <w:p w14:paraId="22CE8D09">
      <w:pPr>
        <w:spacing w:line="540" w:lineRule="exact"/>
        <w:contextualSpacing/>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附件4：</w:t>
      </w:r>
    </w:p>
    <w:p w14:paraId="55DA0409">
      <w:pPr>
        <w:spacing w:line="540" w:lineRule="exact"/>
        <w:contextualSpacing/>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业务专用章使用说明函</w:t>
      </w:r>
    </w:p>
    <w:p w14:paraId="3666AA26">
      <w:pPr>
        <w:spacing w:line="540" w:lineRule="exact"/>
        <w:contextualSpacing/>
        <w:rPr>
          <w:rFonts w:hint="eastAsia" w:ascii="仿宋_GB2312" w:hAnsi="仿宋_GB2312" w:eastAsia="仿宋_GB2312" w:cs="仿宋_GB2312"/>
          <w:color w:val="auto"/>
          <w:sz w:val="24"/>
          <w:szCs w:val="24"/>
          <w:highlight w:val="none"/>
        </w:rPr>
      </w:pPr>
    </w:p>
    <w:p w14:paraId="58A1B51F">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（采购人）、（采购代理机构）：</w:t>
      </w:r>
    </w:p>
    <w:p w14:paraId="1C52C4DF">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我方(投标人全称)是中华人民共和国依法登记注册的合法企业，在参加你方组织的</w:t>
      </w:r>
      <w:r>
        <w:rPr>
          <w:rFonts w:hint="eastAsia" w:ascii="仿宋_GB2312" w:hAnsi="仿宋_GB2312" w:eastAsia="仿宋_GB2312" w:cs="仿宋_GB2312"/>
          <w:color w:val="auto"/>
          <w:sz w:val="24"/>
          <w:szCs w:val="24"/>
          <w:highlight w:val="none"/>
          <w:u w:val="single"/>
        </w:rPr>
        <w:t>（项目名称）</w:t>
      </w:r>
      <w:r>
        <w:rPr>
          <w:rFonts w:hint="eastAsia" w:ascii="仿宋_GB2312" w:hAnsi="仿宋_GB2312" w:eastAsia="仿宋_GB2312" w:cs="仿宋_GB2312"/>
          <w:color w:val="auto"/>
          <w:sz w:val="24"/>
          <w:szCs w:val="24"/>
          <w:highlight w:val="none"/>
        </w:rPr>
        <w:t>项目【招标编号：</w:t>
      </w:r>
      <w:r>
        <w:rPr>
          <w:rFonts w:hint="eastAsia" w:ascii="仿宋_GB2312" w:hAnsi="仿宋_GB2312" w:eastAsia="仿宋_GB2312" w:cs="仿宋_GB2312"/>
          <w:color w:val="auto"/>
          <w:sz w:val="24"/>
          <w:szCs w:val="24"/>
          <w:highlight w:val="none"/>
          <w:u w:val="single"/>
        </w:rPr>
        <w:t>（采购编号）</w:t>
      </w:r>
      <w:r>
        <w:rPr>
          <w:rFonts w:hint="eastAsia" w:ascii="仿宋_GB2312" w:hAnsi="仿宋_GB2312" w:eastAsia="仿宋_GB2312" w:cs="仿宋_GB2312"/>
          <w:color w:val="auto"/>
          <w:sz w:val="24"/>
          <w:szCs w:val="24"/>
          <w:highlight w:val="none"/>
        </w:rPr>
        <w:t>】投标活动中作如下说明：我方所使用的“XX专用章”与法定名称章具有同等的法律效力，对使用“XX专用章”的行为予以完全承认，并愿意承担相应责任。</w:t>
      </w:r>
    </w:p>
    <w:p w14:paraId="07D58DF3">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特此说明。</w:t>
      </w:r>
    </w:p>
    <w:p w14:paraId="608C5F73">
      <w:pPr>
        <w:spacing w:line="540" w:lineRule="exact"/>
        <w:contextualSpacing/>
        <w:rPr>
          <w:rFonts w:hint="eastAsia" w:ascii="仿宋_GB2312" w:hAnsi="仿宋_GB2312" w:eastAsia="仿宋_GB2312" w:cs="仿宋_GB2312"/>
          <w:color w:val="auto"/>
          <w:sz w:val="24"/>
          <w:szCs w:val="24"/>
          <w:highlight w:val="none"/>
        </w:rPr>
      </w:pPr>
    </w:p>
    <w:p w14:paraId="093363B9">
      <w:pPr>
        <w:spacing w:line="540" w:lineRule="exact"/>
        <w:contextualSpacing/>
        <w:rPr>
          <w:rFonts w:hint="eastAsia" w:ascii="仿宋_GB2312" w:hAnsi="仿宋_GB2312" w:eastAsia="仿宋_GB2312" w:cs="仿宋_GB2312"/>
          <w:color w:val="auto"/>
          <w:sz w:val="24"/>
          <w:szCs w:val="24"/>
          <w:highlight w:val="none"/>
        </w:rPr>
      </w:pPr>
    </w:p>
    <w:p w14:paraId="0242E661">
      <w:pPr>
        <w:spacing w:line="540" w:lineRule="exact"/>
        <w:ind w:firstLine="3600" w:firstLineChars="1500"/>
        <w:contextualSpacing/>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投标单位（法定名称章）：</w:t>
      </w:r>
    </w:p>
    <w:p w14:paraId="3C296FFA">
      <w:pPr>
        <w:spacing w:line="540" w:lineRule="exact"/>
        <w:ind w:firstLine="5040" w:firstLineChars="2100"/>
        <w:contextualSpacing/>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日期：年月日</w:t>
      </w:r>
    </w:p>
    <w:p w14:paraId="058DDF76">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附：</w:t>
      </w:r>
    </w:p>
    <w:p w14:paraId="5C1D3ADC">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投标单位法定名称章（印模）投标单位“XX专用章”（印模）</w:t>
      </w:r>
    </w:p>
    <w:p w14:paraId="25DC0651">
      <w:pPr>
        <w:spacing w:line="54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13335</wp:posOffset>
                </wp:positionV>
                <wp:extent cx="1213485" cy="715010"/>
                <wp:effectExtent l="5080" t="4445" r="15875" b="12065"/>
                <wp:wrapNone/>
                <wp:docPr id="1" name="1026"/>
                <wp:cNvGraphicFramePr/>
                <a:graphic xmlns:a="http://schemas.openxmlformats.org/drawingml/2006/main">
                  <a:graphicData uri="http://schemas.microsoft.com/office/word/2010/wordprocessingShape">
                    <wps:wsp>
                      <wps:cNvSpPr/>
                      <wps:spPr>
                        <a:xfrm>
                          <a:off x="0" y="0"/>
                          <a:ext cx="1213485" cy="71501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1026" o:spid="_x0000_s1026" o:spt="1" style="position:absolute;left:0pt;margin-left:238.9pt;margin-top:1.05pt;height:56.3pt;width:95.55pt;z-index:-251657216;mso-width-relative:page;mso-height-relative:page;" fillcolor="#FFFFFF" filled="t" stroked="t" coordsize="21600,21600" o:gfxdata="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JkmuLXAAAACQEAAA8AAAAAAAAAAQAgAAAAIgAAAGRycy9kb3ducmV2LnhtbFBLAQIU&#10;ABQAAAAIAIdO4kClobj29AEAACgEAAAOAAAAAAAAAAEAIAAAACYBAABkcnMvZTJvRG9jLnhtbFBL&#10;BQYAAAAABgAGAFkBAACMBQAAAAA=&#10;">
                <v:fill on="t" focussize="0,0"/>
                <v:stroke color="#000000" joinstyle="miter"/>
                <v:imagedata o:title=""/>
                <o:lock v:ext="edit" aspectratio="f"/>
              </v:rect>
            </w:pict>
          </mc:Fallback>
        </mc:AlternateContent>
      </w:r>
      <w:r>
        <w:rPr>
          <w:rFonts w:hint="eastAsia" w:ascii="仿宋_GB2312" w:hAnsi="仿宋_GB2312" w:eastAsia="仿宋_GB2312" w:cs="仿宋_GB2312"/>
          <w:color w:val="auto"/>
          <w:sz w:val="24"/>
          <w:szCs w:val="24"/>
          <w:highlight w:val="none"/>
        </w:rPr>
        <mc:AlternateContent>
          <mc:Choice Requires="wps">
            <w:drawing>
              <wp:anchor distT="0" distB="0" distL="114300" distR="114300" simplePos="0" relativeHeight="251660288" behindDoc="1" locked="0" layoutInCell="1" allowOverlap="1">
                <wp:simplePos x="0" y="0"/>
                <wp:positionH relativeFrom="column">
                  <wp:posOffset>-45720</wp:posOffset>
                </wp:positionH>
                <wp:positionV relativeFrom="paragraph">
                  <wp:posOffset>13335</wp:posOffset>
                </wp:positionV>
                <wp:extent cx="1188085" cy="715010"/>
                <wp:effectExtent l="4445" t="4445" r="11430" b="12065"/>
                <wp:wrapNone/>
                <wp:docPr id="2" name="1027"/>
                <wp:cNvGraphicFramePr/>
                <a:graphic xmlns:a="http://schemas.openxmlformats.org/drawingml/2006/main">
                  <a:graphicData uri="http://schemas.microsoft.com/office/word/2010/wordprocessingShape">
                    <wps:wsp>
                      <wps:cNvSpPr/>
                      <wps:spPr>
                        <a:xfrm>
                          <a:off x="0" y="0"/>
                          <a:ext cx="1188085" cy="71501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1027" o:spid="_x0000_s1026" o:spt="1" style="position:absolute;left:0pt;margin-left:-3.6pt;margin-top:1.05pt;height:56.3pt;width:93.55pt;z-index:-251656192;mso-width-relative:page;mso-height-relative:page;" fillcolor="#FFFFFF" filled="t" stroked="t" coordsize="21600,21600" o:gfxdata="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mi3RNcAAAAIAQAADwAAAAAAAAABACAAAAAiAAAAZHJzL2Rvd25yZXYueG1sUEsBAhQA&#10;FAAAAAgAh07iQLcWT+jzAQAAKAQAAA4AAAAAAAAAAQAgAAAAJgEAAGRycy9lMm9Eb2MueG1sUEsF&#10;BgAAAAAGAAYAWQEAAIsFAAAAAA==&#10;">
                <v:fill on="t" focussize="0,0"/>
                <v:stroke color="#000000" joinstyle="miter"/>
                <v:imagedata o:title=""/>
                <o:lock v:ext="edit" aspectratio="f"/>
              </v:rect>
            </w:pict>
          </mc:Fallback>
        </mc:AlternateContent>
      </w:r>
    </w:p>
    <w:p w14:paraId="6D7D686D">
      <w:pPr>
        <w:spacing w:line="540" w:lineRule="exact"/>
        <w:contextualSpacing/>
        <w:rPr>
          <w:rFonts w:hint="eastAsia" w:ascii="仿宋_GB2312" w:hAnsi="仿宋_GB2312" w:eastAsia="仿宋_GB2312" w:cs="仿宋_GB2312"/>
          <w:color w:val="auto"/>
          <w:sz w:val="24"/>
          <w:szCs w:val="24"/>
          <w:highlight w:val="none"/>
        </w:rPr>
      </w:pPr>
    </w:p>
    <w:p w14:paraId="1942EC1F">
      <w:pPr>
        <w:spacing w:line="540" w:lineRule="exact"/>
        <w:contextualSpacing/>
        <w:rPr>
          <w:rFonts w:hint="eastAsia" w:ascii="仿宋_GB2312" w:hAnsi="仿宋_GB2312" w:eastAsia="仿宋_GB2312" w:cs="仿宋_GB2312"/>
          <w:color w:val="auto"/>
          <w:sz w:val="24"/>
          <w:szCs w:val="24"/>
          <w:highlight w:val="none"/>
        </w:rPr>
      </w:pPr>
    </w:p>
    <w:p w14:paraId="2F3FACEE">
      <w:pPr>
        <w:spacing w:line="540" w:lineRule="exact"/>
        <w:contextualSpacing/>
        <w:rPr>
          <w:rFonts w:hint="eastAsia" w:ascii="仿宋_GB2312" w:hAnsi="仿宋_GB2312" w:eastAsia="仿宋_GB2312" w:cs="仿宋_GB2312"/>
          <w:color w:val="auto"/>
          <w:sz w:val="24"/>
          <w:szCs w:val="24"/>
          <w:highlight w:val="none"/>
        </w:rPr>
      </w:pPr>
    </w:p>
    <w:p w14:paraId="7BAF6239">
      <w:pPr>
        <w:spacing w:line="540" w:lineRule="exact"/>
        <w:contextualSpacing/>
        <w:rPr>
          <w:rFonts w:hint="eastAsia" w:ascii="仿宋_GB2312" w:hAnsi="仿宋_GB2312" w:eastAsia="仿宋_GB2312" w:cs="仿宋_GB2312"/>
          <w:color w:val="auto"/>
          <w:sz w:val="24"/>
          <w:szCs w:val="24"/>
          <w:highlight w:val="none"/>
        </w:rPr>
      </w:pPr>
    </w:p>
    <w:p w14:paraId="36F1E0A5">
      <w:pPr>
        <w:spacing w:line="540" w:lineRule="exact"/>
        <w:contextualSpacing/>
        <w:rPr>
          <w:rFonts w:hint="eastAsia" w:ascii="仿宋_GB2312" w:hAnsi="仿宋_GB2312" w:eastAsia="仿宋_GB2312" w:cs="仿宋_GB2312"/>
          <w:color w:val="auto"/>
          <w:sz w:val="24"/>
          <w:szCs w:val="24"/>
          <w:highlight w:val="none"/>
        </w:rPr>
      </w:pPr>
    </w:p>
    <w:p w14:paraId="3327DA91">
      <w:pPr>
        <w:spacing w:line="540" w:lineRule="exact"/>
        <w:contextualSpacing/>
        <w:rPr>
          <w:rFonts w:hint="eastAsia" w:ascii="仿宋_GB2312" w:hAnsi="仿宋_GB2312" w:eastAsia="仿宋_GB2312" w:cs="仿宋_GB2312"/>
          <w:color w:val="auto"/>
          <w:sz w:val="24"/>
          <w:szCs w:val="24"/>
          <w:highlight w:val="none"/>
        </w:rPr>
      </w:pPr>
    </w:p>
    <w:p w14:paraId="4A255919">
      <w:pPr>
        <w:spacing w:line="540" w:lineRule="exact"/>
        <w:contextualSpacing/>
        <w:rPr>
          <w:rFonts w:hint="eastAsia" w:ascii="仿宋_GB2312" w:hAnsi="仿宋_GB2312" w:eastAsia="仿宋_GB2312" w:cs="仿宋_GB2312"/>
          <w:color w:val="auto"/>
          <w:sz w:val="24"/>
          <w:szCs w:val="24"/>
          <w:highlight w:val="none"/>
        </w:rPr>
      </w:pPr>
    </w:p>
    <w:p w14:paraId="2A8F260A">
      <w:pPr>
        <w:spacing w:line="540" w:lineRule="exact"/>
        <w:contextualSpacing/>
        <w:rPr>
          <w:rFonts w:hint="eastAsia" w:ascii="仿宋_GB2312" w:hAnsi="仿宋_GB2312" w:eastAsia="仿宋_GB2312" w:cs="仿宋_GB2312"/>
          <w:color w:val="auto"/>
          <w:sz w:val="24"/>
          <w:szCs w:val="24"/>
          <w:highlight w:val="none"/>
        </w:rPr>
      </w:pPr>
    </w:p>
    <w:p w14:paraId="4218701E">
      <w:pPr>
        <w:pStyle w:val="2"/>
        <w:rPr>
          <w:rFonts w:hint="eastAsia" w:ascii="仿宋_GB2312" w:hAnsi="仿宋_GB2312" w:eastAsia="仿宋_GB2312" w:cs="仿宋_GB2312"/>
          <w:color w:val="auto"/>
          <w:highlight w:val="none"/>
        </w:rPr>
      </w:pPr>
    </w:p>
    <w:p w14:paraId="10BA994C">
      <w:pPr>
        <w:spacing w:line="540" w:lineRule="exact"/>
        <w:contextualSpacing/>
        <w:rPr>
          <w:rFonts w:hint="eastAsia" w:ascii="仿宋_GB2312" w:hAnsi="仿宋_GB2312" w:eastAsia="仿宋_GB2312" w:cs="仿宋_GB2312"/>
          <w:color w:val="auto"/>
          <w:sz w:val="24"/>
          <w:szCs w:val="24"/>
          <w:highlight w:val="none"/>
        </w:rPr>
      </w:pPr>
    </w:p>
    <w:p w14:paraId="103FAF15">
      <w:pPr>
        <w:spacing w:line="540" w:lineRule="exact"/>
        <w:contextualSpacing/>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附件5：</w:t>
      </w:r>
    </w:p>
    <w:p w14:paraId="4618A533">
      <w:pPr>
        <w:spacing w:line="540" w:lineRule="exact"/>
        <w:contextualSpacing/>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中小企业声明函（货物）</w:t>
      </w:r>
    </w:p>
    <w:p w14:paraId="105A5D49">
      <w:pPr>
        <w:spacing w:line="50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本公司（联合体）郑重声明，根据《政府采购促进中小企业发展管理办法》（财库﹝2020﹞46 号）的规定，本公司（联合体）参加</w:t>
      </w:r>
      <w:r>
        <w:rPr>
          <w:rFonts w:hint="eastAsia" w:ascii="仿宋_GB2312" w:hAnsi="仿宋_GB2312" w:eastAsia="仿宋_GB2312" w:cs="仿宋_GB2312"/>
          <w:color w:val="auto"/>
          <w:sz w:val="24"/>
          <w:szCs w:val="24"/>
          <w:highlight w:val="none"/>
          <w:u w:val="single"/>
          <w:lang w:eastAsia="zh-CN"/>
        </w:rPr>
        <w:t>浙江国际海运职业技术学院</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bCs/>
          <w:color w:val="000000" w:themeColor="text1"/>
          <w:sz w:val="24"/>
          <w:szCs w:val="24"/>
          <w:highlight w:val="none"/>
          <w:u w:val="single"/>
          <w:lang w:eastAsia="zh-CN"/>
          <w14:textFill>
            <w14:solidFill>
              <w14:schemeClr w14:val="tx1"/>
            </w14:solidFill>
          </w14:textFill>
        </w:rPr>
        <w:t>浙江国际海运职业技术学院办公电脑采购项目</w:t>
      </w:r>
      <w:r>
        <w:rPr>
          <w:rFonts w:hint="eastAsia" w:ascii="仿宋_GB2312" w:hAnsi="仿宋_GB2312" w:eastAsia="仿宋_GB2312" w:cs="仿宋_GB2312"/>
          <w:color w:val="auto"/>
          <w:sz w:val="24"/>
          <w:szCs w:val="24"/>
          <w:highlight w:val="none"/>
        </w:rPr>
        <w:t>采购活动，提供的货物全部由符合政策要求的中小企业制造。相关企业（含联合体中的中小企业、签订分包意向协议的中小企业）的具体情况如下：</w:t>
      </w:r>
    </w:p>
    <w:tbl>
      <w:tblPr>
        <w:tblStyle w:val="2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242"/>
        <w:gridCol w:w="1266"/>
        <w:gridCol w:w="936"/>
        <w:gridCol w:w="1239"/>
        <w:gridCol w:w="1134"/>
        <w:gridCol w:w="1824"/>
      </w:tblGrid>
      <w:tr w14:paraId="22E8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2122" w:type="dxa"/>
            <w:noWrap w:val="0"/>
            <w:vAlign w:val="center"/>
          </w:tcPr>
          <w:p w14:paraId="011A13AA">
            <w:pPr>
              <w:pStyle w:val="71"/>
              <w:ind w:firstLine="0" w:firstLineChars="0"/>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标的名称</w:t>
            </w:r>
          </w:p>
          <w:p w14:paraId="33BF5C0E">
            <w:pPr>
              <w:pStyle w:val="71"/>
              <w:ind w:firstLine="0" w:firstLineChars="0"/>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lang w:eastAsia="zh-CN"/>
              </w:rPr>
              <w:t>（请根据采购文件</w:t>
            </w:r>
            <w:r>
              <w:rPr>
                <w:rFonts w:hint="eastAsia" w:ascii="仿宋_GB2312" w:hAnsi="仿宋_GB2312" w:eastAsia="仿宋_GB2312" w:cs="仿宋_GB2312"/>
                <w:color w:val="auto"/>
                <w:kern w:val="0"/>
                <w:szCs w:val="24"/>
                <w:highlight w:val="none"/>
              </w:rPr>
              <w:t>第三部分采购需求</w:t>
            </w:r>
            <w:r>
              <w:rPr>
                <w:rFonts w:hint="eastAsia" w:ascii="仿宋_GB2312" w:hAnsi="仿宋_GB2312" w:eastAsia="仿宋_GB2312" w:cs="仿宋_GB2312"/>
                <w:color w:val="auto"/>
                <w:kern w:val="0"/>
                <w:szCs w:val="24"/>
                <w:highlight w:val="none"/>
                <w:lang w:eastAsia="zh-CN"/>
              </w:rPr>
              <w:t>中一、采购设备清单</w:t>
            </w:r>
            <w:r>
              <w:rPr>
                <w:rFonts w:hint="eastAsia" w:ascii="仿宋_GB2312" w:hAnsi="仿宋_GB2312" w:eastAsia="仿宋_GB2312" w:cs="仿宋_GB2312"/>
                <w:color w:val="auto"/>
                <w:kern w:val="0"/>
                <w:szCs w:val="24"/>
                <w:highlight w:val="none"/>
              </w:rPr>
              <w:t>标的名称</w:t>
            </w:r>
            <w:r>
              <w:rPr>
                <w:rFonts w:hint="eastAsia" w:ascii="仿宋_GB2312" w:hAnsi="仿宋_GB2312" w:eastAsia="仿宋_GB2312" w:cs="仿宋_GB2312"/>
                <w:color w:val="auto"/>
                <w:kern w:val="0"/>
                <w:szCs w:val="24"/>
                <w:highlight w:val="none"/>
                <w:lang w:eastAsia="zh-CN"/>
              </w:rPr>
              <w:t>填写）</w:t>
            </w:r>
          </w:p>
        </w:tc>
        <w:tc>
          <w:tcPr>
            <w:tcW w:w="1242" w:type="dxa"/>
            <w:noWrap w:val="0"/>
            <w:vAlign w:val="center"/>
          </w:tcPr>
          <w:p w14:paraId="5D9AB049">
            <w:pPr>
              <w:pStyle w:val="71"/>
              <w:ind w:firstLine="0" w:firstLineChars="0"/>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采购文件中明确的所属行业</w:t>
            </w:r>
          </w:p>
        </w:tc>
        <w:tc>
          <w:tcPr>
            <w:tcW w:w="1266" w:type="dxa"/>
            <w:noWrap w:val="0"/>
            <w:vAlign w:val="center"/>
          </w:tcPr>
          <w:p w14:paraId="390D9D13">
            <w:pPr>
              <w:pStyle w:val="71"/>
              <w:ind w:firstLine="0" w:firstLineChars="0"/>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制造商</w:t>
            </w:r>
          </w:p>
          <w:p w14:paraId="670D32F4">
            <w:pPr>
              <w:pStyle w:val="71"/>
              <w:ind w:firstLine="0" w:firstLineChars="0"/>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（企业名称）</w:t>
            </w:r>
          </w:p>
        </w:tc>
        <w:tc>
          <w:tcPr>
            <w:tcW w:w="936" w:type="dxa"/>
            <w:noWrap w:val="0"/>
            <w:vAlign w:val="center"/>
          </w:tcPr>
          <w:p w14:paraId="1F7029BA">
            <w:pPr>
              <w:pStyle w:val="71"/>
              <w:ind w:firstLine="0" w:firstLineChars="0"/>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从业人员（人）</w:t>
            </w:r>
          </w:p>
        </w:tc>
        <w:tc>
          <w:tcPr>
            <w:tcW w:w="1239" w:type="dxa"/>
            <w:noWrap w:val="0"/>
            <w:vAlign w:val="center"/>
          </w:tcPr>
          <w:p w14:paraId="645795E7">
            <w:pPr>
              <w:pStyle w:val="71"/>
              <w:ind w:firstLine="0" w:firstLineChars="0"/>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营业收入（万元）</w:t>
            </w:r>
          </w:p>
        </w:tc>
        <w:tc>
          <w:tcPr>
            <w:tcW w:w="1134" w:type="dxa"/>
            <w:noWrap w:val="0"/>
            <w:vAlign w:val="center"/>
          </w:tcPr>
          <w:p w14:paraId="2247AC9A">
            <w:pPr>
              <w:pStyle w:val="71"/>
              <w:ind w:firstLine="0" w:firstLineChars="0"/>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资产总额（万元）</w:t>
            </w:r>
          </w:p>
        </w:tc>
        <w:tc>
          <w:tcPr>
            <w:tcW w:w="1824" w:type="dxa"/>
            <w:noWrap w:val="0"/>
            <w:vAlign w:val="center"/>
          </w:tcPr>
          <w:p w14:paraId="0E235AE6">
            <w:pPr>
              <w:pStyle w:val="71"/>
              <w:ind w:firstLine="0" w:firstLineChars="0"/>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属于</w:t>
            </w:r>
          </w:p>
          <w:p w14:paraId="5DD29920">
            <w:pPr>
              <w:pStyle w:val="71"/>
              <w:ind w:firstLine="0" w:firstLineChars="0"/>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 w:val="21"/>
                <w:szCs w:val="21"/>
                <w:highlight w:val="none"/>
              </w:rPr>
              <w:t>（中型企业、小型企业、微型企业）</w:t>
            </w:r>
          </w:p>
        </w:tc>
      </w:tr>
      <w:tr w14:paraId="13588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noWrap w:val="0"/>
            <w:vAlign w:val="center"/>
          </w:tcPr>
          <w:p w14:paraId="17C1D697">
            <w:pPr>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sz w:val="24"/>
                <w:szCs w:val="24"/>
                <w:highlight w:val="none"/>
                <w:lang w:eastAsia="zh-CN"/>
              </w:rPr>
              <w:t>办公</w:t>
            </w:r>
            <w:r>
              <w:rPr>
                <w:rFonts w:hint="eastAsia" w:ascii="仿宋_GB2312" w:hAnsi="仿宋_GB2312" w:eastAsia="仿宋_GB2312" w:cs="仿宋_GB2312"/>
                <w:color w:val="000000"/>
                <w:sz w:val="24"/>
                <w:szCs w:val="24"/>
                <w:highlight w:val="none"/>
              </w:rPr>
              <w:t>台式电脑</w:t>
            </w:r>
          </w:p>
        </w:tc>
        <w:tc>
          <w:tcPr>
            <w:tcW w:w="1242" w:type="dxa"/>
            <w:noWrap w:val="0"/>
            <w:vAlign w:val="center"/>
          </w:tcPr>
          <w:p w14:paraId="149A316F">
            <w:pPr>
              <w:jc w:val="center"/>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000000"/>
                <w:sz w:val="24"/>
                <w:szCs w:val="24"/>
                <w:highlight w:val="none"/>
              </w:rPr>
              <w:t>工业</w:t>
            </w:r>
          </w:p>
        </w:tc>
        <w:tc>
          <w:tcPr>
            <w:tcW w:w="1266" w:type="dxa"/>
            <w:noWrap w:val="0"/>
            <w:vAlign w:val="center"/>
          </w:tcPr>
          <w:p w14:paraId="5821C41C">
            <w:pPr>
              <w:widowControl/>
              <w:spacing w:line="276" w:lineRule="auto"/>
              <w:jc w:val="center"/>
              <w:rPr>
                <w:rFonts w:hint="eastAsia" w:ascii="仿宋_GB2312" w:hAnsi="仿宋_GB2312" w:eastAsia="仿宋_GB2312" w:cs="仿宋_GB2312"/>
                <w:color w:val="auto"/>
                <w:kern w:val="0"/>
                <w:sz w:val="24"/>
                <w:szCs w:val="24"/>
                <w:highlight w:val="none"/>
              </w:rPr>
            </w:pPr>
          </w:p>
        </w:tc>
        <w:tc>
          <w:tcPr>
            <w:tcW w:w="936" w:type="dxa"/>
            <w:noWrap w:val="0"/>
            <w:vAlign w:val="top"/>
          </w:tcPr>
          <w:p w14:paraId="4A2ED61C">
            <w:pPr>
              <w:pStyle w:val="71"/>
              <w:rPr>
                <w:rFonts w:hint="eastAsia" w:ascii="仿宋_GB2312" w:hAnsi="仿宋_GB2312" w:eastAsia="仿宋_GB2312" w:cs="仿宋_GB2312"/>
                <w:color w:val="auto"/>
                <w:kern w:val="0"/>
                <w:highlight w:val="none"/>
              </w:rPr>
            </w:pPr>
          </w:p>
        </w:tc>
        <w:tc>
          <w:tcPr>
            <w:tcW w:w="1239" w:type="dxa"/>
            <w:noWrap w:val="0"/>
            <w:vAlign w:val="top"/>
          </w:tcPr>
          <w:p w14:paraId="39631023">
            <w:pPr>
              <w:pStyle w:val="71"/>
              <w:rPr>
                <w:rFonts w:hint="eastAsia" w:ascii="仿宋_GB2312" w:hAnsi="仿宋_GB2312" w:eastAsia="仿宋_GB2312" w:cs="仿宋_GB2312"/>
                <w:color w:val="auto"/>
                <w:kern w:val="0"/>
                <w:highlight w:val="none"/>
              </w:rPr>
            </w:pPr>
          </w:p>
        </w:tc>
        <w:tc>
          <w:tcPr>
            <w:tcW w:w="1134" w:type="dxa"/>
            <w:noWrap w:val="0"/>
            <w:vAlign w:val="top"/>
          </w:tcPr>
          <w:p w14:paraId="2F58A975">
            <w:pPr>
              <w:pStyle w:val="71"/>
              <w:rPr>
                <w:rFonts w:hint="eastAsia" w:ascii="仿宋_GB2312" w:hAnsi="仿宋_GB2312" w:eastAsia="仿宋_GB2312" w:cs="仿宋_GB2312"/>
                <w:color w:val="auto"/>
                <w:kern w:val="0"/>
                <w:highlight w:val="none"/>
              </w:rPr>
            </w:pPr>
          </w:p>
        </w:tc>
        <w:tc>
          <w:tcPr>
            <w:tcW w:w="1824" w:type="dxa"/>
            <w:noWrap w:val="0"/>
            <w:vAlign w:val="top"/>
          </w:tcPr>
          <w:p w14:paraId="08ADB9B5">
            <w:pPr>
              <w:pStyle w:val="71"/>
              <w:ind w:firstLine="0" w:firstLineChars="0"/>
              <w:jc w:val="center"/>
              <w:rPr>
                <w:rFonts w:hint="eastAsia" w:ascii="仿宋_GB2312" w:hAnsi="仿宋_GB2312" w:eastAsia="仿宋_GB2312" w:cs="仿宋_GB2312"/>
                <w:color w:val="auto"/>
                <w:kern w:val="0"/>
                <w:szCs w:val="24"/>
                <w:highlight w:val="none"/>
              </w:rPr>
            </w:pPr>
          </w:p>
        </w:tc>
      </w:tr>
      <w:tr w14:paraId="4C90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noWrap w:val="0"/>
            <w:vAlign w:val="center"/>
          </w:tcPr>
          <w:p w14:paraId="24414BA0">
            <w:pPr>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000000"/>
                <w:sz w:val="24"/>
                <w:szCs w:val="24"/>
                <w:highlight w:val="none"/>
              </w:rPr>
              <w:t>流式软件</w:t>
            </w:r>
          </w:p>
        </w:tc>
        <w:tc>
          <w:tcPr>
            <w:tcW w:w="1242" w:type="dxa"/>
            <w:noWrap w:val="0"/>
            <w:vAlign w:val="center"/>
          </w:tcPr>
          <w:p w14:paraId="2F3187FA">
            <w:pPr>
              <w:jc w:val="center"/>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000000"/>
                <w:sz w:val="24"/>
                <w:szCs w:val="24"/>
                <w:highlight w:val="none"/>
              </w:rPr>
              <w:t>软件和信息技术服务业</w:t>
            </w:r>
          </w:p>
        </w:tc>
        <w:tc>
          <w:tcPr>
            <w:tcW w:w="1266" w:type="dxa"/>
            <w:noWrap w:val="0"/>
            <w:vAlign w:val="center"/>
          </w:tcPr>
          <w:p w14:paraId="0D1C1558">
            <w:pPr>
              <w:widowControl/>
              <w:spacing w:line="276" w:lineRule="auto"/>
              <w:jc w:val="center"/>
              <w:rPr>
                <w:rFonts w:hint="eastAsia" w:ascii="仿宋_GB2312" w:hAnsi="仿宋_GB2312" w:eastAsia="仿宋_GB2312" w:cs="仿宋_GB2312"/>
                <w:color w:val="auto"/>
                <w:kern w:val="0"/>
                <w:sz w:val="24"/>
                <w:szCs w:val="24"/>
                <w:highlight w:val="none"/>
              </w:rPr>
            </w:pPr>
          </w:p>
        </w:tc>
        <w:tc>
          <w:tcPr>
            <w:tcW w:w="936" w:type="dxa"/>
            <w:noWrap w:val="0"/>
            <w:vAlign w:val="top"/>
          </w:tcPr>
          <w:p w14:paraId="7DB3B9A0">
            <w:pPr>
              <w:pStyle w:val="71"/>
              <w:rPr>
                <w:rFonts w:hint="eastAsia" w:ascii="仿宋_GB2312" w:hAnsi="仿宋_GB2312" w:eastAsia="仿宋_GB2312" w:cs="仿宋_GB2312"/>
                <w:color w:val="auto"/>
                <w:kern w:val="0"/>
                <w:highlight w:val="none"/>
              </w:rPr>
            </w:pPr>
          </w:p>
        </w:tc>
        <w:tc>
          <w:tcPr>
            <w:tcW w:w="1239" w:type="dxa"/>
            <w:noWrap w:val="0"/>
            <w:vAlign w:val="top"/>
          </w:tcPr>
          <w:p w14:paraId="325B5D1B">
            <w:pPr>
              <w:pStyle w:val="71"/>
              <w:rPr>
                <w:rFonts w:hint="eastAsia" w:ascii="仿宋_GB2312" w:hAnsi="仿宋_GB2312" w:eastAsia="仿宋_GB2312" w:cs="仿宋_GB2312"/>
                <w:color w:val="auto"/>
                <w:kern w:val="0"/>
                <w:highlight w:val="none"/>
              </w:rPr>
            </w:pPr>
          </w:p>
        </w:tc>
        <w:tc>
          <w:tcPr>
            <w:tcW w:w="1134" w:type="dxa"/>
            <w:noWrap w:val="0"/>
            <w:vAlign w:val="top"/>
          </w:tcPr>
          <w:p w14:paraId="55581701">
            <w:pPr>
              <w:pStyle w:val="71"/>
              <w:rPr>
                <w:rFonts w:hint="eastAsia" w:ascii="仿宋_GB2312" w:hAnsi="仿宋_GB2312" w:eastAsia="仿宋_GB2312" w:cs="仿宋_GB2312"/>
                <w:color w:val="auto"/>
                <w:kern w:val="0"/>
                <w:highlight w:val="none"/>
              </w:rPr>
            </w:pPr>
          </w:p>
        </w:tc>
        <w:tc>
          <w:tcPr>
            <w:tcW w:w="1824" w:type="dxa"/>
            <w:noWrap w:val="0"/>
            <w:vAlign w:val="top"/>
          </w:tcPr>
          <w:p w14:paraId="0D6D4875">
            <w:pPr>
              <w:pStyle w:val="71"/>
              <w:ind w:firstLine="0" w:firstLineChars="0"/>
              <w:jc w:val="center"/>
              <w:rPr>
                <w:rFonts w:hint="eastAsia" w:ascii="仿宋_GB2312" w:hAnsi="仿宋_GB2312" w:eastAsia="仿宋_GB2312" w:cs="仿宋_GB2312"/>
                <w:color w:val="auto"/>
                <w:kern w:val="0"/>
                <w:szCs w:val="24"/>
                <w:highlight w:val="none"/>
              </w:rPr>
            </w:pPr>
          </w:p>
        </w:tc>
      </w:tr>
      <w:tr w14:paraId="233F7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noWrap w:val="0"/>
            <w:vAlign w:val="center"/>
          </w:tcPr>
          <w:p w14:paraId="6EE6B9BD">
            <w:pPr>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000000"/>
                <w:sz w:val="24"/>
                <w:szCs w:val="24"/>
                <w:highlight w:val="none"/>
              </w:rPr>
              <w:t>版式软件</w:t>
            </w:r>
          </w:p>
        </w:tc>
        <w:tc>
          <w:tcPr>
            <w:tcW w:w="1242" w:type="dxa"/>
            <w:noWrap w:val="0"/>
            <w:vAlign w:val="center"/>
          </w:tcPr>
          <w:p w14:paraId="65D02A1E">
            <w:pPr>
              <w:jc w:val="center"/>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000000"/>
                <w:sz w:val="24"/>
                <w:szCs w:val="24"/>
                <w:highlight w:val="none"/>
              </w:rPr>
              <w:t>软件和信息技术服务业</w:t>
            </w:r>
          </w:p>
        </w:tc>
        <w:tc>
          <w:tcPr>
            <w:tcW w:w="1266" w:type="dxa"/>
            <w:noWrap w:val="0"/>
            <w:vAlign w:val="center"/>
          </w:tcPr>
          <w:p w14:paraId="0E7F2905">
            <w:pPr>
              <w:widowControl/>
              <w:spacing w:line="276" w:lineRule="auto"/>
              <w:jc w:val="center"/>
              <w:rPr>
                <w:rFonts w:hint="eastAsia" w:ascii="仿宋_GB2312" w:hAnsi="仿宋_GB2312" w:eastAsia="仿宋_GB2312" w:cs="仿宋_GB2312"/>
                <w:color w:val="auto"/>
                <w:kern w:val="0"/>
                <w:sz w:val="24"/>
                <w:szCs w:val="24"/>
                <w:highlight w:val="none"/>
              </w:rPr>
            </w:pPr>
          </w:p>
        </w:tc>
        <w:tc>
          <w:tcPr>
            <w:tcW w:w="936" w:type="dxa"/>
            <w:noWrap w:val="0"/>
            <w:vAlign w:val="top"/>
          </w:tcPr>
          <w:p w14:paraId="282429FC">
            <w:pPr>
              <w:pStyle w:val="71"/>
              <w:rPr>
                <w:rFonts w:hint="eastAsia" w:ascii="仿宋_GB2312" w:hAnsi="仿宋_GB2312" w:eastAsia="仿宋_GB2312" w:cs="仿宋_GB2312"/>
                <w:color w:val="auto"/>
                <w:kern w:val="0"/>
                <w:highlight w:val="none"/>
              </w:rPr>
            </w:pPr>
          </w:p>
        </w:tc>
        <w:tc>
          <w:tcPr>
            <w:tcW w:w="1239" w:type="dxa"/>
            <w:noWrap w:val="0"/>
            <w:vAlign w:val="top"/>
          </w:tcPr>
          <w:p w14:paraId="0D1A01F4">
            <w:pPr>
              <w:pStyle w:val="71"/>
              <w:rPr>
                <w:rFonts w:hint="eastAsia" w:ascii="仿宋_GB2312" w:hAnsi="仿宋_GB2312" w:eastAsia="仿宋_GB2312" w:cs="仿宋_GB2312"/>
                <w:color w:val="auto"/>
                <w:kern w:val="0"/>
                <w:highlight w:val="none"/>
              </w:rPr>
            </w:pPr>
          </w:p>
        </w:tc>
        <w:tc>
          <w:tcPr>
            <w:tcW w:w="1134" w:type="dxa"/>
            <w:noWrap w:val="0"/>
            <w:vAlign w:val="top"/>
          </w:tcPr>
          <w:p w14:paraId="532F70EB">
            <w:pPr>
              <w:pStyle w:val="71"/>
              <w:rPr>
                <w:rFonts w:hint="eastAsia" w:ascii="仿宋_GB2312" w:hAnsi="仿宋_GB2312" w:eastAsia="仿宋_GB2312" w:cs="仿宋_GB2312"/>
                <w:color w:val="auto"/>
                <w:kern w:val="0"/>
                <w:highlight w:val="none"/>
              </w:rPr>
            </w:pPr>
          </w:p>
        </w:tc>
        <w:tc>
          <w:tcPr>
            <w:tcW w:w="1824" w:type="dxa"/>
            <w:noWrap w:val="0"/>
            <w:vAlign w:val="top"/>
          </w:tcPr>
          <w:p w14:paraId="29D095E6">
            <w:pPr>
              <w:pStyle w:val="71"/>
              <w:ind w:firstLine="0" w:firstLineChars="0"/>
              <w:jc w:val="center"/>
              <w:rPr>
                <w:rFonts w:hint="eastAsia" w:ascii="仿宋_GB2312" w:hAnsi="仿宋_GB2312" w:eastAsia="仿宋_GB2312" w:cs="仿宋_GB2312"/>
                <w:color w:val="auto"/>
                <w:kern w:val="0"/>
                <w:szCs w:val="24"/>
                <w:highlight w:val="none"/>
              </w:rPr>
            </w:pPr>
          </w:p>
        </w:tc>
      </w:tr>
      <w:tr w14:paraId="13A09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noWrap w:val="0"/>
            <w:vAlign w:val="center"/>
          </w:tcPr>
          <w:p w14:paraId="46E48386">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highlight w:val="none"/>
                <w:lang w:val="en-US" w:eastAsia="zh-CN"/>
              </w:rPr>
              <w:t>杀毒软件</w:t>
            </w:r>
          </w:p>
        </w:tc>
        <w:tc>
          <w:tcPr>
            <w:tcW w:w="1242" w:type="dxa"/>
            <w:noWrap w:val="0"/>
            <w:vAlign w:val="center"/>
          </w:tcPr>
          <w:p w14:paraId="573D2514">
            <w:pPr>
              <w:jc w:val="center"/>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000000"/>
                <w:sz w:val="24"/>
                <w:szCs w:val="24"/>
                <w:highlight w:val="none"/>
              </w:rPr>
              <w:t>软件和信息技术服务业</w:t>
            </w:r>
          </w:p>
        </w:tc>
        <w:tc>
          <w:tcPr>
            <w:tcW w:w="1266" w:type="dxa"/>
            <w:noWrap w:val="0"/>
            <w:vAlign w:val="center"/>
          </w:tcPr>
          <w:p w14:paraId="19916B5F">
            <w:pPr>
              <w:widowControl/>
              <w:spacing w:line="276" w:lineRule="auto"/>
              <w:jc w:val="center"/>
              <w:rPr>
                <w:rFonts w:hint="eastAsia" w:ascii="仿宋_GB2312" w:hAnsi="仿宋_GB2312" w:eastAsia="仿宋_GB2312" w:cs="仿宋_GB2312"/>
                <w:color w:val="auto"/>
                <w:kern w:val="0"/>
                <w:sz w:val="24"/>
                <w:szCs w:val="24"/>
                <w:highlight w:val="none"/>
              </w:rPr>
            </w:pPr>
          </w:p>
        </w:tc>
        <w:tc>
          <w:tcPr>
            <w:tcW w:w="936" w:type="dxa"/>
            <w:noWrap w:val="0"/>
            <w:vAlign w:val="top"/>
          </w:tcPr>
          <w:p w14:paraId="5506E65C">
            <w:pPr>
              <w:pStyle w:val="71"/>
              <w:rPr>
                <w:rFonts w:hint="eastAsia" w:ascii="仿宋_GB2312" w:hAnsi="仿宋_GB2312" w:eastAsia="仿宋_GB2312" w:cs="仿宋_GB2312"/>
                <w:color w:val="auto"/>
                <w:kern w:val="0"/>
                <w:highlight w:val="none"/>
              </w:rPr>
            </w:pPr>
          </w:p>
        </w:tc>
        <w:tc>
          <w:tcPr>
            <w:tcW w:w="1239" w:type="dxa"/>
            <w:noWrap w:val="0"/>
            <w:vAlign w:val="top"/>
          </w:tcPr>
          <w:p w14:paraId="429133F1">
            <w:pPr>
              <w:pStyle w:val="71"/>
              <w:rPr>
                <w:rFonts w:hint="eastAsia" w:ascii="仿宋_GB2312" w:hAnsi="仿宋_GB2312" w:eastAsia="仿宋_GB2312" w:cs="仿宋_GB2312"/>
                <w:color w:val="auto"/>
                <w:kern w:val="0"/>
                <w:highlight w:val="none"/>
              </w:rPr>
            </w:pPr>
          </w:p>
        </w:tc>
        <w:tc>
          <w:tcPr>
            <w:tcW w:w="1134" w:type="dxa"/>
            <w:noWrap w:val="0"/>
            <w:vAlign w:val="top"/>
          </w:tcPr>
          <w:p w14:paraId="7F83E745">
            <w:pPr>
              <w:pStyle w:val="71"/>
              <w:rPr>
                <w:rFonts w:hint="eastAsia" w:ascii="仿宋_GB2312" w:hAnsi="仿宋_GB2312" w:eastAsia="仿宋_GB2312" w:cs="仿宋_GB2312"/>
                <w:color w:val="auto"/>
                <w:kern w:val="0"/>
                <w:highlight w:val="none"/>
              </w:rPr>
            </w:pPr>
          </w:p>
        </w:tc>
        <w:tc>
          <w:tcPr>
            <w:tcW w:w="1824" w:type="dxa"/>
            <w:noWrap w:val="0"/>
            <w:vAlign w:val="top"/>
          </w:tcPr>
          <w:p w14:paraId="13E66DD3">
            <w:pPr>
              <w:pStyle w:val="71"/>
              <w:ind w:firstLine="0" w:firstLineChars="0"/>
              <w:jc w:val="center"/>
              <w:rPr>
                <w:rFonts w:hint="eastAsia" w:ascii="仿宋_GB2312" w:hAnsi="仿宋_GB2312" w:eastAsia="仿宋_GB2312" w:cs="仿宋_GB2312"/>
                <w:color w:val="auto"/>
                <w:kern w:val="0"/>
                <w:szCs w:val="24"/>
                <w:highlight w:val="none"/>
              </w:rPr>
            </w:pPr>
          </w:p>
        </w:tc>
      </w:tr>
    </w:tbl>
    <w:p w14:paraId="2DFEC31A">
      <w:pPr>
        <w:spacing w:line="50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以上企业，不属于大企业的分支机构，不存在控股股东为大企业的情形，也不存在与大企业的负责人为同一人的情形。</w:t>
      </w:r>
    </w:p>
    <w:p w14:paraId="2642A849">
      <w:pPr>
        <w:spacing w:line="50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本企业对上述声明内容的真实性负责。如有虚假，将依法承担相应责任。</w:t>
      </w:r>
    </w:p>
    <w:p w14:paraId="1B453485">
      <w:pPr>
        <w:spacing w:line="500" w:lineRule="exact"/>
        <w:ind w:firstLine="4680" w:firstLineChars="195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投标人名称（电子签名）：</w:t>
      </w:r>
    </w:p>
    <w:p w14:paraId="751DB690">
      <w:pPr>
        <w:spacing w:line="500" w:lineRule="exact"/>
        <w:ind w:firstLine="5520" w:firstLineChars="23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w:t>
      </w:r>
    </w:p>
    <w:p w14:paraId="70B1BCE5">
      <w:pPr>
        <w:spacing w:line="46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1.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09A4AB46">
      <w:pPr>
        <w:spacing w:line="360" w:lineRule="auto"/>
        <w:ind w:right="42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填写要求：①“标的名称”、“采购文件中明确的所属行业”依据招标文件第二部分投标人须知前附表中“采购标的及其对应的中小企业划分标准所属行业”的指引逐一填写，“制造商”按实际填写，以上内容不得缺漏；②从业人员、营业收入、资产总额应填报上一年度数据，无上一年度数据的新成立企业可不填报；③中型企业、小型企业、微型企业等3种企业类型，结合以上数据，应依据《中小企业划型标准规定》（工信部联企业〔2011〕300号）确定；④投标人提供的《中小企业声明函》与实际情况不符的或者未按以上要求填写的，中小企业声明函无效，不享受中小企业扶持政策；作为资格条件的，视作不符合资格要求。声明内容不实的，属于提供虚假材料谋取中标、成交的，依法承担法律责任。</w:t>
      </w:r>
    </w:p>
    <w:p w14:paraId="3D89702F">
      <w:pPr>
        <w:pStyle w:val="2"/>
        <w:rPr>
          <w:rFonts w:hint="eastAsia" w:ascii="仿宋_GB2312" w:hAnsi="仿宋_GB2312" w:eastAsia="仿宋_GB2312" w:cs="仿宋_GB2312"/>
          <w:color w:val="auto"/>
          <w:highlight w:val="none"/>
        </w:rPr>
      </w:pPr>
    </w:p>
    <w:p w14:paraId="1813098C">
      <w:pPr>
        <w:pStyle w:val="2"/>
        <w:rPr>
          <w:rFonts w:hint="eastAsia" w:ascii="仿宋_GB2312" w:hAnsi="仿宋_GB2312" w:eastAsia="仿宋_GB2312" w:cs="仿宋_GB2312"/>
          <w:color w:val="auto"/>
          <w:highlight w:val="none"/>
        </w:rPr>
      </w:pPr>
    </w:p>
    <w:p w14:paraId="4E8F4ED0">
      <w:pPr>
        <w:pStyle w:val="2"/>
        <w:rPr>
          <w:rFonts w:hint="eastAsia" w:ascii="仿宋_GB2312" w:hAnsi="仿宋_GB2312" w:eastAsia="仿宋_GB2312" w:cs="仿宋_GB2312"/>
          <w:color w:val="auto"/>
          <w:highlight w:val="none"/>
        </w:rPr>
      </w:pPr>
    </w:p>
    <w:p w14:paraId="32997F3E">
      <w:pPr>
        <w:pStyle w:val="2"/>
        <w:rPr>
          <w:rFonts w:hint="eastAsia" w:ascii="仿宋_GB2312" w:hAnsi="仿宋_GB2312" w:eastAsia="仿宋_GB2312" w:cs="仿宋_GB2312"/>
          <w:color w:val="auto"/>
          <w:highlight w:val="none"/>
        </w:rPr>
      </w:pPr>
    </w:p>
    <w:p w14:paraId="47B548D3">
      <w:pPr>
        <w:pStyle w:val="2"/>
        <w:rPr>
          <w:rFonts w:hint="eastAsia" w:ascii="仿宋_GB2312" w:hAnsi="仿宋_GB2312" w:eastAsia="仿宋_GB2312" w:cs="仿宋_GB2312"/>
          <w:color w:val="auto"/>
          <w:highlight w:val="none"/>
        </w:rPr>
      </w:pPr>
    </w:p>
    <w:p w14:paraId="2FDEE1DC">
      <w:pPr>
        <w:pStyle w:val="2"/>
        <w:rPr>
          <w:rFonts w:hint="eastAsia" w:ascii="仿宋_GB2312" w:hAnsi="仿宋_GB2312" w:eastAsia="仿宋_GB2312" w:cs="仿宋_GB2312"/>
          <w:color w:val="auto"/>
          <w:highlight w:val="none"/>
        </w:rPr>
      </w:pPr>
    </w:p>
    <w:p w14:paraId="2586A59D">
      <w:pPr>
        <w:pStyle w:val="2"/>
        <w:rPr>
          <w:rFonts w:hint="eastAsia" w:ascii="仿宋_GB2312" w:hAnsi="仿宋_GB2312" w:eastAsia="仿宋_GB2312" w:cs="仿宋_GB2312"/>
          <w:color w:val="auto"/>
          <w:highlight w:val="none"/>
        </w:rPr>
      </w:pPr>
    </w:p>
    <w:p w14:paraId="692895ED">
      <w:pPr>
        <w:pStyle w:val="2"/>
        <w:rPr>
          <w:rFonts w:hint="eastAsia" w:ascii="仿宋_GB2312" w:hAnsi="仿宋_GB2312" w:eastAsia="仿宋_GB2312" w:cs="仿宋_GB2312"/>
          <w:color w:val="auto"/>
          <w:highlight w:val="none"/>
        </w:rPr>
      </w:pPr>
    </w:p>
    <w:p w14:paraId="55A3E458">
      <w:pPr>
        <w:pStyle w:val="2"/>
        <w:rPr>
          <w:rFonts w:hint="eastAsia" w:ascii="仿宋_GB2312" w:hAnsi="仿宋_GB2312" w:eastAsia="仿宋_GB2312" w:cs="仿宋_GB2312"/>
          <w:color w:val="auto"/>
          <w:highlight w:val="none"/>
        </w:rPr>
      </w:pPr>
    </w:p>
    <w:p w14:paraId="33A1EDD5">
      <w:pPr>
        <w:pStyle w:val="2"/>
        <w:rPr>
          <w:rFonts w:hint="eastAsia" w:ascii="仿宋_GB2312" w:hAnsi="仿宋_GB2312" w:eastAsia="仿宋_GB2312" w:cs="仿宋_GB2312"/>
          <w:color w:val="auto"/>
          <w:highlight w:val="none"/>
        </w:rPr>
      </w:pPr>
    </w:p>
    <w:p w14:paraId="665C8818">
      <w:pPr>
        <w:pStyle w:val="2"/>
        <w:rPr>
          <w:rFonts w:hint="eastAsia" w:ascii="仿宋_GB2312" w:hAnsi="仿宋_GB2312" w:eastAsia="仿宋_GB2312" w:cs="仿宋_GB2312"/>
          <w:color w:val="auto"/>
          <w:highlight w:val="none"/>
        </w:rPr>
      </w:pPr>
    </w:p>
    <w:p w14:paraId="53536E93">
      <w:pPr>
        <w:pStyle w:val="2"/>
        <w:rPr>
          <w:rFonts w:hint="eastAsia" w:ascii="仿宋_GB2312" w:hAnsi="仿宋_GB2312" w:eastAsia="仿宋_GB2312" w:cs="仿宋_GB2312"/>
          <w:color w:val="auto"/>
          <w:highlight w:val="none"/>
        </w:rPr>
      </w:pPr>
    </w:p>
    <w:p w14:paraId="1F3857D9">
      <w:pPr>
        <w:pStyle w:val="2"/>
        <w:rPr>
          <w:rFonts w:hint="eastAsia" w:ascii="仿宋_GB2312" w:hAnsi="仿宋_GB2312" w:eastAsia="仿宋_GB2312" w:cs="仿宋_GB2312"/>
          <w:color w:val="auto"/>
          <w:highlight w:val="none"/>
        </w:rPr>
      </w:pPr>
    </w:p>
    <w:p w14:paraId="014ABBD1">
      <w:pPr>
        <w:pStyle w:val="2"/>
        <w:rPr>
          <w:rFonts w:hint="eastAsia" w:ascii="仿宋_GB2312" w:hAnsi="仿宋_GB2312" w:eastAsia="仿宋_GB2312" w:cs="仿宋_GB2312"/>
          <w:color w:val="auto"/>
          <w:highlight w:val="none"/>
        </w:rPr>
      </w:pPr>
    </w:p>
    <w:p w14:paraId="5431B8D4">
      <w:pPr>
        <w:pStyle w:val="2"/>
        <w:rPr>
          <w:rFonts w:hint="eastAsia" w:ascii="仿宋_GB2312" w:hAnsi="仿宋_GB2312" w:eastAsia="仿宋_GB2312" w:cs="仿宋_GB2312"/>
          <w:color w:val="auto"/>
          <w:highlight w:val="none"/>
        </w:rPr>
      </w:pPr>
    </w:p>
    <w:p w14:paraId="6BA6919C">
      <w:pPr>
        <w:pStyle w:val="2"/>
        <w:rPr>
          <w:rFonts w:hint="eastAsia" w:ascii="仿宋_GB2312" w:hAnsi="仿宋_GB2312" w:eastAsia="仿宋_GB2312" w:cs="仿宋_GB2312"/>
          <w:color w:val="auto"/>
          <w:highlight w:val="none"/>
        </w:rPr>
      </w:pPr>
    </w:p>
    <w:p w14:paraId="092AF7FC">
      <w:pPr>
        <w:pStyle w:val="2"/>
        <w:rPr>
          <w:rFonts w:hint="eastAsia" w:ascii="仿宋_GB2312" w:hAnsi="仿宋_GB2312" w:eastAsia="仿宋_GB2312" w:cs="仿宋_GB2312"/>
          <w:color w:val="auto"/>
          <w:highlight w:val="none"/>
        </w:rPr>
      </w:pPr>
    </w:p>
    <w:p w14:paraId="521E677C">
      <w:pPr>
        <w:pStyle w:val="2"/>
        <w:rPr>
          <w:rFonts w:hint="eastAsia" w:ascii="仿宋_GB2312" w:hAnsi="仿宋_GB2312" w:eastAsia="仿宋_GB2312" w:cs="仿宋_GB2312"/>
          <w:color w:val="auto"/>
          <w:highlight w:val="none"/>
        </w:rPr>
      </w:pPr>
    </w:p>
    <w:p w14:paraId="09245E21">
      <w:pPr>
        <w:pStyle w:val="2"/>
        <w:rPr>
          <w:rFonts w:hint="eastAsia" w:ascii="仿宋_GB2312" w:hAnsi="仿宋_GB2312" w:eastAsia="仿宋_GB2312" w:cs="仿宋_GB2312"/>
          <w:color w:val="auto"/>
          <w:highlight w:val="none"/>
        </w:rPr>
      </w:pPr>
    </w:p>
    <w:p w14:paraId="7B90FFEF">
      <w:pPr>
        <w:autoSpaceDE w:val="0"/>
        <w:autoSpaceDN w:val="0"/>
        <w:rPr>
          <w:rFonts w:hint="eastAsia" w:ascii="仿宋_GB2312" w:hAnsi="仿宋_GB2312" w:eastAsia="仿宋_GB2312" w:cs="仿宋_GB2312"/>
          <w:color w:val="auto"/>
          <w:spacing w:val="6"/>
          <w:sz w:val="28"/>
          <w:szCs w:val="28"/>
          <w:highlight w:val="none"/>
        </w:rPr>
      </w:pPr>
      <w:r>
        <w:rPr>
          <w:rFonts w:hint="eastAsia" w:ascii="仿宋_GB2312" w:hAnsi="仿宋_GB2312" w:eastAsia="仿宋_GB2312" w:cs="仿宋_GB2312"/>
          <w:color w:val="auto"/>
          <w:spacing w:val="6"/>
          <w:sz w:val="28"/>
          <w:szCs w:val="28"/>
          <w:highlight w:val="none"/>
        </w:rPr>
        <w:t>附件6：</w:t>
      </w:r>
    </w:p>
    <w:p w14:paraId="10D3ED8F">
      <w:pPr>
        <w:autoSpaceDE w:val="0"/>
        <w:autoSpaceDN w:val="0"/>
        <w:jc w:val="center"/>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kern w:val="0"/>
          <w:sz w:val="28"/>
          <w:szCs w:val="28"/>
          <w:highlight w:val="none"/>
          <w:lang w:val="zh-CN"/>
        </w:rPr>
        <w:t>联合协议</w:t>
      </w:r>
    </w:p>
    <w:p w14:paraId="64717494">
      <w:pPr>
        <w:widowControl/>
        <w:spacing w:line="360" w:lineRule="auto"/>
        <w:ind w:firstLine="482" w:firstLineChars="200"/>
        <w:jc w:val="lef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（以联合体形式投标的，提供联合协议；本项目不接受联合体投标或者投标人不以联合体形式投标的，则不需要提供）</w:t>
      </w:r>
    </w:p>
    <w:p w14:paraId="180A7336">
      <w:pPr>
        <w:snapToGrid w:val="0"/>
        <w:spacing w:line="360" w:lineRule="auto"/>
        <w:ind w:firstLine="576"/>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u w:val="single"/>
        </w:rPr>
        <w:t>（联合体所有成员名称）</w:t>
      </w:r>
      <w:r>
        <w:rPr>
          <w:rFonts w:hint="eastAsia" w:ascii="仿宋_GB2312" w:hAnsi="仿宋_GB2312" w:eastAsia="仿宋_GB2312" w:cs="仿宋_GB2312"/>
          <w:color w:val="auto"/>
          <w:kern w:val="0"/>
          <w:sz w:val="24"/>
          <w:szCs w:val="24"/>
          <w:highlight w:val="none"/>
        </w:rPr>
        <w:t>自愿</w:t>
      </w:r>
      <w:r>
        <w:rPr>
          <w:rFonts w:hint="eastAsia" w:ascii="仿宋_GB2312" w:hAnsi="仿宋_GB2312" w:eastAsia="仿宋_GB2312" w:cs="仿宋_GB2312"/>
          <w:color w:val="auto"/>
          <w:kern w:val="0"/>
          <w:sz w:val="24"/>
          <w:szCs w:val="24"/>
          <w:highlight w:val="none"/>
          <w:lang w:val="zh-CN"/>
        </w:rPr>
        <w:t>组成一个联合体，以一个投标人的身份</w:t>
      </w:r>
      <w:r>
        <w:rPr>
          <w:rFonts w:hint="eastAsia" w:ascii="仿宋_GB2312" w:hAnsi="仿宋_GB2312" w:eastAsia="仿宋_GB2312" w:cs="仿宋_GB2312"/>
          <w:color w:val="auto"/>
          <w:kern w:val="0"/>
          <w:sz w:val="24"/>
          <w:szCs w:val="24"/>
          <w:highlight w:val="none"/>
        </w:rPr>
        <w:t>参加</w:t>
      </w:r>
      <w:r>
        <w:rPr>
          <w:rFonts w:hint="eastAsia" w:ascii="仿宋_GB2312" w:hAnsi="仿宋_GB2312" w:eastAsia="仿宋_GB2312" w:cs="仿宋_GB2312"/>
          <w:color w:val="auto"/>
          <w:sz w:val="24"/>
          <w:szCs w:val="24"/>
          <w:highlight w:val="none"/>
          <w:u w:val="single"/>
        </w:rPr>
        <w:t>（项目名称）</w:t>
      </w:r>
      <w:r>
        <w:rPr>
          <w:rFonts w:hint="eastAsia" w:ascii="仿宋_GB2312" w:hAnsi="仿宋_GB2312" w:eastAsia="仿宋_GB2312" w:cs="仿宋_GB2312"/>
          <w:color w:val="auto"/>
          <w:sz w:val="24"/>
          <w:szCs w:val="24"/>
          <w:highlight w:val="none"/>
        </w:rPr>
        <w:t>【招标编号：</w:t>
      </w:r>
      <w:r>
        <w:rPr>
          <w:rFonts w:hint="eastAsia" w:ascii="仿宋_GB2312" w:hAnsi="仿宋_GB2312" w:eastAsia="仿宋_GB2312" w:cs="仿宋_GB2312"/>
          <w:color w:val="auto"/>
          <w:sz w:val="24"/>
          <w:szCs w:val="24"/>
          <w:highlight w:val="none"/>
          <w:u w:val="single"/>
        </w:rPr>
        <w:t>（采购编号）</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kern w:val="0"/>
          <w:sz w:val="24"/>
          <w:szCs w:val="24"/>
          <w:highlight w:val="none"/>
          <w:lang w:val="zh-CN"/>
        </w:rPr>
        <w:t>投标。</w:t>
      </w:r>
    </w:p>
    <w:p w14:paraId="18E6E745">
      <w:pPr>
        <w:snapToGrid w:val="0"/>
        <w:spacing w:line="360" w:lineRule="auto"/>
        <w:ind w:firstLine="576"/>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一、各方一致决定，</w:t>
      </w:r>
      <w:r>
        <w:rPr>
          <w:rFonts w:hint="eastAsia" w:ascii="仿宋_GB2312" w:hAnsi="仿宋_GB2312" w:eastAsia="仿宋_GB2312" w:cs="仿宋_GB2312"/>
          <w:color w:val="auto"/>
          <w:kern w:val="0"/>
          <w:sz w:val="24"/>
          <w:szCs w:val="24"/>
          <w:highlight w:val="none"/>
          <w:u w:val="single"/>
        </w:rPr>
        <w:t>（某联合体成员名称）</w:t>
      </w:r>
      <w:r>
        <w:rPr>
          <w:rFonts w:hint="eastAsia" w:ascii="仿宋_GB2312" w:hAnsi="仿宋_GB2312" w:eastAsia="仿宋_GB2312" w:cs="仿宋_GB2312"/>
          <w:color w:val="auto"/>
          <w:kern w:val="0"/>
          <w:sz w:val="24"/>
          <w:szCs w:val="24"/>
          <w:highlight w:val="none"/>
        </w:rPr>
        <w:t>为联合体</w:t>
      </w:r>
      <w:r>
        <w:rPr>
          <w:rFonts w:hint="eastAsia" w:ascii="仿宋_GB2312" w:hAnsi="仿宋_GB2312" w:eastAsia="仿宋_GB2312" w:cs="仿宋_GB2312"/>
          <w:color w:val="auto"/>
          <w:kern w:val="0"/>
          <w:sz w:val="24"/>
          <w:szCs w:val="24"/>
          <w:highlight w:val="none"/>
          <w:lang w:val="zh-CN"/>
        </w:rPr>
        <w:t>牵头人</w:t>
      </w:r>
      <w:r>
        <w:rPr>
          <w:rFonts w:hint="eastAsia" w:ascii="仿宋_GB2312" w:hAnsi="仿宋_GB2312" w:eastAsia="仿宋_GB2312" w:cs="仿宋_GB2312"/>
          <w:color w:val="auto"/>
          <w:sz w:val="24"/>
          <w:szCs w:val="24"/>
          <w:highlight w:val="none"/>
        </w:rPr>
        <w:t>，代表所有联合体成员负责投标和合同实施阶段的主办、协调工作</w:t>
      </w:r>
      <w:r>
        <w:rPr>
          <w:rFonts w:hint="eastAsia" w:ascii="仿宋_GB2312" w:hAnsi="仿宋_GB2312" w:eastAsia="仿宋_GB2312" w:cs="仿宋_GB2312"/>
          <w:color w:val="auto"/>
          <w:kern w:val="0"/>
          <w:sz w:val="24"/>
          <w:szCs w:val="24"/>
          <w:highlight w:val="none"/>
          <w:lang w:val="zh-CN"/>
        </w:rPr>
        <w:t>。</w:t>
      </w:r>
    </w:p>
    <w:p w14:paraId="7C6A1F29">
      <w:pPr>
        <w:snapToGrid w:val="0"/>
        <w:spacing w:line="360" w:lineRule="auto"/>
        <w:ind w:firstLine="576"/>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二、</w:t>
      </w:r>
      <w:r>
        <w:rPr>
          <w:rFonts w:hint="eastAsia" w:ascii="仿宋_GB2312" w:hAnsi="仿宋_GB2312" w:eastAsia="仿宋_GB2312" w:cs="仿宋_GB2312"/>
          <w:color w:val="auto"/>
          <w:kern w:val="0"/>
          <w:sz w:val="24"/>
          <w:szCs w:val="24"/>
          <w:highlight w:val="none"/>
        </w:rPr>
        <w:t>联合体</w:t>
      </w:r>
      <w:r>
        <w:rPr>
          <w:rFonts w:hint="eastAsia" w:ascii="仿宋_GB2312" w:hAnsi="仿宋_GB2312" w:eastAsia="仿宋_GB2312" w:cs="仿宋_GB2312"/>
          <w:color w:val="auto"/>
          <w:kern w:val="0"/>
          <w:sz w:val="24"/>
          <w:szCs w:val="24"/>
          <w:highlight w:val="none"/>
          <w:lang w:val="zh-CN"/>
        </w:rPr>
        <w:t>牵头人根据招标文件规定及投标内容而对采购人、采购代理机构所作的任何合法承诺，包括书面澄清及响应等均对联合投标各方产生约束力。</w:t>
      </w:r>
    </w:p>
    <w:p w14:paraId="4738E2D9">
      <w:pPr>
        <w:snapToGrid w:val="0"/>
        <w:spacing w:line="360" w:lineRule="auto"/>
        <w:ind w:firstLine="576"/>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三、本次联合投标中，分工如下：</w:t>
      </w:r>
    </w:p>
    <w:p w14:paraId="032E128F">
      <w:pPr>
        <w:snapToGrid w:val="0"/>
        <w:spacing w:line="360" w:lineRule="auto"/>
        <w:ind w:firstLine="576"/>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u w:val="single"/>
        </w:rPr>
        <w:t>（联合体成员1）</w:t>
      </w:r>
      <w:r>
        <w:rPr>
          <w:rFonts w:hint="eastAsia" w:ascii="仿宋_GB2312" w:hAnsi="仿宋_GB2312" w:eastAsia="仿宋_GB2312" w:cs="仿宋_GB2312"/>
          <w:color w:val="auto"/>
          <w:kern w:val="0"/>
          <w:sz w:val="24"/>
          <w:szCs w:val="24"/>
          <w:highlight w:val="none"/>
          <w:lang w:val="zh-CN"/>
        </w:rPr>
        <w:t>承担的工作和义务为：；</w:t>
      </w:r>
    </w:p>
    <w:p w14:paraId="58ECB0D6">
      <w:pPr>
        <w:snapToGrid w:val="0"/>
        <w:spacing w:line="360" w:lineRule="auto"/>
        <w:ind w:firstLine="576"/>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u w:val="single"/>
        </w:rPr>
        <w:t>（联合体成员2）</w:t>
      </w:r>
      <w:r>
        <w:rPr>
          <w:rFonts w:hint="eastAsia" w:ascii="仿宋_GB2312" w:hAnsi="仿宋_GB2312" w:eastAsia="仿宋_GB2312" w:cs="仿宋_GB2312"/>
          <w:color w:val="auto"/>
          <w:kern w:val="0"/>
          <w:sz w:val="24"/>
          <w:szCs w:val="24"/>
          <w:highlight w:val="none"/>
          <w:lang w:val="zh-CN"/>
        </w:rPr>
        <w:t>承担的工作和义务为：；</w:t>
      </w:r>
    </w:p>
    <w:p w14:paraId="7EB42AE8">
      <w:pPr>
        <w:snapToGrid w:val="0"/>
        <w:spacing w:line="360" w:lineRule="auto"/>
        <w:ind w:firstLine="576"/>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w:t>
      </w:r>
    </w:p>
    <w:p w14:paraId="655B94E1">
      <w:pPr>
        <w:snapToGrid w:val="0"/>
        <w:spacing w:line="360" w:lineRule="auto"/>
        <w:ind w:firstLine="576"/>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四、联合体成员中小企业合同份额。</w:t>
      </w:r>
    </w:p>
    <w:p w14:paraId="5A920D21">
      <w:pPr>
        <w:snapToGrid w:val="0"/>
        <w:spacing w:line="360" w:lineRule="auto"/>
        <w:ind w:firstLine="576"/>
        <w:rPr>
          <w:rFonts w:hint="eastAsia" w:ascii="仿宋_GB2312" w:hAnsi="仿宋_GB2312" w:eastAsia="仿宋_GB2312" w:cs="仿宋_GB2312"/>
          <w:b/>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1、</w:t>
      </w:r>
      <w:r>
        <w:rPr>
          <w:rFonts w:hint="eastAsia" w:ascii="仿宋_GB2312" w:hAnsi="仿宋_GB2312" w:eastAsia="仿宋_GB2312" w:cs="仿宋_GB2312"/>
          <w:color w:val="auto"/>
          <w:kern w:val="0"/>
          <w:sz w:val="24"/>
          <w:szCs w:val="24"/>
          <w:highlight w:val="none"/>
          <w:u w:val="single"/>
        </w:rPr>
        <w:t>（</w:t>
      </w:r>
      <w:bookmarkStart w:id="506" w:name="_Hlk101131882"/>
      <w:r>
        <w:rPr>
          <w:rFonts w:hint="eastAsia" w:ascii="仿宋_GB2312" w:hAnsi="仿宋_GB2312" w:eastAsia="仿宋_GB2312" w:cs="仿宋_GB2312"/>
          <w:color w:val="auto"/>
          <w:kern w:val="0"/>
          <w:sz w:val="24"/>
          <w:szCs w:val="24"/>
          <w:highlight w:val="none"/>
          <w:u w:val="single"/>
        </w:rPr>
        <w:t>联合体成员X,……</w:t>
      </w:r>
      <w:bookmarkEnd w:id="506"/>
      <w:r>
        <w:rPr>
          <w:rFonts w:hint="eastAsia" w:ascii="仿宋_GB2312" w:hAnsi="仿宋_GB2312" w:eastAsia="仿宋_GB2312" w:cs="仿宋_GB2312"/>
          <w:color w:val="auto"/>
          <w:kern w:val="0"/>
          <w:sz w:val="24"/>
          <w:szCs w:val="24"/>
          <w:highlight w:val="none"/>
          <w:u w:val="single"/>
        </w:rPr>
        <w:t>）</w:t>
      </w:r>
      <w:r>
        <w:rPr>
          <w:rFonts w:hint="eastAsia" w:ascii="仿宋_GB2312" w:hAnsi="仿宋_GB2312" w:eastAsia="仿宋_GB2312" w:cs="仿宋_GB2312"/>
          <w:color w:val="auto"/>
          <w:kern w:val="0"/>
          <w:sz w:val="24"/>
          <w:szCs w:val="24"/>
          <w:highlight w:val="none"/>
        </w:rPr>
        <w:t>提供的</w:t>
      </w:r>
      <w:r>
        <w:rPr>
          <w:rFonts w:hint="eastAsia" w:ascii="仿宋_GB2312" w:eastAsia="仿宋_GB2312"/>
          <w:color w:val="auto"/>
          <w:sz w:val="24"/>
          <w:szCs w:val="24"/>
        </w:rPr>
        <w:t>货物全部由符合政策要求的中小企业制造</w:t>
      </w:r>
      <w:r>
        <w:rPr>
          <w:rFonts w:hint="eastAsia" w:ascii="仿宋_GB2312" w:hAnsi="仿宋_GB2312" w:eastAsia="仿宋_GB2312" w:cs="仿宋_GB2312"/>
          <w:color w:val="auto"/>
          <w:kern w:val="0"/>
          <w:sz w:val="24"/>
          <w:szCs w:val="24"/>
          <w:highlight w:val="none"/>
        </w:rPr>
        <w:t>，其合同份额占到合同总金额%以上</w:t>
      </w:r>
      <w:r>
        <w:rPr>
          <w:rFonts w:hint="eastAsia" w:ascii="仿宋_GB2312" w:hAnsi="仿宋_GB2312" w:eastAsia="仿宋_GB2312" w:cs="仿宋_GB2312"/>
          <w:color w:val="auto"/>
          <w:kern w:val="0"/>
          <w:sz w:val="24"/>
          <w:szCs w:val="24"/>
          <w:highlight w:val="none"/>
          <w:lang w:val="zh-CN"/>
        </w:rPr>
        <w:t>。</w:t>
      </w:r>
      <w:r>
        <w:rPr>
          <w:rFonts w:hint="eastAsia" w:ascii="仿宋_GB2312" w:hAnsi="仿宋_GB2312" w:eastAsia="仿宋_GB2312" w:cs="仿宋_GB2312"/>
          <w:b/>
          <w:color w:val="auto"/>
          <w:kern w:val="0"/>
          <w:sz w:val="24"/>
          <w:szCs w:val="24"/>
          <w:highlight w:val="none"/>
          <w:lang w:val="zh-CN"/>
        </w:rPr>
        <w:t>（</w:t>
      </w:r>
      <w:bookmarkStart w:id="507" w:name="_Hlk101133598"/>
      <w:r>
        <w:rPr>
          <w:rFonts w:hint="eastAsia" w:ascii="仿宋_GB2312" w:hAnsi="仿宋_GB2312" w:eastAsia="仿宋_GB2312" w:cs="仿宋_GB2312"/>
          <w:b/>
          <w:color w:val="auto"/>
          <w:kern w:val="0"/>
          <w:sz w:val="24"/>
          <w:szCs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仿宋_GB2312" w:hAnsi="仿宋_GB2312" w:eastAsia="仿宋_GB2312" w:cs="仿宋_GB2312"/>
          <w:b/>
          <w:color w:val="auto"/>
          <w:sz w:val="24"/>
          <w:szCs w:val="24"/>
          <w:highlight w:val="none"/>
        </w:rPr>
        <w:t>拟享受以上价格扣除政策的，填写有关内容。</w:t>
      </w:r>
      <w:bookmarkEnd w:id="507"/>
      <w:r>
        <w:rPr>
          <w:rFonts w:hint="eastAsia" w:ascii="仿宋_GB2312" w:hAnsi="仿宋_GB2312" w:eastAsia="仿宋_GB2312" w:cs="仿宋_GB2312"/>
          <w:b/>
          <w:color w:val="auto"/>
          <w:kern w:val="0"/>
          <w:sz w:val="24"/>
          <w:szCs w:val="24"/>
          <w:highlight w:val="none"/>
          <w:lang w:val="zh-CN"/>
        </w:rPr>
        <w:t>）</w:t>
      </w:r>
    </w:p>
    <w:p w14:paraId="4B32D4A5">
      <w:pPr>
        <w:spacing w:line="360" w:lineRule="auto"/>
        <w:ind w:firstLine="480" w:firstLineChars="200"/>
        <w:rPr>
          <w:rFonts w:hint="eastAsia" w:ascii="仿宋_GB2312" w:hAnsi="仿宋_GB2312" w:eastAsia="仿宋_GB2312" w:cs="仿宋_GB2312"/>
          <w:b/>
          <w:bCs/>
          <w:color w:val="auto"/>
          <w:kern w:val="0"/>
          <w:sz w:val="24"/>
          <w:szCs w:val="24"/>
          <w:highlight w:val="none"/>
          <w:lang w:val="zh-CN"/>
        </w:rPr>
      </w:pPr>
      <w:r>
        <w:rPr>
          <w:rFonts w:hint="eastAsia" w:ascii="仿宋_GB2312" w:hAnsi="仿宋_GB2312" w:eastAsia="仿宋_GB2312" w:cs="仿宋_GB2312"/>
          <w:color w:val="auto"/>
          <w:sz w:val="24"/>
          <w:szCs w:val="24"/>
          <w:highlight w:val="none"/>
        </w:rPr>
        <w:t>2、</w:t>
      </w:r>
      <w:bookmarkStart w:id="508" w:name="_Hlk101133173"/>
      <w:r>
        <w:rPr>
          <w:rFonts w:hint="eastAsia" w:ascii="仿宋_GB2312" w:hAnsi="仿宋_GB2312" w:eastAsia="仿宋_GB2312" w:cs="仿宋_GB2312"/>
          <w:color w:val="auto"/>
          <w:sz w:val="24"/>
          <w:szCs w:val="24"/>
          <w:highlight w:val="none"/>
        </w:rPr>
        <w:t>中小企业合同金额达到%，小微企业合同金额达到%</w:t>
      </w:r>
      <w:r>
        <w:rPr>
          <w:rFonts w:hint="eastAsia" w:ascii="仿宋_GB2312" w:hAnsi="仿宋_GB2312" w:eastAsia="仿宋_GB2312" w:cs="仿宋_GB2312"/>
          <w:color w:val="auto"/>
          <w:kern w:val="0"/>
          <w:sz w:val="24"/>
          <w:szCs w:val="24"/>
          <w:highlight w:val="none"/>
          <w:lang w:val="zh-CN"/>
        </w:rPr>
        <w:t>。</w:t>
      </w:r>
      <w:r>
        <w:rPr>
          <w:rFonts w:hint="eastAsia" w:ascii="仿宋_GB2312" w:hAnsi="仿宋_GB2312" w:eastAsia="仿宋_GB2312" w:cs="仿宋_GB2312"/>
          <w:b/>
          <w:bCs/>
          <w:color w:val="auto"/>
          <w:kern w:val="0"/>
          <w:sz w:val="24"/>
          <w:szCs w:val="24"/>
          <w:highlight w:val="none"/>
          <w:lang w:val="zh-CN"/>
        </w:rPr>
        <w:t>（</w:t>
      </w:r>
      <w:r>
        <w:rPr>
          <w:rFonts w:hint="eastAsia" w:ascii="仿宋_GB2312" w:hAnsi="仿宋_GB2312" w:eastAsia="仿宋_GB2312" w:cs="仿宋_GB2312"/>
          <w:b/>
          <w:bCs/>
          <w:color w:val="auto"/>
          <w:sz w:val="24"/>
          <w:szCs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仿宋_GB2312" w:hAnsi="仿宋_GB2312" w:eastAsia="仿宋_GB2312" w:cs="仿宋_GB2312"/>
          <w:b/>
          <w:bCs/>
          <w:color w:val="auto"/>
          <w:kern w:val="0"/>
          <w:sz w:val="24"/>
          <w:szCs w:val="24"/>
          <w:highlight w:val="none"/>
          <w:lang w:val="zh-CN"/>
        </w:rPr>
        <w:t>）</w:t>
      </w:r>
      <w:bookmarkEnd w:id="508"/>
    </w:p>
    <w:p w14:paraId="53499B55">
      <w:pPr>
        <w:snapToGrid w:val="0"/>
        <w:spacing w:line="360" w:lineRule="auto"/>
        <w:ind w:firstLine="576"/>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五、如果中标，</w:t>
      </w:r>
      <w:r>
        <w:rPr>
          <w:rFonts w:hint="eastAsia" w:ascii="仿宋_GB2312" w:hAnsi="仿宋_GB2312" w:eastAsia="仿宋_GB2312" w:cs="仿宋_GB2312"/>
          <w:color w:val="auto"/>
          <w:sz w:val="24"/>
          <w:szCs w:val="24"/>
          <w:highlight w:val="none"/>
        </w:rPr>
        <w:t>联合体各成员方共同与采购人签订合同，并就采购合同约定的事项对采购人承担连带责任。</w:t>
      </w:r>
    </w:p>
    <w:p w14:paraId="03F95346">
      <w:pPr>
        <w:snapToGrid w:val="0"/>
        <w:spacing w:line="360" w:lineRule="auto"/>
        <w:ind w:firstLine="576"/>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六、有关本次联合投标的其他事宜：</w:t>
      </w:r>
    </w:p>
    <w:p w14:paraId="2EE1B098">
      <w:pPr>
        <w:snapToGrid w:val="0"/>
        <w:spacing w:line="360" w:lineRule="auto"/>
        <w:ind w:firstLine="576"/>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1、联合体各方不再单独参加或者与其他供应商另外组成联合体参加同一合同项下的政府采购活动。</w:t>
      </w:r>
    </w:p>
    <w:p w14:paraId="76A33A2F">
      <w:pPr>
        <w:snapToGrid w:val="0"/>
        <w:spacing w:line="360" w:lineRule="auto"/>
        <w:ind w:firstLine="576"/>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2、联合体中有同类资质的各方按照联合体分工承担相同工作的，按照资质等级较低的供应商确定资质等级。</w:t>
      </w:r>
    </w:p>
    <w:p w14:paraId="30C39C1B">
      <w:pPr>
        <w:snapToGrid w:val="0"/>
        <w:spacing w:line="360" w:lineRule="auto"/>
        <w:ind w:firstLine="576"/>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3、本协议提交采购人、采购代理机构后，联合体各方不得以任何形式对上述内容进行修改或撤销。</w:t>
      </w:r>
    </w:p>
    <w:p w14:paraId="252E2A3A">
      <w:pPr>
        <w:snapToGrid w:val="0"/>
        <w:spacing w:line="360" w:lineRule="auto"/>
        <w:ind w:firstLine="5040" w:firstLineChars="2100"/>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联合体成员名称(电子签名/公章)：</w:t>
      </w:r>
    </w:p>
    <w:p w14:paraId="7F4D7923">
      <w:pPr>
        <w:snapToGrid w:val="0"/>
        <w:spacing w:line="360" w:lineRule="auto"/>
        <w:ind w:firstLine="5040" w:firstLineChars="2100"/>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联合体成员名称(电子签名/公章)：</w:t>
      </w:r>
    </w:p>
    <w:p w14:paraId="58095D64">
      <w:pPr>
        <w:snapToGrid w:val="0"/>
        <w:spacing w:line="360" w:lineRule="auto"/>
        <w:ind w:right="960"/>
        <w:jc w:val="center"/>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w:t>
      </w:r>
    </w:p>
    <w:p w14:paraId="78FD472F">
      <w:pPr>
        <w:snapToGrid w:val="0"/>
        <w:spacing w:line="360" w:lineRule="auto"/>
        <w:jc w:val="right"/>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日期：年月日</w:t>
      </w:r>
    </w:p>
    <w:p w14:paraId="76F1C0B1">
      <w:pPr>
        <w:spacing w:line="540" w:lineRule="exact"/>
        <w:contextualSpacing/>
        <w:jc w:val="center"/>
        <w:rPr>
          <w:rFonts w:hint="eastAsia" w:ascii="仿宋_GB2312" w:hAnsi="仿宋_GB2312" w:eastAsia="仿宋_GB2312" w:cs="仿宋_GB2312"/>
          <w:b/>
          <w:color w:val="auto"/>
          <w:sz w:val="24"/>
          <w:szCs w:val="24"/>
          <w:highlight w:val="none"/>
        </w:rPr>
      </w:pPr>
    </w:p>
    <w:p w14:paraId="24F9CAE6">
      <w:pPr>
        <w:pStyle w:val="2"/>
        <w:rPr>
          <w:rFonts w:hint="eastAsia" w:ascii="仿宋_GB2312" w:hAnsi="仿宋_GB2312" w:eastAsia="仿宋_GB2312" w:cs="仿宋_GB2312"/>
          <w:color w:val="auto"/>
          <w:highlight w:val="none"/>
        </w:rPr>
      </w:pPr>
    </w:p>
    <w:p w14:paraId="00E2A700">
      <w:pPr>
        <w:pStyle w:val="2"/>
        <w:rPr>
          <w:rFonts w:hint="eastAsia" w:ascii="仿宋_GB2312" w:hAnsi="仿宋_GB2312" w:eastAsia="仿宋_GB2312" w:cs="仿宋_GB2312"/>
          <w:color w:val="auto"/>
          <w:highlight w:val="none"/>
        </w:rPr>
      </w:pPr>
    </w:p>
    <w:p w14:paraId="02B644A4">
      <w:pPr>
        <w:pStyle w:val="2"/>
        <w:rPr>
          <w:rFonts w:hint="eastAsia" w:ascii="仿宋_GB2312" w:hAnsi="仿宋_GB2312" w:eastAsia="仿宋_GB2312" w:cs="仿宋_GB2312"/>
          <w:color w:val="auto"/>
          <w:highlight w:val="none"/>
        </w:rPr>
      </w:pPr>
    </w:p>
    <w:p w14:paraId="0E54BB09">
      <w:pPr>
        <w:pStyle w:val="2"/>
        <w:rPr>
          <w:rFonts w:hint="eastAsia" w:ascii="仿宋_GB2312" w:hAnsi="仿宋_GB2312" w:eastAsia="仿宋_GB2312" w:cs="仿宋_GB2312"/>
          <w:color w:val="auto"/>
          <w:highlight w:val="none"/>
        </w:rPr>
      </w:pPr>
    </w:p>
    <w:p w14:paraId="7DA542AA">
      <w:pPr>
        <w:pStyle w:val="2"/>
        <w:rPr>
          <w:rFonts w:hint="eastAsia" w:ascii="仿宋_GB2312" w:hAnsi="仿宋_GB2312" w:eastAsia="仿宋_GB2312" w:cs="仿宋_GB2312"/>
          <w:color w:val="auto"/>
          <w:highlight w:val="none"/>
        </w:rPr>
      </w:pPr>
    </w:p>
    <w:p w14:paraId="49D5B2FE">
      <w:pPr>
        <w:pStyle w:val="2"/>
        <w:rPr>
          <w:rFonts w:hint="eastAsia" w:ascii="仿宋_GB2312" w:hAnsi="仿宋_GB2312" w:eastAsia="仿宋_GB2312" w:cs="仿宋_GB2312"/>
          <w:color w:val="auto"/>
          <w:highlight w:val="none"/>
        </w:rPr>
      </w:pPr>
    </w:p>
    <w:p w14:paraId="688FBBDE">
      <w:pPr>
        <w:pStyle w:val="2"/>
        <w:rPr>
          <w:rFonts w:hint="eastAsia" w:ascii="仿宋_GB2312" w:hAnsi="仿宋_GB2312" w:eastAsia="仿宋_GB2312" w:cs="仿宋_GB2312"/>
          <w:color w:val="auto"/>
          <w:highlight w:val="none"/>
        </w:rPr>
      </w:pPr>
    </w:p>
    <w:p w14:paraId="0A077E45">
      <w:pPr>
        <w:pStyle w:val="2"/>
        <w:rPr>
          <w:rFonts w:hint="eastAsia" w:ascii="仿宋_GB2312" w:hAnsi="仿宋_GB2312" w:eastAsia="仿宋_GB2312" w:cs="仿宋_GB2312"/>
          <w:color w:val="auto"/>
          <w:highlight w:val="none"/>
        </w:rPr>
      </w:pPr>
    </w:p>
    <w:p w14:paraId="5FEE7840">
      <w:pPr>
        <w:pStyle w:val="2"/>
        <w:rPr>
          <w:rFonts w:hint="eastAsia" w:ascii="仿宋_GB2312" w:hAnsi="仿宋_GB2312" w:eastAsia="仿宋_GB2312" w:cs="仿宋_GB2312"/>
          <w:color w:val="auto"/>
          <w:highlight w:val="none"/>
        </w:rPr>
      </w:pPr>
    </w:p>
    <w:p w14:paraId="52352E52">
      <w:pPr>
        <w:pStyle w:val="2"/>
        <w:rPr>
          <w:rFonts w:hint="eastAsia" w:ascii="仿宋_GB2312" w:hAnsi="仿宋_GB2312" w:eastAsia="仿宋_GB2312" w:cs="仿宋_GB2312"/>
          <w:color w:val="auto"/>
          <w:highlight w:val="none"/>
        </w:rPr>
      </w:pPr>
    </w:p>
    <w:p w14:paraId="6D87356F">
      <w:pPr>
        <w:pStyle w:val="2"/>
        <w:rPr>
          <w:rFonts w:hint="eastAsia" w:ascii="仿宋_GB2312" w:hAnsi="仿宋_GB2312" w:eastAsia="仿宋_GB2312" w:cs="仿宋_GB2312"/>
          <w:color w:val="auto"/>
          <w:highlight w:val="none"/>
        </w:rPr>
      </w:pPr>
    </w:p>
    <w:p w14:paraId="3754BD75">
      <w:pPr>
        <w:pStyle w:val="2"/>
        <w:rPr>
          <w:rFonts w:hint="eastAsia" w:ascii="仿宋_GB2312" w:hAnsi="仿宋_GB2312" w:eastAsia="仿宋_GB2312" w:cs="仿宋_GB2312"/>
          <w:color w:val="auto"/>
          <w:highlight w:val="none"/>
        </w:rPr>
      </w:pPr>
    </w:p>
    <w:p w14:paraId="4E47F846">
      <w:pPr>
        <w:pStyle w:val="2"/>
        <w:rPr>
          <w:rFonts w:hint="eastAsia" w:ascii="仿宋_GB2312" w:hAnsi="仿宋_GB2312" w:eastAsia="仿宋_GB2312" w:cs="仿宋_GB2312"/>
          <w:color w:val="auto"/>
          <w:highlight w:val="none"/>
        </w:rPr>
      </w:pPr>
    </w:p>
    <w:p w14:paraId="793E3D20">
      <w:pPr>
        <w:rPr>
          <w:rFonts w:hint="eastAsia" w:ascii="仿宋_GB2312" w:hAnsi="仿宋_GB2312" w:eastAsia="仿宋_GB2312" w:cs="仿宋_GB2312"/>
          <w:color w:val="auto"/>
          <w:highlight w:val="none"/>
        </w:rPr>
      </w:pPr>
    </w:p>
    <w:p w14:paraId="64790888">
      <w:pPr>
        <w:pStyle w:val="26"/>
        <w:rPr>
          <w:rFonts w:hint="eastAsia" w:ascii="仿宋_GB2312" w:hAnsi="仿宋_GB2312" w:eastAsia="仿宋_GB2312" w:cs="仿宋_GB2312"/>
          <w:color w:val="auto"/>
          <w:highlight w:val="none"/>
        </w:rPr>
      </w:pPr>
    </w:p>
    <w:p w14:paraId="55615C3A">
      <w:pPr>
        <w:pStyle w:val="12"/>
        <w:rPr>
          <w:rFonts w:hint="eastAsia"/>
        </w:rPr>
      </w:pPr>
    </w:p>
    <w:p w14:paraId="3AD08CA9">
      <w:pPr>
        <w:rPr>
          <w:rFonts w:hint="eastAsia"/>
        </w:rPr>
      </w:pPr>
    </w:p>
    <w:p w14:paraId="19B3E0DB">
      <w:pPr>
        <w:pStyle w:val="2"/>
        <w:rPr>
          <w:rFonts w:hint="eastAsia"/>
        </w:rPr>
      </w:pPr>
    </w:p>
    <w:p w14:paraId="2F44C787">
      <w:pPr>
        <w:rPr>
          <w:rFonts w:hint="eastAsia"/>
        </w:rPr>
      </w:pPr>
    </w:p>
    <w:p w14:paraId="2A95B6E7">
      <w:pPr>
        <w:pStyle w:val="2"/>
        <w:rPr>
          <w:rFonts w:hint="eastAsia" w:ascii="仿宋_GB2312" w:hAnsi="仿宋_GB2312" w:eastAsia="仿宋_GB2312" w:cs="仿宋_GB2312"/>
          <w:color w:val="auto"/>
          <w:highlight w:val="none"/>
        </w:rPr>
      </w:pPr>
    </w:p>
    <w:p w14:paraId="07EF1F9A">
      <w:pPr>
        <w:pStyle w:val="2"/>
        <w:rPr>
          <w:rFonts w:hint="eastAsia" w:ascii="仿宋_GB2312" w:hAnsi="仿宋_GB2312" w:eastAsia="仿宋_GB2312" w:cs="仿宋_GB2312"/>
          <w:color w:val="auto"/>
          <w:highlight w:val="none"/>
        </w:rPr>
      </w:pPr>
    </w:p>
    <w:p w14:paraId="1715212C">
      <w:pPr>
        <w:pStyle w:val="2"/>
        <w:rPr>
          <w:rFonts w:hint="eastAsia" w:ascii="仿宋_GB2312" w:hAnsi="仿宋_GB2312" w:eastAsia="仿宋_GB2312" w:cs="仿宋_GB2312"/>
          <w:color w:val="auto"/>
          <w:highlight w:val="none"/>
        </w:rPr>
      </w:pPr>
    </w:p>
    <w:p w14:paraId="64867BCD">
      <w:pPr>
        <w:snapToGrid w:val="0"/>
        <w:spacing w:line="360" w:lineRule="auto"/>
        <w:rPr>
          <w:rFonts w:hint="eastAsia" w:ascii="仿宋_GB2312" w:hAnsi="仿宋_GB2312" w:eastAsia="仿宋_GB2312" w:cs="仿宋_GB2312"/>
          <w:color w:val="auto"/>
          <w:spacing w:val="6"/>
          <w:sz w:val="28"/>
          <w:szCs w:val="28"/>
          <w:highlight w:val="none"/>
        </w:rPr>
      </w:pPr>
      <w:r>
        <w:rPr>
          <w:rFonts w:hint="eastAsia" w:ascii="仿宋_GB2312" w:hAnsi="仿宋_GB2312" w:eastAsia="仿宋_GB2312" w:cs="仿宋_GB2312"/>
          <w:color w:val="auto"/>
          <w:spacing w:val="6"/>
          <w:sz w:val="28"/>
          <w:szCs w:val="28"/>
          <w:highlight w:val="none"/>
        </w:rPr>
        <w:t>附件7：</w:t>
      </w:r>
    </w:p>
    <w:p w14:paraId="287F6550">
      <w:pPr>
        <w:snapToGrid w:val="0"/>
        <w:spacing w:line="360" w:lineRule="auto"/>
        <w:jc w:val="center"/>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分包意向协议</w:t>
      </w:r>
    </w:p>
    <w:p w14:paraId="6DBA266E">
      <w:pPr>
        <w:widowControl/>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b/>
          <w:color w:val="auto"/>
          <w:sz w:val="24"/>
          <w:szCs w:val="24"/>
          <w:highlight w:val="none"/>
        </w:rPr>
        <w:t>中标后以分包方式履行合同的，提供分包意向协议；采购人不同意分包或者投标人中标后不以分包方式履行合同的，则不需要提供。</w:t>
      </w:r>
      <w:r>
        <w:rPr>
          <w:rFonts w:hint="eastAsia" w:ascii="仿宋_GB2312" w:hAnsi="仿宋_GB2312" w:eastAsia="仿宋_GB2312" w:cs="仿宋_GB2312"/>
          <w:color w:val="auto"/>
          <w:sz w:val="24"/>
          <w:szCs w:val="24"/>
          <w:highlight w:val="none"/>
        </w:rPr>
        <w:t>）</w:t>
      </w:r>
    </w:p>
    <w:p w14:paraId="15EB1662">
      <w:pPr>
        <w:snapToGrid w:val="0"/>
        <w:spacing w:line="360" w:lineRule="auto"/>
        <w:ind w:firstLine="576"/>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u w:val="single"/>
        </w:rPr>
        <w:t>（投标人名称）</w:t>
      </w:r>
      <w:r>
        <w:rPr>
          <w:rFonts w:hint="eastAsia" w:ascii="仿宋_GB2312" w:hAnsi="仿宋_GB2312" w:eastAsia="仿宋_GB2312" w:cs="仿宋_GB2312"/>
          <w:color w:val="auto"/>
          <w:kern w:val="0"/>
          <w:sz w:val="24"/>
          <w:szCs w:val="24"/>
          <w:highlight w:val="none"/>
          <w:lang w:val="zh-CN"/>
        </w:rPr>
        <w:t>若成为</w:t>
      </w:r>
      <w:r>
        <w:rPr>
          <w:rFonts w:hint="eastAsia" w:ascii="仿宋_GB2312" w:hAnsi="仿宋_GB2312" w:eastAsia="仿宋_GB2312" w:cs="仿宋_GB2312"/>
          <w:color w:val="auto"/>
          <w:sz w:val="24"/>
          <w:szCs w:val="24"/>
          <w:highlight w:val="none"/>
          <w:u w:val="single"/>
        </w:rPr>
        <w:t>（项目名称）</w:t>
      </w:r>
      <w:r>
        <w:rPr>
          <w:rFonts w:hint="eastAsia" w:ascii="仿宋_GB2312" w:hAnsi="仿宋_GB2312" w:eastAsia="仿宋_GB2312" w:cs="仿宋_GB2312"/>
          <w:color w:val="auto"/>
          <w:sz w:val="24"/>
          <w:szCs w:val="24"/>
          <w:highlight w:val="none"/>
        </w:rPr>
        <w:t>【招标编号：</w:t>
      </w:r>
      <w:r>
        <w:rPr>
          <w:rFonts w:hint="eastAsia" w:ascii="仿宋_GB2312" w:hAnsi="仿宋_GB2312" w:eastAsia="仿宋_GB2312" w:cs="仿宋_GB2312"/>
          <w:color w:val="auto"/>
          <w:sz w:val="24"/>
          <w:szCs w:val="24"/>
          <w:highlight w:val="none"/>
          <w:u w:val="single"/>
        </w:rPr>
        <w:t>（采购编号）</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kern w:val="0"/>
          <w:sz w:val="24"/>
          <w:szCs w:val="24"/>
          <w:highlight w:val="none"/>
          <w:lang w:val="zh-CN"/>
        </w:rPr>
        <w:t>的中标供应商，将依法采取分包方式履行合同。</w:t>
      </w:r>
      <w:r>
        <w:rPr>
          <w:rFonts w:hint="eastAsia" w:ascii="仿宋_GB2312" w:hAnsi="仿宋_GB2312" w:eastAsia="仿宋_GB2312" w:cs="仿宋_GB2312"/>
          <w:color w:val="auto"/>
          <w:kern w:val="0"/>
          <w:sz w:val="24"/>
          <w:szCs w:val="24"/>
          <w:highlight w:val="none"/>
          <w:u w:val="single"/>
        </w:rPr>
        <w:t>（投标人名称）</w:t>
      </w:r>
      <w:r>
        <w:rPr>
          <w:rFonts w:hint="eastAsia" w:ascii="仿宋_GB2312" w:hAnsi="仿宋_GB2312" w:eastAsia="仿宋_GB2312" w:cs="仿宋_GB2312"/>
          <w:color w:val="auto"/>
          <w:kern w:val="0"/>
          <w:sz w:val="24"/>
          <w:szCs w:val="24"/>
          <w:highlight w:val="none"/>
        </w:rPr>
        <w:t>与</w:t>
      </w:r>
      <w:r>
        <w:rPr>
          <w:rFonts w:hint="eastAsia" w:ascii="仿宋_GB2312" w:hAnsi="仿宋_GB2312" w:eastAsia="仿宋_GB2312" w:cs="仿宋_GB2312"/>
          <w:color w:val="auto"/>
          <w:kern w:val="0"/>
          <w:sz w:val="24"/>
          <w:szCs w:val="24"/>
          <w:highlight w:val="none"/>
          <w:u w:val="single"/>
        </w:rPr>
        <w:t>（所有分包供应商名称）</w:t>
      </w:r>
      <w:r>
        <w:rPr>
          <w:rFonts w:hint="eastAsia" w:ascii="仿宋_GB2312" w:hAnsi="仿宋_GB2312" w:eastAsia="仿宋_GB2312" w:cs="仿宋_GB2312"/>
          <w:color w:val="auto"/>
          <w:kern w:val="0"/>
          <w:sz w:val="24"/>
          <w:szCs w:val="24"/>
          <w:highlight w:val="none"/>
        </w:rPr>
        <w:t>达成分包意向协议</w:t>
      </w:r>
      <w:r>
        <w:rPr>
          <w:rFonts w:hint="eastAsia" w:ascii="仿宋_GB2312" w:hAnsi="仿宋_GB2312" w:eastAsia="仿宋_GB2312" w:cs="仿宋_GB2312"/>
          <w:color w:val="auto"/>
          <w:kern w:val="0"/>
          <w:sz w:val="24"/>
          <w:szCs w:val="24"/>
          <w:highlight w:val="none"/>
          <w:lang w:val="zh-CN"/>
        </w:rPr>
        <w:t>。</w:t>
      </w:r>
    </w:p>
    <w:p w14:paraId="42B1EA98">
      <w:pPr>
        <w:keepNext w:val="0"/>
        <w:keepLines w:val="0"/>
        <w:pageBreakBefore w:val="0"/>
        <w:widowControl w:val="0"/>
        <w:kinsoku/>
        <w:wordWrap/>
        <w:overflowPunct/>
        <w:topLinePunct w:val="0"/>
        <w:autoSpaceDE/>
        <w:autoSpaceDN/>
        <w:bidi w:val="0"/>
        <w:adjustRightInd/>
        <w:snapToGrid w:val="0"/>
        <w:spacing w:line="360" w:lineRule="auto"/>
        <w:ind w:firstLine="576"/>
        <w:textAlignment w:val="auto"/>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一、分包标的及数量</w:t>
      </w:r>
    </w:p>
    <w:p w14:paraId="1F6C9EB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（投标人名称）将工作分包如下：</w:t>
      </w:r>
      <w:r>
        <w:rPr>
          <w:rFonts w:hint="eastAsia" w:ascii="仿宋_GB2312" w:hAnsi="仿宋_GB2312" w:eastAsia="仿宋_GB2312" w:cs="仿宋_GB2312"/>
          <w:b/>
          <w:bCs/>
          <w:color w:val="auto"/>
          <w:sz w:val="24"/>
          <w:szCs w:val="24"/>
          <w:highlight w:val="none"/>
        </w:rPr>
        <w:t>（注：投标人只能将招标文件第二部分中“前附表”的“分包”规定的</w:t>
      </w:r>
      <w:r>
        <w:rPr>
          <w:rFonts w:hint="eastAsia" w:ascii="仿宋_GB2312" w:hAnsi="仿宋_GB2312" w:eastAsia="仿宋_GB2312" w:cs="仿宋_GB2312"/>
          <w:b/>
          <w:bCs/>
          <w:color w:val="auto"/>
          <w:sz w:val="24"/>
          <w:szCs w:val="24"/>
          <w:highlight w:val="none"/>
          <w:lang w:eastAsia="zh-CN"/>
        </w:rPr>
        <w:t>采购内容</w:t>
      </w:r>
      <w:r>
        <w:rPr>
          <w:rFonts w:hint="eastAsia" w:ascii="仿宋_GB2312" w:hAnsi="仿宋_GB2312" w:eastAsia="仿宋_GB2312" w:cs="仿宋_GB2312"/>
          <w:b/>
          <w:bCs/>
          <w:color w:val="auto"/>
          <w:sz w:val="24"/>
          <w:szCs w:val="24"/>
          <w:highlight w:val="none"/>
        </w:rPr>
        <w:t>进行分包）</w:t>
      </w:r>
    </w:p>
    <w:p w14:paraId="37F889D8">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将   XX工作内容   分包给（分包供应商1名称）；</w:t>
      </w:r>
    </w:p>
    <w:p w14:paraId="01414CF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将   XX工作内容   分包给（分包供应商2名称）；</w:t>
      </w:r>
    </w:p>
    <w:p w14:paraId="10FD1E3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p>
    <w:p w14:paraId="03B2DE72">
      <w:pPr>
        <w:keepNext w:val="0"/>
        <w:keepLines w:val="0"/>
        <w:pageBreakBefore w:val="0"/>
        <w:widowControl w:val="0"/>
        <w:kinsoku/>
        <w:wordWrap/>
        <w:overflowPunct/>
        <w:topLinePunct w:val="0"/>
        <w:autoSpaceDE/>
        <w:autoSpaceDN/>
        <w:bidi w:val="0"/>
        <w:adjustRightInd/>
        <w:spacing w:line="360" w:lineRule="auto"/>
        <w:textAlignment w:val="auto"/>
        <w:rPr>
          <w:rFonts w:hint="eastAsia"/>
          <w:color w:val="auto"/>
          <w:highlight w:val="none"/>
        </w:rPr>
      </w:pPr>
      <w:r>
        <w:rPr>
          <w:rFonts w:hint="eastAsia" w:ascii="仿宋_GB2312" w:hAnsi="仿宋_GB2312" w:eastAsia="仿宋_GB2312" w:cs="仿宋_GB2312"/>
          <w:color w:val="auto"/>
          <w:sz w:val="24"/>
          <w:szCs w:val="24"/>
          <w:highlight w:val="none"/>
        </w:rPr>
        <w:t>以上分包供应商具备所承担分包工作内容相应的资质条件且不得再次分包。</w:t>
      </w:r>
    </w:p>
    <w:p w14:paraId="5DC09713">
      <w:pPr>
        <w:keepNext w:val="0"/>
        <w:keepLines w:val="0"/>
        <w:pageBreakBefore w:val="0"/>
        <w:widowControl w:val="0"/>
        <w:kinsoku/>
        <w:wordWrap/>
        <w:overflowPunct/>
        <w:topLinePunct w:val="0"/>
        <w:autoSpaceDE/>
        <w:autoSpaceDN/>
        <w:bidi w:val="0"/>
        <w:adjustRightInd/>
        <w:snapToGrid w:val="0"/>
        <w:spacing w:line="360" w:lineRule="auto"/>
        <w:ind w:firstLine="576"/>
        <w:textAlignment w:val="auto"/>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二、分包供应商中小企业合同份额</w:t>
      </w:r>
    </w:p>
    <w:p w14:paraId="2516729E">
      <w:pPr>
        <w:snapToGrid w:val="0"/>
        <w:spacing w:line="360" w:lineRule="auto"/>
        <w:ind w:firstLine="576"/>
        <w:rPr>
          <w:rFonts w:hint="eastAsia" w:ascii="仿宋_GB2312" w:hAnsi="仿宋_GB2312" w:eastAsia="仿宋_GB2312" w:cs="仿宋_GB2312"/>
          <w:b/>
          <w:bCs/>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1、（分包供应商X,……）提供的货物全部由小微企业制造，其合同份额占到合同总金额     %以上。</w:t>
      </w:r>
      <w:r>
        <w:rPr>
          <w:rFonts w:hint="eastAsia" w:ascii="仿宋_GB2312" w:hAnsi="仿宋_GB2312" w:eastAsia="仿宋_GB2312" w:cs="仿宋_GB2312"/>
          <w:b/>
          <w:bCs/>
          <w:color w:val="auto"/>
          <w:kern w:val="0"/>
          <w:sz w:val="24"/>
          <w:szCs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拟享受以上价格扣除政策的，填写有关内容。）</w:t>
      </w:r>
    </w:p>
    <w:p w14:paraId="1F55C981">
      <w:pPr>
        <w:snapToGrid w:val="0"/>
        <w:spacing w:line="360" w:lineRule="auto"/>
        <w:ind w:firstLine="576"/>
        <w:rPr>
          <w:rFonts w:hint="eastAsia" w:ascii="仿宋_GB2312" w:hAnsi="仿宋_GB2312" w:eastAsia="仿宋_GB2312" w:cs="仿宋_GB2312"/>
          <w:b/>
          <w:bCs/>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2、中小企业合同金额达到  %，其中小微企业合同金额达到 %。</w:t>
      </w:r>
      <w:r>
        <w:rPr>
          <w:rFonts w:hint="eastAsia" w:ascii="仿宋_GB2312" w:hAnsi="仿宋_GB2312" w:eastAsia="仿宋_GB2312" w:cs="仿宋_GB2312"/>
          <w:b/>
          <w:bCs/>
          <w:color w:val="auto"/>
          <w:kern w:val="0"/>
          <w:sz w:val="24"/>
          <w:szCs w:val="24"/>
          <w:highlight w:val="none"/>
          <w:lang w:val="zh-CN"/>
        </w:rPr>
        <w:t>（要求合同分包形式参加的项目或采购包，供应商按招标文件第一部分招标公告申请人的资格要求中规定的分包意向协议中中小企业、小微企业合同金额应当达到的比例要求填写。）</w:t>
      </w:r>
    </w:p>
    <w:p w14:paraId="42A5BAEB">
      <w:pPr>
        <w:snapToGrid w:val="0"/>
        <w:spacing w:line="360" w:lineRule="auto"/>
        <w:ind w:firstLine="576"/>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kern w:val="0"/>
          <w:sz w:val="24"/>
          <w:szCs w:val="24"/>
          <w:highlight w:val="none"/>
          <w:lang w:val="zh-CN"/>
        </w:rPr>
        <w:t>三、分包工作履行期限、地点、方式</w:t>
      </w:r>
    </w:p>
    <w:p w14:paraId="7A6528AA">
      <w:pPr>
        <w:snapToGrid w:val="0"/>
        <w:spacing w:line="360" w:lineRule="auto"/>
        <w:ind w:firstLine="576"/>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四、质量</w:t>
      </w:r>
    </w:p>
    <w:p w14:paraId="7BA3A46F">
      <w:pPr>
        <w:snapToGrid w:val="0"/>
        <w:spacing w:line="360" w:lineRule="auto"/>
        <w:ind w:firstLine="576"/>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五、价款或者报酬</w:t>
      </w:r>
    </w:p>
    <w:p w14:paraId="43D6ECF3">
      <w:pPr>
        <w:snapToGrid w:val="0"/>
        <w:spacing w:line="360" w:lineRule="auto"/>
        <w:ind w:left="573" w:leftChars="273"/>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六、违约责任</w:t>
      </w:r>
    </w:p>
    <w:p w14:paraId="5B48EC3A">
      <w:pPr>
        <w:snapToGrid w:val="0"/>
        <w:spacing w:line="360" w:lineRule="auto"/>
        <w:ind w:firstLine="576"/>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七、争议解决的办法</w:t>
      </w:r>
    </w:p>
    <w:p w14:paraId="7A76DE68">
      <w:pPr>
        <w:snapToGrid w:val="0"/>
        <w:spacing w:line="360" w:lineRule="auto"/>
        <w:ind w:firstLine="576"/>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八、其他</w:t>
      </w:r>
    </w:p>
    <w:p w14:paraId="647ABACB">
      <w:pPr>
        <w:snapToGrid w:val="0"/>
        <w:spacing w:line="360" w:lineRule="auto"/>
        <w:ind w:firstLine="576"/>
        <w:rPr>
          <w:rFonts w:hint="eastAsia" w:ascii="仿宋_GB2312" w:hAnsi="仿宋_GB2312" w:eastAsia="仿宋_GB2312" w:cs="仿宋_GB2312"/>
          <w:color w:val="auto"/>
          <w:kern w:val="0"/>
          <w:sz w:val="24"/>
          <w:szCs w:val="24"/>
          <w:highlight w:val="none"/>
          <w:lang w:val="zh-CN"/>
        </w:rPr>
      </w:pPr>
    </w:p>
    <w:p w14:paraId="2A08E42C">
      <w:pPr>
        <w:snapToGrid w:val="0"/>
        <w:spacing w:line="360" w:lineRule="auto"/>
        <w:ind w:left="5746" w:leftChars="2622" w:hanging="240" w:hangingChars="100"/>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投标人名称(电子签名)：</w:t>
      </w:r>
    </w:p>
    <w:p w14:paraId="1983DDAF">
      <w:pPr>
        <w:snapToGrid w:val="0"/>
        <w:spacing w:line="360" w:lineRule="auto"/>
        <w:jc w:val="right"/>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分包供应商名称(电子签名/公章)：</w:t>
      </w:r>
    </w:p>
    <w:p w14:paraId="69278018">
      <w:pPr>
        <w:snapToGrid w:val="0"/>
        <w:spacing w:line="360" w:lineRule="auto"/>
        <w:ind w:firstLine="5760" w:firstLineChars="24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zh-CN"/>
        </w:rPr>
        <w:t>……</w:t>
      </w:r>
    </w:p>
    <w:p w14:paraId="3FD977BC">
      <w:pPr>
        <w:snapToGrid w:val="0"/>
        <w:spacing w:line="360" w:lineRule="auto"/>
        <w:ind w:left="5758" w:leftChars="342" w:hanging="5040" w:hangingChars="2100"/>
        <w:jc w:val="right"/>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日期：年月日</w:t>
      </w:r>
    </w:p>
    <w:p w14:paraId="1C408279">
      <w:pPr>
        <w:pStyle w:val="25"/>
        <w:ind w:left="0" w:leftChars="0" w:firstLine="0" w:firstLineChars="0"/>
        <w:rPr>
          <w:rFonts w:hint="eastAsia" w:ascii="仿宋_GB2312" w:hAnsi="仿宋_GB2312" w:eastAsia="仿宋_GB2312" w:cs="仿宋_GB2312"/>
          <w:color w:val="auto"/>
          <w:highlight w:val="none"/>
        </w:rPr>
      </w:pPr>
    </w:p>
    <w:p w14:paraId="0C19FE6B">
      <w:pPr>
        <w:snapToGrid w:val="0"/>
        <w:spacing w:line="360" w:lineRule="auto"/>
        <w:rPr>
          <w:rFonts w:hint="eastAsia" w:ascii="仿宋_GB2312" w:hAnsi="仿宋_GB2312" w:eastAsia="仿宋_GB2312" w:cs="仿宋_GB2312"/>
          <w:color w:val="auto"/>
          <w:spacing w:val="6"/>
          <w:sz w:val="28"/>
          <w:szCs w:val="28"/>
          <w:highlight w:val="none"/>
          <w:lang w:val="en-US" w:eastAsia="zh-CN"/>
        </w:rPr>
      </w:pPr>
    </w:p>
    <w:p w14:paraId="5A551C02">
      <w:pPr>
        <w:snapToGrid w:val="0"/>
        <w:spacing w:line="360" w:lineRule="auto"/>
        <w:rPr>
          <w:rFonts w:hint="eastAsia" w:ascii="仿宋_GB2312" w:hAnsi="仿宋_GB2312" w:eastAsia="仿宋_GB2312" w:cs="仿宋_GB2312"/>
          <w:color w:val="auto"/>
          <w:spacing w:val="6"/>
          <w:sz w:val="28"/>
          <w:szCs w:val="28"/>
          <w:highlight w:val="none"/>
          <w:lang w:val="en-US" w:eastAsia="zh-CN"/>
        </w:rPr>
      </w:pPr>
    </w:p>
    <w:p w14:paraId="17AE9980">
      <w:pPr>
        <w:snapToGrid w:val="0"/>
        <w:spacing w:line="360" w:lineRule="auto"/>
        <w:rPr>
          <w:rFonts w:hint="eastAsia" w:ascii="仿宋_GB2312" w:hAnsi="仿宋_GB2312" w:eastAsia="仿宋_GB2312" w:cs="仿宋_GB2312"/>
          <w:color w:val="auto"/>
          <w:spacing w:val="6"/>
          <w:sz w:val="28"/>
          <w:szCs w:val="28"/>
          <w:highlight w:val="none"/>
          <w:lang w:val="en-US" w:eastAsia="zh-CN"/>
        </w:rPr>
      </w:pPr>
    </w:p>
    <w:p w14:paraId="364A79F5">
      <w:pPr>
        <w:snapToGrid w:val="0"/>
        <w:spacing w:line="360" w:lineRule="auto"/>
        <w:rPr>
          <w:rFonts w:hint="eastAsia" w:ascii="仿宋_GB2312" w:hAnsi="仿宋_GB2312" w:eastAsia="仿宋_GB2312" w:cs="仿宋_GB2312"/>
          <w:color w:val="auto"/>
          <w:spacing w:val="6"/>
          <w:sz w:val="28"/>
          <w:szCs w:val="28"/>
          <w:highlight w:val="none"/>
          <w:lang w:val="en-US" w:eastAsia="zh-CN"/>
        </w:rPr>
      </w:pPr>
    </w:p>
    <w:p w14:paraId="717ACBFB">
      <w:pPr>
        <w:snapToGrid w:val="0"/>
        <w:spacing w:line="360" w:lineRule="auto"/>
        <w:rPr>
          <w:rFonts w:hint="eastAsia" w:ascii="仿宋_GB2312" w:hAnsi="仿宋_GB2312" w:eastAsia="仿宋_GB2312" w:cs="仿宋_GB2312"/>
          <w:color w:val="auto"/>
          <w:spacing w:val="6"/>
          <w:sz w:val="28"/>
          <w:szCs w:val="28"/>
          <w:highlight w:val="none"/>
          <w:lang w:val="en-US" w:eastAsia="zh-CN"/>
        </w:rPr>
      </w:pPr>
    </w:p>
    <w:p w14:paraId="6E0E092C">
      <w:pPr>
        <w:snapToGrid w:val="0"/>
        <w:spacing w:line="360" w:lineRule="auto"/>
        <w:rPr>
          <w:rFonts w:hint="eastAsia" w:ascii="仿宋_GB2312" w:hAnsi="仿宋_GB2312" w:eastAsia="仿宋_GB2312" w:cs="仿宋_GB2312"/>
          <w:color w:val="auto"/>
          <w:spacing w:val="6"/>
          <w:sz w:val="28"/>
          <w:szCs w:val="28"/>
          <w:highlight w:val="none"/>
          <w:lang w:val="en-US" w:eastAsia="zh-CN"/>
        </w:rPr>
      </w:pPr>
    </w:p>
    <w:p w14:paraId="6A9E2D82">
      <w:pPr>
        <w:snapToGrid w:val="0"/>
        <w:spacing w:line="360" w:lineRule="auto"/>
        <w:rPr>
          <w:rFonts w:hint="eastAsia" w:ascii="仿宋_GB2312" w:hAnsi="仿宋_GB2312" w:eastAsia="仿宋_GB2312" w:cs="仿宋_GB2312"/>
          <w:color w:val="auto"/>
          <w:spacing w:val="6"/>
          <w:sz w:val="28"/>
          <w:szCs w:val="28"/>
          <w:highlight w:val="none"/>
          <w:lang w:val="en-US" w:eastAsia="zh-CN"/>
        </w:rPr>
      </w:pPr>
    </w:p>
    <w:p w14:paraId="3736A7EB">
      <w:pPr>
        <w:snapToGrid w:val="0"/>
        <w:spacing w:line="360" w:lineRule="auto"/>
        <w:rPr>
          <w:rFonts w:hint="eastAsia" w:ascii="仿宋_GB2312" w:hAnsi="仿宋_GB2312" w:eastAsia="仿宋_GB2312" w:cs="仿宋_GB2312"/>
          <w:color w:val="auto"/>
          <w:spacing w:val="6"/>
          <w:sz w:val="28"/>
          <w:szCs w:val="28"/>
          <w:highlight w:val="none"/>
          <w:lang w:val="en-US" w:eastAsia="zh-CN"/>
        </w:rPr>
      </w:pPr>
    </w:p>
    <w:p w14:paraId="29ADFEE2">
      <w:pPr>
        <w:snapToGrid w:val="0"/>
        <w:spacing w:line="360" w:lineRule="auto"/>
        <w:rPr>
          <w:rFonts w:hint="eastAsia" w:ascii="仿宋_GB2312" w:hAnsi="仿宋_GB2312" w:eastAsia="仿宋_GB2312" w:cs="仿宋_GB2312"/>
          <w:color w:val="auto"/>
          <w:spacing w:val="6"/>
          <w:sz w:val="28"/>
          <w:szCs w:val="28"/>
          <w:highlight w:val="none"/>
          <w:lang w:val="en-US" w:eastAsia="zh-CN"/>
        </w:rPr>
      </w:pPr>
    </w:p>
    <w:p w14:paraId="0D047364">
      <w:pPr>
        <w:snapToGrid w:val="0"/>
        <w:spacing w:line="360" w:lineRule="auto"/>
        <w:rPr>
          <w:rFonts w:hint="eastAsia" w:ascii="仿宋_GB2312" w:hAnsi="仿宋_GB2312" w:eastAsia="仿宋_GB2312" w:cs="仿宋_GB2312"/>
          <w:color w:val="auto"/>
          <w:spacing w:val="6"/>
          <w:sz w:val="28"/>
          <w:szCs w:val="28"/>
          <w:highlight w:val="none"/>
          <w:lang w:val="en-US" w:eastAsia="zh-CN"/>
        </w:rPr>
      </w:pPr>
    </w:p>
    <w:p w14:paraId="43CA3BFF">
      <w:pPr>
        <w:snapToGrid w:val="0"/>
        <w:spacing w:line="360" w:lineRule="auto"/>
        <w:rPr>
          <w:rFonts w:hint="eastAsia" w:ascii="仿宋_GB2312" w:hAnsi="仿宋_GB2312" w:eastAsia="仿宋_GB2312" w:cs="仿宋_GB2312"/>
          <w:color w:val="auto"/>
          <w:spacing w:val="6"/>
          <w:sz w:val="28"/>
          <w:szCs w:val="28"/>
          <w:highlight w:val="none"/>
          <w:lang w:val="en-US" w:eastAsia="zh-CN"/>
        </w:rPr>
      </w:pPr>
    </w:p>
    <w:p w14:paraId="54765E93">
      <w:pPr>
        <w:snapToGrid w:val="0"/>
        <w:spacing w:line="360" w:lineRule="auto"/>
        <w:rPr>
          <w:rFonts w:hint="eastAsia" w:ascii="仿宋_GB2312" w:hAnsi="仿宋_GB2312" w:eastAsia="仿宋_GB2312" w:cs="仿宋_GB2312"/>
          <w:color w:val="auto"/>
          <w:spacing w:val="6"/>
          <w:sz w:val="28"/>
          <w:szCs w:val="28"/>
          <w:highlight w:val="none"/>
          <w:lang w:val="en-US" w:eastAsia="zh-CN"/>
        </w:rPr>
      </w:pPr>
    </w:p>
    <w:p w14:paraId="5C464BEE">
      <w:pPr>
        <w:snapToGrid w:val="0"/>
        <w:spacing w:line="360" w:lineRule="auto"/>
        <w:rPr>
          <w:rFonts w:hint="eastAsia" w:ascii="仿宋_GB2312" w:hAnsi="仿宋_GB2312" w:eastAsia="仿宋_GB2312" w:cs="仿宋_GB2312"/>
          <w:color w:val="auto"/>
          <w:spacing w:val="6"/>
          <w:sz w:val="28"/>
          <w:szCs w:val="28"/>
          <w:highlight w:val="none"/>
          <w:lang w:val="en-US" w:eastAsia="zh-CN"/>
        </w:rPr>
      </w:pPr>
    </w:p>
    <w:p w14:paraId="0D5DB800">
      <w:pPr>
        <w:snapToGrid w:val="0"/>
        <w:spacing w:line="360" w:lineRule="auto"/>
        <w:rPr>
          <w:rFonts w:hint="eastAsia" w:ascii="仿宋_GB2312" w:hAnsi="仿宋_GB2312" w:eastAsia="仿宋_GB2312" w:cs="仿宋_GB2312"/>
          <w:color w:val="auto"/>
          <w:spacing w:val="6"/>
          <w:sz w:val="28"/>
          <w:szCs w:val="28"/>
          <w:highlight w:val="none"/>
          <w:lang w:val="en-US" w:eastAsia="zh-CN"/>
        </w:rPr>
      </w:pPr>
    </w:p>
    <w:p w14:paraId="061138A7">
      <w:pPr>
        <w:snapToGrid w:val="0"/>
        <w:spacing w:line="360" w:lineRule="auto"/>
        <w:rPr>
          <w:rFonts w:hint="eastAsia" w:ascii="仿宋_GB2312" w:hAnsi="仿宋_GB2312" w:eastAsia="仿宋_GB2312" w:cs="仿宋_GB2312"/>
          <w:color w:val="auto"/>
          <w:spacing w:val="6"/>
          <w:sz w:val="28"/>
          <w:szCs w:val="28"/>
          <w:highlight w:val="none"/>
          <w:lang w:val="en-US" w:eastAsia="zh-CN"/>
        </w:rPr>
      </w:pPr>
    </w:p>
    <w:p w14:paraId="36BA7401">
      <w:pPr>
        <w:snapToGrid w:val="0"/>
        <w:spacing w:line="360" w:lineRule="auto"/>
        <w:rPr>
          <w:rFonts w:hint="eastAsia" w:ascii="仿宋_GB2312" w:hAnsi="仿宋_GB2312" w:eastAsia="仿宋_GB2312" w:cs="仿宋_GB2312"/>
          <w:color w:val="auto"/>
          <w:spacing w:val="6"/>
          <w:sz w:val="28"/>
          <w:szCs w:val="28"/>
          <w:highlight w:val="none"/>
          <w:lang w:val="en-US" w:eastAsia="zh-CN"/>
        </w:rPr>
      </w:pPr>
    </w:p>
    <w:p w14:paraId="504C8B7B">
      <w:pPr>
        <w:snapToGrid w:val="0"/>
        <w:spacing w:line="360" w:lineRule="auto"/>
        <w:rPr>
          <w:rFonts w:hint="eastAsia" w:ascii="仿宋_GB2312" w:hAnsi="仿宋_GB2312" w:eastAsia="仿宋_GB2312" w:cs="仿宋_GB2312"/>
          <w:color w:val="auto"/>
          <w:spacing w:val="6"/>
          <w:sz w:val="28"/>
          <w:szCs w:val="28"/>
          <w:highlight w:val="none"/>
          <w:lang w:val="en-US" w:eastAsia="zh-CN"/>
        </w:rPr>
      </w:pPr>
    </w:p>
    <w:p w14:paraId="6A7A788A">
      <w:pPr>
        <w:snapToGrid w:val="0"/>
        <w:spacing w:line="360" w:lineRule="auto"/>
        <w:rPr>
          <w:rFonts w:hint="eastAsia" w:ascii="仿宋_GB2312" w:hAnsi="仿宋_GB2312" w:eastAsia="仿宋_GB2312" w:cs="仿宋_GB2312"/>
          <w:color w:val="auto"/>
          <w:spacing w:val="6"/>
          <w:sz w:val="28"/>
          <w:szCs w:val="28"/>
          <w:highlight w:val="none"/>
          <w:lang w:val="en-US" w:eastAsia="zh-CN"/>
        </w:rPr>
      </w:pPr>
    </w:p>
    <w:p w14:paraId="4D03F3A8">
      <w:pPr>
        <w:snapToGrid w:val="0"/>
        <w:spacing w:line="360" w:lineRule="auto"/>
        <w:rPr>
          <w:rFonts w:hint="eastAsia" w:ascii="仿宋_GB2312" w:hAnsi="仿宋_GB2312" w:eastAsia="仿宋_GB2312" w:cs="仿宋_GB2312"/>
          <w:color w:val="auto"/>
          <w:spacing w:val="6"/>
          <w:sz w:val="28"/>
          <w:szCs w:val="28"/>
          <w:highlight w:val="none"/>
          <w:lang w:val="en-US" w:eastAsia="zh-CN"/>
        </w:rPr>
      </w:pPr>
    </w:p>
    <w:p w14:paraId="4F085211">
      <w:pPr>
        <w:snapToGrid w:val="0"/>
        <w:spacing w:line="360" w:lineRule="auto"/>
        <w:rPr>
          <w:rFonts w:hint="eastAsia" w:ascii="仿宋_GB2312" w:hAnsi="仿宋_GB2312" w:eastAsia="仿宋_GB2312" w:cs="仿宋_GB2312"/>
          <w:color w:val="auto"/>
          <w:spacing w:val="6"/>
          <w:sz w:val="28"/>
          <w:szCs w:val="28"/>
          <w:highlight w:val="none"/>
          <w:lang w:val="en-US" w:eastAsia="zh-CN"/>
        </w:rPr>
      </w:pPr>
    </w:p>
    <w:p w14:paraId="7A528BA2">
      <w:pPr>
        <w:pStyle w:val="2"/>
        <w:rPr>
          <w:rFonts w:hint="eastAsia"/>
          <w:lang w:val="en-US" w:eastAsia="zh-CN"/>
        </w:rPr>
      </w:pPr>
    </w:p>
    <w:p w14:paraId="7A4A1A08">
      <w:pPr>
        <w:snapToGrid w:val="0"/>
        <w:spacing w:line="360" w:lineRule="auto"/>
        <w:rPr>
          <w:rFonts w:hint="eastAsia" w:ascii="仿宋_GB2312" w:hAnsi="仿宋_GB2312" w:eastAsia="仿宋_GB2312" w:cs="仿宋_GB2312"/>
          <w:color w:val="auto"/>
          <w:spacing w:val="6"/>
          <w:sz w:val="28"/>
          <w:szCs w:val="28"/>
          <w:highlight w:val="none"/>
          <w:lang w:val="en-US" w:eastAsia="zh-CN"/>
        </w:rPr>
      </w:pPr>
    </w:p>
    <w:p w14:paraId="252C0999">
      <w:pPr>
        <w:snapToGrid w:val="0"/>
        <w:spacing w:line="360" w:lineRule="auto"/>
        <w:rPr>
          <w:rFonts w:hint="eastAsia" w:ascii="仿宋_GB2312" w:hAnsi="仿宋_GB2312" w:eastAsia="仿宋_GB2312" w:cs="仿宋_GB2312"/>
          <w:color w:val="auto"/>
          <w:spacing w:val="6"/>
          <w:sz w:val="28"/>
          <w:szCs w:val="28"/>
          <w:highlight w:val="none"/>
          <w:lang w:val="en-US"/>
        </w:rPr>
      </w:pPr>
      <w:r>
        <w:rPr>
          <w:rFonts w:hint="eastAsia" w:ascii="仿宋_GB2312" w:hAnsi="仿宋_GB2312" w:eastAsia="仿宋_GB2312" w:cs="仿宋_GB2312"/>
          <w:color w:val="auto"/>
          <w:spacing w:val="6"/>
          <w:sz w:val="28"/>
          <w:szCs w:val="28"/>
          <w:highlight w:val="none"/>
          <w:lang w:val="en-US" w:eastAsia="zh-CN"/>
        </w:rPr>
        <w:t xml:space="preserve">附件8 </w:t>
      </w:r>
    </w:p>
    <w:p w14:paraId="2C2867BF">
      <w:pPr>
        <w:snapToGrid w:val="0"/>
        <w:spacing w:before="0" w:line="360" w:lineRule="auto"/>
        <w:ind w:left="0"/>
        <w:jc w:val="center"/>
        <w:outlineLvl w:val="9"/>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b/>
          <w:color w:val="auto"/>
          <w:spacing w:val="0"/>
          <w:sz w:val="32"/>
          <w:szCs w:val="32"/>
          <w:highlight w:val="none"/>
          <w:lang w:val="zh-CN"/>
        </w:rPr>
        <w:t>关于符合本国产品标准的声明函</w:t>
      </w:r>
    </w:p>
    <w:p w14:paraId="45B160EB">
      <w:pPr>
        <w:snapToGrid w:val="0"/>
        <w:spacing w:line="360" w:lineRule="auto"/>
        <w:ind w:firstLine="576"/>
        <w:rPr>
          <w:rFonts w:hint="eastAsia" w:ascii="仿宋_GB2312" w:hAnsi="仿宋_GB2312" w:eastAsia="仿宋_GB2312" w:cs="仿宋_GB2312"/>
          <w:color w:val="auto"/>
          <w:kern w:val="0"/>
          <w:sz w:val="24"/>
          <w:szCs w:val="24"/>
          <w:highlight w:val="none"/>
          <w:u w:val="single"/>
          <w:lang w:val="zh-CN"/>
        </w:rPr>
      </w:pPr>
    </w:p>
    <w:p w14:paraId="28CA40C7">
      <w:pPr>
        <w:snapToGrid w:val="0"/>
        <w:spacing w:line="360" w:lineRule="auto"/>
        <w:ind w:firstLine="576"/>
        <w:rPr>
          <w:rFonts w:hint="eastAsia" w:ascii="仿宋_GB2312" w:hAnsi="仿宋_GB2312" w:eastAsia="仿宋_GB2312" w:cs="仿宋_GB2312"/>
          <w:color w:val="auto"/>
          <w:kern w:val="0"/>
          <w:sz w:val="24"/>
          <w:szCs w:val="24"/>
          <w:highlight w:val="none"/>
          <w:u w:val="single"/>
          <w:lang w:val="zh-CN"/>
        </w:rPr>
      </w:pPr>
      <w:r>
        <w:rPr>
          <w:rFonts w:hint="eastAsia" w:ascii="仿宋_GB2312" w:hAnsi="仿宋_GB2312" w:eastAsia="仿宋_GB2312" w:cs="仿宋_GB2312"/>
          <w:color w:val="auto"/>
          <w:kern w:val="0"/>
          <w:sz w:val="24"/>
          <w:szCs w:val="24"/>
          <w:highlight w:val="none"/>
          <w:u w:val="single"/>
          <w:lang w:val="zh-CN"/>
        </w:rPr>
        <w:t>本公司（单位）郑重声明，根据《国务院办公厅关于在政府采购中实施本国产品标准及相关政策的通知》（国办发〔2025〕34号）的规定，本公司（单位）提供的以下产品属于本国产品。具体情况如下：</w:t>
      </w:r>
    </w:p>
    <w:p w14:paraId="349E2FE2">
      <w:pPr>
        <w:snapToGrid w:val="0"/>
        <w:spacing w:line="360" w:lineRule="auto"/>
        <w:ind w:firstLine="576"/>
        <w:rPr>
          <w:rFonts w:hint="eastAsia" w:ascii="仿宋_GB2312" w:hAnsi="仿宋_GB2312" w:eastAsia="仿宋_GB2312" w:cs="仿宋_GB2312"/>
          <w:color w:val="auto"/>
          <w:kern w:val="0"/>
          <w:sz w:val="24"/>
          <w:szCs w:val="24"/>
          <w:highlight w:val="none"/>
          <w:u w:val="single"/>
          <w:lang w:val="zh-CN"/>
        </w:rPr>
      </w:pPr>
      <w:r>
        <w:rPr>
          <w:rFonts w:hint="eastAsia" w:ascii="仿宋_GB2312" w:hAnsi="仿宋_GB2312" w:eastAsia="仿宋_GB2312" w:cs="仿宋_GB2312"/>
          <w:color w:val="auto"/>
          <w:kern w:val="0"/>
          <w:sz w:val="24"/>
          <w:szCs w:val="24"/>
          <w:highlight w:val="none"/>
          <w:u w:val="single"/>
          <w:lang w:val="zh-CN"/>
        </w:rPr>
        <w:t>1.（产品名称1）1，生产厂为（厂名）2，厂址为（生产厂址）。（产品名称1）的中国境内生产的组件成本占比≥（规定比例）3。（产品名称1）的（关键组件）4在中国境内生产。（产品名称1）的（关键工序）5在中国境内完成。</w:t>
      </w:r>
    </w:p>
    <w:p w14:paraId="2A629593">
      <w:pPr>
        <w:snapToGrid w:val="0"/>
        <w:spacing w:line="360" w:lineRule="auto"/>
        <w:ind w:firstLine="576"/>
        <w:rPr>
          <w:rFonts w:hint="eastAsia" w:ascii="仿宋_GB2312" w:hAnsi="仿宋_GB2312" w:eastAsia="仿宋_GB2312" w:cs="仿宋_GB2312"/>
          <w:color w:val="auto"/>
          <w:kern w:val="0"/>
          <w:sz w:val="24"/>
          <w:szCs w:val="24"/>
          <w:highlight w:val="none"/>
          <w:u w:val="single"/>
          <w:lang w:val="zh-CN"/>
        </w:rPr>
      </w:pPr>
      <w:r>
        <w:rPr>
          <w:rFonts w:hint="eastAsia" w:ascii="仿宋_GB2312" w:hAnsi="仿宋_GB2312" w:eastAsia="仿宋_GB2312" w:cs="仿宋_GB2312"/>
          <w:color w:val="auto"/>
          <w:kern w:val="0"/>
          <w:sz w:val="24"/>
          <w:szCs w:val="24"/>
          <w:highlight w:val="none"/>
          <w:u w:val="single"/>
          <w:lang w:val="zh-CN"/>
        </w:rPr>
        <w:t>2.（产品名称2），生产厂为（厂名），厂址为（生产厂址）。（产品名称2）</w:t>
      </w:r>
      <w:r>
        <w:rPr>
          <w:rFonts w:hint="eastAsia" w:ascii="仿宋_GB2312" w:hAnsi="仿宋_GB2312" w:eastAsia="仿宋_GB2312" w:cs="仿宋_GB2312"/>
          <w:color w:val="auto"/>
          <w:kern w:val="0"/>
          <w:sz w:val="24"/>
          <w:szCs w:val="24"/>
          <w:highlight w:val="none"/>
          <w:u w:val="single"/>
          <w:lang w:val="zh-CN"/>
        </w:rPr>
        <w:tab/>
      </w:r>
      <w:r>
        <w:rPr>
          <w:rFonts w:hint="eastAsia" w:ascii="仿宋_GB2312" w:hAnsi="仿宋_GB2312" w:eastAsia="仿宋_GB2312" w:cs="仿宋_GB2312"/>
          <w:color w:val="auto"/>
          <w:kern w:val="0"/>
          <w:sz w:val="24"/>
          <w:szCs w:val="24"/>
          <w:highlight w:val="none"/>
          <w:u w:val="single"/>
          <w:lang w:val="zh-CN"/>
        </w:rPr>
        <w:t xml:space="preserve"> 的中国境内生产的组件成本占比≥（规定比例）。（产品名称2）的（关键组件）在中国境内生产。（产品名称2）的（关键工序）在中国境内完成。</w:t>
      </w:r>
    </w:p>
    <w:p w14:paraId="3EC16FBC">
      <w:pPr>
        <w:snapToGrid w:val="0"/>
        <w:spacing w:line="360" w:lineRule="auto"/>
        <w:ind w:firstLine="576"/>
        <w:rPr>
          <w:rFonts w:hint="eastAsia" w:ascii="仿宋_GB2312" w:hAnsi="仿宋_GB2312" w:eastAsia="仿宋_GB2312" w:cs="仿宋_GB2312"/>
          <w:color w:val="auto"/>
          <w:kern w:val="0"/>
          <w:sz w:val="24"/>
          <w:szCs w:val="24"/>
          <w:highlight w:val="none"/>
          <w:u w:val="single"/>
          <w:lang w:val="zh-CN"/>
        </w:rPr>
      </w:pPr>
      <w:r>
        <w:rPr>
          <w:rFonts w:hint="eastAsia" w:ascii="仿宋_GB2312" w:hAnsi="仿宋_GB2312" w:eastAsia="仿宋_GB2312" w:cs="仿宋_GB2312"/>
          <w:color w:val="auto"/>
          <w:kern w:val="0"/>
          <w:sz w:val="24"/>
          <w:szCs w:val="24"/>
          <w:highlight w:val="none"/>
          <w:u w:val="single"/>
          <w:lang w:val="zh-CN"/>
        </w:rPr>
        <w:t>……</w:t>
      </w:r>
    </w:p>
    <w:p w14:paraId="40422A9F">
      <w:pPr>
        <w:snapToGrid w:val="0"/>
        <w:spacing w:line="360" w:lineRule="auto"/>
        <w:ind w:firstLine="576"/>
        <w:rPr>
          <w:rFonts w:hint="eastAsia" w:ascii="仿宋_GB2312" w:hAnsi="仿宋_GB2312" w:eastAsia="仿宋_GB2312" w:cs="仿宋_GB2312"/>
          <w:color w:val="auto"/>
          <w:kern w:val="0"/>
          <w:sz w:val="24"/>
          <w:szCs w:val="24"/>
          <w:highlight w:val="none"/>
          <w:u w:val="none"/>
          <w:lang w:val="zh-CN"/>
        </w:rPr>
      </w:pPr>
      <w:r>
        <w:rPr>
          <w:rFonts w:hint="eastAsia" w:ascii="仿宋_GB2312" w:hAnsi="仿宋_GB2312" w:eastAsia="仿宋_GB2312" w:cs="仿宋_GB2312"/>
          <w:color w:val="auto"/>
          <w:kern w:val="0"/>
          <w:sz w:val="24"/>
          <w:szCs w:val="24"/>
          <w:highlight w:val="none"/>
          <w:u w:val="none"/>
          <w:lang w:val="zh-CN"/>
        </w:rPr>
        <w:t>二、多个产品的承诺(如有):</w:t>
      </w:r>
    </w:p>
    <w:p w14:paraId="2BAF01E4">
      <w:pPr>
        <w:keepNext w:val="0"/>
        <w:keepLines w:val="0"/>
        <w:pageBreakBefore w:val="0"/>
        <w:widowControl/>
        <w:kinsoku/>
        <w:wordWrap/>
        <w:overflowPunct/>
        <w:topLinePunct w:val="0"/>
        <w:autoSpaceDE/>
        <w:autoSpaceDN/>
        <w:bidi w:val="0"/>
        <w:adjustRightInd w:val="0"/>
        <w:snapToGrid/>
        <w:spacing w:before="30" w:after="30" w:line="450" w:lineRule="atLeast"/>
        <w:ind w:firstLine="480" w:firstLineChars="200"/>
        <w:jc w:val="left"/>
        <w:textAlignment w:val="auto"/>
        <w:rPr>
          <w:rFonts w:ascii="宋体" w:hAnsi="宋体" w:cs="仿宋"/>
          <w:i w:val="0"/>
          <w:iCs w:val="0"/>
          <w:color w:val="auto"/>
          <w:sz w:val="24"/>
          <w:szCs w:val="24"/>
        </w:rPr>
      </w:pPr>
      <w:r>
        <w:rPr>
          <w:rFonts w:ascii="宋体" w:hAnsi="宋体" w:cs="仿宋"/>
          <w:i w:val="0"/>
          <w:iCs w:val="0"/>
          <w:color w:val="auto"/>
          <w:sz w:val="24"/>
          <w:szCs w:val="24"/>
        </w:rPr>
        <w:sym w:font="Wingdings 2" w:char="F0A3"/>
      </w:r>
      <w:r>
        <w:rPr>
          <w:rFonts w:hint="eastAsia" w:ascii="仿宋_GB2312" w:hAnsi="仿宋_GB2312" w:eastAsia="仿宋_GB2312" w:cs="仿宋_GB2312"/>
          <w:color w:val="auto"/>
          <w:kern w:val="0"/>
          <w:sz w:val="24"/>
          <w:szCs w:val="24"/>
          <w:highlight w:val="none"/>
          <w:u w:val="none"/>
          <w:lang w:val="zh-CN"/>
        </w:rPr>
        <w:t>上述提供的符合本国产品标准的所有产品的成本之和，占本次投标全部产品（含本声明所列产品及其他配套产品）成本总和的比例达到80%。</w:t>
      </w:r>
    </w:p>
    <w:p w14:paraId="22A45689">
      <w:pPr>
        <w:snapToGrid w:val="0"/>
        <w:spacing w:line="360" w:lineRule="auto"/>
        <w:ind w:firstLine="576"/>
        <w:rPr>
          <w:rFonts w:hint="eastAsia" w:ascii="仿宋_GB2312" w:hAnsi="仿宋_GB2312" w:eastAsia="仿宋_GB2312" w:cs="仿宋_GB2312"/>
          <w:color w:val="auto"/>
          <w:kern w:val="0"/>
          <w:sz w:val="24"/>
          <w:szCs w:val="24"/>
          <w:highlight w:val="none"/>
          <w:u w:val="single"/>
          <w:lang w:val="zh-CN"/>
        </w:rPr>
      </w:pPr>
      <w:r>
        <w:rPr>
          <w:rFonts w:hint="eastAsia" w:ascii="仿宋_GB2312" w:hAnsi="仿宋_GB2312" w:eastAsia="仿宋_GB2312" w:cs="仿宋_GB2312"/>
          <w:color w:val="auto"/>
          <w:kern w:val="0"/>
          <w:sz w:val="24"/>
          <w:szCs w:val="24"/>
          <w:highlight w:val="none"/>
          <w:u w:val="single"/>
          <w:lang w:val="zh-CN"/>
        </w:rPr>
        <w:t>本公司（单位）对上述声明内容的真实性负责。如有虚假，愿承担相应法律责任。</w:t>
      </w:r>
    </w:p>
    <w:p w14:paraId="00465962">
      <w:pPr>
        <w:rPr>
          <w:rFonts w:hint="eastAsia" w:ascii="仿宋_GB2312" w:hAnsi="仿宋_GB2312" w:eastAsia="仿宋_GB2312" w:cs="仿宋_GB2312"/>
          <w:color w:val="auto"/>
          <w:kern w:val="0"/>
          <w:sz w:val="24"/>
          <w:szCs w:val="24"/>
          <w:highlight w:val="none"/>
          <w:u w:val="none"/>
          <w:lang w:val="zh-CN"/>
        </w:rPr>
      </w:pPr>
    </w:p>
    <w:p w14:paraId="259339D1">
      <w:pPr>
        <w:pStyle w:val="2"/>
        <w:rPr>
          <w:rFonts w:hint="eastAsia"/>
          <w:u w:val="single"/>
          <w:lang w:val="zh-CN"/>
        </w:rPr>
      </w:pPr>
    </w:p>
    <w:p w14:paraId="7B053C50">
      <w:pPr>
        <w:snapToGrid w:val="0"/>
        <w:spacing w:line="360" w:lineRule="auto"/>
        <w:jc w:val="right"/>
        <w:rPr>
          <w:rFonts w:hint="eastAsia" w:ascii="仿宋_GB2312" w:hAnsi="仿宋_GB2312" w:eastAsia="仿宋_GB2312" w:cs="仿宋_GB2312"/>
          <w:color w:val="auto"/>
          <w:kern w:val="0"/>
          <w:sz w:val="24"/>
          <w:szCs w:val="24"/>
          <w:highlight w:val="none"/>
          <w:u w:val="none"/>
          <w:lang w:val="zh-CN"/>
        </w:rPr>
      </w:pPr>
      <w:r>
        <w:rPr>
          <w:rFonts w:hint="eastAsia" w:ascii="仿宋_GB2312" w:hAnsi="仿宋_GB2312" w:eastAsia="仿宋_GB2312" w:cs="仿宋_GB2312"/>
          <w:color w:val="auto"/>
          <w:kern w:val="0"/>
          <w:sz w:val="24"/>
          <w:szCs w:val="24"/>
          <w:highlight w:val="none"/>
          <w:lang w:val="zh-CN"/>
        </w:rPr>
        <w:t>投标人名称(电子签名)</w:t>
      </w:r>
      <w:r>
        <w:rPr>
          <w:rFonts w:hint="eastAsia" w:ascii="仿宋_GB2312" w:hAnsi="仿宋_GB2312" w:eastAsia="仿宋_GB2312" w:cs="仿宋_GB2312"/>
          <w:color w:val="auto"/>
          <w:kern w:val="0"/>
          <w:sz w:val="24"/>
          <w:szCs w:val="24"/>
          <w:highlight w:val="none"/>
          <w:u w:val="none"/>
          <w:lang w:val="zh-CN"/>
        </w:rPr>
        <w:t>：</w:t>
      </w:r>
    </w:p>
    <w:p w14:paraId="15B580C6">
      <w:pPr>
        <w:snapToGrid w:val="0"/>
        <w:spacing w:line="360" w:lineRule="auto"/>
        <w:ind w:left="5758" w:leftChars="342" w:hanging="5040" w:hangingChars="2100"/>
        <w:jc w:val="right"/>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日期：年月日</w:t>
      </w:r>
    </w:p>
    <w:p w14:paraId="17C2F0D6">
      <w:pPr>
        <w:snapToGrid w:val="0"/>
        <w:spacing w:line="360" w:lineRule="auto"/>
        <w:jc w:val="both"/>
        <w:rPr>
          <w:rFonts w:hint="eastAsia" w:ascii="仿宋_GB2312" w:hAnsi="仿宋_GB2312" w:eastAsia="仿宋_GB2312" w:cs="仿宋_GB2312"/>
          <w:color w:val="auto"/>
          <w:kern w:val="0"/>
          <w:sz w:val="24"/>
          <w:szCs w:val="24"/>
          <w:highlight w:val="none"/>
          <w:u w:val="none"/>
          <w:lang w:val="zh-CN"/>
        </w:rPr>
      </w:pPr>
    </w:p>
    <w:p w14:paraId="13796A21">
      <w:pPr>
        <w:snapToGrid w:val="0"/>
        <w:spacing w:line="360" w:lineRule="auto"/>
        <w:ind w:firstLine="480" w:firstLineChars="200"/>
        <w:jc w:val="both"/>
        <w:rPr>
          <w:rFonts w:hint="eastAsia" w:ascii="仿宋_GB2312" w:hAnsi="仿宋_GB2312" w:eastAsia="仿宋_GB2312" w:cs="仿宋_GB2312"/>
          <w:color w:val="auto"/>
          <w:kern w:val="0"/>
          <w:sz w:val="24"/>
          <w:szCs w:val="24"/>
          <w:highlight w:val="none"/>
          <w:u w:val="single"/>
          <w:lang w:val="zh-CN"/>
        </w:rPr>
      </w:pPr>
      <w:r>
        <w:rPr>
          <w:rFonts w:hint="eastAsia" w:ascii="仿宋_GB2312" w:hAnsi="仿宋_GB2312" w:eastAsia="仿宋_GB2312" w:cs="仿宋_GB2312"/>
          <w:color w:val="auto"/>
          <w:kern w:val="0"/>
          <w:sz w:val="24"/>
          <w:szCs w:val="24"/>
          <w:highlight w:val="none"/>
          <w:u w:val="single"/>
          <w:lang w:val="zh-CN"/>
        </w:rPr>
        <w:t>1.产品如有型号，请在“产品名称”栏一并填写。</w:t>
      </w:r>
    </w:p>
    <w:p w14:paraId="745A5062">
      <w:pPr>
        <w:snapToGrid w:val="0"/>
        <w:spacing w:line="360" w:lineRule="auto"/>
        <w:ind w:firstLine="576"/>
        <w:rPr>
          <w:rFonts w:hint="eastAsia" w:ascii="仿宋_GB2312" w:hAnsi="仿宋_GB2312" w:eastAsia="仿宋_GB2312" w:cs="仿宋_GB2312"/>
          <w:color w:val="auto"/>
          <w:kern w:val="0"/>
          <w:sz w:val="24"/>
          <w:szCs w:val="24"/>
          <w:highlight w:val="none"/>
          <w:u w:val="single"/>
          <w:lang w:val="zh-CN"/>
        </w:rPr>
      </w:pPr>
      <w:r>
        <w:rPr>
          <w:rFonts w:hint="eastAsia" w:ascii="仿宋_GB2312" w:hAnsi="仿宋_GB2312" w:eastAsia="仿宋_GB2312" w:cs="仿宋_GB2312"/>
          <w:color w:val="auto"/>
          <w:kern w:val="0"/>
          <w:sz w:val="24"/>
          <w:szCs w:val="24"/>
          <w:highlight w:val="none"/>
          <w:u w:val="single"/>
          <w:lang w:val="zh-CN"/>
        </w:rPr>
        <w:t>2.生产厂名与厂址应与生产厂营业执照载明的相关信息保持一致。</w:t>
      </w:r>
    </w:p>
    <w:p w14:paraId="18E05126">
      <w:pPr>
        <w:snapToGrid w:val="0"/>
        <w:spacing w:line="360" w:lineRule="auto"/>
        <w:ind w:firstLine="576"/>
        <w:rPr>
          <w:rFonts w:hint="eastAsia" w:ascii="仿宋_GB2312" w:hAnsi="仿宋_GB2312" w:eastAsia="仿宋_GB2312" w:cs="仿宋_GB2312"/>
          <w:color w:val="auto"/>
          <w:kern w:val="0"/>
          <w:sz w:val="24"/>
          <w:szCs w:val="24"/>
          <w:highlight w:val="none"/>
          <w:u w:val="single"/>
          <w:lang w:val="zh-CN"/>
        </w:rPr>
      </w:pPr>
      <w:r>
        <w:rPr>
          <w:rFonts w:hint="eastAsia" w:ascii="仿宋_GB2312" w:hAnsi="仿宋_GB2312" w:eastAsia="仿宋_GB2312" w:cs="仿宋_GB2312"/>
          <w:color w:val="auto"/>
          <w:kern w:val="0"/>
          <w:sz w:val="24"/>
          <w:szCs w:val="24"/>
          <w:highlight w:val="none"/>
          <w:u w:val="single"/>
          <w:lang w:val="zh-CN"/>
        </w:rPr>
        <w:t>3.该产品的中国境内生产的组件成本占比相关要求实施前，“规定比例”栏可不填，下同。</w:t>
      </w:r>
    </w:p>
    <w:p w14:paraId="4622B5BE">
      <w:pPr>
        <w:snapToGrid w:val="0"/>
        <w:spacing w:line="360" w:lineRule="auto"/>
        <w:ind w:firstLine="576"/>
        <w:rPr>
          <w:rFonts w:hint="eastAsia" w:ascii="仿宋_GB2312" w:hAnsi="仿宋_GB2312" w:eastAsia="仿宋_GB2312" w:cs="仿宋_GB2312"/>
          <w:color w:val="auto"/>
          <w:kern w:val="0"/>
          <w:sz w:val="24"/>
          <w:szCs w:val="24"/>
          <w:highlight w:val="none"/>
          <w:u w:val="single"/>
          <w:lang w:val="zh-CN"/>
        </w:rPr>
      </w:pPr>
      <w:r>
        <w:rPr>
          <w:rFonts w:hint="eastAsia" w:ascii="仿宋_GB2312" w:hAnsi="仿宋_GB2312" w:eastAsia="仿宋_GB2312" w:cs="仿宋_GB2312"/>
          <w:color w:val="auto"/>
          <w:kern w:val="0"/>
          <w:sz w:val="24"/>
          <w:szCs w:val="24"/>
          <w:highlight w:val="none"/>
          <w:u w:val="single"/>
          <w:lang w:val="zh-CN"/>
        </w:rPr>
        <w:t>4.该产品的关键组件要求实施前，“关键组件”栏可不填，下同。</w:t>
      </w:r>
    </w:p>
    <w:p w14:paraId="4CBC7AF7">
      <w:pPr>
        <w:snapToGrid w:val="0"/>
        <w:spacing w:line="360" w:lineRule="auto"/>
        <w:ind w:firstLine="576"/>
        <w:rPr>
          <w:rFonts w:hint="eastAsia" w:ascii="仿宋_GB2312" w:hAnsi="仿宋_GB2312" w:eastAsia="仿宋_GB2312" w:cs="仿宋_GB2312"/>
          <w:color w:val="auto"/>
          <w:kern w:val="0"/>
          <w:sz w:val="24"/>
          <w:szCs w:val="24"/>
          <w:highlight w:val="none"/>
          <w:u w:val="single"/>
          <w:lang w:val="zh-CN"/>
        </w:rPr>
      </w:pPr>
      <w:r>
        <w:rPr>
          <w:rFonts w:hint="eastAsia" w:ascii="仿宋_GB2312" w:hAnsi="仿宋_GB2312" w:eastAsia="仿宋_GB2312" w:cs="仿宋_GB2312"/>
          <w:color w:val="auto"/>
          <w:kern w:val="0"/>
          <w:sz w:val="24"/>
          <w:szCs w:val="24"/>
          <w:highlight w:val="none"/>
          <w:u w:val="single"/>
          <w:lang w:val="zh-CN"/>
        </w:rPr>
        <w:t>5.该产品的关键工序要求实施前，“关键工序”栏可不填，下同</w:t>
      </w:r>
      <w:r>
        <w:rPr>
          <w:rFonts w:hint="eastAsia" w:ascii="仿宋_GB2312" w:hAnsi="仿宋_GB2312" w:eastAsia="仿宋_GB2312" w:cs="仿宋_GB2312"/>
          <w:color w:val="auto"/>
          <w:kern w:val="0"/>
          <w:sz w:val="24"/>
          <w:szCs w:val="24"/>
          <w:highlight w:val="none"/>
          <w:u w:val="single"/>
          <w:lang w:val="zh-CN" w:eastAsia="zh-CN"/>
        </w:rPr>
        <w:t>。</w:t>
      </w:r>
    </w:p>
    <w:p w14:paraId="332F9176">
      <w:pPr>
        <w:snapToGrid w:val="0"/>
        <w:spacing w:line="360" w:lineRule="auto"/>
        <w:ind w:firstLine="576"/>
        <w:rPr>
          <w:rFonts w:hint="eastAsia" w:ascii="仿宋_GB2312" w:hAnsi="仿宋_GB2312" w:eastAsia="仿宋_GB2312" w:cs="仿宋_GB2312"/>
          <w:b/>
          <w:bCs/>
          <w:color w:val="auto"/>
          <w:kern w:val="0"/>
          <w:sz w:val="24"/>
          <w:szCs w:val="24"/>
          <w:highlight w:val="none"/>
          <w:u w:val="single"/>
          <w:lang w:val="en-US" w:eastAsia="zh-CN"/>
        </w:rPr>
      </w:pPr>
      <w:r>
        <w:rPr>
          <w:rFonts w:hint="eastAsia" w:ascii="仿宋_GB2312" w:hAnsi="仿宋_GB2312" w:eastAsia="仿宋_GB2312" w:cs="仿宋_GB2312"/>
          <w:b/>
          <w:bCs/>
          <w:color w:val="auto"/>
          <w:kern w:val="0"/>
          <w:sz w:val="24"/>
          <w:szCs w:val="24"/>
          <w:highlight w:val="none"/>
          <w:u w:val="single"/>
          <w:lang w:val="en-US" w:eastAsia="zh-CN"/>
        </w:rPr>
        <w:t>6.涉及多个产品的承诺，请予第二项处打勾，否则不予承认。</w:t>
      </w:r>
    </w:p>
    <w:p w14:paraId="75B4B010">
      <w:pPr>
        <w:spacing w:line="540" w:lineRule="exact"/>
        <w:contextualSpacing/>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政采贷</w:t>
      </w:r>
    </w:p>
    <w:p w14:paraId="0196167A">
      <w:pPr>
        <w:spacing w:line="540" w:lineRule="exact"/>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为有效破解当前中小微企业面临的“融资难、融资贵”困局，充分发挥好政府采购扶持小微企业发展的政策功能，属于舟山市内的各中小企业可凭政府采购项目中标通知书等材料向舟山市政府采购信用融资合作银行申请相关融资产品，有关的合作银行详见下表：</w:t>
      </w:r>
    </w:p>
    <w:tbl>
      <w:tblPr>
        <w:tblStyle w:val="27"/>
        <w:tblW w:w="9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3975"/>
        <w:gridCol w:w="2220"/>
        <w:gridCol w:w="1908"/>
      </w:tblGrid>
      <w:tr w14:paraId="3FBBD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563" w:type="dxa"/>
            <w:gridSpan w:val="4"/>
            <w:noWrap w:val="0"/>
            <w:vAlign w:val="center"/>
          </w:tcPr>
          <w:p w14:paraId="680FA61E">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舟山市政府采购信用融资合作银行</w:t>
            </w:r>
          </w:p>
        </w:tc>
      </w:tr>
      <w:tr w14:paraId="00571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60" w:type="dxa"/>
            <w:noWrap w:val="0"/>
            <w:vAlign w:val="center"/>
          </w:tcPr>
          <w:p w14:paraId="70F4BE02">
            <w:pPr>
              <w:spacing w:line="400" w:lineRule="exact"/>
              <w:contextualSpacing/>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银行名称</w:t>
            </w:r>
          </w:p>
        </w:tc>
        <w:tc>
          <w:tcPr>
            <w:tcW w:w="3975" w:type="dxa"/>
            <w:noWrap w:val="0"/>
            <w:vAlign w:val="center"/>
          </w:tcPr>
          <w:p w14:paraId="414CF056">
            <w:pPr>
              <w:spacing w:line="400" w:lineRule="exact"/>
              <w:contextualSpacing/>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各银行介绍的产品特点</w:t>
            </w:r>
          </w:p>
        </w:tc>
        <w:tc>
          <w:tcPr>
            <w:tcW w:w="2220" w:type="dxa"/>
            <w:noWrap w:val="0"/>
            <w:vAlign w:val="center"/>
          </w:tcPr>
          <w:p w14:paraId="32F2BA07">
            <w:pPr>
              <w:spacing w:line="400" w:lineRule="exact"/>
              <w:contextualSpacing/>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经办人</w:t>
            </w:r>
          </w:p>
        </w:tc>
        <w:tc>
          <w:tcPr>
            <w:tcW w:w="1908" w:type="dxa"/>
            <w:noWrap w:val="0"/>
            <w:vAlign w:val="center"/>
          </w:tcPr>
          <w:p w14:paraId="3F09C859">
            <w:pPr>
              <w:spacing w:line="400" w:lineRule="exact"/>
              <w:contextualSpacing/>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联系方式</w:t>
            </w:r>
          </w:p>
        </w:tc>
      </w:tr>
      <w:tr w14:paraId="6534C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noWrap w:val="0"/>
            <w:vAlign w:val="center"/>
          </w:tcPr>
          <w:p w14:paraId="5E9454A8">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中国工商银行股份有限公司舟山分行</w:t>
            </w:r>
          </w:p>
        </w:tc>
        <w:tc>
          <w:tcPr>
            <w:tcW w:w="3975" w:type="dxa"/>
            <w:noWrap w:val="0"/>
            <w:vAlign w:val="top"/>
          </w:tcPr>
          <w:p w14:paraId="2D2DBAB2">
            <w:pPr>
              <w:numPr>
                <w:ilvl w:val="0"/>
                <w:numId w:val="6"/>
              </w:numPr>
              <w:spacing w:line="400" w:lineRule="exact"/>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融资额度高，融资金额最高可至订单金额70%，线上申请，随借随还。2.融资利率低，最低可至当期LPR利率。</w:t>
            </w:r>
          </w:p>
          <w:p w14:paraId="522F8AA3">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4"/>
                <w:highlight w:val="none"/>
              </w:rPr>
              <w:t>3.担保方式灵活，以政府采购合同进行融资，无需另外抵押。</w:t>
            </w:r>
          </w:p>
        </w:tc>
        <w:tc>
          <w:tcPr>
            <w:tcW w:w="2220" w:type="dxa"/>
            <w:noWrap w:val="0"/>
            <w:vAlign w:val="center"/>
          </w:tcPr>
          <w:p w14:paraId="5ED0D3A8">
            <w:pPr>
              <w:spacing w:line="400" w:lineRule="exact"/>
              <w:contextualSpacing/>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柳超颖</w:t>
            </w:r>
          </w:p>
        </w:tc>
        <w:tc>
          <w:tcPr>
            <w:tcW w:w="1908" w:type="dxa"/>
            <w:noWrap w:val="0"/>
            <w:vAlign w:val="center"/>
          </w:tcPr>
          <w:p w14:paraId="73EBDF4D">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0580-2166242, 15858076468</w:t>
            </w:r>
          </w:p>
        </w:tc>
      </w:tr>
      <w:tr w14:paraId="4D15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460" w:type="dxa"/>
            <w:noWrap w:val="0"/>
            <w:vAlign w:val="center"/>
          </w:tcPr>
          <w:p w14:paraId="5899AFB5">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中国建设银行股份有限公司舟山分行</w:t>
            </w:r>
          </w:p>
        </w:tc>
        <w:tc>
          <w:tcPr>
            <w:tcW w:w="3975" w:type="dxa"/>
            <w:noWrap w:val="0"/>
            <w:vAlign w:val="top"/>
          </w:tcPr>
          <w:p w14:paraId="07463A8C">
            <w:pPr>
              <w:numPr>
                <w:ilvl w:val="0"/>
                <w:numId w:val="7"/>
              </w:num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快速便捷：全流程线上操作，通过浙江省政府采购网数据审核信用额度，建行供应链平台快速放款。</w:t>
            </w:r>
          </w:p>
          <w:p w14:paraId="75CD44B0">
            <w:pPr>
              <w:numPr>
                <w:ilvl w:val="0"/>
                <w:numId w:val="7"/>
              </w:num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申请额度高：单笔融资额度最高可达政府采购合同金额的90%，单户额度最高可达3000万。</w:t>
            </w:r>
          </w:p>
          <w:p w14:paraId="7F019A8C">
            <w:pPr>
              <w:numPr>
                <w:ilvl w:val="0"/>
                <w:numId w:val="7"/>
              </w:num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无需额外抵押：以浙江省政府采购网备案公示的政府采购合同进行融资，无需额外抵押担保。</w:t>
            </w:r>
          </w:p>
          <w:p w14:paraId="206C4143">
            <w:pPr>
              <w:numPr>
                <w:ilvl w:val="0"/>
                <w:numId w:val="7"/>
              </w:num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利率优惠：给予流动资金贷款最优惠利率。</w:t>
            </w:r>
          </w:p>
        </w:tc>
        <w:tc>
          <w:tcPr>
            <w:tcW w:w="2220" w:type="dxa"/>
            <w:noWrap w:val="0"/>
            <w:vAlign w:val="center"/>
          </w:tcPr>
          <w:p w14:paraId="73BBE85D">
            <w:pPr>
              <w:spacing w:line="400" w:lineRule="exact"/>
              <w:contextualSpacing/>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普陀片区：蔡妮妮</w:t>
            </w:r>
          </w:p>
          <w:p w14:paraId="191A8003">
            <w:pPr>
              <w:spacing w:line="400" w:lineRule="exact"/>
              <w:contextualSpacing/>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定海片区：杨莹</w:t>
            </w:r>
          </w:p>
          <w:p w14:paraId="350A1E14">
            <w:pPr>
              <w:spacing w:line="400" w:lineRule="exact"/>
              <w:contextualSpacing/>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自贸区片区：方晓</w:t>
            </w:r>
          </w:p>
        </w:tc>
        <w:tc>
          <w:tcPr>
            <w:tcW w:w="1908" w:type="dxa"/>
            <w:noWrap w:val="0"/>
            <w:vAlign w:val="center"/>
          </w:tcPr>
          <w:p w14:paraId="733F6AD9">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普陀片区：13957201791</w:t>
            </w:r>
          </w:p>
          <w:p w14:paraId="2B5F30FC">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定海片区：13655803997</w:t>
            </w:r>
          </w:p>
          <w:p w14:paraId="700FD7E1">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自贸区片区：13587086324</w:t>
            </w:r>
          </w:p>
        </w:tc>
      </w:tr>
      <w:tr w14:paraId="02E2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noWrap w:val="0"/>
            <w:vAlign w:val="center"/>
          </w:tcPr>
          <w:p w14:paraId="17F86852">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杭州银行股份有限公司舟山市分行</w:t>
            </w:r>
          </w:p>
        </w:tc>
        <w:tc>
          <w:tcPr>
            <w:tcW w:w="3975" w:type="dxa"/>
            <w:noWrap w:val="0"/>
            <w:vAlign w:val="top"/>
          </w:tcPr>
          <w:p w14:paraId="30E618BA">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云采贷”是杭州银行为政府采购供应商提供的纯信用贷款产品。客户申请、签约、放款全流程线上化，平台注册入库并取得采购合同即可申请，融资比例最高达采购订单的80%，单户、单笔最高可达3000万，最长期限一年。</w:t>
            </w:r>
          </w:p>
        </w:tc>
        <w:tc>
          <w:tcPr>
            <w:tcW w:w="2220" w:type="dxa"/>
            <w:noWrap w:val="0"/>
            <w:vAlign w:val="center"/>
          </w:tcPr>
          <w:p w14:paraId="7CF6297A">
            <w:pPr>
              <w:spacing w:line="400" w:lineRule="exact"/>
              <w:contextualSpacing/>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方经理</w:t>
            </w:r>
          </w:p>
        </w:tc>
        <w:tc>
          <w:tcPr>
            <w:tcW w:w="1908" w:type="dxa"/>
            <w:noWrap w:val="0"/>
            <w:vAlign w:val="center"/>
          </w:tcPr>
          <w:p w14:paraId="4A0D25BC">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0580-2185201，18205800451</w:t>
            </w:r>
          </w:p>
        </w:tc>
      </w:tr>
      <w:tr w14:paraId="36886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noWrap w:val="0"/>
            <w:vAlign w:val="center"/>
          </w:tcPr>
          <w:p w14:paraId="13129580">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招商银行股份有限公司浙江自贸试验区舟山分行</w:t>
            </w:r>
          </w:p>
        </w:tc>
        <w:tc>
          <w:tcPr>
            <w:tcW w:w="3975" w:type="dxa"/>
            <w:noWrap w:val="0"/>
            <w:vAlign w:val="top"/>
          </w:tcPr>
          <w:p w14:paraId="54A37920">
            <w:pPr>
              <w:spacing w:line="40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24"/>
                <w:highlight w:val="none"/>
              </w:rPr>
              <w:t>小企业政采贷是招商银行为政府采购成交供应商提供的用于履行政府采购合同的专属融资产品。优势：一、额度高。根据企业上一年或近一年获得政府采购成交及成交通知的一定比例给予额度，最高可达3000万元，单笔提款金额最高至合同金额的90%。二、操作简便、模式丰富。客户通过我行一网通等渠道在线申请。支持线上用款，按日计息，随借随还，利率最低至当期LPR。三、担保方式灵活。实际控制人夫妇担保＋融资项下应收账款质押作为辅助，无需抵押，一次性签署合作协议。</w:t>
            </w:r>
          </w:p>
        </w:tc>
        <w:tc>
          <w:tcPr>
            <w:tcW w:w="2220" w:type="dxa"/>
            <w:noWrap w:val="0"/>
            <w:vAlign w:val="center"/>
          </w:tcPr>
          <w:p w14:paraId="1732F228">
            <w:pPr>
              <w:spacing w:line="400" w:lineRule="exact"/>
              <w:contextualSpacing/>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李玲</w:t>
            </w:r>
          </w:p>
        </w:tc>
        <w:tc>
          <w:tcPr>
            <w:tcW w:w="1908" w:type="dxa"/>
            <w:noWrap w:val="0"/>
            <w:vAlign w:val="center"/>
          </w:tcPr>
          <w:p w14:paraId="30825FFC">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0580-2061710，13957227971</w:t>
            </w:r>
          </w:p>
        </w:tc>
      </w:tr>
      <w:tr w14:paraId="5C41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460" w:type="dxa"/>
            <w:noWrap w:val="0"/>
            <w:vAlign w:val="center"/>
          </w:tcPr>
          <w:p w14:paraId="6E1B9729">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温州银行股份有限公司舟山市分行</w:t>
            </w:r>
          </w:p>
        </w:tc>
        <w:tc>
          <w:tcPr>
            <w:tcW w:w="3975" w:type="dxa"/>
            <w:noWrap w:val="0"/>
            <w:vAlign w:val="top"/>
          </w:tcPr>
          <w:p w14:paraId="20B9E300">
            <w:pPr>
              <w:numPr>
                <w:ilvl w:val="0"/>
                <w:numId w:val="8"/>
              </w:num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单户授信敞口最高不超过1000万元，且最高额度核定一般不超过借款人（含实际控制人控制的其他经营实体）最近13个月合计有效中标合同金额的70%。</w:t>
            </w:r>
          </w:p>
          <w:p w14:paraId="6D8AAD26">
            <w:pPr>
              <w:numPr>
                <w:ilvl w:val="0"/>
                <w:numId w:val="8"/>
              </w:num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单笔借款额度最高不超过1000万元，单笔业务授信额度不超过“政采云平台”提供的中标通知书承载的中标金额或本次申请授信提供的采购合同金额的80%，且用信金额不超过采购合同未付金额的80%。</w:t>
            </w:r>
          </w:p>
          <w:p w14:paraId="4FEABC2C">
            <w:pPr>
              <w:numPr>
                <w:ilvl w:val="0"/>
                <w:numId w:val="8"/>
              </w:num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借款人中标采购人自行采购项目并向我行发起授信申请的，单笔业务授信敞口不超500万元，且不超过借款人中标通知书承载的中标金额或本次申请授信提供的采购合同的80%。</w:t>
            </w:r>
          </w:p>
          <w:p w14:paraId="2FE90AA3">
            <w:pPr>
              <w:numPr>
                <w:ilvl w:val="0"/>
                <w:numId w:val="8"/>
              </w:num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符合我行采购人资质的，且负债率不超75%，配合应收账款质押登记确认的，并可出具确认函，单笔借款额度可按不超过采购合同的90%办理。</w:t>
            </w:r>
          </w:p>
        </w:tc>
        <w:tc>
          <w:tcPr>
            <w:tcW w:w="2220" w:type="dxa"/>
            <w:noWrap w:val="0"/>
            <w:vAlign w:val="center"/>
          </w:tcPr>
          <w:p w14:paraId="0E82198F">
            <w:pPr>
              <w:spacing w:line="400" w:lineRule="exact"/>
              <w:contextualSpacing/>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郑贤栋</w:t>
            </w:r>
          </w:p>
        </w:tc>
        <w:tc>
          <w:tcPr>
            <w:tcW w:w="1908" w:type="dxa"/>
            <w:noWrap w:val="0"/>
            <w:vAlign w:val="center"/>
          </w:tcPr>
          <w:p w14:paraId="2C6C4259">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0580—8866086</w:t>
            </w:r>
          </w:p>
        </w:tc>
      </w:tr>
      <w:tr w14:paraId="0707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noWrap w:val="0"/>
            <w:vAlign w:val="center"/>
          </w:tcPr>
          <w:p w14:paraId="400D76F4">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交通银行股份有限公司舟山分行</w:t>
            </w:r>
          </w:p>
        </w:tc>
        <w:tc>
          <w:tcPr>
            <w:tcW w:w="3975" w:type="dxa"/>
            <w:noWrap w:val="0"/>
            <w:vAlign w:val="top"/>
          </w:tcPr>
          <w:p w14:paraId="5257A5C7">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4"/>
                <w:highlight w:val="none"/>
              </w:rPr>
              <w:t>交通银行政采贷，线上版本最长期限1年，融资金额一般不超过1000万；线下版本期限最长两年，额度最高2,000万，单笔提款金额最高至采购合同金额的70%。担保方式为信用（附加该笔业务项下未来应收账款质押、实际控制人及配偶个人保证），随借随还，利率最低至当期L</w:t>
            </w:r>
            <w:r>
              <w:rPr>
                <w:rFonts w:hint="eastAsia" w:ascii="仿宋_GB2312" w:hAnsi="仿宋_GB2312" w:eastAsia="仿宋_GB2312" w:cs="仿宋_GB2312"/>
                <w:color w:val="auto"/>
                <w:highlight w:val="none"/>
              </w:rPr>
              <w:t>PR。</w:t>
            </w:r>
          </w:p>
        </w:tc>
        <w:tc>
          <w:tcPr>
            <w:tcW w:w="2220" w:type="dxa"/>
            <w:noWrap w:val="0"/>
            <w:vAlign w:val="center"/>
          </w:tcPr>
          <w:p w14:paraId="07C64927">
            <w:pPr>
              <w:spacing w:line="400" w:lineRule="exact"/>
              <w:contextualSpacing/>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赵争艳</w:t>
            </w:r>
          </w:p>
        </w:tc>
        <w:tc>
          <w:tcPr>
            <w:tcW w:w="1908" w:type="dxa"/>
            <w:noWrap w:val="0"/>
            <w:vAlign w:val="center"/>
          </w:tcPr>
          <w:p w14:paraId="3DFD3DB8">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0580-2260728</w:t>
            </w:r>
          </w:p>
          <w:p w14:paraId="4EF163BB">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13758007280</w:t>
            </w:r>
          </w:p>
        </w:tc>
      </w:tr>
      <w:tr w14:paraId="0851A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60" w:type="dxa"/>
            <w:noWrap w:val="0"/>
            <w:vAlign w:val="center"/>
          </w:tcPr>
          <w:p w14:paraId="7D26D68F">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中信银行股份有限公司舟山分行</w:t>
            </w:r>
          </w:p>
        </w:tc>
        <w:tc>
          <w:tcPr>
            <w:tcW w:w="3975" w:type="dxa"/>
            <w:noWrap w:val="0"/>
            <w:vAlign w:val="top"/>
          </w:tcPr>
          <w:p w14:paraId="232DED5C">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中信银行“政采e贷”产品特点：根据政府采购成交通知书或合同，以政府财政支付资金为主要还款来源，为成交小微企业提供流动资金贷款。产品实现预授信、贷款申请、应收账款质押、授信审批、自助提款等环节的线上化、自动化处理，操作便利，授信额度最高不超过1000万元，贷款期限最长1年，利率低。</w:t>
            </w:r>
          </w:p>
        </w:tc>
        <w:tc>
          <w:tcPr>
            <w:tcW w:w="2220" w:type="dxa"/>
            <w:noWrap w:val="0"/>
            <w:vAlign w:val="center"/>
          </w:tcPr>
          <w:p w14:paraId="31538A40">
            <w:pPr>
              <w:spacing w:line="400" w:lineRule="exact"/>
              <w:contextualSpacing/>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黄丽</w:t>
            </w:r>
          </w:p>
        </w:tc>
        <w:tc>
          <w:tcPr>
            <w:tcW w:w="1908" w:type="dxa"/>
            <w:noWrap w:val="0"/>
            <w:vAlign w:val="center"/>
          </w:tcPr>
          <w:p w14:paraId="3188EE2A">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13905808032</w:t>
            </w:r>
          </w:p>
        </w:tc>
      </w:tr>
      <w:tr w14:paraId="4A75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60" w:type="dxa"/>
            <w:noWrap w:val="0"/>
            <w:vAlign w:val="center"/>
          </w:tcPr>
          <w:p w14:paraId="016DF8D0">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泰隆银行舟山市分行</w:t>
            </w:r>
          </w:p>
        </w:tc>
        <w:tc>
          <w:tcPr>
            <w:tcW w:w="3975" w:type="dxa"/>
            <w:noWrap w:val="0"/>
            <w:vAlign w:val="top"/>
          </w:tcPr>
          <w:p w14:paraId="74E0293E">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符合我行基本准入，期限对照订单最长不超过1年，额度最高1000万，担保方式享受信用贷款执行，可由成交企业或其实际控制人出面申请，利率最低可至当期LPR ，对于合同期限确实超过一年的，可享受无还本续贷至合同付款日。</w:t>
            </w:r>
          </w:p>
        </w:tc>
        <w:tc>
          <w:tcPr>
            <w:tcW w:w="2220" w:type="dxa"/>
            <w:noWrap w:val="0"/>
            <w:vAlign w:val="center"/>
          </w:tcPr>
          <w:p w14:paraId="129824EA">
            <w:pPr>
              <w:spacing w:line="400" w:lineRule="exact"/>
              <w:contextualSpacing/>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胡亢宇</w:t>
            </w:r>
          </w:p>
        </w:tc>
        <w:tc>
          <w:tcPr>
            <w:tcW w:w="1908" w:type="dxa"/>
            <w:noWrap w:val="0"/>
            <w:vAlign w:val="center"/>
          </w:tcPr>
          <w:p w14:paraId="1530C925">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17605868703</w:t>
            </w:r>
          </w:p>
        </w:tc>
      </w:tr>
      <w:tr w14:paraId="6A2C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60" w:type="dxa"/>
            <w:noWrap w:val="0"/>
            <w:vAlign w:val="center"/>
          </w:tcPr>
          <w:p w14:paraId="4A33CE0F">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中国农业银行股份有限公司舟山分行</w:t>
            </w:r>
          </w:p>
        </w:tc>
        <w:tc>
          <w:tcPr>
            <w:tcW w:w="3975" w:type="dxa"/>
            <w:noWrap w:val="0"/>
            <w:vAlign w:val="top"/>
          </w:tcPr>
          <w:p w14:paraId="27B60D84">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政采贷”业务原则上不超过政府采购合同实有金额的80%，单户借款额度不超过500万元。借款到期日不晚于合同约定付款日后90天，原则上不超过1年，最长可放宽至2年。应收账款形成前，可采用信用方式用信并追加供应商法定代表人或实际控制人连带责任保证担保；应收账款形成后，信用方式用信需变更为应收账款质押担保。</w:t>
            </w:r>
          </w:p>
        </w:tc>
        <w:tc>
          <w:tcPr>
            <w:tcW w:w="2220" w:type="dxa"/>
            <w:noWrap w:val="0"/>
            <w:vAlign w:val="center"/>
          </w:tcPr>
          <w:p w14:paraId="79A8BC5A">
            <w:pPr>
              <w:spacing w:line="400" w:lineRule="exact"/>
              <w:contextualSpacing/>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苏华瞻</w:t>
            </w:r>
          </w:p>
        </w:tc>
        <w:tc>
          <w:tcPr>
            <w:tcW w:w="1908" w:type="dxa"/>
            <w:noWrap w:val="0"/>
            <w:vAlign w:val="center"/>
          </w:tcPr>
          <w:p w14:paraId="2CDBDB42">
            <w:pPr>
              <w:spacing w:line="400" w:lineRule="exact"/>
              <w:contextualSpacing/>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13967228926</w:t>
            </w:r>
          </w:p>
        </w:tc>
      </w:tr>
      <w:tr w14:paraId="1DFB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60" w:type="dxa"/>
            <w:noWrap w:val="0"/>
            <w:vAlign w:val="center"/>
          </w:tcPr>
          <w:p w14:paraId="3D4B7DA7">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中国邮政储蓄银行股份有限公司舟山市分行</w:t>
            </w:r>
          </w:p>
        </w:tc>
        <w:tc>
          <w:tcPr>
            <w:tcW w:w="3975" w:type="dxa"/>
            <w:noWrap w:val="0"/>
            <w:vAlign w:val="top"/>
          </w:tcPr>
          <w:p w14:paraId="57FE98C0">
            <w:pPr>
              <w:tabs>
                <w:tab w:val="left" w:pos="0"/>
              </w:tabs>
              <w:spacing w:line="40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符合我行基本准入，授信额度使用期最高为2年，单户授信最高为500万，担保方式享受信用贷款执行，利率最低可至当期LPR ，有无还本续贷，12月份线上产品可以自主自贷。</w:t>
            </w:r>
          </w:p>
        </w:tc>
        <w:tc>
          <w:tcPr>
            <w:tcW w:w="2220" w:type="dxa"/>
            <w:noWrap w:val="0"/>
            <w:vAlign w:val="center"/>
          </w:tcPr>
          <w:p w14:paraId="6C1A4D76">
            <w:pPr>
              <w:spacing w:line="400" w:lineRule="exact"/>
              <w:contextualSpacing/>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蒋志燕</w:t>
            </w:r>
          </w:p>
        </w:tc>
        <w:tc>
          <w:tcPr>
            <w:tcW w:w="1908" w:type="dxa"/>
            <w:noWrap w:val="0"/>
            <w:vAlign w:val="center"/>
          </w:tcPr>
          <w:p w14:paraId="3C3A155C">
            <w:pPr>
              <w:spacing w:line="400" w:lineRule="exact"/>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13732527321</w:t>
            </w:r>
          </w:p>
        </w:tc>
      </w:tr>
    </w:tbl>
    <w:p w14:paraId="23244005">
      <w:pPr>
        <w:spacing w:line="360" w:lineRule="auto"/>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 一般步骤</w:t>
      </w:r>
    </w:p>
    <w:p w14:paraId="50B9B6E7">
      <w:pPr>
        <w:spacing w:line="360" w:lineRule="auto"/>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（1）供应商先与银行对接，办理融资前期手续；</w:t>
      </w:r>
    </w:p>
    <w:p w14:paraId="0210C6DF">
      <w:pPr>
        <w:spacing w:line="360" w:lineRule="auto"/>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（2）供应商成交后，凭成交通知书等材料，向相关合作银行发出融资申请；</w:t>
      </w:r>
    </w:p>
    <w:p w14:paraId="7E769D32">
      <w:pPr>
        <w:spacing w:line="360" w:lineRule="auto"/>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（3）银行、供应商线上办理审批、放贷事宜。</w:t>
      </w:r>
    </w:p>
    <w:p w14:paraId="179551EC">
      <w:pPr>
        <w:spacing w:line="360" w:lineRule="auto"/>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 注意事项</w:t>
      </w:r>
    </w:p>
    <w:p w14:paraId="7D82AA2D">
      <w:pPr>
        <w:spacing w:line="360" w:lineRule="auto"/>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（1）成交供应商需确保政府采购合同的收款账户与融资银行开户账户一致。</w:t>
      </w:r>
    </w:p>
    <w:p w14:paraId="2D730CEB">
      <w:pPr>
        <w:spacing w:line="360" w:lineRule="auto"/>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（2）用于政府采购信用融资的政府采购合同，应当包含如下条款：“第条：</w:t>
      </w:r>
    </w:p>
    <w:p w14:paraId="31B084A2">
      <w:pPr>
        <w:spacing w:line="360" w:lineRule="auto"/>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政府采购合同贷款本合同同时用于乙方向银行（金融机构）申请政府采购信用贷款。本合同一经签订，原则上不得更改乙方收款账户信息。确须更改的，乙方应取得原合同收款账户开户银行书面同意，否则修改后的合同不予备案，采购资金不予支付。”</w:t>
      </w:r>
    </w:p>
    <w:p w14:paraId="748C8B7F">
      <w:pPr>
        <w:spacing w:line="540" w:lineRule="exact"/>
        <w:contextualSpacing/>
        <w:rPr>
          <w:rFonts w:hint="eastAsia" w:ascii="仿宋_GB2312" w:hAnsi="仿宋_GB2312" w:eastAsia="仿宋_GB2312" w:cs="仿宋_GB2312"/>
          <w:color w:val="auto"/>
          <w:sz w:val="24"/>
          <w:szCs w:val="24"/>
          <w:highlight w:val="none"/>
        </w:rPr>
      </w:pPr>
    </w:p>
    <w:p w14:paraId="12B68156">
      <w:pPr>
        <w:rPr>
          <w:rFonts w:hint="eastAsia" w:ascii="仿宋_GB2312" w:hAnsi="仿宋_GB2312" w:eastAsia="仿宋_GB2312" w:cs="仿宋_GB2312"/>
          <w:color w:val="auto"/>
          <w:sz w:val="24"/>
          <w:szCs w:val="24"/>
          <w:highlight w:val="none"/>
        </w:rPr>
      </w:pPr>
    </w:p>
    <w:p w14:paraId="18DC3A7A">
      <w:pPr>
        <w:rPr>
          <w:rFonts w:hint="eastAsia" w:ascii="仿宋_GB2312" w:hAnsi="仿宋_GB2312" w:eastAsia="仿宋_GB2312" w:cs="仿宋_GB2312"/>
          <w:color w:val="auto"/>
          <w:highlight w:val="none"/>
        </w:rPr>
      </w:pPr>
    </w:p>
    <w:p w14:paraId="0B739289">
      <w:pPr>
        <w:rPr>
          <w:rFonts w:hint="eastAsia" w:ascii="仿宋_GB2312" w:hAnsi="仿宋_GB2312" w:eastAsia="仿宋_GB2312" w:cs="仿宋_GB2312"/>
          <w:color w:val="auto"/>
          <w:highlight w:val="none"/>
        </w:rPr>
      </w:pPr>
    </w:p>
    <w:p w14:paraId="05891513">
      <w:pPr>
        <w:rPr>
          <w:rFonts w:hint="eastAsia" w:ascii="仿宋_GB2312" w:hAnsi="仿宋_GB2312" w:eastAsia="仿宋_GB2312" w:cs="仿宋_GB2312"/>
          <w:color w:val="auto"/>
          <w:highlight w:val="none"/>
        </w:rPr>
      </w:pPr>
    </w:p>
    <w:p w14:paraId="1D09F0B9">
      <w:pPr>
        <w:rPr>
          <w:rFonts w:hint="eastAsia" w:ascii="仿宋_GB2312" w:hAnsi="仿宋_GB2312" w:eastAsia="仿宋_GB2312" w:cs="仿宋_GB2312"/>
          <w:color w:val="auto"/>
          <w:highlight w:val="none"/>
        </w:rPr>
      </w:pPr>
    </w:p>
    <w:p w14:paraId="31453FF0">
      <w:pPr>
        <w:rPr>
          <w:rFonts w:hint="eastAsia" w:ascii="仿宋_GB2312" w:hAnsi="仿宋_GB2312" w:eastAsia="仿宋_GB2312" w:cs="仿宋_GB2312"/>
          <w:color w:val="auto"/>
          <w:highlight w:val="none"/>
        </w:rPr>
      </w:pPr>
    </w:p>
    <w:p w14:paraId="0FC633C6">
      <w:pPr>
        <w:rPr>
          <w:rFonts w:hint="eastAsia" w:ascii="仿宋_GB2312" w:hAnsi="仿宋_GB2312" w:eastAsia="仿宋_GB2312" w:cs="仿宋_GB2312"/>
          <w:color w:val="auto"/>
          <w:highlight w:val="none"/>
        </w:rPr>
      </w:pPr>
    </w:p>
    <w:sectPr>
      <w:headerReference r:id="rId16" w:type="first"/>
      <w:footerReference r:id="rId19" w:type="first"/>
      <w:headerReference r:id="rId15" w:type="default"/>
      <w:footerReference r:id="rId17" w:type="default"/>
      <w:footerReference r:id="rId18" w:type="even"/>
      <w:pgSz w:w="11906" w:h="16838"/>
      <w:pgMar w:top="1276" w:right="1418" w:bottom="1247"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decorative"/>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方正楷体_GBK"/>
    <w:panose1 w:val="02010609030101010101"/>
    <w:charset w:val="86"/>
    <w:family w:val="decorative"/>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汉仪大黑简">
    <w:altName w:val="方正黑体_GBK"/>
    <w:panose1 w:val="02010600000101010101"/>
    <w:charset w:val="86"/>
    <w:family w:val="auto"/>
    <w:pitch w:val="default"/>
    <w:sig w:usb0="00000000" w:usb1="000000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国标宋体-超大字符集扩">
    <w:panose1 w:val="00000500000000000000"/>
    <w:charset w:val="86"/>
    <w:family w:val="auto"/>
    <w:pitch w:val="default"/>
    <w:sig w:usb0="00000001" w:usb1="08000000" w:usb2="00000000" w:usb3="00000000" w:csb0="00040000" w:csb1="00000000"/>
  </w:font>
  <w:font w:name="Wingdings 2">
    <w:altName w:val="国标宋体-超大字符集扩"/>
    <w:panose1 w:val="05020102010507070707"/>
    <w:charset w:val="02"/>
    <w:family w:val="auto"/>
    <w:pitch w:val="default"/>
    <w:sig w:usb0="00000000" w:usb1="00000000" w:usb2="00000000" w:usb3="00000000" w:csb0="80000000" w:csb1="00000000"/>
  </w:font>
  <w:font w:name="方正仿宋_GB2312">
    <w:altName w:val="方正仿宋_GBK"/>
    <w:panose1 w:val="02000000000000000000"/>
    <w:charset w:val="86"/>
    <w:family w:val="auto"/>
    <w:pitch w:val="default"/>
    <w:sig w:usb0="00000000" w:usb1="00000000" w:usb2="00000012"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A4624">
    <w:pPr>
      <w:pStyle w:val="18"/>
      <w:jc w:val="center"/>
    </w:pPr>
    <w:r>
      <w:fldChar w:fldCharType="begin"/>
    </w:r>
    <w:r>
      <w:instrText xml:space="preserve"> PAGE   \* MERGEFORMAT </w:instrText>
    </w:r>
    <w:r>
      <w:fldChar w:fldCharType="separate"/>
    </w:r>
    <w:r>
      <w:rPr>
        <w:lang w:val="zh-CN"/>
      </w:rPr>
      <w:t>22</w:t>
    </w:r>
    <w:r>
      <w:rPr>
        <w:lang w:val="zh-CN"/>
      </w:rPr>
      <w:fldChar w:fldCharType="end"/>
    </w:r>
  </w:p>
  <w:p w14:paraId="47A723DE">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DCA2F">
    <w:pPr>
      <w:pStyle w:val="18"/>
      <w:jc w:val="center"/>
    </w:pPr>
    <w:r>
      <w:fldChar w:fldCharType="begin"/>
    </w:r>
    <w:r>
      <w:instrText xml:space="preserve"> PAGE   \* MERGEFORMAT </w:instrText>
    </w:r>
    <w:r>
      <w:fldChar w:fldCharType="separate"/>
    </w:r>
    <w:r>
      <w:rPr>
        <w:lang w:val="zh-CN"/>
      </w:rPr>
      <w:t>82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FE660">
    <w:r>
      <w:fldChar w:fldCharType="begin"/>
    </w:r>
    <w:r>
      <w:instrText xml:space="preserve">PAGE  </w:instrText>
    </w:r>
    <w:r>
      <w:fldChar w:fldCharType="end"/>
    </w:r>
  </w:p>
  <w:p w14:paraId="6D55908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DBC5F">
    <w:pPr>
      <w:pStyle w:val="1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296FF">
    <w:pPr>
      <w:pStyle w:val="18"/>
      <w:jc w:val="center"/>
    </w:pPr>
    <w:r>
      <w:fldChar w:fldCharType="begin"/>
    </w:r>
    <w:r>
      <w:instrText xml:space="preserve"> PAGE   \* MERGEFORMAT </w:instrText>
    </w:r>
    <w:r>
      <w:fldChar w:fldCharType="separate"/>
    </w:r>
    <w:r>
      <w:rPr>
        <w:lang w:val="zh-CN"/>
      </w:rPr>
      <w:t>33</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6CA1C">
    <w:pPr>
      <w:pStyle w:val="18"/>
      <w:jc w:val="center"/>
    </w:pPr>
    <w:r>
      <w:fldChar w:fldCharType="begin"/>
    </w:r>
    <w:r>
      <w:instrText xml:space="preserve"> PAGE   \* MERGEFORMAT </w:instrText>
    </w:r>
    <w:r>
      <w:fldChar w:fldCharType="separate"/>
    </w:r>
    <w:r>
      <w:rPr>
        <w:lang w:val="zh-CN"/>
      </w:rPr>
      <w:t>23</w:t>
    </w:r>
    <w:r>
      <w:rPr>
        <w:lang w:val="zh-CN"/>
      </w:rPr>
      <w:fldChar w:fldCharType="end"/>
    </w:r>
  </w:p>
  <w:p w14:paraId="5A8FCFD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97D9F">
    <w:pPr>
      <w:pStyle w:val="18"/>
      <w:jc w:val="center"/>
    </w:pPr>
    <w:r>
      <w:fldChar w:fldCharType="begin"/>
    </w:r>
    <w:r>
      <w:instrText xml:space="preserve"> PAGE   \* MERGEFORMAT </w:instrText>
    </w:r>
    <w:r>
      <w:fldChar w:fldCharType="separate"/>
    </w:r>
    <w:r>
      <w:rPr>
        <w:lang w:val="zh-CN"/>
      </w:rPr>
      <w:t>81</w:t>
    </w:r>
    <w:r>
      <w:rPr>
        <w:lang w:val="zh-CN"/>
      </w:rPr>
      <w:fldChar w:fldCharType="end"/>
    </w:r>
  </w:p>
  <w:p w14:paraId="523629C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6A324">
    <w:pPr>
      <w:pStyle w:val="18"/>
      <w:jc w:val="center"/>
    </w:pPr>
    <w:r>
      <w:fldChar w:fldCharType="begin"/>
    </w:r>
    <w:r>
      <w:instrText xml:space="preserve"> PAGE   \* MERGEFORMAT </w:instrText>
    </w:r>
    <w:r>
      <w:fldChar w:fldCharType="separate"/>
    </w:r>
    <w:r>
      <w:rPr>
        <w:lang w:val="zh-CN"/>
      </w:rPr>
      <w:t>79</w:t>
    </w:r>
    <w:r>
      <w:rPr>
        <w:lang w:val="zh-CN"/>
      </w:rPr>
      <w:fldChar w:fldCharType="end"/>
    </w:r>
  </w:p>
  <w:p w14:paraId="6B84DB9B"/>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7F272">
    <w:pPr>
      <w:pStyle w:val="18"/>
      <w:jc w:val="center"/>
    </w:pPr>
    <w:r>
      <w:fldChar w:fldCharType="begin"/>
    </w:r>
    <w:r>
      <w:instrText xml:space="preserve"> PAGE   \* MERGEFORMAT </w:instrText>
    </w:r>
    <w:r>
      <w:fldChar w:fldCharType="separate"/>
    </w:r>
    <w:r>
      <w:rPr>
        <w:lang w:val="zh-CN"/>
      </w:rPr>
      <w:t>97</w:t>
    </w:r>
    <w:r>
      <w:rPr>
        <w:lang w:val="zh-CN"/>
      </w:rPr>
      <w:fldChar w:fldCharType="end"/>
    </w:r>
  </w:p>
  <w:p w14:paraId="5C033725"/>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E45EB">
    <w:r>
      <w:fldChar w:fldCharType="begin"/>
    </w:r>
    <w:r>
      <w:instrText xml:space="preserve">PAGE  </w:instrText>
    </w:r>
    <w:r>
      <w:fldChar w:fldCharType="end"/>
    </w:r>
  </w:p>
  <w:p w14:paraId="53E64B1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CA895">
    <w:r>
      <w:t></w:t>
    </w:r>
  </w:p>
  <w:p w14:paraId="64279A8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92FBA">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691D2">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C104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08ED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FFE60">
    <w:pPr>
      <w:pStyle w:val="19"/>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01F5C">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2"/>
    <w:multiLevelType w:val="multilevel"/>
    <w:tmpl w:val="00000002"/>
    <w:lvl w:ilvl="0" w:tentative="0">
      <w:start w:val="1"/>
      <w:numFmt w:val="chineseCountingThousand"/>
      <w:pStyle w:val="81"/>
      <w:suff w:val="space"/>
      <w:lvlText w:val="%1. "/>
      <w:lvlJc w:val="left"/>
      <w:pPr>
        <w:ind w:left="1179" w:hanging="907"/>
      </w:pPr>
    </w:lvl>
    <w:lvl w:ilvl="1" w:tentative="0">
      <w:start w:val="1"/>
      <w:numFmt w:val="decimal"/>
      <w:pStyle w:val="82"/>
      <w:isLgl/>
      <w:suff w:val="space"/>
      <w:lvlText w:val="%1.%2 "/>
      <w:lvlJc w:val="left"/>
      <w:pPr>
        <w:ind w:left="1362" w:hanging="794"/>
      </w:pPr>
    </w:lvl>
    <w:lvl w:ilvl="2" w:tentative="0">
      <w:start w:val="1"/>
      <w:numFmt w:val="decimal"/>
      <w:pStyle w:val="83"/>
      <w:isLgl/>
      <w:suff w:val="space"/>
      <w:lvlText w:val="%1.%2.%3 "/>
      <w:lvlJc w:val="left"/>
      <w:pPr>
        <w:ind w:left="907" w:hanging="907"/>
      </w:pPr>
    </w:lvl>
    <w:lvl w:ilvl="3" w:tentative="0">
      <w:start w:val="1"/>
      <w:numFmt w:val="decimal"/>
      <w:pStyle w:val="85"/>
      <w:isLgl/>
      <w:suff w:val="space"/>
      <w:lvlText w:val="%1.%2.%3.%4 "/>
      <w:lvlJc w:val="left"/>
      <w:pPr>
        <w:ind w:left="1021" w:hanging="1021"/>
      </w:pPr>
    </w:lvl>
    <w:lvl w:ilvl="4" w:tentative="0">
      <w:start w:val="1"/>
      <w:numFmt w:val="decimal"/>
      <w:pStyle w:val="86"/>
      <w:isLgl/>
      <w:suff w:val="space"/>
      <w:lvlText w:val="%1.%2.%3.%4.%5 "/>
      <w:lvlJc w:val="left"/>
      <w:pPr>
        <w:ind w:left="1134" w:hanging="1134"/>
      </w:pPr>
    </w:lvl>
    <w:lvl w:ilvl="5" w:tentative="0">
      <w:start w:val="1"/>
      <w:numFmt w:val="decimal"/>
      <w:pStyle w:val="87"/>
      <w:isLgl/>
      <w:suff w:val="space"/>
      <w:lvlText w:val="%1.%2.%3.%4.%5.%6 "/>
      <w:lvlJc w:val="left"/>
      <w:pPr>
        <w:ind w:left="1247" w:hanging="1247"/>
      </w:pPr>
    </w:lvl>
    <w:lvl w:ilvl="6" w:tentative="0">
      <w:start w:val="1"/>
      <w:numFmt w:val="decimal"/>
      <w:isLgl/>
      <w:suff w:val="space"/>
      <w:lvlText w:val="图 %1.%7 "/>
      <w:lvlJc w:val="left"/>
      <w:pPr>
        <w:ind w:left="0" w:firstLine="0"/>
      </w:pPr>
    </w:lvl>
    <w:lvl w:ilvl="7" w:tentative="0">
      <w:start w:val="1"/>
      <w:numFmt w:val="decimal"/>
      <w:isLgl/>
      <w:suff w:val="space"/>
      <w:lvlText w:val="表 %1.%8 "/>
      <w:lvlJc w:val="left"/>
      <w:pPr>
        <w:ind w:left="0" w:firstLine="0"/>
      </w:pPr>
    </w:lvl>
    <w:lvl w:ilvl="8" w:tentative="0">
      <w:start w:val="1"/>
      <w:numFmt w:val="none"/>
      <w:suff w:val="nothing"/>
      <w:lvlText w:val=""/>
      <w:lvlJc w:val="left"/>
      <w:pPr>
        <w:ind w:left="0" w:firstLine="0"/>
      </w:pPr>
    </w:lvl>
  </w:abstractNum>
  <w:abstractNum w:abstractNumId="2">
    <w:nsid w:val="00000003"/>
    <w:multiLevelType w:val="multilevel"/>
    <w:tmpl w:val="00000003"/>
    <w:lvl w:ilvl="0" w:tentative="0">
      <w:start w:val="1"/>
      <w:numFmt w:val="decimal"/>
      <w:lvlText w:val="%1."/>
      <w:lvlJc w:val="left"/>
      <w:pPr>
        <w:tabs>
          <w:tab w:val="left" w:pos="312"/>
        </w:tabs>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singleLevel"/>
    <w:tmpl w:val="00000004"/>
    <w:lvl w:ilvl="0" w:tentative="0">
      <w:start w:val="3"/>
      <w:numFmt w:val="decimal"/>
      <w:lvlText w:val="%1."/>
      <w:lvlJc w:val="left"/>
      <w:pPr>
        <w:tabs>
          <w:tab w:val="left" w:pos="312"/>
        </w:tabs>
      </w:pPr>
    </w:lvl>
  </w:abstractNum>
  <w:abstractNum w:abstractNumId="4">
    <w:nsid w:val="00000005"/>
    <w:multiLevelType w:val="singleLevel"/>
    <w:tmpl w:val="00000005"/>
    <w:lvl w:ilvl="0" w:tentative="0">
      <w:start w:val="1"/>
      <w:numFmt w:val="decimal"/>
      <w:lvlText w:val="%1."/>
      <w:lvlJc w:val="left"/>
      <w:pPr>
        <w:tabs>
          <w:tab w:val="left" w:pos="312"/>
        </w:tabs>
      </w:pPr>
    </w:lvl>
  </w:abstractNum>
  <w:abstractNum w:abstractNumId="5">
    <w:nsid w:val="3EBB3C91"/>
    <w:multiLevelType w:val="multilevel"/>
    <w:tmpl w:val="3EBB3C91"/>
    <w:lvl w:ilvl="0" w:tentative="0">
      <w:start w:val="1"/>
      <w:numFmt w:val="chineseCountingThousand"/>
      <w:pStyle w:val="99"/>
      <w:suff w:val="space"/>
      <w:lvlText w:val="%1. "/>
      <w:lvlJc w:val="left"/>
      <w:pPr>
        <w:ind w:left="1179" w:hanging="907"/>
      </w:pPr>
    </w:lvl>
    <w:lvl w:ilvl="1" w:tentative="0">
      <w:start w:val="1"/>
      <w:numFmt w:val="decimal"/>
      <w:isLgl/>
      <w:suff w:val="space"/>
      <w:lvlText w:val="%1.%2 "/>
      <w:lvlJc w:val="left"/>
      <w:pPr>
        <w:ind w:left="1362" w:hanging="794"/>
      </w:pPr>
    </w:lvl>
    <w:lvl w:ilvl="2" w:tentative="0">
      <w:start w:val="1"/>
      <w:numFmt w:val="decimal"/>
      <w:isLgl/>
      <w:suff w:val="space"/>
      <w:lvlText w:val="%1.%2.%3 "/>
      <w:lvlJc w:val="left"/>
      <w:pPr>
        <w:ind w:left="907" w:hanging="907"/>
      </w:pPr>
    </w:lvl>
    <w:lvl w:ilvl="3" w:tentative="0">
      <w:start w:val="1"/>
      <w:numFmt w:val="decimal"/>
      <w:isLgl/>
      <w:suff w:val="space"/>
      <w:lvlText w:val="%1.%2.%3.%4 "/>
      <w:lvlJc w:val="left"/>
      <w:pPr>
        <w:ind w:left="1021" w:hanging="1021"/>
      </w:pPr>
    </w:lvl>
    <w:lvl w:ilvl="4" w:tentative="0">
      <w:start w:val="1"/>
      <w:numFmt w:val="decimal"/>
      <w:isLgl/>
      <w:suff w:val="space"/>
      <w:lvlText w:val="%1.%2.%3.%4.%5 "/>
      <w:lvlJc w:val="left"/>
      <w:pPr>
        <w:ind w:left="1134" w:hanging="1134"/>
      </w:pPr>
    </w:lvl>
    <w:lvl w:ilvl="5" w:tentative="0">
      <w:start w:val="1"/>
      <w:numFmt w:val="decimal"/>
      <w:isLgl/>
      <w:suff w:val="space"/>
      <w:lvlText w:val="%1.%2.%3.%4.%5.%6 "/>
      <w:lvlJc w:val="left"/>
      <w:pPr>
        <w:ind w:left="1247" w:hanging="1247"/>
      </w:pPr>
    </w:lvl>
    <w:lvl w:ilvl="6" w:tentative="0">
      <w:start w:val="1"/>
      <w:numFmt w:val="decimal"/>
      <w:lvlRestart w:val="1"/>
      <w:isLgl/>
      <w:suff w:val="space"/>
      <w:lvlText w:val="图 %1.%7 "/>
      <w:lvlJc w:val="left"/>
      <w:pPr>
        <w:ind w:left="0" w:firstLine="0"/>
      </w:pPr>
    </w:lvl>
    <w:lvl w:ilvl="7" w:tentative="0">
      <w:start w:val="1"/>
      <w:numFmt w:val="decimal"/>
      <w:lvlRestart w:val="1"/>
      <w:isLgl/>
      <w:suff w:val="space"/>
      <w:lvlText w:val="表 %1.%8 "/>
      <w:lvlJc w:val="left"/>
      <w:pPr>
        <w:ind w:left="0" w:firstLine="0"/>
      </w:pPr>
    </w:lvl>
    <w:lvl w:ilvl="8" w:tentative="0">
      <w:start w:val="1"/>
      <w:numFmt w:val="none"/>
      <w:suff w:val="nothing"/>
      <w:lvlText w:val=""/>
      <w:lvlJc w:val="left"/>
      <w:pPr>
        <w:ind w:left="0" w:firstLine="0"/>
      </w:pPr>
    </w:lvl>
  </w:abstractNum>
  <w:abstractNum w:abstractNumId="6">
    <w:nsid w:val="5AE00B6A"/>
    <w:multiLevelType w:val="singleLevel"/>
    <w:tmpl w:val="5AE00B6A"/>
    <w:lvl w:ilvl="0" w:tentative="0">
      <w:start w:val="1"/>
      <w:numFmt w:val="decimal"/>
      <w:suff w:val="nothing"/>
      <w:lvlText w:val="%1、"/>
      <w:lvlJc w:val="left"/>
    </w:lvl>
  </w:abstractNum>
  <w:abstractNum w:abstractNumId="7">
    <w:nsid w:val="7A9B6140"/>
    <w:multiLevelType w:val="singleLevel"/>
    <w:tmpl w:val="7A9B6140"/>
    <w:lvl w:ilvl="0" w:tentative="0">
      <w:start w:val="1"/>
      <w:numFmt w:val="decimal"/>
      <w:lvlText w:val="%1."/>
      <w:lvlJc w:val="left"/>
      <w:pPr>
        <w:tabs>
          <w:tab w:val="left" w:pos="312"/>
        </w:tabs>
      </w:pPr>
    </w:lvl>
  </w:abstractNum>
  <w:num w:numId="1">
    <w:abstractNumId w:val="1"/>
  </w:num>
  <w:num w:numId="2">
    <w:abstractNumId w:val="5"/>
  </w:num>
  <w:num w:numId="3">
    <w:abstractNumId w:val="3"/>
  </w:num>
  <w:num w:numId="4">
    <w:abstractNumId w:val="6"/>
  </w:num>
  <w:num w:numId="5">
    <w:abstractNumId w:val="0"/>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3Mjk4NWVmYmNhMzg5MjZlNmIyYTM0ZDhkZjQwYWYifQ=="/>
  </w:docVars>
  <w:rsids>
    <w:rsidRoot w:val="00D17E4D"/>
    <w:rsid w:val="000059A4"/>
    <w:rsid w:val="00011159"/>
    <w:rsid w:val="000157A0"/>
    <w:rsid w:val="00021F3F"/>
    <w:rsid w:val="00035DB6"/>
    <w:rsid w:val="00042F9F"/>
    <w:rsid w:val="00053B45"/>
    <w:rsid w:val="00062BBC"/>
    <w:rsid w:val="00076E53"/>
    <w:rsid w:val="00084ACE"/>
    <w:rsid w:val="000B02D0"/>
    <w:rsid w:val="000B62A1"/>
    <w:rsid w:val="000F2F54"/>
    <w:rsid w:val="001011B4"/>
    <w:rsid w:val="00104C89"/>
    <w:rsid w:val="001172B0"/>
    <w:rsid w:val="00134331"/>
    <w:rsid w:val="00135D23"/>
    <w:rsid w:val="00147FB7"/>
    <w:rsid w:val="0015191E"/>
    <w:rsid w:val="0015451D"/>
    <w:rsid w:val="00157435"/>
    <w:rsid w:val="00157D62"/>
    <w:rsid w:val="001616D8"/>
    <w:rsid w:val="0016540F"/>
    <w:rsid w:val="00176A78"/>
    <w:rsid w:val="001A31E6"/>
    <w:rsid w:val="001A4182"/>
    <w:rsid w:val="001B396A"/>
    <w:rsid w:val="001C4D70"/>
    <w:rsid w:val="001C733E"/>
    <w:rsid w:val="001E4B66"/>
    <w:rsid w:val="001E7509"/>
    <w:rsid w:val="001F509A"/>
    <w:rsid w:val="00214F14"/>
    <w:rsid w:val="00232A2B"/>
    <w:rsid w:val="00234C56"/>
    <w:rsid w:val="00237FFB"/>
    <w:rsid w:val="00240926"/>
    <w:rsid w:val="00252FE7"/>
    <w:rsid w:val="0025625E"/>
    <w:rsid w:val="00273789"/>
    <w:rsid w:val="00280EE4"/>
    <w:rsid w:val="002923B4"/>
    <w:rsid w:val="002A487C"/>
    <w:rsid w:val="002C42A0"/>
    <w:rsid w:val="002E0E31"/>
    <w:rsid w:val="002E0FD6"/>
    <w:rsid w:val="002E10C9"/>
    <w:rsid w:val="002E41D9"/>
    <w:rsid w:val="002F6E78"/>
    <w:rsid w:val="00301BF4"/>
    <w:rsid w:val="00302A55"/>
    <w:rsid w:val="00304000"/>
    <w:rsid w:val="00310F98"/>
    <w:rsid w:val="003124F0"/>
    <w:rsid w:val="003173B7"/>
    <w:rsid w:val="00333A85"/>
    <w:rsid w:val="0034529B"/>
    <w:rsid w:val="0034600E"/>
    <w:rsid w:val="003501DB"/>
    <w:rsid w:val="00356572"/>
    <w:rsid w:val="00360950"/>
    <w:rsid w:val="00366837"/>
    <w:rsid w:val="00382235"/>
    <w:rsid w:val="003C3687"/>
    <w:rsid w:val="003C53FE"/>
    <w:rsid w:val="003D452F"/>
    <w:rsid w:val="003D4E0E"/>
    <w:rsid w:val="00402B8A"/>
    <w:rsid w:val="004056D2"/>
    <w:rsid w:val="00406A38"/>
    <w:rsid w:val="00417FE5"/>
    <w:rsid w:val="00426D1B"/>
    <w:rsid w:val="00427945"/>
    <w:rsid w:val="004310E0"/>
    <w:rsid w:val="004339C6"/>
    <w:rsid w:val="00436876"/>
    <w:rsid w:val="00442AA0"/>
    <w:rsid w:val="00446197"/>
    <w:rsid w:val="00455720"/>
    <w:rsid w:val="004827B3"/>
    <w:rsid w:val="00485956"/>
    <w:rsid w:val="0049069A"/>
    <w:rsid w:val="00491128"/>
    <w:rsid w:val="0049281D"/>
    <w:rsid w:val="004A13B9"/>
    <w:rsid w:val="004B4B62"/>
    <w:rsid w:val="004C094D"/>
    <w:rsid w:val="004C7DCF"/>
    <w:rsid w:val="004D7236"/>
    <w:rsid w:val="004E158E"/>
    <w:rsid w:val="004E3200"/>
    <w:rsid w:val="004F1914"/>
    <w:rsid w:val="00502419"/>
    <w:rsid w:val="005073DA"/>
    <w:rsid w:val="00510775"/>
    <w:rsid w:val="005171E2"/>
    <w:rsid w:val="00533438"/>
    <w:rsid w:val="00534468"/>
    <w:rsid w:val="00554450"/>
    <w:rsid w:val="00556153"/>
    <w:rsid w:val="0055687A"/>
    <w:rsid w:val="00557E25"/>
    <w:rsid w:val="005634AA"/>
    <w:rsid w:val="00566EBD"/>
    <w:rsid w:val="00572713"/>
    <w:rsid w:val="00575C59"/>
    <w:rsid w:val="00585E9F"/>
    <w:rsid w:val="00591CFA"/>
    <w:rsid w:val="00594E6C"/>
    <w:rsid w:val="00597461"/>
    <w:rsid w:val="005A1B6C"/>
    <w:rsid w:val="005B726F"/>
    <w:rsid w:val="005C5FAD"/>
    <w:rsid w:val="005E40D9"/>
    <w:rsid w:val="005E648F"/>
    <w:rsid w:val="005E7102"/>
    <w:rsid w:val="005F4F14"/>
    <w:rsid w:val="006068D5"/>
    <w:rsid w:val="00606B84"/>
    <w:rsid w:val="00613AA6"/>
    <w:rsid w:val="00615C5B"/>
    <w:rsid w:val="00621030"/>
    <w:rsid w:val="00626B39"/>
    <w:rsid w:val="00627127"/>
    <w:rsid w:val="00632D5C"/>
    <w:rsid w:val="00632FD1"/>
    <w:rsid w:val="00652985"/>
    <w:rsid w:val="006573A5"/>
    <w:rsid w:val="0066276C"/>
    <w:rsid w:val="0066393F"/>
    <w:rsid w:val="006739BB"/>
    <w:rsid w:val="006858A0"/>
    <w:rsid w:val="006870EA"/>
    <w:rsid w:val="006A0F59"/>
    <w:rsid w:val="006A1E3B"/>
    <w:rsid w:val="006B164C"/>
    <w:rsid w:val="006C3675"/>
    <w:rsid w:val="006C4152"/>
    <w:rsid w:val="006D5934"/>
    <w:rsid w:val="006F630B"/>
    <w:rsid w:val="007030CE"/>
    <w:rsid w:val="007056C9"/>
    <w:rsid w:val="00707E38"/>
    <w:rsid w:val="00715C45"/>
    <w:rsid w:val="007161F4"/>
    <w:rsid w:val="00722EC2"/>
    <w:rsid w:val="0073315C"/>
    <w:rsid w:val="007852C3"/>
    <w:rsid w:val="007966CF"/>
    <w:rsid w:val="007973D0"/>
    <w:rsid w:val="007A4AFA"/>
    <w:rsid w:val="007A4F6E"/>
    <w:rsid w:val="007B1A31"/>
    <w:rsid w:val="007B6A50"/>
    <w:rsid w:val="007C13AE"/>
    <w:rsid w:val="007C4FA7"/>
    <w:rsid w:val="007C74C2"/>
    <w:rsid w:val="007D5114"/>
    <w:rsid w:val="007E1E1B"/>
    <w:rsid w:val="007F1057"/>
    <w:rsid w:val="007F7787"/>
    <w:rsid w:val="00804E9F"/>
    <w:rsid w:val="00806F53"/>
    <w:rsid w:val="008111E6"/>
    <w:rsid w:val="00824DFA"/>
    <w:rsid w:val="00834044"/>
    <w:rsid w:val="008364CE"/>
    <w:rsid w:val="0084607D"/>
    <w:rsid w:val="008478AB"/>
    <w:rsid w:val="00847C06"/>
    <w:rsid w:val="00847D24"/>
    <w:rsid w:val="008500E3"/>
    <w:rsid w:val="008520EE"/>
    <w:rsid w:val="00863908"/>
    <w:rsid w:val="00875864"/>
    <w:rsid w:val="00884D18"/>
    <w:rsid w:val="00886980"/>
    <w:rsid w:val="00890BBC"/>
    <w:rsid w:val="008944CC"/>
    <w:rsid w:val="0089566D"/>
    <w:rsid w:val="008A7C60"/>
    <w:rsid w:val="008B2441"/>
    <w:rsid w:val="008B471C"/>
    <w:rsid w:val="008C07B4"/>
    <w:rsid w:val="008E779C"/>
    <w:rsid w:val="00905FC2"/>
    <w:rsid w:val="00906FCC"/>
    <w:rsid w:val="00912A64"/>
    <w:rsid w:val="00917A7C"/>
    <w:rsid w:val="00923A87"/>
    <w:rsid w:val="009266C8"/>
    <w:rsid w:val="00940931"/>
    <w:rsid w:val="009437B6"/>
    <w:rsid w:val="00950F71"/>
    <w:rsid w:val="0096088C"/>
    <w:rsid w:val="00963BD9"/>
    <w:rsid w:val="0097690B"/>
    <w:rsid w:val="00980C7F"/>
    <w:rsid w:val="00981C5F"/>
    <w:rsid w:val="00994412"/>
    <w:rsid w:val="009A5B24"/>
    <w:rsid w:val="009B2CAB"/>
    <w:rsid w:val="009B6498"/>
    <w:rsid w:val="009C0D0B"/>
    <w:rsid w:val="009C3C43"/>
    <w:rsid w:val="009C4153"/>
    <w:rsid w:val="009C64C8"/>
    <w:rsid w:val="009F67F9"/>
    <w:rsid w:val="00A20251"/>
    <w:rsid w:val="00A731EE"/>
    <w:rsid w:val="00AA14F5"/>
    <w:rsid w:val="00AA3061"/>
    <w:rsid w:val="00AA40A4"/>
    <w:rsid w:val="00AA50B6"/>
    <w:rsid w:val="00AB29F3"/>
    <w:rsid w:val="00AC4213"/>
    <w:rsid w:val="00AD0C2A"/>
    <w:rsid w:val="00AE0FA9"/>
    <w:rsid w:val="00B01C32"/>
    <w:rsid w:val="00B13BEC"/>
    <w:rsid w:val="00B312E6"/>
    <w:rsid w:val="00B4082F"/>
    <w:rsid w:val="00B5443F"/>
    <w:rsid w:val="00B57045"/>
    <w:rsid w:val="00B6258F"/>
    <w:rsid w:val="00B72185"/>
    <w:rsid w:val="00B72C18"/>
    <w:rsid w:val="00B77E47"/>
    <w:rsid w:val="00B96472"/>
    <w:rsid w:val="00B969B9"/>
    <w:rsid w:val="00BA6E13"/>
    <w:rsid w:val="00BD2BE4"/>
    <w:rsid w:val="00BD2DB4"/>
    <w:rsid w:val="00BD78E1"/>
    <w:rsid w:val="00BE03BF"/>
    <w:rsid w:val="00BE58FE"/>
    <w:rsid w:val="00BF0140"/>
    <w:rsid w:val="00BF648C"/>
    <w:rsid w:val="00C064EF"/>
    <w:rsid w:val="00C20DED"/>
    <w:rsid w:val="00C22071"/>
    <w:rsid w:val="00C30258"/>
    <w:rsid w:val="00C35BCE"/>
    <w:rsid w:val="00C517FD"/>
    <w:rsid w:val="00C6215C"/>
    <w:rsid w:val="00C635A7"/>
    <w:rsid w:val="00C87BD2"/>
    <w:rsid w:val="00CB3C62"/>
    <w:rsid w:val="00CD05FD"/>
    <w:rsid w:val="00CD3E81"/>
    <w:rsid w:val="00CD794E"/>
    <w:rsid w:val="00CF529E"/>
    <w:rsid w:val="00D011FF"/>
    <w:rsid w:val="00D17E4D"/>
    <w:rsid w:val="00D30FE6"/>
    <w:rsid w:val="00D40840"/>
    <w:rsid w:val="00D50677"/>
    <w:rsid w:val="00D54994"/>
    <w:rsid w:val="00D7477C"/>
    <w:rsid w:val="00D87E66"/>
    <w:rsid w:val="00DA53EC"/>
    <w:rsid w:val="00DB4E33"/>
    <w:rsid w:val="00DB7912"/>
    <w:rsid w:val="00DC1580"/>
    <w:rsid w:val="00E04B0A"/>
    <w:rsid w:val="00E05F6E"/>
    <w:rsid w:val="00E07C14"/>
    <w:rsid w:val="00E230F4"/>
    <w:rsid w:val="00E45D56"/>
    <w:rsid w:val="00E6462D"/>
    <w:rsid w:val="00E649F3"/>
    <w:rsid w:val="00E8444B"/>
    <w:rsid w:val="00E96894"/>
    <w:rsid w:val="00EA5F5D"/>
    <w:rsid w:val="00EB57C0"/>
    <w:rsid w:val="00EB6236"/>
    <w:rsid w:val="00EC170C"/>
    <w:rsid w:val="00EC3D63"/>
    <w:rsid w:val="00EE0949"/>
    <w:rsid w:val="00F038E5"/>
    <w:rsid w:val="00F04F38"/>
    <w:rsid w:val="00F411E9"/>
    <w:rsid w:val="00F44EAB"/>
    <w:rsid w:val="00F51E56"/>
    <w:rsid w:val="00F5590D"/>
    <w:rsid w:val="00F61C31"/>
    <w:rsid w:val="00F66378"/>
    <w:rsid w:val="00F801F4"/>
    <w:rsid w:val="00FA40C7"/>
    <w:rsid w:val="00FA6275"/>
    <w:rsid w:val="00FB5667"/>
    <w:rsid w:val="00FC1E3E"/>
    <w:rsid w:val="00FC62E3"/>
    <w:rsid w:val="00FE569B"/>
    <w:rsid w:val="00FF5B91"/>
    <w:rsid w:val="00FF6A4F"/>
    <w:rsid w:val="00FF7A23"/>
    <w:rsid w:val="012C74FF"/>
    <w:rsid w:val="01695C5A"/>
    <w:rsid w:val="02417606"/>
    <w:rsid w:val="0264611C"/>
    <w:rsid w:val="029F53A6"/>
    <w:rsid w:val="02A15615"/>
    <w:rsid w:val="031605A5"/>
    <w:rsid w:val="032908F4"/>
    <w:rsid w:val="0346189F"/>
    <w:rsid w:val="03587630"/>
    <w:rsid w:val="036E32FA"/>
    <w:rsid w:val="04131BA8"/>
    <w:rsid w:val="049A7BD3"/>
    <w:rsid w:val="05695D98"/>
    <w:rsid w:val="062E4A77"/>
    <w:rsid w:val="0654330D"/>
    <w:rsid w:val="06640499"/>
    <w:rsid w:val="06AE6DD2"/>
    <w:rsid w:val="075C714F"/>
    <w:rsid w:val="07825F0E"/>
    <w:rsid w:val="07A330EF"/>
    <w:rsid w:val="085B1D6F"/>
    <w:rsid w:val="08CC04B1"/>
    <w:rsid w:val="08DA6189"/>
    <w:rsid w:val="090A22D0"/>
    <w:rsid w:val="099B2368"/>
    <w:rsid w:val="0ACD72E3"/>
    <w:rsid w:val="0ADE7138"/>
    <w:rsid w:val="0AE162B1"/>
    <w:rsid w:val="0B120B26"/>
    <w:rsid w:val="0B74712A"/>
    <w:rsid w:val="0B754EF6"/>
    <w:rsid w:val="0CB06C4E"/>
    <w:rsid w:val="0CB16402"/>
    <w:rsid w:val="0DBD4932"/>
    <w:rsid w:val="0DF2282E"/>
    <w:rsid w:val="0E20076C"/>
    <w:rsid w:val="0E2C213E"/>
    <w:rsid w:val="0E2E3EEC"/>
    <w:rsid w:val="0E3E1F17"/>
    <w:rsid w:val="0E6179B4"/>
    <w:rsid w:val="0F101810"/>
    <w:rsid w:val="0F876CAA"/>
    <w:rsid w:val="0FC24482"/>
    <w:rsid w:val="1002331F"/>
    <w:rsid w:val="104C72BA"/>
    <w:rsid w:val="10817E99"/>
    <w:rsid w:val="1090605D"/>
    <w:rsid w:val="10D85E5D"/>
    <w:rsid w:val="10FF162B"/>
    <w:rsid w:val="115640DB"/>
    <w:rsid w:val="119B4F8B"/>
    <w:rsid w:val="11DA1F57"/>
    <w:rsid w:val="12FE5795"/>
    <w:rsid w:val="133C3FF8"/>
    <w:rsid w:val="134A0B53"/>
    <w:rsid w:val="136D0AFA"/>
    <w:rsid w:val="13776361"/>
    <w:rsid w:val="13C01A9E"/>
    <w:rsid w:val="14573510"/>
    <w:rsid w:val="14D520BF"/>
    <w:rsid w:val="153D68B5"/>
    <w:rsid w:val="15C96B44"/>
    <w:rsid w:val="15D7016F"/>
    <w:rsid w:val="16893F4C"/>
    <w:rsid w:val="16E830BB"/>
    <w:rsid w:val="16F1160C"/>
    <w:rsid w:val="170665BD"/>
    <w:rsid w:val="17384607"/>
    <w:rsid w:val="1778450C"/>
    <w:rsid w:val="17C00B7E"/>
    <w:rsid w:val="17D62AA1"/>
    <w:rsid w:val="18215DD1"/>
    <w:rsid w:val="1839615F"/>
    <w:rsid w:val="189D47B5"/>
    <w:rsid w:val="18A9070A"/>
    <w:rsid w:val="18C63235"/>
    <w:rsid w:val="190B0C48"/>
    <w:rsid w:val="192C2F88"/>
    <w:rsid w:val="193C265E"/>
    <w:rsid w:val="19745C69"/>
    <w:rsid w:val="19E41BC5"/>
    <w:rsid w:val="1A192F67"/>
    <w:rsid w:val="1A3D12D5"/>
    <w:rsid w:val="1A561332"/>
    <w:rsid w:val="1B0A18B9"/>
    <w:rsid w:val="1B0F4742"/>
    <w:rsid w:val="1B2508D5"/>
    <w:rsid w:val="1BAB6B0C"/>
    <w:rsid w:val="1BB6133F"/>
    <w:rsid w:val="1C98564D"/>
    <w:rsid w:val="1CC7132A"/>
    <w:rsid w:val="1D207125"/>
    <w:rsid w:val="1D303373"/>
    <w:rsid w:val="1D3249F5"/>
    <w:rsid w:val="1DC2204A"/>
    <w:rsid w:val="1E1B36DB"/>
    <w:rsid w:val="1E2477C2"/>
    <w:rsid w:val="1E661FAD"/>
    <w:rsid w:val="1E766B63"/>
    <w:rsid w:val="1E7F6837"/>
    <w:rsid w:val="1F3A65D6"/>
    <w:rsid w:val="1FF117D2"/>
    <w:rsid w:val="2043583E"/>
    <w:rsid w:val="20A66E00"/>
    <w:rsid w:val="20A93B08"/>
    <w:rsid w:val="20CF69FF"/>
    <w:rsid w:val="215575AF"/>
    <w:rsid w:val="21D0685C"/>
    <w:rsid w:val="21FE64EE"/>
    <w:rsid w:val="222B66B5"/>
    <w:rsid w:val="222F040E"/>
    <w:rsid w:val="223B2725"/>
    <w:rsid w:val="22587809"/>
    <w:rsid w:val="2277734E"/>
    <w:rsid w:val="228D5F39"/>
    <w:rsid w:val="22C759AB"/>
    <w:rsid w:val="22CC58EC"/>
    <w:rsid w:val="22ED4CA6"/>
    <w:rsid w:val="231837DC"/>
    <w:rsid w:val="23416C12"/>
    <w:rsid w:val="236C2E3A"/>
    <w:rsid w:val="239105B4"/>
    <w:rsid w:val="23B4085A"/>
    <w:rsid w:val="24D02351"/>
    <w:rsid w:val="2580476C"/>
    <w:rsid w:val="258C1663"/>
    <w:rsid w:val="25A61BFE"/>
    <w:rsid w:val="25FF773D"/>
    <w:rsid w:val="26197BED"/>
    <w:rsid w:val="263D67D5"/>
    <w:rsid w:val="26972C36"/>
    <w:rsid w:val="278506FB"/>
    <w:rsid w:val="27B9546F"/>
    <w:rsid w:val="27ED550F"/>
    <w:rsid w:val="27F51441"/>
    <w:rsid w:val="28153891"/>
    <w:rsid w:val="28DC5E47"/>
    <w:rsid w:val="29233D8C"/>
    <w:rsid w:val="29354CE1"/>
    <w:rsid w:val="2A324DD9"/>
    <w:rsid w:val="2AED63FF"/>
    <w:rsid w:val="2B2F6CA2"/>
    <w:rsid w:val="2B5B5D7C"/>
    <w:rsid w:val="2B6C1A1A"/>
    <w:rsid w:val="2BC37160"/>
    <w:rsid w:val="2C896895"/>
    <w:rsid w:val="2C8C26AF"/>
    <w:rsid w:val="2CC47634"/>
    <w:rsid w:val="2D3A16A4"/>
    <w:rsid w:val="2D4A7B39"/>
    <w:rsid w:val="2D8A43D9"/>
    <w:rsid w:val="2D935D5E"/>
    <w:rsid w:val="2DA46DB0"/>
    <w:rsid w:val="2E1B4B77"/>
    <w:rsid w:val="2F2D3959"/>
    <w:rsid w:val="2F3E011F"/>
    <w:rsid w:val="30041AF2"/>
    <w:rsid w:val="306C1C3E"/>
    <w:rsid w:val="30C43730"/>
    <w:rsid w:val="310F5891"/>
    <w:rsid w:val="313343F4"/>
    <w:rsid w:val="31441B75"/>
    <w:rsid w:val="317727D0"/>
    <w:rsid w:val="31817421"/>
    <w:rsid w:val="31D75850"/>
    <w:rsid w:val="32432DA9"/>
    <w:rsid w:val="326A7D7B"/>
    <w:rsid w:val="32F02868"/>
    <w:rsid w:val="33003238"/>
    <w:rsid w:val="33370B5F"/>
    <w:rsid w:val="33705E1F"/>
    <w:rsid w:val="33A819B6"/>
    <w:rsid w:val="33B977C6"/>
    <w:rsid w:val="34781430"/>
    <w:rsid w:val="34D76FBE"/>
    <w:rsid w:val="34F8431E"/>
    <w:rsid w:val="3529097C"/>
    <w:rsid w:val="35426B9B"/>
    <w:rsid w:val="35477D7F"/>
    <w:rsid w:val="354F5B00"/>
    <w:rsid w:val="3575596F"/>
    <w:rsid w:val="35B069A7"/>
    <w:rsid w:val="35ED589A"/>
    <w:rsid w:val="35FFD3E8"/>
    <w:rsid w:val="369FF079"/>
    <w:rsid w:val="36A96F67"/>
    <w:rsid w:val="36AC013E"/>
    <w:rsid w:val="373F5BE4"/>
    <w:rsid w:val="374D654E"/>
    <w:rsid w:val="37C36E10"/>
    <w:rsid w:val="37E53299"/>
    <w:rsid w:val="381D59F7"/>
    <w:rsid w:val="383C2774"/>
    <w:rsid w:val="38792D0F"/>
    <w:rsid w:val="38BF191C"/>
    <w:rsid w:val="38F0675A"/>
    <w:rsid w:val="390A7E99"/>
    <w:rsid w:val="392A4AF1"/>
    <w:rsid w:val="39316051"/>
    <w:rsid w:val="397D3044"/>
    <w:rsid w:val="3A0A0D7C"/>
    <w:rsid w:val="3A276198"/>
    <w:rsid w:val="3A8C79E3"/>
    <w:rsid w:val="3AFC4BC0"/>
    <w:rsid w:val="3B04079B"/>
    <w:rsid w:val="3B14DD25"/>
    <w:rsid w:val="3B2935D2"/>
    <w:rsid w:val="3C322BEA"/>
    <w:rsid w:val="3C922FF7"/>
    <w:rsid w:val="3C940DD1"/>
    <w:rsid w:val="3CE82ECA"/>
    <w:rsid w:val="3D017000"/>
    <w:rsid w:val="3D0D4F42"/>
    <w:rsid w:val="3D510A70"/>
    <w:rsid w:val="3D564C7B"/>
    <w:rsid w:val="3D567E34"/>
    <w:rsid w:val="3D7529B0"/>
    <w:rsid w:val="3DA1745A"/>
    <w:rsid w:val="3DD015AE"/>
    <w:rsid w:val="3DD31B91"/>
    <w:rsid w:val="3E007984"/>
    <w:rsid w:val="3ED54C8A"/>
    <w:rsid w:val="3F762A0F"/>
    <w:rsid w:val="3FF4732A"/>
    <w:rsid w:val="3FFFCB76"/>
    <w:rsid w:val="4012405C"/>
    <w:rsid w:val="409F5F96"/>
    <w:rsid w:val="410B7187"/>
    <w:rsid w:val="41175EEF"/>
    <w:rsid w:val="41391777"/>
    <w:rsid w:val="413C1F28"/>
    <w:rsid w:val="41E15A93"/>
    <w:rsid w:val="42916AC5"/>
    <w:rsid w:val="430A16DB"/>
    <w:rsid w:val="43C51A5D"/>
    <w:rsid w:val="43D42754"/>
    <w:rsid w:val="443C6BC0"/>
    <w:rsid w:val="4490613A"/>
    <w:rsid w:val="44C02694"/>
    <w:rsid w:val="44D81DAB"/>
    <w:rsid w:val="45034D45"/>
    <w:rsid w:val="4550160D"/>
    <w:rsid w:val="458F2F5C"/>
    <w:rsid w:val="45A831F7"/>
    <w:rsid w:val="45C675F1"/>
    <w:rsid w:val="45EE43E6"/>
    <w:rsid w:val="460F3276"/>
    <w:rsid w:val="4646138E"/>
    <w:rsid w:val="467F3637"/>
    <w:rsid w:val="46C62F65"/>
    <w:rsid w:val="47B15601"/>
    <w:rsid w:val="47C95850"/>
    <w:rsid w:val="47FD7C5D"/>
    <w:rsid w:val="48170989"/>
    <w:rsid w:val="48235060"/>
    <w:rsid w:val="483F42E6"/>
    <w:rsid w:val="48534FEC"/>
    <w:rsid w:val="48577D5B"/>
    <w:rsid w:val="48922EE5"/>
    <w:rsid w:val="48B44D68"/>
    <w:rsid w:val="48B65D2E"/>
    <w:rsid w:val="4911760F"/>
    <w:rsid w:val="492D1D60"/>
    <w:rsid w:val="49872699"/>
    <w:rsid w:val="49AF444A"/>
    <w:rsid w:val="4A056E6A"/>
    <w:rsid w:val="4AC850E1"/>
    <w:rsid w:val="4B1B0B6E"/>
    <w:rsid w:val="4B942086"/>
    <w:rsid w:val="4BBA406B"/>
    <w:rsid w:val="4BCB7C3F"/>
    <w:rsid w:val="4C9C5D5E"/>
    <w:rsid w:val="4DC87745"/>
    <w:rsid w:val="4E332E37"/>
    <w:rsid w:val="4E6A373F"/>
    <w:rsid w:val="4ECE0E1B"/>
    <w:rsid w:val="4F3B50DC"/>
    <w:rsid w:val="4FA80E84"/>
    <w:rsid w:val="4FF24DF2"/>
    <w:rsid w:val="50874A7C"/>
    <w:rsid w:val="508800CA"/>
    <w:rsid w:val="50B639AC"/>
    <w:rsid w:val="50F61095"/>
    <w:rsid w:val="51FE2459"/>
    <w:rsid w:val="52232583"/>
    <w:rsid w:val="523F1387"/>
    <w:rsid w:val="52636E23"/>
    <w:rsid w:val="52D774F2"/>
    <w:rsid w:val="535350EA"/>
    <w:rsid w:val="53B316E5"/>
    <w:rsid w:val="53E14128"/>
    <w:rsid w:val="53EA7771"/>
    <w:rsid w:val="54650160"/>
    <w:rsid w:val="548265AD"/>
    <w:rsid w:val="54D940C9"/>
    <w:rsid w:val="551C2433"/>
    <w:rsid w:val="55964B44"/>
    <w:rsid w:val="56073F6A"/>
    <w:rsid w:val="56693205"/>
    <w:rsid w:val="56D41610"/>
    <w:rsid w:val="56F9318A"/>
    <w:rsid w:val="57517B92"/>
    <w:rsid w:val="58562F86"/>
    <w:rsid w:val="5866597E"/>
    <w:rsid w:val="58E654C7"/>
    <w:rsid w:val="599A1430"/>
    <w:rsid w:val="59DA5D72"/>
    <w:rsid w:val="5B647768"/>
    <w:rsid w:val="5B9E120E"/>
    <w:rsid w:val="5BA109BC"/>
    <w:rsid w:val="5BE7117C"/>
    <w:rsid w:val="5C000168"/>
    <w:rsid w:val="5C180C7F"/>
    <w:rsid w:val="5C2E2841"/>
    <w:rsid w:val="5C700ABB"/>
    <w:rsid w:val="5C8F4399"/>
    <w:rsid w:val="5CCA3EEF"/>
    <w:rsid w:val="5D32630C"/>
    <w:rsid w:val="5D5C2DED"/>
    <w:rsid w:val="5DF70396"/>
    <w:rsid w:val="5EB44D5F"/>
    <w:rsid w:val="5EEF35D7"/>
    <w:rsid w:val="5F0E6369"/>
    <w:rsid w:val="5F7EEC0A"/>
    <w:rsid w:val="5F9E50E6"/>
    <w:rsid w:val="5FB73A8B"/>
    <w:rsid w:val="5FBA587D"/>
    <w:rsid w:val="60332E9C"/>
    <w:rsid w:val="608C7E04"/>
    <w:rsid w:val="609E09A0"/>
    <w:rsid w:val="60D24480"/>
    <w:rsid w:val="60E76189"/>
    <w:rsid w:val="610F5818"/>
    <w:rsid w:val="61503E28"/>
    <w:rsid w:val="617939F4"/>
    <w:rsid w:val="61992383"/>
    <w:rsid w:val="62363C23"/>
    <w:rsid w:val="62734E40"/>
    <w:rsid w:val="62A52B40"/>
    <w:rsid w:val="62B03DB0"/>
    <w:rsid w:val="62C03E1E"/>
    <w:rsid w:val="62D73E37"/>
    <w:rsid w:val="62F87114"/>
    <w:rsid w:val="633C786A"/>
    <w:rsid w:val="6359415A"/>
    <w:rsid w:val="63844E4C"/>
    <w:rsid w:val="643F5A4B"/>
    <w:rsid w:val="64406728"/>
    <w:rsid w:val="648B4026"/>
    <w:rsid w:val="64D67364"/>
    <w:rsid w:val="65247DF1"/>
    <w:rsid w:val="65402FF4"/>
    <w:rsid w:val="66AF3A48"/>
    <w:rsid w:val="66EA6A5C"/>
    <w:rsid w:val="67136ED0"/>
    <w:rsid w:val="674E4A5E"/>
    <w:rsid w:val="67746F85"/>
    <w:rsid w:val="67947E23"/>
    <w:rsid w:val="67E908AD"/>
    <w:rsid w:val="68103D7E"/>
    <w:rsid w:val="68106CAE"/>
    <w:rsid w:val="68515FB2"/>
    <w:rsid w:val="68955405"/>
    <w:rsid w:val="68B7181F"/>
    <w:rsid w:val="69042303"/>
    <w:rsid w:val="699B6A4B"/>
    <w:rsid w:val="69B00DA5"/>
    <w:rsid w:val="69C77DFE"/>
    <w:rsid w:val="69CB37D4"/>
    <w:rsid w:val="6A2C4F62"/>
    <w:rsid w:val="6A7A2B04"/>
    <w:rsid w:val="6ACE4BFE"/>
    <w:rsid w:val="6ADB15C1"/>
    <w:rsid w:val="6B4D72A6"/>
    <w:rsid w:val="6BD46218"/>
    <w:rsid w:val="6C5940BA"/>
    <w:rsid w:val="6C7C7008"/>
    <w:rsid w:val="6CC83AE0"/>
    <w:rsid w:val="6CDE126B"/>
    <w:rsid w:val="6E0A419F"/>
    <w:rsid w:val="6E55586F"/>
    <w:rsid w:val="6EE42C42"/>
    <w:rsid w:val="6F6C53DE"/>
    <w:rsid w:val="6F777D7A"/>
    <w:rsid w:val="6FBA7A41"/>
    <w:rsid w:val="6FDD600F"/>
    <w:rsid w:val="6FF84BF7"/>
    <w:rsid w:val="70157D3D"/>
    <w:rsid w:val="70831F71"/>
    <w:rsid w:val="70EE2D4A"/>
    <w:rsid w:val="712A7399"/>
    <w:rsid w:val="73490637"/>
    <w:rsid w:val="737A1DC7"/>
    <w:rsid w:val="74841862"/>
    <w:rsid w:val="748B42AD"/>
    <w:rsid w:val="74D07320"/>
    <w:rsid w:val="74EE0377"/>
    <w:rsid w:val="750C3FCB"/>
    <w:rsid w:val="75A938A5"/>
    <w:rsid w:val="760805F4"/>
    <w:rsid w:val="76790114"/>
    <w:rsid w:val="769E013D"/>
    <w:rsid w:val="77146957"/>
    <w:rsid w:val="777F0DB7"/>
    <w:rsid w:val="778C10EB"/>
    <w:rsid w:val="77F77772"/>
    <w:rsid w:val="78061E7B"/>
    <w:rsid w:val="782E5EC7"/>
    <w:rsid w:val="785B5D23"/>
    <w:rsid w:val="78A815FE"/>
    <w:rsid w:val="78AB106D"/>
    <w:rsid w:val="79A16740"/>
    <w:rsid w:val="7A0F1171"/>
    <w:rsid w:val="7A5F3C76"/>
    <w:rsid w:val="7AA1E5A1"/>
    <w:rsid w:val="7AE565A4"/>
    <w:rsid w:val="7B1F5CAB"/>
    <w:rsid w:val="7B4C229B"/>
    <w:rsid w:val="7B5F93FC"/>
    <w:rsid w:val="7B905F16"/>
    <w:rsid w:val="7BBC3169"/>
    <w:rsid w:val="7BFC0690"/>
    <w:rsid w:val="7BFE1317"/>
    <w:rsid w:val="7C084414"/>
    <w:rsid w:val="7C3005B5"/>
    <w:rsid w:val="7C8D2C1A"/>
    <w:rsid w:val="7CD423B9"/>
    <w:rsid w:val="7CFB03C1"/>
    <w:rsid w:val="7D221505"/>
    <w:rsid w:val="7D247ECA"/>
    <w:rsid w:val="7D424115"/>
    <w:rsid w:val="7D754069"/>
    <w:rsid w:val="7DD56578"/>
    <w:rsid w:val="7DE245E8"/>
    <w:rsid w:val="7DEA2FEE"/>
    <w:rsid w:val="7E2412AD"/>
    <w:rsid w:val="7FD33494"/>
    <w:rsid w:val="7FEFF4CE"/>
    <w:rsid w:val="7FF01447"/>
    <w:rsid w:val="9FE761C8"/>
    <w:rsid w:val="CFE9DE61"/>
    <w:rsid w:val="D3FD5689"/>
    <w:rsid w:val="D9E7D366"/>
    <w:rsid w:val="DDBFF338"/>
    <w:rsid w:val="E8B5CCBE"/>
    <w:rsid w:val="EEBF8930"/>
    <w:rsid w:val="F0CFCDD4"/>
    <w:rsid w:val="F3D19FAD"/>
    <w:rsid w:val="F75B92BE"/>
    <w:rsid w:val="FED728FC"/>
    <w:rsid w:val="FFFFC7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0"/>
    <w:qFormat/>
    <w:uiPriority w:val="99"/>
    <w:pPr>
      <w:keepNext/>
      <w:keepLines/>
      <w:spacing w:before="260" w:after="260" w:line="412" w:lineRule="auto"/>
      <w:outlineLvl w:val="1"/>
    </w:pPr>
    <w:rPr>
      <w:rFonts w:ascii="Arial" w:hAnsi="Arial" w:cs="Times New Roman"/>
      <w:b/>
      <w:sz w:val="32"/>
      <w:szCs w:val="28"/>
    </w:rPr>
  </w:style>
  <w:style w:type="paragraph" w:styleId="5">
    <w:name w:val="heading 3"/>
    <w:basedOn w:val="1"/>
    <w:next w:val="1"/>
    <w:link w:val="41"/>
    <w:qFormat/>
    <w:uiPriority w:val="9"/>
    <w:pPr>
      <w:keepNext/>
      <w:keepLines/>
      <w:spacing w:before="260" w:after="260" w:line="416" w:lineRule="auto"/>
      <w:outlineLvl w:val="2"/>
    </w:pPr>
    <w:rPr>
      <w:b/>
      <w:bCs/>
      <w:sz w:val="32"/>
      <w:szCs w:val="32"/>
    </w:rPr>
  </w:style>
  <w:style w:type="paragraph" w:styleId="6">
    <w:name w:val="heading 4"/>
    <w:basedOn w:val="1"/>
    <w:next w:val="1"/>
    <w:link w:val="42"/>
    <w:qFormat/>
    <w:uiPriority w:val="9"/>
    <w:pPr>
      <w:keepNext/>
      <w:keepLines/>
      <w:spacing w:before="280" w:after="290" w:line="376" w:lineRule="auto"/>
      <w:outlineLvl w:val="3"/>
    </w:pPr>
    <w:rPr>
      <w:rFonts w:ascii="Cambria" w:hAnsi="Cambria"/>
      <w:b/>
      <w:bCs/>
      <w:sz w:val="28"/>
      <w:szCs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Body Text Indent"/>
    <w:basedOn w:val="1"/>
    <w:next w:val="1"/>
    <w:link w:val="46"/>
    <w:qFormat/>
    <w:uiPriority w:val="0"/>
    <w:pPr>
      <w:spacing w:line="480" w:lineRule="exact"/>
      <w:ind w:firstLine="480" w:firstLineChars="200"/>
    </w:pPr>
    <w:rPr>
      <w:rFonts w:ascii="宋体" w:hAnsi="宋体"/>
      <w:sz w:val="24"/>
    </w:rPr>
  </w:style>
  <w:style w:type="paragraph" w:styleId="7">
    <w:name w:val="List Number"/>
    <w:basedOn w:val="1"/>
    <w:qFormat/>
    <w:uiPriority w:val="0"/>
    <w:pPr>
      <w:widowControl/>
      <w:tabs>
        <w:tab w:val="left" w:pos="360"/>
        <w:tab w:val="left" w:pos="454"/>
        <w:tab w:val="left" w:pos="720"/>
      </w:tabs>
      <w:spacing w:afterLines="50"/>
      <w:ind w:left="454" w:hanging="284"/>
      <w:jc w:val="left"/>
    </w:pPr>
    <w:rPr>
      <w:rFonts w:ascii="Times New Roman" w:hAnsi="Times New Roman" w:cs="Times New Roman"/>
      <w:kern w:val="0"/>
      <w:sz w:val="24"/>
      <w:szCs w:val="20"/>
    </w:rPr>
  </w:style>
  <w:style w:type="paragraph" w:styleId="8">
    <w:name w:val="Normal Indent"/>
    <w:basedOn w:val="1"/>
    <w:next w:val="9"/>
    <w:link w:val="43"/>
    <w:qFormat/>
    <w:uiPriority w:val="0"/>
    <w:pPr>
      <w:ind w:firstLine="420"/>
    </w:pPr>
  </w:style>
  <w:style w:type="paragraph" w:styleId="9">
    <w:name w:val="toc 4"/>
    <w:basedOn w:val="1"/>
    <w:next w:val="1"/>
    <w:qFormat/>
    <w:uiPriority w:val="0"/>
    <w:pPr>
      <w:ind w:left="600" w:leftChars="600"/>
    </w:pPr>
  </w:style>
  <w:style w:type="paragraph" w:styleId="10">
    <w:name w:val="Document Map"/>
    <w:basedOn w:val="1"/>
    <w:link w:val="44"/>
    <w:qFormat/>
    <w:uiPriority w:val="99"/>
    <w:rPr>
      <w:rFonts w:ascii="宋体"/>
      <w:sz w:val="18"/>
      <w:szCs w:val="18"/>
    </w:rPr>
  </w:style>
  <w:style w:type="paragraph" w:styleId="11">
    <w:name w:val="annotation text"/>
    <w:basedOn w:val="1"/>
    <w:link w:val="45"/>
    <w:qFormat/>
    <w:uiPriority w:val="0"/>
    <w:pPr>
      <w:jc w:val="left"/>
    </w:pPr>
  </w:style>
  <w:style w:type="paragraph" w:styleId="12">
    <w:name w:val="Body Text"/>
    <w:basedOn w:val="1"/>
    <w:next w:val="1"/>
    <w:link w:val="37"/>
    <w:qFormat/>
    <w:uiPriority w:val="99"/>
    <w:pPr>
      <w:spacing w:after="120"/>
    </w:pPr>
  </w:style>
  <w:style w:type="paragraph" w:styleId="13">
    <w:name w:val="Block Text"/>
    <w:basedOn w:val="1"/>
    <w:qFormat/>
    <w:uiPriority w:val="0"/>
    <w:pPr>
      <w:spacing w:line="360" w:lineRule="auto"/>
      <w:ind w:left="-359" w:leftChars="-171" w:right="-153" w:rightChars="-73" w:firstLine="420" w:firstLineChars="200"/>
    </w:pPr>
    <w:rPr>
      <w:rFonts w:ascii="仿宋_GB2312" w:hAnsi="宋体" w:eastAsia="仿宋_GB2312"/>
      <w:szCs w:val="21"/>
    </w:rPr>
  </w:style>
  <w:style w:type="paragraph" w:styleId="14">
    <w:name w:val="Plain Text"/>
    <w:basedOn w:val="1"/>
    <w:link w:val="47"/>
    <w:qFormat/>
    <w:uiPriority w:val="0"/>
    <w:pPr>
      <w:snapToGrid w:val="0"/>
      <w:spacing w:line="440" w:lineRule="exact"/>
      <w:jc w:val="left"/>
    </w:pPr>
    <w:rPr>
      <w:rFonts w:ascii="仿宋_GB2312" w:hAnsi="Courier New" w:eastAsia="仿宋_GB2312"/>
      <w:sz w:val="24"/>
      <w:szCs w:val="24"/>
    </w:rPr>
  </w:style>
  <w:style w:type="paragraph" w:styleId="15">
    <w:name w:val="Date"/>
    <w:basedOn w:val="1"/>
    <w:next w:val="1"/>
    <w:link w:val="48"/>
    <w:qFormat/>
    <w:uiPriority w:val="99"/>
    <w:pPr>
      <w:ind w:left="100" w:leftChars="2500"/>
    </w:pPr>
  </w:style>
  <w:style w:type="paragraph" w:styleId="16">
    <w:name w:val="Body Text Indent 2"/>
    <w:basedOn w:val="1"/>
    <w:link w:val="49"/>
    <w:qFormat/>
    <w:uiPriority w:val="99"/>
    <w:pPr>
      <w:spacing w:after="120" w:line="480" w:lineRule="auto"/>
      <w:ind w:left="420" w:leftChars="200"/>
    </w:pPr>
    <w:rPr>
      <w:rFonts w:ascii="Times New Roman" w:hAnsi="Times New Roman" w:cs="Times New Roman"/>
    </w:rPr>
  </w:style>
  <w:style w:type="paragraph" w:styleId="17">
    <w:name w:val="Balloon Text"/>
    <w:basedOn w:val="1"/>
    <w:link w:val="50"/>
    <w:qFormat/>
    <w:uiPriority w:val="99"/>
    <w:rPr>
      <w:sz w:val="18"/>
      <w:szCs w:val="18"/>
    </w:rPr>
  </w:style>
  <w:style w:type="paragraph" w:styleId="18">
    <w:name w:val="footer"/>
    <w:basedOn w:val="1"/>
    <w:link w:val="51"/>
    <w:qFormat/>
    <w:uiPriority w:val="0"/>
    <w:pPr>
      <w:tabs>
        <w:tab w:val="center" w:pos="4153"/>
        <w:tab w:val="right" w:pos="8306"/>
      </w:tabs>
      <w:snapToGrid w:val="0"/>
      <w:jc w:val="left"/>
    </w:pPr>
    <w:rPr>
      <w:sz w:val="18"/>
      <w:szCs w:val="18"/>
    </w:rPr>
  </w:style>
  <w:style w:type="paragraph" w:styleId="19">
    <w:name w:val="header"/>
    <w:basedOn w:val="1"/>
    <w:link w:val="52"/>
    <w:qFormat/>
    <w:uiPriority w:val="99"/>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53"/>
    <w:qFormat/>
    <w:uiPriority w:val="11"/>
    <w:pPr>
      <w:adjustRightInd w:val="0"/>
      <w:snapToGrid w:val="0"/>
      <w:spacing w:before="240" w:after="480"/>
      <w:jc w:val="center"/>
    </w:pPr>
    <w:rPr>
      <w:rFonts w:ascii="Arial" w:hAnsi="Arial" w:eastAsia="隶书"/>
      <w:b/>
      <w:bCs/>
      <w:kern w:val="28"/>
      <w:sz w:val="44"/>
      <w:szCs w:val="32"/>
    </w:rPr>
  </w:style>
  <w:style w:type="paragraph" w:styleId="21">
    <w:name w:val="toc 2"/>
    <w:basedOn w:val="1"/>
    <w:next w:val="1"/>
    <w:qFormat/>
    <w:uiPriority w:val="0"/>
    <w:pPr>
      <w:widowControl/>
      <w:spacing w:before="120"/>
      <w:ind w:left="240"/>
      <w:jc w:val="left"/>
    </w:pPr>
    <w:rPr>
      <w:b/>
      <w:bCs/>
      <w:kern w:val="0"/>
      <w:sz w:val="22"/>
    </w:rPr>
  </w:style>
  <w:style w:type="paragraph" w:styleId="22">
    <w:name w:val="Normal (Web)"/>
    <w:basedOn w:val="1"/>
    <w:qFormat/>
    <w:uiPriority w:val="99"/>
    <w:pPr>
      <w:spacing w:beforeAutospacing="1" w:afterAutospacing="1"/>
      <w:jc w:val="left"/>
    </w:pPr>
    <w:rPr>
      <w:rFonts w:cs="Times New Roman"/>
      <w:kern w:val="0"/>
      <w:sz w:val="24"/>
    </w:rPr>
  </w:style>
  <w:style w:type="paragraph" w:styleId="23">
    <w:name w:val="Title"/>
    <w:basedOn w:val="1"/>
    <w:next w:val="1"/>
    <w:link w:val="54"/>
    <w:qFormat/>
    <w:uiPriority w:val="0"/>
    <w:pPr>
      <w:widowControl/>
      <w:spacing w:before="240" w:after="60"/>
      <w:jc w:val="center"/>
      <w:outlineLvl w:val="0"/>
    </w:pPr>
    <w:rPr>
      <w:rFonts w:ascii="Cambria" w:hAnsi="Cambria"/>
      <w:b/>
      <w:bCs/>
      <w:kern w:val="28"/>
      <w:sz w:val="32"/>
      <w:szCs w:val="32"/>
      <w:lang w:eastAsia="en-US" w:bidi="en-US"/>
    </w:rPr>
  </w:style>
  <w:style w:type="paragraph" w:styleId="24">
    <w:name w:val="annotation subject"/>
    <w:basedOn w:val="11"/>
    <w:next w:val="11"/>
    <w:link w:val="55"/>
    <w:qFormat/>
    <w:uiPriority w:val="99"/>
    <w:rPr>
      <w:b/>
      <w:bCs/>
    </w:rPr>
  </w:style>
  <w:style w:type="paragraph" w:styleId="25">
    <w:name w:val="Body Text First Indent"/>
    <w:basedOn w:val="12"/>
    <w:link w:val="38"/>
    <w:qFormat/>
    <w:uiPriority w:val="0"/>
    <w:pPr>
      <w:widowControl/>
      <w:ind w:firstLine="420" w:firstLineChars="100"/>
      <w:jc w:val="left"/>
    </w:pPr>
    <w:rPr>
      <w:rFonts w:ascii="Times New Roman" w:cs="Times New Roman"/>
      <w:kern w:val="0"/>
      <w:sz w:val="24"/>
      <w:szCs w:val="24"/>
      <w:lang w:eastAsia="en-US" w:bidi="en-US"/>
    </w:rPr>
  </w:style>
  <w:style w:type="paragraph" w:styleId="26">
    <w:name w:val="Body Text First Indent 2"/>
    <w:basedOn w:val="2"/>
    <w:next w:val="12"/>
    <w:link w:val="56"/>
    <w:qFormat/>
    <w:uiPriority w:val="99"/>
    <w:pPr>
      <w:spacing w:after="120" w:line="240" w:lineRule="auto"/>
      <w:ind w:left="420" w:leftChars="200" w:firstLine="420"/>
    </w:pPr>
    <w:rPr>
      <w:rFonts w:ascii="Calibri" w:hAnsi="Calibri"/>
      <w:sz w:val="21"/>
    </w:rPr>
  </w:style>
  <w:style w:type="table" w:styleId="28">
    <w:name w:val="Table Grid"/>
    <w:basedOn w:val="2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rFonts w:cs="Times New Roman"/>
      <w:b/>
      <w:bCs/>
    </w:rPr>
  </w:style>
  <w:style w:type="character" w:styleId="31">
    <w:name w:val="page number"/>
    <w:basedOn w:val="29"/>
    <w:qFormat/>
    <w:uiPriority w:val="0"/>
  </w:style>
  <w:style w:type="character" w:styleId="32">
    <w:name w:val="Hyperlink"/>
    <w:basedOn w:val="29"/>
    <w:qFormat/>
    <w:uiPriority w:val="99"/>
    <w:rPr>
      <w:color w:val="0000FF"/>
      <w:u w:val="single"/>
    </w:rPr>
  </w:style>
  <w:style w:type="character" w:styleId="33">
    <w:name w:val="annotation reference"/>
    <w:basedOn w:val="29"/>
    <w:qFormat/>
    <w:uiPriority w:val="0"/>
    <w:rPr>
      <w:sz w:val="21"/>
      <w:szCs w:val="21"/>
    </w:rPr>
  </w:style>
  <w:style w:type="paragraph" w:customStyle="1" w:styleId="3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6">
    <w:name w:val="表格文字"/>
    <w:basedOn w:val="14"/>
    <w:next w:val="12"/>
    <w:qFormat/>
    <w:uiPriority w:val="0"/>
    <w:pPr>
      <w:ind w:firstLine="200" w:firstLineChars="200"/>
    </w:pPr>
    <w:rPr>
      <w:rFonts w:ascii="Arial" w:hAnsi="Arial" w:cs="Times New Roman"/>
      <w:spacing w:val="-5"/>
      <w:kern w:val="0"/>
      <w:sz w:val="24"/>
      <w:szCs w:val="20"/>
    </w:rPr>
  </w:style>
  <w:style w:type="character" w:customStyle="1" w:styleId="37">
    <w:name w:val="正文文本 Char"/>
    <w:basedOn w:val="29"/>
    <w:link w:val="12"/>
    <w:qFormat/>
    <w:uiPriority w:val="99"/>
  </w:style>
  <w:style w:type="character" w:customStyle="1" w:styleId="38">
    <w:name w:val="正文首行缩进 Char"/>
    <w:basedOn w:val="37"/>
    <w:link w:val="25"/>
    <w:qFormat/>
    <w:uiPriority w:val="0"/>
    <w:rPr>
      <w:rFonts w:ascii="Times New Roman" w:cs="Times New Roman"/>
      <w:kern w:val="0"/>
      <w:sz w:val="24"/>
      <w:szCs w:val="24"/>
      <w:lang w:eastAsia="en-US" w:bidi="en-US"/>
    </w:rPr>
  </w:style>
  <w:style w:type="character" w:customStyle="1" w:styleId="39">
    <w:name w:val="标题 1 Char"/>
    <w:basedOn w:val="29"/>
    <w:link w:val="3"/>
    <w:qFormat/>
    <w:uiPriority w:val="9"/>
    <w:rPr>
      <w:b/>
      <w:bCs/>
      <w:kern w:val="44"/>
      <w:sz w:val="44"/>
      <w:szCs w:val="44"/>
    </w:rPr>
  </w:style>
  <w:style w:type="character" w:customStyle="1" w:styleId="40">
    <w:name w:val="标题 2 Char"/>
    <w:basedOn w:val="29"/>
    <w:link w:val="4"/>
    <w:qFormat/>
    <w:uiPriority w:val="99"/>
    <w:rPr>
      <w:rFonts w:ascii="Arial" w:hAnsi="Arial" w:eastAsia="宋体" w:cs="Times New Roman"/>
      <w:b/>
      <w:sz w:val="32"/>
      <w:szCs w:val="28"/>
    </w:rPr>
  </w:style>
  <w:style w:type="character" w:customStyle="1" w:styleId="41">
    <w:name w:val="标题 3 Char"/>
    <w:basedOn w:val="29"/>
    <w:link w:val="5"/>
    <w:qFormat/>
    <w:uiPriority w:val="9"/>
    <w:rPr>
      <w:b/>
      <w:bCs/>
      <w:sz w:val="32"/>
      <w:szCs w:val="32"/>
    </w:rPr>
  </w:style>
  <w:style w:type="character" w:customStyle="1" w:styleId="42">
    <w:name w:val="标题 4 Char"/>
    <w:basedOn w:val="29"/>
    <w:link w:val="6"/>
    <w:qFormat/>
    <w:uiPriority w:val="9"/>
    <w:rPr>
      <w:rFonts w:ascii="Cambria" w:hAnsi="Cambria" w:eastAsia="宋体" w:cs="宋体"/>
      <w:b/>
      <w:bCs/>
      <w:sz w:val="28"/>
      <w:szCs w:val="28"/>
    </w:rPr>
  </w:style>
  <w:style w:type="character" w:customStyle="1" w:styleId="43">
    <w:name w:val="正文缩进 Char"/>
    <w:link w:val="8"/>
    <w:qFormat/>
    <w:uiPriority w:val="0"/>
    <w:rPr>
      <w:rFonts w:eastAsia="宋体"/>
    </w:rPr>
  </w:style>
  <w:style w:type="character" w:customStyle="1" w:styleId="44">
    <w:name w:val="文档结构图 Char"/>
    <w:basedOn w:val="29"/>
    <w:link w:val="10"/>
    <w:qFormat/>
    <w:uiPriority w:val="99"/>
    <w:rPr>
      <w:rFonts w:ascii="宋体" w:eastAsia="宋体"/>
      <w:sz w:val="18"/>
      <w:szCs w:val="18"/>
    </w:rPr>
  </w:style>
  <w:style w:type="character" w:customStyle="1" w:styleId="45">
    <w:name w:val="批注文字 Char1"/>
    <w:basedOn w:val="29"/>
    <w:link w:val="11"/>
    <w:qFormat/>
    <w:uiPriority w:val="0"/>
  </w:style>
  <w:style w:type="character" w:customStyle="1" w:styleId="46">
    <w:name w:val="正文文本缩进 Char"/>
    <w:basedOn w:val="29"/>
    <w:link w:val="2"/>
    <w:qFormat/>
    <w:uiPriority w:val="0"/>
    <w:rPr>
      <w:rFonts w:ascii="宋体" w:hAnsi="宋体"/>
      <w:sz w:val="24"/>
    </w:rPr>
  </w:style>
  <w:style w:type="character" w:customStyle="1" w:styleId="47">
    <w:name w:val="纯文本 Char"/>
    <w:basedOn w:val="29"/>
    <w:link w:val="14"/>
    <w:qFormat/>
    <w:uiPriority w:val="0"/>
    <w:rPr>
      <w:rFonts w:ascii="仿宋_GB2312" w:hAnsi="Courier New" w:eastAsia="仿宋_GB2312" w:cs="宋体"/>
      <w:kern w:val="2"/>
      <w:sz w:val="24"/>
      <w:szCs w:val="24"/>
    </w:rPr>
  </w:style>
  <w:style w:type="character" w:customStyle="1" w:styleId="48">
    <w:name w:val="日期 Char1"/>
    <w:basedOn w:val="29"/>
    <w:link w:val="15"/>
    <w:qFormat/>
    <w:uiPriority w:val="99"/>
  </w:style>
  <w:style w:type="character" w:customStyle="1" w:styleId="49">
    <w:name w:val="正文文本缩进 2 Char"/>
    <w:basedOn w:val="29"/>
    <w:link w:val="16"/>
    <w:qFormat/>
    <w:uiPriority w:val="99"/>
    <w:rPr>
      <w:kern w:val="2"/>
      <w:sz w:val="21"/>
      <w:szCs w:val="22"/>
    </w:rPr>
  </w:style>
  <w:style w:type="character" w:customStyle="1" w:styleId="50">
    <w:name w:val="批注框文本 Char"/>
    <w:basedOn w:val="29"/>
    <w:link w:val="17"/>
    <w:qFormat/>
    <w:uiPriority w:val="99"/>
    <w:rPr>
      <w:sz w:val="18"/>
      <w:szCs w:val="18"/>
    </w:rPr>
  </w:style>
  <w:style w:type="character" w:customStyle="1" w:styleId="51">
    <w:name w:val="页脚 Char"/>
    <w:basedOn w:val="29"/>
    <w:link w:val="18"/>
    <w:qFormat/>
    <w:uiPriority w:val="0"/>
    <w:rPr>
      <w:sz w:val="18"/>
      <w:szCs w:val="18"/>
    </w:rPr>
  </w:style>
  <w:style w:type="character" w:customStyle="1" w:styleId="52">
    <w:name w:val="页眉 Char"/>
    <w:basedOn w:val="29"/>
    <w:link w:val="19"/>
    <w:qFormat/>
    <w:uiPriority w:val="99"/>
    <w:rPr>
      <w:sz w:val="18"/>
      <w:szCs w:val="18"/>
    </w:rPr>
  </w:style>
  <w:style w:type="character" w:customStyle="1" w:styleId="53">
    <w:name w:val="副标题 Char"/>
    <w:basedOn w:val="29"/>
    <w:link w:val="20"/>
    <w:qFormat/>
    <w:uiPriority w:val="11"/>
    <w:rPr>
      <w:rFonts w:ascii="Arial" w:hAnsi="Arial" w:eastAsia="隶书"/>
      <w:b/>
      <w:bCs/>
      <w:kern w:val="28"/>
      <w:sz w:val="44"/>
      <w:szCs w:val="32"/>
    </w:rPr>
  </w:style>
  <w:style w:type="character" w:customStyle="1" w:styleId="54">
    <w:name w:val="标题 Char"/>
    <w:basedOn w:val="29"/>
    <w:link w:val="23"/>
    <w:qFormat/>
    <w:uiPriority w:val="0"/>
    <w:rPr>
      <w:rFonts w:ascii="Cambria" w:hAnsi="Cambria" w:eastAsia="宋体" w:cs="宋体"/>
      <w:b/>
      <w:bCs/>
      <w:kern w:val="28"/>
      <w:sz w:val="32"/>
      <w:szCs w:val="32"/>
      <w:lang w:eastAsia="en-US" w:bidi="en-US"/>
    </w:rPr>
  </w:style>
  <w:style w:type="character" w:customStyle="1" w:styleId="55">
    <w:name w:val="批注主题 Char1"/>
    <w:basedOn w:val="45"/>
    <w:link w:val="24"/>
    <w:qFormat/>
    <w:uiPriority w:val="99"/>
    <w:rPr>
      <w:b/>
      <w:bCs/>
    </w:rPr>
  </w:style>
  <w:style w:type="character" w:customStyle="1" w:styleId="56">
    <w:name w:val="正文首行缩进 2 Char"/>
    <w:basedOn w:val="46"/>
    <w:link w:val="26"/>
    <w:qFormat/>
    <w:uiPriority w:val="99"/>
    <w:rPr>
      <w:rFonts w:ascii="宋体" w:hAnsi="宋体"/>
      <w:sz w:val="24"/>
    </w:rPr>
  </w:style>
  <w:style w:type="character" w:customStyle="1" w:styleId="57">
    <w:name w:val="批注文字 Char"/>
    <w:basedOn w:val="29"/>
    <w:qFormat/>
    <w:uiPriority w:val="0"/>
  </w:style>
  <w:style w:type="character" w:customStyle="1" w:styleId="58">
    <w:name w:val="日期 Char"/>
    <w:basedOn w:val="29"/>
    <w:qFormat/>
    <w:uiPriority w:val="99"/>
  </w:style>
  <w:style w:type="character" w:customStyle="1" w:styleId="59">
    <w:name w:val="批注主题 Char"/>
    <w:basedOn w:val="57"/>
    <w:qFormat/>
    <w:uiPriority w:val="99"/>
    <w:rPr>
      <w:b/>
      <w:bCs/>
    </w:rPr>
  </w:style>
  <w:style w:type="paragraph" w:customStyle="1" w:styleId="60">
    <w:name w:val="[Normal]"/>
    <w:qFormat/>
    <w:uiPriority w:val="0"/>
    <w:rPr>
      <w:rFonts w:ascii="宋体" w:hAnsi="宋体" w:eastAsia="宋体" w:cs="Times New Roman"/>
      <w:sz w:val="24"/>
      <w:szCs w:val="22"/>
      <w:lang w:val="zh-CN" w:eastAsia="zh-CN" w:bidi="ar-SA"/>
    </w:rPr>
  </w:style>
  <w:style w:type="paragraph" w:customStyle="1" w:styleId="61">
    <w:name w:val="列出段落1"/>
    <w:basedOn w:val="1"/>
    <w:qFormat/>
    <w:uiPriority w:val="34"/>
    <w:pPr>
      <w:ind w:firstLine="420" w:firstLineChars="200"/>
    </w:pPr>
  </w:style>
  <w:style w:type="paragraph" w:customStyle="1" w:styleId="62">
    <w:name w:val="Fließtext"/>
    <w:basedOn w:val="1"/>
    <w:qFormat/>
    <w:uiPriority w:val="0"/>
    <w:pPr>
      <w:overflowPunct w:val="0"/>
      <w:autoSpaceDE w:val="0"/>
      <w:autoSpaceDN w:val="0"/>
      <w:adjustRightInd w:val="0"/>
      <w:textAlignment w:val="baseline"/>
    </w:pPr>
    <w:rPr>
      <w:rFonts w:ascii="Times New Roman" w:hAnsi="Times New Roman" w:cs="Times New Roman"/>
      <w:kern w:val="28"/>
      <w:szCs w:val="20"/>
    </w:rPr>
  </w:style>
  <w:style w:type="paragraph" w:customStyle="1" w:styleId="63">
    <w:name w:val="正文缩进1"/>
    <w:basedOn w:val="1"/>
    <w:qFormat/>
    <w:uiPriority w:val="0"/>
    <w:pPr>
      <w:widowControl/>
      <w:autoSpaceDE w:val="0"/>
      <w:autoSpaceDN w:val="0"/>
      <w:adjustRightInd w:val="0"/>
      <w:ind w:firstLine="420"/>
      <w:jc w:val="left"/>
    </w:pPr>
    <w:rPr>
      <w:rFonts w:ascii="宋体" w:hAnsi="Times New Roman" w:cs="Times New Roman"/>
      <w:kern w:val="0"/>
      <w:sz w:val="24"/>
      <w:szCs w:val="20"/>
      <w:lang w:eastAsia="en-US" w:bidi="en-US"/>
    </w:rPr>
  </w:style>
  <w:style w:type="paragraph" w:customStyle="1" w:styleId="64">
    <w:name w:val="索引 11"/>
    <w:basedOn w:val="1"/>
    <w:next w:val="1"/>
    <w:qFormat/>
    <w:uiPriority w:val="99"/>
    <w:pPr>
      <w:widowControl/>
      <w:spacing w:line="360" w:lineRule="auto"/>
      <w:jc w:val="left"/>
    </w:pPr>
    <w:rPr>
      <w:rFonts w:ascii="仿宋_GB2312" w:hAnsi="Times New Roman" w:eastAsia="仿宋_GB2312" w:cs="Times New Roman"/>
      <w:kern w:val="0"/>
      <w:sz w:val="24"/>
      <w:szCs w:val="20"/>
      <w:lang w:eastAsia="en-US" w:bidi="en-US"/>
    </w:rPr>
  </w:style>
  <w:style w:type="paragraph" w:customStyle="1" w:styleId="65">
    <w:name w:val="Other|1"/>
    <w:basedOn w:val="1"/>
    <w:qFormat/>
    <w:uiPriority w:val="0"/>
    <w:pPr>
      <w:spacing w:line="408" w:lineRule="auto"/>
      <w:ind w:firstLine="400"/>
    </w:pPr>
    <w:rPr>
      <w:rFonts w:ascii="宋体" w:hAnsi="宋体"/>
      <w:sz w:val="28"/>
      <w:szCs w:val="28"/>
      <w:lang w:val="zh-TW" w:eastAsia="zh-TW" w:bidi="zh-TW"/>
    </w:rPr>
  </w:style>
  <w:style w:type="character" w:customStyle="1" w:styleId="66">
    <w:name w:val="正文缩进 Char2"/>
    <w:qFormat/>
    <w:uiPriority w:val="0"/>
    <w:rPr>
      <w:rFonts w:ascii="宋体" w:eastAsia="宋体"/>
      <w:snapToGrid w:val="0"/>
      <w:color w:val="000000"/>
      <w:kern w:val="28"/>
      <w:sz w:val="28"/>
      <w:lang w:val="en-US" w:eastAsia="zh-CN" w:bidi="ar-SA"/>
    </w:rPr>
  </w:style>
  <w:style w:type="character" w:customStyle="1" w:styleId="67">
    <w:name w:val="纯文本 Char1"/>
    <w:link w:val="68"/>
    <w:qFormat/>
    <w:uiPriority w:val="0"/>
    <w:rPr>
      <w:rFonts w:ascii="宋体" w:hAnsi="Courier New"/>
    </w:rPr>
  </w:style>
  <w:style w:type="paragraph" w:customStyle="1" w:styleId="68">
    <w:name w:val="纯文本1"/>
    <w:basedOn w:val="1"/>
    <w:link w:val="67"/>
    <w:qFormat/>
    <w:uiPriority w:val="0"/>
    <w:rPr>
      <w:rFonts w:ascii="宋体" w:hAnsi="Courier New"/>
    </w:rPr>
  </w:style>
  <w:style w:type="paragraph" w:customStyle="1" w:styleId="69">
    <w:name w:val="text-tag"/>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70">
    <w:name w:val="部分1"/>
    <w:basedOn w:val="1"/>
    <w:qFormat/>
    <w:uiPriority w:val="0"/>
    <w:pPr>
      <w:keepNext/>
      <w:pageBreakBefore/>
      <w:tabs>
        <w:tab w:val="left" w:pos="720"/>
      </w:tabs>
      <w:adjustRightInd w:val="0"/>
      <w:spacing w:line="360" w:lineRule="auto"/>
      <w:jc w:val="center"/>
      <w:outlineLvl w:val="0"/>
    </w:pPr>
    <w:rPr>
      <w:rFonts w:ascii="Times New Roman" w:hAnsi="Times New Roman" w:eastAsia="黑体" w:cs="Times New Roman"/>
      <w:b/>
      <w:kern w:val="44"/>
      <w:sz w:val="36"/>
      <w:szCs w:val="20"/>
    </w:rPr>
  </w:style>
  <w:style w:type="paragraph" w:customStyle="1" w:styleId="71">
    <w:name w:val="首行缩进"/>
    <w:basedOn w:val="1"/>
    <w:next w:val="1"/>
    <w:qFormat/>
    <w:uiPriority w:val="0"/>
    <w:pPr>
      <w:spacing w:line="360" w:lineRule="auto"/>
      <w:ind w:firstLine="480" w:firstLineChars="200"/>
    </w:pPr>
    <w:rPr>
      <w:rFonts w:ascii="宋体"/>
      <w:sz w:val="24"/>
      <w:szCs w:val="20"/>
    </w:rPr>
  </w:style>
  <w:style w:type="paragraph" w:customStyle="1" w:styleId="72">
    <w:name w:val="表格"/>
    <w:basedOn w:val="1"/>
    <w:qFormat/>
    <w:uiPriority w:val="0"/>
    <w:rPr>
      <w:rFonts w:ascii="Times New Roman" w:hAnsi="Times New Roman" w:cs="Times New Roman"/>
    </w:rPr>
  </w:style>
  <w:style w:type="paragraph" w:customStyle="1" w:styleId="73">
    <w:name w:val="List Paragraph1"/>
    <w:basedOn w:val="1"/>
    <w:qFormat/>
    <w:uiPriority w:val="99"/>
    <w:pPr>
      <w:ind w:firstLine="420" w:firstLineChars="200"/>
    </w:pPr>
    <w:rPr>
      <w:rFonts w:ascii="等线" w:hAnsi="等线" w:eastAsia="等线"/>
      <w:szCs w:val="24"/>
    </w:rPr>
  </w:style>
  <w:style w:type="paragraph" w:customStyle="1" w:styleId="74">
    <w:name w:val="纯文本111"/>
    <w:basedOn w:val="1"/>
    <w:qFormat/>
    <w:uiPriority w:val="0"/>
    <w:pPr>
      <w:adjustRightInd w:val="0"/>
    </w:pPr>
    <w:rPr>
      <w:rFonts w:hint="eastAsia" w:ascii="宋体" w:hAnsi="Courier New" w:eastAsia="楷体_GB2312" w:cs="Times New Roman"/>
      <w:sz w:val="28"/>
      <w:szCs w:val="20"/>
    </w:rPr>
  </w:style>
  <w:style w:type="paragraph" w:customStyle="1" w:styleId="75">
    <w:name w:val="文档正文"/>
    <w:basedOn w:val="1"/>
    <w:qFormat/>
    <w:uiPriority w:val="0"/>
    <w:rPr>
      <w:rFonts w:ascii="宋体" w:cs="Arial"/>
      <w:bCs/>
      <w:szCs w:val="21"/>
    </w:rPr>
  </w:style>
  <w:style w:type="paragraph" w:customStyle="1" w:styleId="76">
    <w:name w:val="列出段落2"/>
    <w:basedOn w:val="1"/>
    <w:qFormat/>
    <w:uiPriority w:val="34"/>
    <w:pPr>
      <w:ind w:firstLine="420" w:firstLineChars="200"/>
    </w:pPr>
    <w:rPr>
      <w:rFonts w:ascii="Times New Roman" w:hAnsi="Times New Roman" w:cs="Times New Roman"/>
      <w:szCs w:val="20"/>
    </w:rPr>
  </w:style>
  <w:style w:type="character" w:customStyle="1" w:styleId="77">
    <w:name w:val="正文2 Char Char"/>
    <w:link w:val="78"/>
    <w:qFormat/>
    <w:uiPriority w:val="0"/>
    <w:rPr>
      <w:rFonts w:ascii="仿宋_GB2312" w:hAnsi="宋体" w:eastAsia="仿宋_GB2312"/>
      <w:color w:val="000000"/>
      <w:sz w:val="24"/>
      <w:szCs w:val="24"/>
    </w:rPr>
  </w:style>
  <w:style w:type="paragraph" w:customStyle="1" w:styleId="78">
    <w:name w:val="正文2"/>
    <w:basedOn w:val="1"/>
    <w:link w:val="77"/>
    <w:qFormat/>
    <w:uiPriority w:val="0"/>
    <w:pPr>
      <w:adjustRightInd w:val="0"/>
      <w:snapToGrid w:val="0"/>
      <w:spacing w:line="440" w:lineRule="exact"/>
      <w:ind w:firstLine="480" w:firstLineChars="200"/>
    </w:pPr>
    <w:rPr>
      <w:rFonts w:ascii="仿宋_GB2312" w:hAnsi="宋体" w:eastAsia="仿宋_GB2312" w:cs="Times New Roman"/>
      <w:color w:val="000000"/>
      <w:kern w:val="0"/>
      <w:sz w:val="24"/>
      <w:szCs w:val="24"/>
    </w:rPr>
  </w:style>
  <w:style w:type="paragraph" w:customStyle="1" w:styleId="79">
    <w:name w:val="正文1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0">
    <w:name w:val="纯文本 Char3"/>
    <w:qFormat/>
    <w:uiPriority w:val="99"/>
    <w:rPr>
      <w:rFonts w:ascii="宋体" w:hAnsi="Courier New" w:eastAsia="黑体" w:cs="Times New Roman"/>
      <w:snapToGrid w:val="0"/>
      <w:szCs w:val="21"/>
    </w:rPr>
  </w:style>
  <w:style w:type="paragraph" w:customStyle="1" w:styleId="81">
    <w:name w:val="标题 1（洛）"/>
    <w:basedOn w:val="3"/>
    <w:next w:val="1"/>
    <w:qFormat/>
    <w:uiPriority w:val="0"/>
    <w:pPr>
      <w:pageBreakBefore/>
      <w:numPr>
        <w:ilvl w:val="0"/>
        <w:numId w:val="1"/>
      </w:numPr>
      <w:spacing w:before="600" w:line="360" w:lineRule="auto"/>
      <w:jc w:val="left"/>
    </w:pPr>
    <w:rPr>
      <w:rFonts w:ascii="Arial" w:hAnsi="Arial" w:eastAsia="汉仪大黑简" w:cs="Times New Roman"/>
      <w:color w:val="000000"/>
      <w:sz w:val="36"/>
    </w:rPr>
  </w:style>
  <w:style w:type="paragraph" w:customStyle="1" w:styleId="82">
    <w:name w:val="标题 2（洛）"/>
    <w:basedOn w:val="4"/>
    <w:next w:val="1"/>
    <w:qFormat/>
    <w:uiPriority w:val="0"/>
    <w:pPr>
      <w:numPr>
        <w:ilvl w:val="1"/>
        <w:numId w:val="1"/>
      </w:numPr>
      <w:spacing w:line="413" w:lineRule="auto"/>
      <w:ind w:left="1004" w:leftChars="100" w:right="210" w:rightChars="100"/>
      <w:jc w:val="left"/>
    </w:pPr>
    <w:rPr>
      <w:rFonts w:eastAsia="黑体"/>
      <w:szCs w:val="32"/>
    </w:rPr>
  </w:style>
  <w:style w:type="paragraph" w:customStyle="1" w:styleId="83">
    <w:name w:val="标题 3（洛）"/>
    <w:basedOn w:val="5"/>
    <w:next w:val="1"/>
    <w:link w:val="84"/>
    <w:qFormat/>
    <w:uiPriority w:val="0"/>
    <w:pPr>
      <w:numPr>
        <w:ilvl w:val="2"/>
        <w:numId w:val="1"/>
      </w:numPr>
      <w:tabs>
        <w:tab w:val="left" w:pos="960"/>
      </w:tabs>
      <w:spacing w:line="412" w:lineRule="auto"/>
      <w:jc w:val="left"/>
    </w:pPr>
    <w:rPr>
      <w:rFonts w:ascii="Arial" w:hAnsi="Arial" w:eastAsia="黑体" w:cs="Times New Roman"/>
      <w:bCs w:val="0"/>
      <w:kern w:val="0"/>
      <w:sz w:val="30"/>
      <w:szCs w:val="30"/>
    </w:rPr>
  </w:style>
  <w:style w:type="character" w:customStyle="1" w:styleId="84">
    <w:name w:val="标题 3（洛） Char"/>
    <w:link w:val="83"/>
    <w:qFormat/>
    <w:uiPriority w:val="0"/>
    <w:rPr>
      <w:rFonts w:ascii="Arial" w:hAnsi="Arial" w:eastAsia="黑体" w:cs="Times New Roman"/>
      <w:b/>
      <w:kern w:val="0"/>
      <w:sz w:val="30"/>
      <w:szCs w:val="30"/>
    </w:rPr>
  </w:style>
  <w:style w:type="paragraph" w:customStyle="1" w:styleId="85">
    <w:name w:val="标题 4（洛）"/>
    <w:basedOn w:val="6"/>
    <w:next w:val="1"/>
    <w:qFormat/>
    <w:uiPriority w:val="0"/>
    <w:pPr>
      <w:widowControl/>
      <w:numPr>
        <w:ilvl w:val="3"/>
        <w:numId w:val="1"/>
      </w:numPr>
      <w:spacing w:after="156" w:line="374" w:lineRule="auto"/>
      <w:jc w:val="left"/>
    </w:pPr>
    <w:rPr>
      <w:rFonts w:ascii="Arial" w:hAnsi="Arial" w:eastAsia="黑体" w:cs="Times New Roman"/>
      <w:bCs w:val="0"/>
      <w:kern w:val="0"/>
    </w:rPr>
  </w:style>
  <w:style w:type="paragraph" w:customStyle="1" w:styleId="86">
    <w:name w:val="标题 5（洛）"/>
    <w:basedOn w:val="1"/>
    <w:next w:val="1"/>
    <w:qFormat/>
    <w:uiPriority w:val="0"/>
    <w:pPr>
      <w:keepNext/>
      <w:keepLines/>
      <w:numPr>
        <w:ilvl w:val="4"/>
        <w:numId w:val="1"/>
      </w:numPr>
      <w:spacing w:before="280" w:after="156" w:line="376" w:lineRule="auto"/>
      <w:jc w:val="left"/>
      <w:outlineLvl w:val="4"/>
    </w:pPr>
    <w:rPr>
      <w:rFonts w:ascii="Arial" w:hAnsi="Arial" w:eastAsia="黑体" w:cs="Times New Roman"/>
      <w:b/>
      <w:kern w:val="0"/>
      <w:sz w:val="24"/>
      <w:szCs w:val="28"/>
    </w:rPr>
  </w:style>
  <w:style w:type="paragraph" w:customStyle="1" w:styleId="87">
    <w:name w:val="标题 6（洛）"/>
    <w:basedOn w:val="1"/>
    <w:next w:val="1"/>
    <w:qFormat/>
    <w:uiPriority w:val="0"/>
    <w:pPr>
      <w:keepNext/>
      <w:keepLines/>
      <w:numPr>
        <w:ilvl w:val="5"/>
        <w:numId w:val="1"/>
      </w:numPr>
      <w:spacing w:before="240" w:after="64" w:line="316" w:lineRule="auto"/>
      <w:jc w:val="left"/>
      <w:outlineLvl w:val="5"/>
    </w:pPr>
    <w:rPr>
      <w:rFonts w:ascii="Arial" w:hAnsi="Arial" w:eastAsia="黑体" w:cs="Times New Roman"/>
      <w:b/>
      <w:kern w:val="0"/>
      <w:szCs w:val="24"/>
    </w:rPr>
  </w:style>
  <w:style w:type="paragraph" w:customStyle="1" w:styleId="88">
    <w:name w:val="图表（洛）"/>
    <w:basedOn w:val="1"/>
    <w:link w:val="89"/>
    <w:qFormat/>
    <w:uiPriority w:val="0"/>
    <w:pPr>
      <w:jc w:val="left"/>
    </w:pPr>
    <w:rPr>
      <w:sz w:val="18"/>
      <w:szCs w:val="18"/>
    </w:rPr>
  </w:style>
  <w:style w:type="character" w:customStyle="1" w:styleId="89">
    <w:name w:val="图表（洛） Char"/>
    <w:basedOn w:val="29"/>
    <w:link w:val="88"/>
    <w:qFormat/>
    <w:uiPriority w:val="0"/>
    <w:rPr>
      <w:rFonts w:cs="宋体"/>
      <w:sz w:val="18"/>
      <w:szCs w:val="18"/>
    </w:rPr>
  </w:style>
  <w:style w:type="paragraph" w:customStyle="1" w:styleId="90">
    <w:name w:val="修订1"/>
    <w:qFormat/>
    <w:uiPriority w:val="99"/>
    <w:rPr>
      <w:rFonts w:ascii="Calibri" w:hAnsi="Calibri" w:eastAsia="宋体" w:cs="宋体"/>
      <w:kern w:val="2"/>
      <w:sz w:val="21"/>
      <w:szCs w:val="22"/>
      <w:lang w:val="en-US" w:eastAsia="zh-CN" w:bidi="ar-SA"/>
    </w:rPr>
  </w:style>
  <w:style w:type="paragraph" w:customStyle="1" w:styleId="91">
    <w:name w:val="Body text|1"/>
    <w:basedOn w:val="1"/>
    <w:qFormat/>
    <w:uiPriority w:val="0"/>
    <w:pPr>
      <w:spacing w:line="391" w:lineRule="auto"/>
      <w:ind w:firstLine="400"/>
    </w:pPr>
    <w:rPr>
      <w:rFonts w:ascii="宋体" w:hAnsi="宋体"/>
      <w:sz w:val="30"/>
      <w:szCs w:val="30"/>
      <w:lang w:val="zh-TW" w:eastAsia="zh-TW" w:bidi="zh-TW"/>
    </w:rPr>
  </w:style>
  <w:style w:type="paragraph" w:customStyle="1" w:styleId="92">
    <w:name w:val="正文ok"/>
    <w:qFormat/>
    <w:uiPriority w:val="0"/>
    <w:pPr>
      <w:spacing w:line="360" w:lineRule="auto"/>
      <w:ind w:firstLine="200" w:firstLineChars="200"/>
    </w:pPr>
    <w:rPr>
      <w:rFonts w:ascii="宋体" w:hAnsi="Times New Roman" w:eastAsia="宋体" w:cs="宋体"/>
      <w:sz w:val="24"/>
      <w:szCs w:val="24"/>
      <w:lang w:val="en-US" w:eastAsia="zh-CN" w:bidi="ar-SA"/>
    </w:rPr>
  </w:style>
  <w:style w:type="paragraph" w:customStyle="1" w:styleId="93">
    <w:name w:val="正文1"/>
    <w:basedOn w:val="1"/>
    <w:next w:val="1"/>
    <w:qFormat/>
    <w:uiPriority w:val="0"/>
    <w:pPr>
      <w:spacing w:before="156"/>
      <w:ind w:firstLine="510" w:firstLineChars="200"/>
    </w:pPr>
    <w:rPr>
      <w:rFonts w:ascii="Times New Roman" w:hAnsi="Times New Roman" w:cs="Times New Roman"/>
      <w:szCs w:val="24"/>
    </w:rPr>
  </w:style>
  <w:style w:type="paragraph" w:customStyle="1" w:styleId="94">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95">
    <w:name w:val="修订2"/>
    <w:unhideWhenUsed/>
    <w:qFormat/>
    <w:uiPriority w:val="99"/>
    <w:rPr>
      <w:rFonts w:ascii="Calibri" w:hAnsi="Calibri" w:eastAsia="宋体" w:cs="宋体"/>
      <w:kern w:val="2"/>
      <w:sz w:val="21"/>
      <w:szCs w:val="22"/>
      <w:lang w:val="en-US" w:eastAsia="zh-CN" w:bidi="ar-SA"/>
    </w:rPr>
  </w:style>
  <w:style w:type="paragraph" w:styleId="96">
    <w:name w:val="List Paragraph"/>
    <w:basedOn w:val="1"/>
    <w:unhideWhenUsed/>
    <w:qFormat/>
    <w:uiPriority w:val="34"/>
    <w:pPr>
      <w:ind w:firstLine="420" w:firstLineChars="200"/>
    </w:pPr>
    <w:rPr>
      <w:rFonts w:ascii="Calibri" w:hAnsi="Calibri" w:eastAsia="宋体" w:cs="Times New Roman"/>
      <w:szCs w:val="24"/>
    </w:rPr>
  </w:style>
  <w:style w:type="paragraph" w:customStyle="1" w:styleId="97">
    <w:name w:val="Table Text"/>
    <w:basedOn w:val="1"/>
    <w:qFormat/>
    <w:uiPriority w:val="0"/>
    <w:pPr>
      <w:widowControl/>
      <w:adjustRightInd w:val="0"/>
      <w:spacing w:before="60" w:after="60"/>
      <w:jc w:val="left"/>
    </w:pPr>
    <w:rPr>
      <w:rFonts w:ascii="Times New Roman" w:hAnsi="Times New Roman" w:eastAsia="宋体" w:cs="Times New Roman"/>
      <w:kern w:val="0"/>
      <w:sz w:val="24"/>
    </w:rPr>
  </w:style>
  <w:style w:type="table" w:customStyle="1" w:styleId="98">
    <w:name w:val="Table Normal"/>
    <w:semiHidden/>
    <w:unhideWhenUsed/>
    <w:qFormat/>
    <w:uiPriority w:val="0"/>
    <w:tblPr>
      <w:tblCellMar>
        <w:top w:w="0" w:type="dxa"/>
        <w:left w:w="0" w:type="dxa"/>
        <w:bottom w:w="0" w:type="dxa"/>
        <w:right w:w="0" w:type="dxa"/>
      </w:tblCellMar>
    </w:tblPr>
  </w:style>
  <w:style w:type="paragraph" w:customStyle="1" w:styleId="99">
    <w:name w:val="标1洛"/>
    <w:basedOn w:val="3"/>
    <w:next w:val="100"/>
    <w:qFormat/>
    <w:uiPriority w:val="0"/>
    <w:pPr>
      <w:pageBreakBefore/>
      <w:widowControl/>
      <w:numPr>
        <w:ilvl w:val="0"/>
        <w:numId w:val="2"/>
      </w:numPr>
      <w:spacing w:before="600" w:line="360" w:lineRule="auto"/>
      <w:jc w:val="left"/>
    </w:pPr>
    <w:rPr>
      <w:rFonts w:ascii="Arial" w:hAnsi="Arial" w:eastAsia="汉仪大黑简" w:cs="Times New Roman"/>
      <w:color w:val="000000" w:themeColor="text1"/>
      <w:sz w:val="36"/>
      <w14:textFill>
        <w14:solidFill>
          <w14:schemeClr w14:val="tx1"/>
        </w14:solidFill>
      </w14:textFill>
    </w:rPr>
  </w:style>
  <w:style w:type="paragraph" w:customStyle="1" w:styleId="100">
    <w:name w:val="正文（洛）"/>
    <w:basedOn w:val="1"/>
    <w:qFormat/>
    <w:uiPriority w:val="0"/>
    <w:pPr>
      <w:widowControl/>
      <w:spacing w:after="160" w:line="360" w:lineRule="auto"/>
      <w:ind w:firstLine="480" w:firstLineChars="200"/>
      <w:jc w:val="left"/>
    </w:pPr>
    <w:rPr>
      <w:rFonts w:ascii="Times New Roman" w:hAnsi="Times New Roman" w:eastAsia="仿宋" w:cs="Times New Roman"/>
      <w:color w:val="000000"/>
      <w:kern w:val="0"/>
      <w:sz w:val="24"/>
      <w:szCs w:val="24"/>
    </w:rPr>
  </w:style>
  <w:style w:type="character" w:customStyle="1" w:styleId="101">
    <w:name w:val="font21"/>
    <w:basedOn w:val="29"/>
    <w:qFormat/>
    <w:uiPriority w:val="0"/>
    <w:rPr>
      <w:rFonts w:hint="eastAsia" w:ascii="宋体" w:hAnsi="宋体" w:eastAsia="宋体" w:cs="宋体"/>
      <w:color w:val="FF0000"/>
      <w:sz w:val="22"/>
      <w:szCs w:val="22"/>
      <w:u w:val="none"/>
    </w:rPr>
  </w:style>
  <w:style w:type="paragraph" w:customStyle="1" w:styleId="102">
    <w:name w:val="正文_1_0"/>
    <w:basedOn w:val="103"/>
    <w:qFormat/>
    <w:uiPriority w:val="0"/>
  </w:style>
  <w:style w:type="paragraph" w:customStyle="1" w:styleId="103">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4">
    <w:name w:val="_Style 14"/>
    <w:basedOn w:val="1"/>
    <w:next w:val="96"/>
    <w:qFormat/>
    <w:uiPriority w:val="34"/>
    <w:pPr>
      <w:widowControl/>
      <w:ind w:firstLine="420" w:firstLineChars="200"/>
      <w:jc w:val="left"/>
    </w:pPr>
    <w:rPr>
      <w:rFonts w:ascii="宋体" w:hAnsi="宋体" w:eastAsia="宋体" w:cs="Times New Roman"/>
      <w:kern w:val="0"/>
      <w:sz w:val="24"/>
      <w:szCs w:val="24"/>
      <w:lang w:val="zh-CN"/>
    </w:rPr>
  </w:style>
  <w:style w:type="paragraph" w:styleId="10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06">
    <w:name w:val="正文空2字"/>
    <w:basedOn w:val="107"/>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107">
    <w:name w:val="左对齐正文"/>
    <w:qFormat/>
    <w:uiPriority w:val="99"/>
    <w:rPr>
      <w:rFonts w:ascii="Calibri" w:hAnsi="Calibri" w:eastAsia="仿宋_GB2312" w:cs="Calibri"/>
      <w:kern w:val="2"/>
      <w:sz w:val="32"/>
      <w:szCs w:val="32"/>
      <w:lang w:val="en-US" w:eastAsia="zh-CN" w:bidi="ar-SA"/>
    </w:rPr>
  </w:style>
  <w:style w:type="character" w:customStyle="1" w:styleId="108">
    <w:name w:val="font11"/>
    <w:basedOn w:val="29"/>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88</Pages>
  <Words>4005</Words>
  <Characters>4442</Characters>
  <Lines>445</Lines>
  <Paragraphs>125</Paragraphs>
  <TotalTime>30</TotalTime>
  <ScaleCrop>false</ScaleCrop>
  <LinksUpToDate>false</LinksUpToDate>
  <CharactersWithSpaces>4508</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2024-03-10T00:21:00Z</dcterms:created>
  <dc:creator>NTKO</dc:creator>
  <cp:lastModifiedBy>user</cp:lastModifiedBy>
  <cp:lastPrinted>2026-04-18T10:52:00Z</cp:lastPrinted>
  <dcterms:modified xsi:type="dcterms:W3CDTF">2026-07-10T10:15:26Z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324E2B236B1E405391A551BFDA7C780B</vt:lpwstr>
  </property>
  <property fmtid="{D5CDD505-2E9C-101B-9397-08002B2CF9AE}" pid="3" name="KSOProductBuildVer">
    <vt:lpwstr>2052-12.1.2.25882</vt:lpwstr>
  </property>
  <property fmtid="{D5CDD505-2E9C-101B-9397-08002B2CF9AE}" pid="4" name="KSOTemplateDocerSaveRecord">
    <vt:lpwstr>eyJoZGlkIjoiODIwY2ZmYzVlZjU0MmRjNTM2NjM4ZjRhZGVjMGY5M2EiLCJ1c2VySWQiOiI5MzA4MzY1OTQifQ==</vt:lpwstr>
  </property>
</Properties>
</file>