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441901-2026-04999</w:t>
      </w:r>
    </w:p>
    <w:p>
      <w:pPr>
        <w:pStyle w:val="null3"/>
        <w:jc w:val="center"/>
        <w:outlineLvl w:val="3"/>
      </w:pPr>
      <w:r>
        <w:rPr>
          <w:sz w:val="24"/>
          <w:b/>
        </w:rPr>
        <w:t>采购项目编号：</w:t>
      </w:r>
      <w:r>
        <w:rPr>
          <w:sz w:val="24"/>
          <w:b/>
        </w:rPr>
        <w:t>441901-2026-04999</w:t>
      </w:r>
    </w:p>
    <w:p>
      <w:pPr>
        <w:pStyle w:val="null3"/>
        <w:jc w:val="center"/>
        <w:outlineLvl w:val="3"/>
      </w:pPr>
      <w:r>
        <w:rPr>
          <w:sz w:val="24"/>
          <w:b/>
        </w:rPr>
        <w:t>项目名称：</w:t>
      </w:r>
      <w:r>
        <w:rPr>
          <w:sz w:val="24"/>
          <w:b/>
        </w:rPr>
        <w:t>东莞市水乡未来学校云终端设备采购项目</w:t>
      </w:r>
    </w:p>
    <w:p>
      <w:pPr>
        <w:pStyle w:val="null3"/>
        <w:jc w:val="center"/>
        <w:outlineLvl w:val="3"/>
      </w:pPr>
      <w:r>
        <w:rPr>
          <w:sz w:val="24"/>
          <w:b/>
        </w:rPr>
        <w:t>采购人：</w:t>
      </w:r>
      <w:r>
        <w:rPr>
          <w:sz w:val="24"/>
          <w:b/>
        </w:rPr>
        <w:t>东莞市水乡未来学校</w:t>
      </w:r>
    </w:p>
    <w:p>
      <w:pPr>
        <w:pStyle w:val="null3"/>
        <w:jc w:val="center"/>
        <w:outlineLvl w:val="3"/>
      </w:pPr>
      <w:r>
        <w:rPr>
          <w:sz w:val="24"/>
          <w:b/>
        </w:rPr>
        <w:t>采购代理机构：</w:t>
      </w:r>
      <w:r>
        <w:rPr>
          <w:sz w:val="24"/>
          <w:b/>
        </w:rPr>
        <w:t>广东易采项目管理有限公司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广东易采项目管理有限公司</w:t>
      </w:r>
      <w:r>
        <w:rPr/>
        <w:t>受</w:t>
      </w:r>
      <w:r>
        <w:rPr/>
        <w:t>东莞市水乡未来学校</w:t>
      </w:r>
      <w:r>
        <w:rPr/>
        <w:t>的委托，采用</w:t>
      </w:r>
      <w:r>
        <w:rPr/>
        <w:t>公开招标</w:t>
      </w:r>
      <w:r>
        <w:rPr/>
        <w:t>方式组织采购</w:t>
      </w:r>
      <w:r>
        <w:rPr/>
        <w:t>东莞市水乡未来学校云终端设备采购项目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东莞市水乡未来学校云终端设备采购项目</w:t>
      </w:r>
    </w:p>
    <w:p>
      <w:pPr>
        <w:pStyle w:val="null3"/>
        <w:ind w:firstLine="480"/>
      </w:pPr>
      <w:r>
        <w:rPr/>
        <w:t>采购计划编号：</w:t>
      </w:r>
      <w:r>
        <w:rPr/>
        <w:t>441901-2026-04999</w:t>
      </w:r>
    </w:p>
    <w:p>
      <w:pPr>
        <w:pStyle w:val="null3"/>
        <w:ind w:firstLine="480"/>
      </w:pPr>
      <w:r>
        <w:rPr/>
        <w:t>采购项目编号：</w:t>
      </w:r>
      <w:r>
        <w:rPr/>
        <w:t>441901-2026-04999</w:t>
      </w:r>
    </w:p>
    <w:p>
      <w:pPr>
        <w:pStyle w:val="null3"/>
        <w:ind w:firstLine="480"/>
      </w:pPr>
      <w:r>
        <w:rPr/>
        <w:t>采购方式：</w:t>
      </w:r>
      <w:r>
        <w:rPr/>
        <w:t>公开招标</w:t>
      </w:r>
    </w:p>
    <w:p>
      <w:pPr>
        <w:pStyle w:val="null3"/>
        <w:ind w:firstLine="480"/>
      </w:pPr>
      <w:r>
        <w:rPr/>
        <w:t>预算金额：</w:t>
      </w:r>
      <w:r>
        <w:rPr/>
        <w:t>1,999,345.20</w:t>
      </w:r>
      <w:r>
        <w:rPr/>
        <w:t>元</w:t>
      </w:r>
    </w:p>
    <w:p>
      <w:pPr>
        <w:pStyle w:val="null3"/>
        <w:outlineLvl w:val="3"/>
      </w:pPr>
      <w:r>
        <w:rPr>
          <w:sz w:val="24"/>
          <w:b/>
        </w:rPr>
        <w:t>2.项目内容及需求情况（采购项目技术规格、参数及要求）</w:t>
      </w:r>
    </w:p>
    <w:p>
      <w:pPr>
        <w:pStyle w:val="null3"/>
      </w:pPr>
      <w:r>
        <w:rPr/>
        <w:t>采购包1(东莞市水乡未来学校云终端设备采购项目):</w:t>
      </w:r>
    </w:p>
    <w:p>
      <w:pPr>
        <w:pStyle w:val="null3"/>
      </w:pPr>
      <w:r>
        <w:rPr/>
        <w:t>采购包预算金额：1,999,345.20元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其他计算机</w:t>
            </w:r>
          </w:p>
        </w:tc>
        <w:tc>
          <w:tcPr>
            <w:tcW w:type="dxa" w:w="2052"/>
          </w:tcPr>
          <w:p>
            <w:pPr>
              <w:pStyle w:val="null3"/>
            </w:pPr>
            <w:r>
              <w:rPr/>
              <w:t>云终端设备</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1,699,405.20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其他计算机</w:t>
            </w:r>
          </w:p>
        </w:tc>
        <w:tc>
          <w:tcPr>
            <w:tcW w:type="dxa" w:w="2052"/>
          </w:tcPr>
          <w:p>
            <w:pPr>
              <w:pStyle w:val="null3"/>
            </w:pPr>
            <w:r>
              <w:rPr/>
              <w:t>老师机备课用云终端</w:t>
            </w:r>
          </w:p>
        </w:tc>
        <w:tc>
          <w:tcPr>
            <w:tcW w:type="dxa" w:w="977"/>
          </w:tcPr>
          <w:p>
            <w:pPr>
              <w:pStyle w:val="null3"/>
            </w:pPr>
            <w:r>
              <w:rPr/>
              <w:t>60(套)</w:t>
            </w:r>
          </w:p>
        </w:tc>
        <w:tc>
          <w:tcPr>
            <w:tcW w:type="dxa" w:w="977"/>
          </w:tcPr>
          <w:p>
            <w:pPr>
              <w:pStyle w:val="null3"/>
            </w:pPr>
            <w:r>
              <w:rPr/>
              <w:t>详见第二章</w:t>
            </w:r>
          </w:p>
        </w:tc>
        <w:tc>
          <w:tcPr>
            <w:tcW w:type="dxa" w:w="977"/>
          </w:tcPr>
          <w:p>
            <w:pPr>
              <w:pStyle w:val="null3"/>
            </w:pPr>
            <w:r>
              <w:rPr/>
              <w:t>299,940.00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合同履行期限：接到采购人通知后30个自然日内完成供货、安装、调试及验收工作。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按照招标文件格式）。</w:t>
      </w:r>
    </w:p>
    <w:p>
      <w:pPr>
        <w:pStyle w:val="null3"/>
      </w:pPr>
      <w:r>
        <w:rPr/>
        <w:t>3）具有良好的商业信誉和健全的财务会计制度：供应商必须具有良好的商业信誉和健全的财务会计制度（提供上一年度财务状况报告或基本开户行出具的资信证明），或提供《资格条件承诺函》（按照招标文件格式）。</w:t>
      </w:r>
    </w:p>
    <w:p>
      <w:pPr>
        <w:pStyle w:val="null3"/>
      </w:pPr>
      <w:r>
        <w:rPr/>
        <w:t>4）履行合同所必需的设备和专业技术能力：按投标（响应）文件格式填报设备及专业技术能力情况，或提供《资格条件承诺函》（按照招标文件格式）。</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采购包1（东莞市水乡未来学校云终端设备采购项目）：</w:t>
      </w:r>
      <w:r>
        <w:rPr/>
        <w:t>本项目不专门面向中小企业采购。</w:t>
      </w:r>
    </w:p>
    <w:p>
      <w:pPr>
        <w:pStyle w:val="null3"/>
        <w:outlineLvl w:val="3"/>
      </w:pPr>
      <w:r>
        <w:rPr>
          <w:sz w:val="24"/>
          <w:b/>
        </w:rPr>
        <w:t>3.本项目特定的资格要求：</w:t>
      </w:r>
    </w:p>
    <w:p>
      <w:pPr>
        <w:pStyle w:val="null3"/>
      </w:pPr>
      <w:r>
        <w:rPr/>
        <w:t>采购包1（东莞市水乡未来学校云终端设备采购项目）：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广东易采项目管理有限公司网（http://www.easier-gd.com/）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东莞市水乡未来学校</w:t>
      </w:r>
    </w:p>
    <w:p>
      <w:pPr>
        <w:pStyle w:val="null3"/>
        <w:ind w:firstLine="480"/>
      </w:pPr>
      <w:r>
        <w:rPr/>
        <w:t xml:space="preserve"> 地址：</w:t>
      </w:r>
      <w:r>
        <w:rPr/>
        <w:t>广东省东莞市洪梅镇桥东路56号</w:t>
      </w:r>
    </w:p>
    <w:p>
      <w:pPr>
        <w:pStyle w:val="null3"/>
        <w:ind w:firstLine="480"/>
      </w:pPr>
      <w:r>
        <w:rPr/>
        <w:t xml:space="preserve"> 联系方式：</w:t>
      </w:r>
      <w:r>
        <w:rPr/>
        <w:t>0769-81336816</w:t>
      </w:r>
    </w:p>
    <w:p>
      <w:pPr>
        <w:pStyle w:val="null3"/>
        <w:outlineLvl w:val="3"/>
      </w:pPr>
      <w:r>
        <w:rPr>
          <w:sz w:val="24"/>
          <w:b/>
        </w:rPr>
        <w:t xml:space="preserve"> 2.采购代理机构信息</w:t>
      </w:r>
    </w:p>
    <w:p>
      <w:pPr>
        <w:pStyle w:val="null3"/>
        <w:ind w:firstLine="480"/>
      </w:pPr>
      <w:r>
        <w:rPr/>
        <w:t xml:space="preserve"> 名称：</w:t>
      </w:r>
      <w:r>
        <w:rPr/>
        <w:t>广东易采项目管理有限公司</w:t>
      </w:r>
    </w:p>
    <w:p>
      <w:pPr>
        <w:pStyle w:val="null3"/>
        <w:ind w:firstLine="480"/>
      </w:pPr>
      <w:r>
        <w:rPr/>
        <w:t xml:space="preserve"> 地址：</w:t>
      </w:r>
      <w:r>
        <w:rPr/>
        <w:t>广东省东莞市南城街道簪花路11号1单元901室</w:t>
      </w:r>
    </w:p>
    <w:p>
      <w:pPr>
        <w:pStyle w:val="null3"/>
        <w:ind w:firstLine="480"/>
      </w:pPr>
      <w:r>
        <w:rPr/>
        <w:t xml:space="preserve"> 联系方式：</w:t>
      </w:r>
      <w:r>
        <w:rPr/>
        <w:t>0769-22238188</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0769-22238188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广东易采项目管理有限公司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项目概况内容</w:t>
      </w:r>
    </w:p>
    <w:p>
      <w:pPr>
        <w:pStyle w:val="null3"/>
      </w:pPr>
      <w:r>
        <w:rPr/>
        <w:t>东莞水乡未来学校位于洪梅中学及周边地块，占地面积约162.7亩。学校西侧是洪梅大道和洪梅中心广场；北侧是桥东路；南侧是洪梅镇中心幼儿园和洪梅体育馆。东莞水乡未来学校总建筑面积约14.8万平方米。学校预计办学规模为72班，共3960人，其中初中24个班，共1200人；普通高中48个班，共2760人。</w:t>
      </w:r>
    </w:p>
    <w:p>
      <w:pPr>
        <w:pStyle w:val="null3"/>
      </w:pPr>
      <w:r>
        <w:rPr>
          <w:b/>
        </w:rPr>
        <w:t>二、</w:t>
      </w:r>
      <w:r>
        <w:rPr>
          <w:b/>
        </w:rPr>
        <w:t>采购清单</w:t>
      </w:r>
      <w:r>
        <w:rPr>
          <w:b/>
        </w:rPr>
        <w:t>及产品技术要求</w:t>
      </w:r>
    </w:p>
    <w:tbl>
      <w:tblPr>
        <w:tblW w:w="0" w:type="auto"/>
        <w:tblBorders>
          <w:top w:val="single"/>
          <w:left w:val="single"/>
          <w:bottom w:val="single"/>
          <w:right w:val="single"/>
          <w:insideH w:val="single"/>
          <w:insideV w:val="single"/>
        </w:tblBorders>
      </w:tblPr>
      <w:tblGrid>
        <w:gridCol w:w="678"/>
        <w:gridCol w:w="1017"/>
        <w:gridCol w:w="4744"/>
        <w:gridCol w:w="932"/>
        <w:gridCol w:w="932"/>
      </w:tblGrid>
      <w:tr>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222222"/>
              </w:rPr>
              <w:t>序号</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222222"/>
              </w:rPr>
              <w:t>产品名称</w:t>
            </w:r>
          </w:p>
        </w:tc>
        <w:tc>
          <w:tcPr>
            <w:tcW w:type="dxa" w:w="47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222222"/>
              </w:rPr>
              <w:t>技术参数要求</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222222"/>
              </w:rPr>
              <w:t>数量</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222222"/>
              </w:rPr>
              <w:t>单位</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r>
              <w:rPr>
                <w:sz w:val="20"/>
              </w:rPr>
              <w:t>老师机备课用云终端</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 xml:space="preserve">1. </w:t>
            </w:r>
            <w:r>
              <w:rPr>
                <w:sz w:val="20"/>
              </w:rPr>
              <w:t>整机采用一体化设计，实现显示屏幕与计算单元的一体化集成设计。</w:t>
            </w:r>
          </w:p>
          <w:p>
            <w:pPr>
              <w:pStyle w:val="null3"/>
              <w:jc w:val="both"/>
            </w:pPr>
            <w:r>
              <w:rPr>
                <w:sz w:val="20"/>
              </w:rPr>
              <w:t>2.Intel</w:t>
            </w:r>
            <w:r>
              <w:rPr>
                <w:sz w:val="20"/>
              </w:rPr>
              <w:t>十三代 Core i7处理器或以上，主频≥2.4GHz 、≥10核处理器16线程，三级缓存≥24MB。</w:t>
            </w:r>
          </w:p>
          <w:p>
            <w:pPr>
              <w:pStyle w:val="null3"/>
              <w:jc w:val="both"/>
            </w:pPr>
            <w:r>
              <w:rPr>
                <w:sz w:val="20"/>
              </w:rPr>
              <w:t>3.Intel</w:t>
            </w:r>
            <w:r>
              <w:rPr>
                <w:sz w:val="20"/>
              </w:rPr>
              <w:t>集成显卡， GPU处理单元数≥48个，最大主频≥1.2GHz。</w:t>
            </w:r>
          </w:p>
          <w:p>
            <w:pPr>
              <w:pStyle w:val="null3"/>
              <w:jc w:val="both"/>
            </w:pPr>
            <w:r>
              <w:rPr>
                <w:sz w:val="20"/>
              </w:rPr>
              <w:t>4.</w:t>
            </w:r>
            <w:r>
              <w:rPr>
                <w:sz w:val="20"/>
              </w:rPr>
              <w:t>内存：≥16GB So-DIMM DDR4 3200MT/s。</w:t>
            </w:r>
          </w:p>
          <w:p>
            <w:pPr>
              <w:pStyle w:val="null3"/>
            </w:pPr>
            <w:r>
              <w:rPr>
                <w:sz w:val="20"/>
              </w:rPr>
              <w:t>5.</w:t>
            </w:r>
            <w:r>
              <w:rPr>
                <w:sz w:val="20"/>
              </w:rPr>
              <w:t xml:space="preserve">存储：≥512GB M.2 SSD Nvme硬盘。                                   </w:t>
            </w:r>
          </w:p>
          <w:p>
            <w:pPr>
              <w:pStyle w:val="null3"/>
              <w:jc w:val="both"/>
            </w:pPr>
            <w:r>
              <w:rPr>
                <w:sz w:val="20"/>
              </w:rPr>
              <w:t>6.</w:t>
            </w:r>
            <w:r>
              <w:rPr>
                <w:sz w:val="20"/>
              </w:rPr>
              <w:t>侧面接口：USB 3.0≥1个；Type C≥1个；接口（USB、Type-C）支持关机充电。</w:t>
            </w:r>
          </w:p>
          <w:p>
            <w:pPr>
              <w:pStyle w:val="null3"/>
              <w:jc w:val="both"/>
            </w:pPr>
            <w:r>
              <w:rPr>
                <w:sz w:val="20"/>
              </w:rPr>
              <w:t>7.</w:t>
            </w:r>
            <w:r>
              <w:rPr>
                <w:sz w:val="20"/>
              </w:rPr>
              <w:t>后置接口：USB 3.0≥2个；USB 2.0≥3个。所有USB接口支持关机充电。</w:t>
            </w:r>
          </w:p>
          <w:p>
            <w:pPr>
              <w:pStyle w:val="null3"/>
              <w:jc w:val="both"/>
            </w:pPr>
            <w:r>
              <w:rPr>
                <w:sz w:val="20"/>
              </w:rPr>
              <w:t>8.</w:t>
            </w:r>
            <w:r>
              <w:rPr>
                <w:sz w:val="20"/>
              </w:rPr>
              <w:t>接口：3.5mm二合一音频接口≥1个，麦克风输入≥1个，音频输出≥1个。HDMI输出接口≥1，RJ45≥1。</w:t>
            </w:r>
          </w:p>
          <w:p>
            <w:pPr>
              <w:pStyle w:val="null3"/>
              <w:jc w:val="both"/>
            </w:pPr>
            <w:r>
              <w:rPr>
                <w:sz w:val="20"/>
              </w:rPr>
              <w:t>9.</w:t>
            </w:r>
            <w:r>
              <w:rPr>
                <w:sz w:val="20"/>
              </w:rPr>
              <w:t>▲机身机构具备网口锁，可通过配件工具解锁。机身具有凹槽设计，可定位耳机挂钩安装位置。(投标人需提供“老师机备课用云终端”检测依据SJ/T11292-2016的具有国家认证认可的第三方检测机构出具带有CMA标识检测合格的报告扫描件并加盖投标人公章）</w:t>
            </w:r>
          </w:p>
          <w:p>
            <w:pPr>
              <w:pStyle w:val="null3"/>
              <w:jc w:val="both"/>
            </w:pPr>
            <w:r>
              <w:rPr>
                <w:sz w:val="20"/>
              </w:rPr>
              <w:t>10.</w:t>
            </w:r>
            <w:r>
              <w:rPr>
                <w:sz w:val="20"/>
              </w:rPr>
              <w:t>≥23.8英寸IPS显示屏幕，屏幕分辨率≥1920*1080，屏幕亮度≥250cd/m2，屏幕比例16：9。</w:t>
            </w:r>
          </w:p>
          <w:p>
            <w:pPr>
              <w:pStyle w:val="null3"/>
              <w:jc w:val="both"/>
            </w:pPr>
            <w:r>
              <w:rPr>
                <w:sz w:val="20"/>
              </w:rPr>
              <w:t>11.</w:t>
            </w:r>
            <w:r>
              <w:rPr>
                <w:sz w:val="20"/>
              </w:rPr>
              <w:t>屏占比≥90%。</w:t>
            </w:r>
          </w:p>
          <w:p>
            <w:pPr>
              <w:pStyle w:val="null3"/>
              <w:jc w:val="both"/>
            </w:pPr>
            <w:r>
              <w:rPr>
                <w:sz w:val="20"/>
              </w:rPr>
              <w:t>12.</w:t>
            </w:r>
            <w:r>
              <w:rPr>
                <w:sz w:val="20"/>
              </w:rPr>
              <w:t>显示屏幕sRGB色域覆盖率≥99%。</w:t>
            </w:r>
          </w:p>
          <w:p>
            <w:pPr>
              <w:pStyle w:val="null3"/>
              <w:jc w:val="both"/>
            </w:pPr>
            <w:r>
              <w:rPr>
                <w:sz w:val="20"/>
              </w:rPr>
              <w:t>13.</w:t>
            </w:r>
            <w:r>
              <w:rPr>
                <w:sz w:val="20"/>
              </w:rPr>
              <w:t>屏幕背光采用无频闪的DC调光技术。</w:t>
            </w:r>
          </w:p>
          <w:p>
            <w:pPr>
              <w:pStyle w:val="null3"/>
              <w:jc w:val="both"/>
            </w:pPr>
            <w:r>
              <w:rPr>
                <w:sz w:val="20"/>
              </w:rPr>
              <w:t>14.</w:t>
            </w:r>
            <w:r>
              <w:rPr>
                <w:sz w:val="20"/>
              </w:rPr>
              <w:t>屏幕支持硬件低蓝光。</w:t>
            </w:r>
          </w:p>
          <w:p>
            <w:pPr>
              <w:pStyle w:val="null3"/>
              <w:jc w:val="both"/>
            </w:pPr>
            <w:r>
              <w:rPr>
                <w:sz w:val="20"/>
              </w:rPr>
              <w:t>15.</w:t>
            </w:r>
            <w:r>
              <w:rPr>
                <w:sz w:val="20"/>
              </w:rPr>
              <w:t>取得低噪声认证。</w:t>
            </w:r>
          </w:p>
          <w:p>
            <w:pPr>
              <w:pStyle w:val="null3"/>
              <w:jc w:val="both"/>
            </w:pPr>
            <w:r>
              <w:rPr>
                <w:sz w:val="20"/>
              </w:rPr>
              <w:t>16.</w:t>
            </w:r>
            <w:r>
              <w:rPr>
                <w:sz w:val="20"/>
              </w:rPr>
              <w:t>可通过应用软件关闭屏幕背光，使屏幕黑屏。电源指示灯为双色，屏幕管控时变换颜色，可通过应用软件控制，使电脑扬声器外放输出无声或扬声器外放和耳机音频输出同时无声，控制时调节扬声器音量条无法打开声音。</w:t>
            </w:r>
          </w:p>
          <w:p>
            <w:pPr>
              <w:pStyle w:val="null3"/>
              <w:jc w:val="both"/>
            </w:pPr>
            <w:r>
              <w:rPr>
                <w:sz w:val="20"/>
              </w:rPr>
              <w:t>17.</w:t>
            </w:r>
            <w:r>
              <w:rPr>
                <w:sz w:val="20"/>
              </w:rPr>
              <w:t>整机集成≥2*3W扬声器，双阵列麦克风。</w:t>
            </w:r>
          </w:p>
          <w:p>
            <w:pPr>
              <w:pStyle w:val="null3"/>
              <w:jc w:val="both"/>
            </w:pPr>
            <w:r>
              <w:rPr>
                <w:sz w:val="20"/>
              </w:rPr>
              <w:t>18.</w:t>
            </w:r>
            <w:r>
              <w:rPr>
                <w:sz w:val="20"/>
              </w:rPr>
              <w:t>整机摄像头分辨率≥1920X1080。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60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老师机云终端</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 xml:space="preserve">1. </w:t>
            </w:r>
            <w:r>
              <w:rPr>
                <w:sz w:val="20"/>
              </w:rPr>
              <w:t>整机采用一体化设计，实现显示屏幕与计算单元的一体化集成设计。</w:t>
            </w:r>
          </w:p>
          <w:p>
            <w:pPr>
              <w:pStyle w:val="null3"/>
              <w:jc w:val="both"/>
            </w:pPr>
            <w:r>
              <w:rPr>
                <w:sz w:val="20"/>
              </w:rPr>
              <w:t>2.Intel</w:t>
            </w:r>
            <w:r>
              <w:rPr>
                <w:sz w:val="20"/>
              </w:rPr>
              <w:t>十三代 Core i5处理器或以上，主频≥2.1GHz 、≥8核处理器12线程，三级缓存≥12MB。</w:t>
            </w:r>
          </w:p>
          <w:p>
            <w:pPr>
              <w:pStyle w:val="null3"/>
              <w:jc w:val="both"/>
            </w:pPr>
            <w:r>
              <w:rPr>
                <w:sz w:val="20"/>
              </w:rPr>
              <w:t>3.Intel</w:t>
            </w:r>
            <w:r>
              <w:rPr>
                <w:sz w:val="20"/>
              </w:rPr>
              <w:t>集成显卡， GPU处理单元数≥48个，最大主频≥1.2GHz。</w:t>
            </w:r>
          </w:p>
          <w:p>
            <w:pPr>
              <w:pStyle w:val="null3"/>
              <w:jc w:val="both"/>
            </w:pPr>
            <w:r>
              <w:rPr>
                <w:sz w:val="20"/>
              </w:rPr>
              <w:t>4.</w:t>
            </w:r>
            <w:r>
              <w:rPr>
                <w:sz w:val="20"/>
              </w:rPr>
              <w:t>内存：≥16GB So-DIMM DDR4 3200MT/s。</w:t>
            </w:r>
          </w:p>
          <w:p>
            <w:pPr>
              <w:pStyle w:val="null3"/>
              <w:jc w:val="both"/>
            </w:pPr>
            <w:r>
              <w:rPr>
                <w:sz w:val="20"/>
              </w:rPr>
              <w:t>5.</w:t>
            </w:r>
            <w:r>
              <w:rPr>
                <w:sz w:val="20"/>
              </w:rPr>
              <w:t>存储：≥512GB M.2 SSD Nvme硬盘。</w:t>
            </w:r>
          </w:p>
          <w:p>
            <w:pPr>
              <w:pStyle w:val="null3"/>
              <w:jc w:val="both"/>
            </w:pPr>
            <w:r>
              <w:rPr>
                <w:sz w:val="20"/>
              </w:rPr>
              <w:t>6.</w:t>
            </w:r>
            <w:r>
              <w:rPr>
                <w:sz w:val="20"/>
              </w:rPr>
              <w:t>侧面接口：USB 3.0≥1个；Type C≥1个；接口（USB、Type-C）支持关机充电。</w:t>
            </w:r>
          </w:p>
          <w:p>
            <w:pPr>
              <w:pStyle w:val="null3"/>
              <w:jc w:val="both"/>
            </w:pPr>
            <w:r>
              <w:rPr>
                <w:sz w:val="20"/>
              </w:rPr>
              <w:t>7.</w:t>
            </w:r>
            <w:r>
              <w:rPr>
                <w:sz w:val="20"/>
              </w:rPr>
              <w:t>后置接口：USB 3.0≥2个；USB 2.0≥3个。所有USB接口支持关机充电。</w:t>
            </w:r>
          </w:p>
          <w:p>
            <w:pPr>
              <w:pStyle w:val="null3"/>
              <w:jc w:val="both"/>
            </w:pPr>
            <w:r>
              <w:rPr>
                <w:sz w:val="20"/>
              </w:rPr>
              <w:t>8.</w:t>
            </w:r>
            <w:r>
              <w:rPr>
                <w:sz w:val="20"/>
              </w:rPr>
              <w:t>接口：3.5mm二合一音频接口≥1个，麦克风输入≥1个，音频输出≥1个。HDMI输出接口≥1，RJ45≥1。</w:t>
            </w:r>
          </w:p>
          <w:p>
            <w:pPr>
              <w:pStyle w:val="null3"/>
              <w:jc w:val="both"/>
            </w:pPr>
            <w:r>
              <w:rPr>
                <w:sz w:val="20"/>
              </w:rPr>
              <w:t>9.</w:t>
            </w:r>
            <w:r>
              <w:rPr>
                <w:sz w:val="20"/>
              </w:rPr>
              <w:t>▲机身机构具备网口锁，可通过配件工具解锁。机身具有凹槽设计，可定位耳机挂钩安装位置。(投标人需提供“老师机云终端”检测依据SJ/T11292-2016的具有国家认证认可的第三方检测机构出具带有CMA标识检测合格的报告扫描件并加盖投标人公章）</w:t>
            </w:r>
          </w:p>
          <w:p>
            <w:pPr>
              <w:pStyle w:val="null3"/>
              <w:jc w:val="both"/>
            </w:pPr>
            <w:r>
              <w:rPr>
                <w:sz w:val="20"/>
              </w:rPr>
              <w:t>10.</w:t>
            </w:r>
            <w:r>
              <w:rPr>
                <w:sz w:val="20"/>
              </w:rPr>
              <w:t>≥23.8英寸IPS显示屏幕，屏幕分辨率≥1920*1080，屏幕亮度≥250cd/m2，屏幕比例16：9。</w:t>
            </w:r>
          </w:p>
          <w:p>
            <w:pPr>
              <w:pStyle w:val="null3"/>
              <w:jc w:val="both"/>
            </w:pPr>
            <w:r>
              <w:rPr>
                <w:sz w:val="20"/>
              </w:rPr>
              <w:t>11.</w:t>
            </w:r>
            <w:r>
              <w:rPr>
                <w:sz w:val="20"/>
              </w:rPr>
              <w:t>屏占比≥90%。</w:t>
            </w:r>
          </w:p>
          <w:p>
            <w:pPr>
              <w:pStyle w:val="null3"/>
              <w:jc w:val="both"/>
            </w:pPr>
            <w:r>
              <w:rPr>
                <w:sz w:val="20"/>
              </w:rPr>
              <w:t>12.</w:t>
            </w:r>
            <w:r>
              <w:rPr>
                <w:sz w:val="20"/>
              </w:rPr>
              <w:t>显示屏幕sRGB色域覆盖率≥99%。</w:t>
            </w:r>
          </w:p>
          <w:p>
            <w:pPr>
              <w:pStyle w:val="null3"/>
              <w:jc w:val="both"/>
            </w:pPr>
            <w:r>
              <w:rPr>
                <w:sz w:val="20"/>
              </w:rPr>
              <w:t>13.</w:t>
            </w:r>
            <w:r>
              <w:rPr>
                <w:sz w:val="20"/>
              </w:rPr>
              <w:t>屏幕背光采用无频闪的DC调光技术。</w:t>
            </w:r>
          </w:p>
          <w:p>
            <w:pPr>
              <w:pStyle w:val="null3"/>
              <w:jc w:val="both"/>
            </w:pPr>
            <w:r>
              <w:rPr>
                <w:sz w:val="20"/>
              </w:rPr>
              <w:t>14.</w:t>
            </w:r>
            <w:r>
              <w:rPr>
                <w:sz w:val="20"/>
              </w:rPr>
              <w:t>屏幕支持硬件低蓝光。</w:t>
            </w:r>
          </w:p>
          <w:p>
            <w:pPr>
              <w:pStyle w:val="null3"/>
              <w:jc w:val="both"/>
            </w:pPr>
            <w:r>
              <w:rPr>
                <w:sz w:val="20"/>
              </w:rPr>
              <w:t>15.</w:t>
            </w:r>
            <w:r>
              <w:rPr>
                <w:sz w:val="20"/>
              </w:rPr>
              <w:t>取得低噪声认证。</w:t>
            </w:r>
          </w:p>
          <w:p>
            <w:pPr>
              <w:pStyle w:val="null3"/>
              <w:jc w:val="both"/>
            </w:pPr>
            <w:r>
              <w:rPr>
                <w:sz w:val="20"/>
              </w:rPr>
              <w:t>16.</w:t>
            </w:r>
            <w:r>
              <w:rPr>
                <w:sz w:val="20"/>
              </w:rPr>
              <w:t>可通过应用软件关闭屏幕背光，使屏幕黑屏。电源指示灯为双色，屏幕管控时变换颜色，可通过应用软件控制，使电脑扬声器外放输出无声或扬声器外放和耳机音频输出同时无声，控制时调节扬声器音量条无法打开声音。</w:t>
            </w:r>
          </w:p>
          <w:p>
            <w:pPr>
              <w:pStyle w:val="null3"/>
              <w:jc w:val="both"/>
            </w:pPr>
            <w:r>
              <w:rPr>
                <w:sz w:val="20"/>
              </w:rPr>
              <w:t>17.</w:t>
            </w:r>
            <w:r>
              <w:rPr>
                <w:sz w:val="20"/>
              </w:rPr>
              <w:t>整机集成≥2*3W扬声器，双阵列麦克风。</w:t>
            </w:r>
          </w:p>
          <w:p>
            <w:pPr>
              <w:pStyle w:val="null3"/>
              <w:jc w:val="both"/>
            </w:pPr>
            <w:r>
              <w:rPr>
                <w:sz w:val="20"/>
              </w:rPr>
              <w:t>18.</w:t>
            </w:r>
            <w:r>
              <w:rPr>
                <w:sz w:val="20"/>
              </w:rPr>
              <w:t>整机摄像头分辨率≥1920X1080。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学生机云终端</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 xml:space="preserve">1. </w:t>
            </w:r>
            <w:r>
              <w:rPr>
                <w:sz w:val="20"/>
              </w:rPr>
              <w:t>整机采用一体化设计，实现显示屏幕与计算单元的一体化集成设计。</w:t>
            </w:r>
          </w:p>
          <w:p>
            <w:pPr>
              <w:pStyle w:val="null3"/>
              <w:jc w:val="both"/>
            </w:pPr>
            <w:r>
              <w:rPr>
                <w:sz w:val="20"/>
              </w:rPr>
              <w:t>2.Intel</w:t>
            </w:r>
            <w:r>
              <w:rPr>
                <w:sz w:val="20"/>
              </w:rPr>
              <w:t>十三代Corei5处理器或以上，主频≥2.1GHz 、≥8核处理器12线程，三级缓存≥12MB。</w:t>
            </w:r>
          </w:p>
          <w:p>
            <w:pPr>
              <w:pStyle w:val="null3"/>
              <w:jc w:val="both"/>
            </w:pPr>
            <w:r>
              <w:rPr>
                <w:sz w:val="20"/>
              </w:rPr>
              <w:t>3.Intel</w:t>
            </w:r>
            <w:r>
              <w:rPr>
                <w:sz w:val="20"/>
              </w:rPr>
              <w:t>集成显卡， GPU处理单元数≥48个，最大主频≥1.2GHz。</w:t>
            </w:r>
          </w:p>
          <w:p>
            <w:pPr>
              <w:pStyle w:val="null3"/>
              <w:jc w:val="both"/>
            </w:pPr>
            <w:r>
              <w:rPr>
                <w:sz w:val="20"/>
              </w:rPr>
              <w:t>4.</w:t>
            </w:r>
            <w:r>
              <w:rPr>
                <w:sz w:val="20"/>
              </w:rPr>
              <w:t>内存：≥16GB So-DIMM DDR4 3200MT/s。</w:t>
            </w:r>
          </w:p>
          <w:p>
            <w:pPr>
              <w:pStyle w:val="null3"/>
              <w:jc w:val="both"/>
            </w:pPr>
            <w:r>
              <w:rPr>
                <w:sz w:val="20"/>
              </w:rPr>
              <w:t>5.</w:t>
            </w:r>
            <w:r>
              <w:rPr>
                <w:sz w:val="20"/>
              </w:rPr>
              <w:t>存储：≥256GB M.2 SSD Nvme硬盘。</w:t>
            </w:r>
          </w:p>
          <w:p>
            <w:pPr>
              <w:pStyle w:val="null3"/>
              <w:jc w:val="both"/>
            </w:pPr>
            <w:r>
              <w:rPr>
                <w:sz w:val="20"/>
              </w:rPr>
              <w:t>6.</w:t>
            </w:r>
            <w:r>
              <w:rPr>
                <w:sz w:val="20"/>
              </w:rPr>
              <w:t>侧面接口：USB 3.0≥1个；Type C≥1个；接口（USB、Type-C）支持关机充电。</w:t>
            </w:r>
          </w:p>
          <w:p>
            <w:pPr>
              <w:pStyle w:val="null3"/>
              <w:jc w:val="both"/>
            </w:pPr>
            <w:r>
              <w:rPr>
                <w:sz w:val="20"/>
              </w:rPr>
              <w:t>7.</w:t>
            </w:r>
            <w:r>
              <w:rPr>
                <w:sz w:val="20"/>
              </w:rPr>
              <w:t>后置接口：USB 3.0≥2个；USB 2.0≥3个。所有USB接口支持关机充电。</w:t>
            </w:r>
          </w:p>
          <w:p>
            <w:pPr>
              <w:pStyle w:val="null3"/>
              <w:jc w:val="both"/>
            </w:pPr>
            <w:r>
              <w:rPr>
                <w:sz w:val="20"/>
              </w:rPr>
              <w:t>8.</w:t>
            </w:r>
            <w:r>
              <w:rPr>
                <w:sz w:val="20"/>
              </w:rPr>
              <w:t>接口：3.5mm二合一音频接口≥1个，麦克风输入≥1个，音频输出≥1个。HDMI输出接口≥1，RJ45≥1。</w:t>
            </w:r>
          </w:p>
          <w:p>
            <w:pPr>
              <w:pStyle w:val="null3"/>
              <w:jc w:val="both"/>
            </w:pPr>
            <w:r>
              <w:rPr>
                <w:sz w:val="20"/>
              </w:rPr>
              <w:t>9.</w:t>
            </w:r>
            <w:r>
              <w:rPr>
                <w:sz w:val="20"/>
              </w:rPr>
              <w:t>▲机身机构具备网口锁，可通过配件工具解锁。机身具有凹槽设计，可定位耳机挂钩安装位置。(投标人需提供“学生机云终端”检测依据SJ/T11292-2016的具有国家认证认可的第三方检测机构出具带有CMA标识检测合格的报告扫描件并加盖投标人公章）</w:t>
            </w:r>
          </w:p>
          <w:p>
            <w:pPr>
              <w:pStyle w:val="null3"/>
              <w:jc w:val="both"/>
            </w:pPr>
            <w:r>
              <w:rPr>
                <w:sz w:val="20"/>
              </w:rPr>
              <w:t>10.</w:t>
            </w:r>
            <w:r>
              <w:rPr>
                <w:sz w:val="20"/>
              </w:rPr>
              <w:t>≥23.8英寸IPS显示屏幕，屏幕分辨率≥1920*1080，屏幕亮度≥250cd/m2，屏幕比例16：9。</w:t>
            </w:r>
          </w:p>
          <w:p>
            <w:pPr>
              <w:pStyle w:val="null3"/>
              <w:jc w:val="both"/>
            </w:pPr>
            <w:r>
              <w:rPr>
                <w:sz w:val="20"/>
              </w:rPr>
              <w:t>11.</w:t>
            </w:r>
            <w:r>
              <w:rPr>
                <w:sz w:val="20"/>
              </w:rPr>
              <w:t>屏占比≥90%。</w:t>
            </w:r>
          </w:p>
          <w:p>
            <w:pPr>
              <w:pStyle w:val="null3"/>
              <w:jc w:val="both"/>
            </w:pPr>
            <w:r>
              <w:rPr>
                <w:sz w:val="20"/>
              </w:rPr>
              <w:t>12.</w:t>
            </w:r>
            <w:r>
              <w:rPr>
                <w:sz w:val="20"/>
              </w:rPr>
              <w:t>显示屏幕sRGB色域覆盖率≥99%。</w:t>
            </w:r>
          </w:p>
          <w:p>
            <w:pPr>
              <w:pStyle w:val="null3"/>
              <w:jc w:val="both"/>
            </w:pPr>
            <w:r>
              <w:rPr>
                <w:sz w:val="20"/>
              </w:rPr>
              <w:t>13.</w:t>
            </w:r>
            <w:r>
              <w:rPr>
                <w:sz w:val="20"/>
              </w:rPr>
              <w:t>屏幕背光采用无频闪的DC调光技术。</w:t>
            </w:r>
          </w:p>
          <w:p>
            <w:pPr>
              <w:pStyle w:val="null3"/>
              <w:jc w:val="both"/>
            </w:pPr>
            <w:r>
              <w:rPr>
                <w:sz w:val="20"/>
              </w:rPr>
              <w:t>14.</w:t>
            </w:r>
            <w:r>
              <w:rPr>
                <w:sz w:val="20"/>
              </w:rPr>
              <w:t>屏幕支持硬件低蓝光。</w:t>
            </w:r>
          </w:p>
          <w:p>
            <w:pPr>
              <w:pStyle w:val="null3"/>
              <w:jc w:val="both"/>
            </w:pPr>
            <w:r>
              <w:rPr>
                <w:sz w:val="20"/>
              </w:rPr>
              <w:t>15.</w:t>
            </w:r>
            <w:r>
              <w:rPr>
                <w:sz w:val="20"/>
              </w:rPr>
              <w:t>取得低噪声认证。</w:t>
            </w:r>
          </w:p>
          <w:p>
            <w:pPr>
              <w:pStyle w:val="null3"/>
              <w:jc w:val="both"/>
            </w:pPr>
            <w:r>
              <w:rPr>
                <w:sz w:val="20"/>
              </w:rPr>
              <w:t>16.</w:t>
            </w:r>
            <w:r>
              <w:rPr>
                <w:sz w:val="20"/>
              </w:rPr>
              <w:t>可通过应用软件关闭屏幕背光，使屏幕黑屏。电源指示灯为双色，屏幕管控时变换颜色，可通过应用软件控制，使电脑扬声器外放输出无声或扬声器外放和耳机音频输出同时无声，控制时调节扬声器音量条无法打开声音。</w:t>
            </w:r>
          </w:p>
          <w:p>
            <w:pPr>
              <w:pStyle w:val="null3"/>
              <w:jc w:val="both"/>
            </w:pPr>
            <w:r>
              <w:rPr>
                <w:sz w:val="20"/>
              </w:rPr>
              <w:t>17.</w:t>
            </w:r>
            <w:r>
              <w:rPr>
                <w:sz w:val="20"/>
              </w:rPr>
              <w:t>整机集成≥2*3W扬声器，双阵列麦克风。</w:t>
            </w:r>
          </w:p>
          <w:p>
            <w:pPr>
              <w:pStyle w:val="null3"/>
              <w:jc w:val="both"/>
            </w:pPr>
            <w:r>
              <w:rPr>
                <w:sz w:val="20"/>
              </w:rPr>
              <w:t>18.</w:t>
            </w:r>
            <w:r>
              <w:rPr>
                <w:sz w:val="20"/>
              </w:rPr>
              <w:t>整机摄像头分辨率≥1920X1080。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246</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管理授权</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r>
              <w:rPr>
                <w:sz w:val="20"/>
              </w:rPr>
              <w:t>便携部署：支持裸机部署与现有系统物理机批量部署为云桌面终端。</w:t>
            </w:r>
          </w:p>
          <w:p>
            <w:pPr>
              <w:pStyle w:val="null3"/>
              <w:jc w:val="both"/>
            </w:pPr>
            <w:r>
              <w:rPr>
                <w:sz w:val="20"/>
              </w:rPr>
              <w:t>2.</w:t>
            </w:r>
            <w:r>
              <w:rPr>
                <w:sz w:val="20"/>
              </w:rPr>
              <w:t>镜像同传：支持终端互传镜像、显示传输信息与设备状态，支持多种传输方式、增量同传与断点续传。</w:t>
            </w:r>
          </w:p>
          <w:p>
            <w:pPr>
              <w:pStyle w:val="null3"/>
              <w:jc w:val="both"/>
            </w:pPr>
            <w:r>
              <w:rPr>
                <w:sz w:val="20"/>
              </w:rPr>
              <w:t xml:space="preserve">3. </w:t>
            </w:r>
            <w:r>
              <w:rPr>
                <w:sz w:val="20"/>
              </w:rPr>
              <w:t>▲同传模式：任意终端可在系统界面直接发起 / 接收镜像，无需重启或进入专用模式。</w:t>
            </w:r>
            <w:r>
              <w:rPr>
                <w:sz w:val="20"/>
              </w:rPr>
              <w:t>（投标人须提供包含该功能界面的软件原生截图，截图需清晰展示功能逻辑及版本信息，并加盖投标人公章）</w:t>
            </w:r>
          </w:p>
          <w:p>
            <w:pPr>
              <w:pStyle w:val="null3"/>
              <w:jc w:val="both"/>
            </w:pPr>
            <w:r>
              <w:rPr>
                <w:sz w:val="20"/>
              </w:rPr>
              <w:t xml:space="preserve">4. </w:t>
            </w:r>
            <w:r>
              <w:rPr>
                <w:sz w:val="20"/>
              </w:rPr>
              <w:t>镜像下发：支持静默下发、进度显示，下发后可保持当前系统、自动重启或关机。</w:t>
            </w:r>
          </w:p>
          <w:p>
            <w:pPr>
              <w:pStyle w:val="null3"/>
              <w:jc w:val="both"/>
            </w:pPr>
            <w:r>
              <w:rPr>
                <w:sz w:val="20"/>
              </w:rPr>
              <w:t xml:space="preserve">5. </w:t>
            </w:r>
            <w:r>
              <w:rPr>
                <w:sz w:val="20"/>
              </w:rPr>
              <w:t>▲多镜像：单终端支持多系统镜像共存、空间共享、互不干扰，支持快速切换与复制差异化。</w:t>
            </w:r>
            <w:r>
              <w:rPr>
                <w:sz w:val="20"/>
              </w:rPr>
              <w:t>（投标人须提供包含该功能界面的软件原生截图，截图需清晰展示功能逻辑及版本信息，并加盖投标人公章）</w:t>
            </w:r>
          </w:p>
          <w:p>
            <w:pPr>
              <w:pStyle w:val="null3"/>
              <w:jc w:val="both"/>
            </w:pPr>
            <w:r>
              <w:rPr>
                <w:sz w:val="20"/>
              </w:rPr>
              <w:t xml:space="preserve">6. </w:t>
            </w:r>
            <w:r>
              <w:rPr>
                <w:sz w:val="20"/>
              </w:rPr>
              <w:t>多磁盘多盘符：支持多磁盘、多盘符管理，支持混合存储介质与磁盘类型动态转换。</w:t>
            </w:r>
          </w:p>
          <w:p>
            <w:pPr>
              <w:pStyle w:val="null3"/>
              <w:jc w:val="both"/>
            </w:pPr>
            <w:r>
              <w:rPr>
                <w:sz w:val="20"/>
              </w:rPr>
              <w:t xml:space="preserve">7. </w:t>
            </w:r>
            <w:r>
              <w:rPr>
                <w:sz w:val="20"/>
              </w:rPr>
              <w:t>▲局域网网盘 - 共享空间：支持创建共享空间，可独立配置容量、文件限制与用户操作权限。</w:t>
            </w:r>
            <w:r>
              <w:rPr>
                <w:sz w:val="20"/>
              </w:rPr>
              <w:t>（投标人须提供包含该功能界面的软件原生截图，截图需清晰展示功能逻辑及版本信息，并加盖投标人公章）</w:t>
            </w:r>
          </w:p>
          <w:p>
            <w:pPr>
              <w:pStyle w:val="null3"/>
              <w:jc w:val="both"/>
            </w:pPr>
            <w:r>
              <w:rPr>
                <w:sz w:val="20"/>
              </w:rPr>
              <w:t xml:space="preserve">8. </w:t>
            </w:r>
            <w:r>
              <w:rPr>
                <w:sz w:val="20"/>
              </w:rPr>
              <w:t>▲局域网网盘 - 个人空间：提供个人独立空间，集成入口，支持用户管理、空间限额与自主注册。</w:t>
            </w:r>
            <w:r>
              <w:rPr>
                <w:sz w:val="20"/>
              </w:rPr>
              <w:t>（投标人须提供包含该功能界面的软件原生截图，截图需清晰展示功能逻辑及版本信息，并加盖投标人公章）</w:t>
            </w:r>
          </w:p>
          <w:p>
            <w:pPr>
              <w:pStyle w:val="null3"/>
              <w:jc w:val="both"/>
            </w:pPr>
            <w:r>
              <w:rPr>
                <w:sz w:val="20"/>
              </w:rPr>
              <w:t xml:space="preserve">9. </w:t>
            </w:r>
            <w:r>
              <w:rPr>
                <w:sz w:val="20"/>
              </w:rPr>
              <w:t>▲局域网网盘 - 统计&amp;设置：支持访问统计、排行展示、存储目录迁移、容量显示与回收站策略设置。</w:t>
            </w:r>
            <w:r>
              <w:rPr>
                <w:sz w:val="20"/>
              </w:rPr>
              <w:t>（投标人须提供包含该功能界面的软件原生截图，截图需清晰展示功能逻辑及版本信息，并加盖投标人公章）</w:t>
            </w:r>
          </w:p>
          <w:p>
            <w:pPr>
              <w:pStyle w:val="null3"/>
              <w:jc w:val="both"/>
            </w:pPr>
            <w:r>
              <w:rPr>
                <w:sz w:val="20"/>
              </w:rPr>
              <w:t xml:space="preserve">10. </w:t>
            </w:r>
            <w:r>
              <w:rPr>
                <w:sz w:val="20"/>
              </w:rPr>
              <w:t>屏幕水印：支持设备信息水印与自定义水印，可设置内容、样式与显示区域。</w:t>
            </w:r>
          </w:p>
          <w:p>
            <w:pPr>
              <w:pStyle w:val="null3"/>
              <w:jc w:val="both"/>
            </w:pPr>
            <w:r>
              <w:rPr>
                <w:sz w:val="20"/>
              </w:rPr>
              <w:t xml:space="preserve">11. </w:t>
            </w:r>
            <w:r>
              <w:rPr>
                <w:sz w:val="20"/>
              </w:rPr>
              <w:t>计划任务：支持定时执行开机、关机、还原、切换镜像等任务。</w:t>
            </w:r>
          </w:p>
          <w:p>
            <w:pPr>
              <w:pStyle w:val="null3"/>
              <w:jc w:val="both"/>
            </w:pPr>
            <w:r>
              <w:rPr>
                <w:sz w:val="20"/>
              </w:rPr>
              <w:t>12.</w:t>
            </w:r>
            <w:r>
              <w:rPr>
                <w:sz w:val="20"/>
              </w:rPr>
              <w:t>批量配置：支持批量配置设备信息与网络参数，支持表格导入导出。</w:t>
            </w:r>
          </w:p>
          <w:p>
            <w:pPr>
              <w:pStyle w:val="null3"/>
              <w:jc w:val="both"/>
            </w:pPr>
            <w:r>
              <w:rPr>
                <w:sz w:val="20"/>
              </w:rPr>
              <w:t>13.</w:t>
            </w:r>
            <w:r>
              <w:rPr>
                <w:sz w:val="20"/>
              </w:rPr>
              <w:t>设备信息查看：支持实时查看终端软硬件信息、运行状态，支持排序筛选。</w:t>
            </w:r>
          </w:p>
          <w:p>
            <w:pPr>
              <w:pStyle w:val="null3"/>
              <w:jc w:val="both"/>
            </w:pPr>
            <w:r>
              <w:rPr>
                <w:sz w:val="20"/>
              </w:rPr>
              <w:t xml:space="preserve">14. USB </w:t>
            </w:r>
            <w:r>
              <w:rPr>
                <w:sz w:val="20"/>
              </w:rPr>
              <w:t>禁用：支持 USB 策略、白名单、按设备授权与 USB 信息查看。</w:t>
            </w:r>
          </w:p>
          <w:p>
            <w:pPr>
              <w:pStyle w:val="null3"/>
              <w:jc w:val="both"/>
            </w:pPr>
            <w:r>
              <w:rPr>
                <w:sz w:val="20"/>
              </w:rPr>
              <w:t>15.</w:t>
            </w:r>
            <w:r>
              <w:rPr>
                <w:sz w:val="20"/>
              </w:rPr>
              <w:t>外网访问禁用：支持禁用外网、不影响局域网，设置实时生效。</w:t>
            </w:r>
          </w:p>
          <w:p>
            <w:pPr>
              <w:pStyle w:val="null3"/>
              <w:jc w:val="both"/>
            </w:pPr>
            <w:r>
              <w:rPr>
                <w:sz w:val="20"/>
              </w:rPr>
              <w:t>16.</w:t>
            </w:r>
            <w:r>
              <w:rPr>
                <w:sz w:val="20"/>
              </w:rPr>
              <w:t>系统升级：支持终端软件远程升级、降级与指定版本推送。</w:t>
            </w:r>
          </w:p>
          <w:p>
            <w:pPr>
              <w:pStyle w:val="null3"/>
              <w:jc w:val="both"/>
            </w:pPr>
            <w:r>
              <w:rPr>
                <w:sz w:val="20"/>
              </w:rPr>
              <w:t>17.</w:t>
            </w:r>
            <w:r>
              <w:rPr>
                <w:sz w:val="20"/>
              </w:rPr>
              <w:t>镜像仓库与管理：支持镜像存储、上传、删除、默认设置、扩容、复制、导入导出。</w:t>
            </w:r>
          </w:p>
          <w:p>
            <w:pPr>
              <w:pStyle w:val="null3"/>
              <w:jc w:val="both"/>
            </w:pPr>
            <w:r>
              <w:rPr>
                <w:sz w:val="20"/>
              </w:rPr>
              <w:t>18.</w:t>
            </w:r>
            <w:r>
              <w:rPr>
                <w:sz w:val="20"/>
              </w:rPr>
              <w:t>远程控制：支持跨系统远程操作、镜像管理与软件安装。</w:t>
            </w:r>
          </w:p>
          <w:p>
            <w:pPr>
              <w:pStyle w:val="null3"/>
              <w:jc w:val="both"/>
            </w:pPr>
            <w:r>
              <w:rPr>
                <w:sz w:val="20"/>
              </w:rPr>
              <w:t>19.</w:t>
            </w:r>
            <w:r>
              <w:rPr>
                <w:sz w:val="20"/>
              </w:rPr>
              <w:t>软件下发：支持批量安装软件，可永久写入镜像或临时使用。</w:t>
            </w:r>
          </w:p>
          <w:p>
            <w:pPr>
              <w:pStyle w:val="null3"/>
              <w:jc w:val="both"/>
            </w:pPr>
            <w:r>
              <w:rPr>
                <w:sz w:val="20"/>
              </w:rPr>
              <w:t>20.</w:t>
            </w:r>
            <w:r>
              <w:rPr>
                <w:sz w:val="20"/>
              </w:rPr>
              <w:t>设备定位、启动切换、还原设置：支持定位、默认启动配置、盘符还原策略。</w:t>
            </w:r>
          </w:p>
          <w:p>
            <w:pPr>
              <w:pStyle w:val="null3"/>
              <w:jc w:val="both"/>
            </w:pPr>
            <w:r>
              <w:rPr>
                <w:sz w:val="20"/>
              </w:rPr>
              <w:t>21.</w:t>
            </w:r>
            <w:r>
              <w:rPr>
                <w:sz w:val="20"/>
              </w:rPr>
              <w:t>▲多方式登录：支持统一认证，支持账号、扫码、本地密码登录。</w:t>
            </w:r>
            <w:r>
              <w:rPr>
                <w:sz w:val="20"/>
              </w:rPr>
              <w:t>（投标人须提供包含该功能界面的软件原生截图，截图需清晰展示功能逻辑及版本信息，并加盖投标人公章）</w:t>
            </w:r>
          </w:p>
          <w:p>
            <w:pPr>
              <w:pStyle w:val="null3"/>
              <w:jc w:val="both"/>
            </w:pPr>
            <w:r>
              <w:rPr>
                <w:sz w:val="20"/>
              </w:rPr>
              <w:t>22.</w:t>
            </w:r>
            <w:r>
              <w:rPr>
                <w:sz w:val="20"/>
              </w:rPr>
              <w:t>云桌面管理平台：支持 C/S、B/S 双架构，支持公网 / 远程 / 跨网段统一管理。</w:t>
            </w:r>
          </w:p>
          <w:p>
            <w:pPr>
              <w:pStyle w:val="null3"/>
              <w:jc w:val="both"/>
            </w:pPr>
            <w:r>
              <w:rPr>
                <w:sz w:val="20"/>
              </w:rPr>
              <w:t>23.</w:t>
            </w:r>
            <w:r>
              <w:rPr>
                <w:sz w:val="20"/>
              </w:rPr>
              <w:t>▲手机扫码配置：支持扫码绑定、查看设备信息、批量编号、分组与统一配置网络。</w:t>
            </w:r>
            <w:r>
              <w:rPr>
                <w:sz w:val="20"/>
              </w:rPr>
              <w:t>（投标人须提供包含该功能界面的软件原生截图，截图需清晰展示功能逻辑及版本信息，并加盖投标人公章）</w:t>
            </w:r>
          </w:p>
          <w:p>
            <w:pPr>
              <w:pStyle w:val="null3"/>
              <w:jc w:val="both"/>
            </w:pPr>
            <w:r>
              <w:rPr>
                <w:sz w:val="20"/>
              </w:rPr>
              <w:t>24.</w:t>
            </w:r>
            <w:r>
              <w:rPr>
                <w:sz w:val="20"/>
              </w:rPr>
              <w:t>终端防盗：支持异常网络环境自动锁定，防止非法使用。</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246</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授课软件</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1.</w:t>
            </w:r>
            <w:r>
              <w:rPr>
                <w:sz w:val="20"/>
              </w:rPr>
              <w:t>登录：支持扫码、账号密码、快捷联合登录，提供免账号授课登录。</w:t>
            </w:r>
          </w:p>
          <w:p>
            <w:pPr>
              <w:pStyle w:val="null3"/>
              <w:jc w:val="both"/>
            </w:pPr>
            <w:r>
              <w:rPr>
                <w:sz w:val="20"/>
              </w:rPr>
              <w:t>2.</w:t>
            </w:r>
            <w:r>
              <w:rPr>
                <w:sz w:val="20"/>
              </w:rPr>
              <w:t>设备管理：实时监看学生终端，统一教学管控、文件分发回收、远程控制、黑屏 / 离线黑屏管控，实时显示离线设备状态。</w:t>
            </w:r>
          </w:p>
          <w:p>
            <w:pPr>
              <w:pStyle w:val="null3"/>
              <w:jc w:val="both"/>
            </w:pPr>
            <w:r>
              <w:rPr>
                <w:sz w:val="20"/>
              </w:rPr>
              <w:t>3.</w:t>
            </w:r>
            <w:r>
              <w:rPr>
                <w:sz w:val="20"/>
              </w:rPr>
              <w:t>人员权限：管理员可配置管理与教师角色；支持学生、教师名单导入、增删改查与同步。</w:t>
            </w:r>
          </w:p>
          <w:p>
            <w:pPr>
              <w:pStyle w:val="null3"/>
              <w:jc w:val="both"/>
            </w:pPr>
            <w:r>
              <w:rPr>
                <w:sz w:val="20"/>
              </w:rPr>
              <w:t>4.</w:t>
            </w:r>
            <w:r>
              <w:rPr>
                <w:sz w:val="20"/>
              </w:rPr>
              <w:t>云空间：支持多格式文件上传存储、本地文件上传、传输记录查询、课件排序筛选。</w:t>
            </w:r>
          </w:p>
          <w:p>
            <w:pPr>
              <w:pStyle w:val="null3"/>
              <w:jc w:val="both"/>
            </w:pPr>
            <w:r>
              <w:rPr>
                <w:sz w:val="20"/>
              </w:rPr>
              <w:t>5.</w:t>
            </w:r>
            <w:r>
              <w:rPr>
                <w:sz w:val="20"/>
              </w:rPr>
              <w:t>文件与作业：支持文件批量共享 / 取消共享、自动补发；自动统计作业提交情况。</w:t>
            </w:r>
          </w:p>
          <w:p>
            <w:pPr>
              <w:pStyle w:val="null3"/>
              <w:jc w:val="both"/>
            </w:pPr>
            <w:r>
              <w:rPr>
                <w:sz w:val="20"/>
              </w:rPr>
              <w:t>6.</w:t>
            </w:r>
            <w:r>
              <w:rPr>
                <w:sz w:val="20"/>
              </w:rPr>
              <w:t>课堂广播：支持音画面广播、广播批注、互动答题与数据统计；可广播学生端画面。</w:t>
            </w:r>
          </w:p>
          <w:p>
            <w:pPr>
              <w:pStyle w:val="null3"/>
              <w:jc w:val="both"/>
            </w:pPr>
            <w:r>
              <w:rPr>
                <w:sz w:val="20"/>
              </w:rPr>
              <w:t>7.</w:t>
            </w:r>
            <w:r>
              <w:rPr>
                <w:sz w:val="20"/>
              </w:rPr>
              <w:t>课堂互动：支持学生作答结果查看、课堂通知切换、快速签到与未签到提醒。</w:t>
            </w:r>
          </w:p>
          <w:p>
            <w:pPr>
              <w:pStyle w:val="null3"/>
              <w:jc w:val="both"/>
            </w:pPr>
            <w:r>
              <w:rPr>
                <w:sz w:val="20"/>
              </w:rPr>
              <w:t>8.</w:t>
            </w:r>
            <w:r>
              <w:rPr>
                <w:sz w:val="20"/>
              </w:rPr>
              <w:t>移动教学：支持移动设备跨网屏幕与摄像广播，互动入口智能显示。</w:t>
            </w:r>
          </w:p>
          <w:p>
            <w:pPr>
              <w:pStyle w:val="null3"/>
              <w:jc w:val="both"/>
            </w:pPr>
            <w:r>
              <w:rPr>
                <w:sz w:val="20"/>
              </w:rPr>
              <w:t>9.</w:t>
            </w:r>
            <w:r>
              <w:rPr>
                <w:sz w:val="20"/>
              </w:rPr>
              <w:t>离线续播：学生终端重启后自动重连课堂。</w:t>
            </w:r>
          </w:p>
          <w:p>
            <w:pPr>
              <w:pStyle w:val="null3"/>
              <w:jc w:val="both"/>
            </w:pPr>
            <w:r>
              <w:rPr>
                <w:sz w:val="20"/>
              </w:rPr>
              <w:t>10.</w:t>
            </w:r>
            <w:r>
              <w:rPr>
                <w:sz w:val="20"/>
              </w:rPr>
              <w:t>安全管控：支持应用 / 网页白名单、违规应用记录与禁用、应用防卸载 / 防杀。</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6</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USB</w:t>
            </w:r>
            <w:r>
              <w:rPr>
                <w:sz w:val="20"/>
              </w:rPr>
              <w:t>专用耳机</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一、耳机单元（听筒）</w:t>
            </w:r>
          </w:p>
          <w:p>
            <w:pPr>
              <w:pStyle w:val="null3"/>
              <w:jc w:val="both"/>
            </w:pPr>
            <w:r>
              <w:rPr>
                <w:sz w:val="20"/>
              </w:rPr>
              <w:t>驱动单元：40mm 钕铁硼动圈</w:t>
            </w:r>
          </w:p>
          <w:p>
            <w:pPr>
              <w:pStyle w:val="null3"/>
              <w:jc w:val="both"/>
            </w:pPr>
            <w:r>
              <w:rPr>
                <w:sz w:val="20"/>
              </w:rPr>
              <w:t>频响范围：20Hz–20kHz</w:t>
            </w:r>
          </w:p>
          <w:p>
            <w:pPr>
              <w:pStyle w:val="null3"/>
              <w:jc w:val="both"/>
            </w:pPr>
            <w:r>
              <w:rPr>
                <w:sz w:val="20"/>
              </w:rPr>
              <w:t>阻抗：32Ω</w:t>
            </w:r>
          </w:p>
          <w:p>
            <w:pPr>
              <w:pStyle w:val="null3"/>
              <w:jc w:val="both"/>
            </w:pPr>
            <w:r>
              <w:rPr>
                <w:sz w:val="20"/>
              </w:rPr>
              <w:t>灵敏度：108dB±3dB（1kHz）</w:t>
            </w:r>
          </w:p>
          <w:p>
            <w:pPr>
              <w:pStyle w:val="null3"/>
              <w:jc w:val="both"/>
            </w:pPr>
            <w:r>
              <w:rPr>
                <w:sz w:val="20"/>
              </w:rPr>
              <w:t>最大音量：≤85dB</w:t>
            </w:r>
          </w:p>
          <w:p>
            <w:pPr>
              <w:pStyle w:val="null3"/>
              <w:jc w:val="both"/>
            </w:pPr>
            <w:r>
              <w:rPr>
                <w:sz w:val="20"/>
              </w:rPr>
              <w:t>耳罩：隔音立体类蛋白皮，全包耳设计</w:t>
            </w:r>
          </w:p>
          <w:p>
            <w:pPr>
              <w:pStyle w:val="null3"/>
              <w:jc w:val="both"/>
            </w:pPr>
            <w:r>
              <w:rPr>
                <w:sz w:val="20"/>
              </w:rPr>
              <w:t>头梁：双弓弹压式自适应头戴，免手动调节</w:t>
            </w:r>
          </w:p>
          <w:p>
            <w:pPr>
              <w:pStyle w:val="null3"/>
              <w:jc w:val="both"/>
            </w:pPr>
            <w:r>
              <w:rPr>
                <w:sz w:val="20"/>
              </w:rPr>
              <w:t>二、麦克风（听说考试核心）</w:t>
            </w:r>
          </w:p>
          <w:p>
            <w:pPr>
              <w:pStyle w:val="null3"/>
              <w:jc w:val="both"/>
            </w:pPr>
            <w:r>
              <w:rPr>
                <w:sz w:val="20"/>
              </w:rPr>
              <w:t>咪头类型：ECM 超心型单指向（ENC 降噪）</w:t>
            </w:r>
          </w:p>
          <w:p>
            <w:pPr>
              <w:pStyle w:val="null3"/>
              <w:jc w:val="both"/>
            </w:pPr>
            <w:r>
              <w:rPr>
                <w:sz w:val="20"/>
              </w:rPr>
              <w:t>频响范围：100Hz–10kHz</w:t>
            </w:r>
          </w:p>
          <w:p>
            <w:pPr>
              <w:pStyle w:val="null3"/>
              <w:jc w:val="both"/>
            </w:pPr>
            <w:r>
              <w:rPr>
                <w:sz w:val="20"/>
              </w:rPr>
              <w:t>灵敏度：-44dB±3dB</w:t>
            </w:r>
          </w:p>
          <w:p>
            <w:pPr>
              <w:pStyle w:val="null3"/>
              <w:jc w:val="both"/>
            </w:pPr>
            <w:r>
              <w:rPr>
                <w:sz w:val="20"/>
              </w:rPr>
              <w:t>降噪能力：≥30dB，抑制背景 / 侧方噪音</w:t>
            </w:r>
          </w:p>
          <w:p>
            <w:pPr>
              <w:pStyle w:val="null3"/>
              <w:jc w:val="both"/>
            </w:pPr>
            <w:r>
              <w:rPr>
                <w:sz w:val="20"/>
              </w:rPr>
              <w:t>麦秆：金属鹅颈管，总长约 25cm，可向前 120° 旋转</w:t>
            </w:r>
          </w:p>
          <w:p>
            <w:pPr>
              <w:pStyle w:val="null3"/>
              <w:jc w:val="both"/>
            </w:pPr>
            <w:r>
              <w:rPr>
                <w:sz w:val="20"/>
              </w:rPr>
              <w:t>拾音距离：2–5cm（嘴距麦最佳）</w:t>
            </w:r>
          </w:p>
          <w:p>
            <w:pPr>
              <w:pStyle w:val="null3"/>
              <w:jc w:val="both"/>
            </w:pPr>
            <w:r>
              <w:rPr>
                <w:sz w:val="20"/>
              </w:rPr>
              <w:t>三、接口与电气</w:t>
            </w:r>
          </w:p>
          <w:p>
            <w:pPr>
              <w:pStyle w:val="null3"/>
              <w:jc w:val="both"/>
            </w:pPr>
            <w:r>
              <w:rPr>
                <w:sz w:val="20"/>
              </w:rPr>
              <w:t>连接方式：USB 2.0 免驱（即插即用）</w:t>
            </w:r>
          </w:p>
          <w:p>
            <w:pPr>
              <w:pStyle w:val="null3"/>
              <w:jc w:val="both"/>
            </w:pPr>
            <w:r>
              <w:rPr>
                <w:sz w:val="20"/>
              </w:rPr>
              <w:t>版本：USB 版</w:t>
            </w:r>
          </w:p>
          <w:p>
            <w:pPr>
              <w:pStyle w:val="null3"/>
              <w:jc w:val="both"/>
            </w:pPr>
            <w:r>
              <w:rPr>
                <w:sz w:val="20"/>
              </w:rPr>
              <w:t>线长：≥2.5 米，尼龙编织屏蔽线，抗干扰</w:t>
            </w:r>
          </w:p>
          <w:p>
            <w:pPr>
              <w:pStyle w:val="null3"/>
              <w:jc w:val="both"/>
            </w:pPr>
            <w:r>
              <w:rPr>
                <w:sz w:val="20"/>
              </w:rPr>
              <w:t>重量：≤320g（含线）</w:t>
            </w:r>
          </w:p>
          <w:p>
            <w:pPr>
              <w:pStyle w:val="null3"/>
              <w:jc w:val="both"/>
            </w:pPr>
            <w:r>
              <w:rPr>
                <w:sz w:val="20"/>
              </w:rPr>
              <w:t>按键：无任何物理按键</w:t>
            </w:r>
          </w:p>
          <w:p>
            <w:pPr>
              <w:pStyle w:val="null3"/>
              <w:jc w:val="both"/>
            </w:pPr>
            <w:r>
              <w:rPr>
                <w:sz w:val="20"/>
              </w:rPr>
              <w:t>四、教考专属功能</w:t>
            </w:r>
          </w:p>
          <w:p>
            <w:pPr>
              <w:pStyle w:val="null3"/>
              <w:jc w:val="both"/>
            </w:pPr>
            <w:r>
              <w:rPr>
                <w:sz w:val="20"/>
              </w:rPr>
              <w:t>唯一 ID 编码：每台耳机独立身份码，支持设备溯源与绑定</w:t>
            </w:r>
          </w:p>
          <w:p>
            <w:pPr>
              <w:pStyle w:val="null3"/>
              <w:jc w:val="both"/>
            </w:pPr>
            <w:r>
              <w:rPr>
                <w:sz w:val="20"/>
              </w:rPr>
              <w:t>系统兼容：Windows / 麒麟国产系统，全兼容抖音</w:t>
            </w:r>
          </w:p>
          <w:p>
            <w:pPr>
              <w:pStyle w:val="null3"/>
              <w:jc w:val="both"/>
            </w:pPr>
            <w:r>
              <w:rPr>
                <w:sz w:val="20"/>
              </w:rPr>
              <w:t xml:space="preserve">SDK </w:t>
            </w:r>
            <w:r>
              <w:rPr>
                <w:sz w:val="20"/>
              </w:rPr>
              <w:t>支持：可对接省听说考试系统二次开发</w:t>
            </w:r>
          </w:p>
          <w:p>
            <w:pPr>
              <w:pStyle w:val="null3"/>
              <w:jc w:val="both"/>
            </w:pPr>
            <w:r>
              <w:rPr>
                <w:sz w:val="20"/>
              </w:rPr>
              <w:t>抗干扰：屏蔽线 + EMI 滤波，适配考场强电磁环境</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250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云桌面综合管理单元</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处理器 / 内存：双条内存组合</w:t>
            </w:r>
          </w:p>
          <w:p>
            <w:pPr>
              <w:pStyle w:val="null3"/>
              <w:jc w:val="left"/>
            </w:pPr>
            <w:r>
              <w:rPr>
                <w:sz w:val="20"/>
              </w:rPr>
              <w:t>存储：多块固态硬盘、两块机械硬盘搭建镜像磁盘阵列</w:t>
            </w:r>
          </w:p>
          <w:p>
            <w:pPr>
              <w:pStyle w:val="null3"/>
              <w:jc w:val="left"/>
            </w:pPr>
            <w:r>
              <w:rPr>
                <w:sz w:val="20"/>
              </w:rPr>
              <w:t>扩展配件：高速通道扩展转接卡</w:t>
            </w:r>
          </w:p>
          <w:p>
            <w:pPr>
              <w:pStyle w:val="null3"/>
              <w:jc w:val="left"/>
            </w:pPr>
            <w:r>
              <w:rPr>
                <w:sz w:val="20"/>
              </w:rPr>
              <w:t>网络：主板集成双路千兆网口</w:t>
            </w:r>
          </w:p>
          <w:p>
            <w:pPr>
              <w:pStyle w:val="null3"/>
              <w:jc w:val="left"/>
            </w:pPr>
            <w:r>
              <w:rPr>
                <w:sz w:val="20"/>
              </w:rPr>
              <w:t>供电：两路大功率冗余供电模块</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后备供电保障装置</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供电规格：单相三线供电制式；S为标准机型，内置储能电池组</w:t>
            </w:r>
          </w:p>
          <w:p>
            <w:pPr>
              <w:pStyle w:val="null3"/>
              <w:jc w:val="left"/>
            </w:pPr>
            <w:r>
              <w:rPr>
                <w:sz w:val="20"/>
              </w:rPr>
              <w:t>电池配置：多组低压储能电池</w:t>
            </w:r>
          </w:p>
          <w:p>
            <w:pPr>
              <w:pStyle w:val="null3"/>
              <w:jc w:val="left"/>
            </w:pPr>
            <w:r>
              <w:rPr>
                <w:sz w:val="20"/>
              </w:rPr>
              <w:t>保护功能：具备过载、逆变短路、电池低压、电池过充、高温防护</w:t>
            </w:r>
          </w:p>
          <w:p>
            <w:pPr>
              <w:pStyle w:val="null3"/>
              <w:jc w:val="left"/>
            </w:pPr>
            <w:r>
              <w:rPr>
                <w:sz w:val="20"/>
              </w:rPr>
              <w:t>标准接口：配备 USB、网络网口</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9</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无线麦克风</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名称:无线麦克风</w:t>
            </w:r>
          </w:p>
          <w:p>
            <w:pPr>
              <w:pStyle w:val="null3"/>
              <w:jc w:val="left"/>
            </w:pPr>
            <w:r>
              <w:rPr>
                <w:sz w:val="20"/>
              </w:rPr>
              <w:t>2.</w:t>
            </w:r>
            <w:r>
              <w:rPr>
                <w:sz w:val="20"/>
              </w:rPr>
              <w:t>采用 PLL 双频道锁相环回路设计；</w:t>
            </w:r>
          </w:p>
          <w:p>
            <w:pPr>
              <w:pStyle w:val="null3"/>
              <w:jc w:val="left"/>
            </w:pPr>
            <w:r>
              <w:rPr>
                <w:sz w:val="20"/>
              </w:rPr>
              <w:t xml:space="preserve">3.UHF </w:t>
            </w:r>
            <w:r>
              <w:rPr>
                <w:sz w:val="20"/>
              </w:rPr>
              <w:t>频段，具备≥200组频道 PLL 数字锁定自动通讯功能；</w:t>
            </w:r>
          </w:p>
          <w:p>
            <w:pPr>
              <w:pStyle w:val="null3"/>
              <w:jc w:val="left"/>
            </w:pPr>
            <w:r>
              <w:rPr>
                <w:sz w:val="20"/>
              </w:rPr>
              <w:t>4.</w:t>
            </w:r>
            <w:r>
              <w:rPr>
                <w:sz w:val="20"/>
              </w:rPr>
              <w:t>支持红外线自动对频；</w:t>
            </w:r>
          </w:p>
          <w:p>
            <w:pPr>
              <w:pStyle w:val="null3"/>
              <w:jc w:val="left"/>
            </w:pPr>
            <w:r>
              <w:rPr>
                <w:sz w:val="20"/>
              </w:rPr>
              <w:t>5.</w:t>
            </w:r>
            <w:r>
              <w:rPr>
                <w:sz w:val="20"/>
              </w:rPr>
              <w:t>配备显示屏幕，可展示频率、频道、静噪、电平等运行信息；</w:t>
            </w:r>
          </w:p>
          <w:p>
            <w:pPr>
              <w:pStyle w:val="null3"/>
              <w:jc w:val="left"/>
            </w:pPr>
            <w:r>
              <w:rPr>
                <w:sz w:val="20"/>
              </w:rPr>
              <w:t>6.</w:t>
            </w:r>
            <w:r>
              <w:rPr>
                <w:sz w:val="20"/>
              </w:rPr>
              <w:t>各通道独立音量调节；</w:t>
            </w:r>
          </w:p>
          <w:p>
            <w:pPr>
              <w:pStyle w:val="null3"/>
              <w:jc w:val="left"/>
            </w:pPr>
            <w:r>
              <w:rPr>
                <w:sz w:val="20"/>
              </w:rPr>
              <w:t>7.</w:t>
            </w:r>
            <w:r>
              <w:rPr>
                <w:sz w:val="20"/>
              </w:rPr>
              <w:t>音频输出配置独立 XLR 接口分路输出，同时设有混合输出接口；</w:t>
            </w:r>
          </w:p>
          <w:p>
            <w:pPr>
              <w:pStyle w:val="null3"/>
              <w:jc w:val="left"/>
            </w:pPr>
            <w:r>
              <w:rPr>
                <w:sz w:val="20"/>
              </w:rPr>
              <w:t>8.</w:t>
            </w:r>
            <w:r>
              <w:rPr>
                <w:sz w:val="20"/>
              </w:rPr>
              <w:t>接收机为一拖二制式，单台接收机可搭配两支无线拾音话筒使用</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功放</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标准 2U 机柜结构，配备≥2.8寸彩色显示屏，搭配旋转编码器操控；各路音源配置独立音量按键，操作界面简洁，具备防误操作设计；</w:t>
            </w:r>
          </w:p>
          <w:p>
            <w:pPr>
              <w:pStyle w:val="null3"/>
              <w:jc w:val="left"/>
            </w:pPr>
            <w:r>
              <w:rPr>
                <w:sz w:val="20"/>
              </w:rPr>
              <w:t>2.</w:t>
            </w:r>
            <w:r>
              <w:rPr>
                <w:sz w:val="20"/>
              </w:rPr>
              <w:t>设有2路≥6.3mm话筒输入通道，通道音量独立可调，配备输入灵敏度调节旋钮；话筒信号自带混响处理功能，支持10段数字均衡调控；</w:t>
            </w:r>
          </w:p>
          <w:p>
            <w:pPr>
              <w:pStyle w:val="null3"/>
              <w:jc w:val="left"/>
            </w:pPr>
            <w:r>
              <w:rPr>
                <w:sz w:val="20"/>
              </w:rPr>
              <w:t>3.</w:t>
            </w:r>
            <w:r>
              <w:rPr>
                <w:sz w:val="20"/>
              </w:rPr>
              <w:t>设备后置配备2路平衡话筒输入，独立音量可调并内置混响效果；该两路平衡话筒与≥6.3mm话筒共用一套10段数字均衡，可通过开关切换 48V 幻象电源，适配会议手拉手麦克风，支持输入灵敏度调节；</w:t>
            </w:r>
          </w:p>
          <w:p>
            <w:pPr>
              <w:pStyle w:val="null3"/>
              <w:jc w:val="left"/>
            </w:pPr>
            <w:r>
              <w:rPr>
                <w:sz w:val="20"/>
              </w:rPr>
              <w:t>4.</w:t>
            </w:r>
            <w:r>
              <w:rPr>
                <w:sz w:val="20"/>
              </w:rPr>
              <w:t>配置 3 路音频线路输入，各路音量独立调节，搭载 10 段数字均衡；设有 1 路立体声线路输出；</w:t>
            </w:r>
          </w:p>
          <w:p>
            <w:pPr>
              <w:pStyle w:val="null3"/>
              <w:jc w:val="left"/>
            </w:pPr>
            <w:r>
              <w:rPr>
                <w:sz w:val="20"/>
              </w:rPr>
              <w:t>5.</w:t>
            </w:r>
            <w:r>
              <w:rPr>
                <w:sz w:val="20"/>
              </w:rPr>
              <w:t>可实现 3 路线路输入、4 路话筒输入、MP3 / 蓝牙音源混合输出；全部音源混音后内置多类预设音效，包含标准、流行、摇滚、爵士、古典、乡村等模式；</w:t>
            </w:r>
          </w:p>
          <w:p>
            <w:pPr>
              <w:pStyle w:val="null3"/>
              <w:jc w:val="left"/>
            </w:pPr>
            <w:r>
              <w:rPr>
                <w:sz w:val="20"/>
              </w:rPr>
              <w:t>6.</w:t>
            </w:r>
            <w:r>
              <w:rPr>
                <w:sz w:val="20"/>
              </w:rPr>
              <w:t>支持蓝牙音频播放、本地 MP3 播放，兼容 USB、MICRO SD 存储卡读取，音源音量独立可调，配备专属 10 段数字均衡及多种预设音效；</w:t>
            </w:r>
          </w:p>
          <w:p>
            <w:pPr>
              <w:pStyle w:val="null3"/>
              <w:jc w:val="left"/>
            </w:pPr>
            <w:r>
              <w:rPr>
                <w:sz w:val="20"/>
              </w:rPr>
              <w:t>7.</w:t>
            </w:r>
            <w:r>
              <w:rPr>
                <w:sz w:val="20"/>
              </w:rPr>
              <w:t>屏幕背光时长自定义设置，可选常亮；</w:t>
            </w:r>
          </w:p>
          <w:p>
            <w:pPr>
              <w:pStyle w:val="null3"/>
              <w:jc w:val="left"/>
            </w:pPr>
            <w:r>
              <w:rPr>
                <w:sz w:val="20"/>
              </w:rPr>
              <w:t>8.8</w:t>
            </w:r>
            <w:r>
              <w:rPr>
                <w:sz w:val="20"/>
              </w:rPr>
              <w:t>Ω负载输出条件下信噪比≥75dB；</w:t>
            </w:r>
          </w:p>
          <w:p>
            <w:pPr>
              <w:pStyle w:val="null3"/>
              <w:jc w:val="left"/>
            </w:pPr>
            <w:r>
              <w:rPr>
                <w:sz w:val="20"/>
              </w:rPr>
              <w:t>9.</w:t>
            </w:r>
            <w:r>
              <w:rPr>
                <w:sz w:val="20"/>
              </w:rPr>
              <w:t>适配工作电源：交流 220V，频率 50-60Hz。</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11</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扩音音箱</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箱体结构：采用倒相式低频辐射的二分频全频系统</w:t>
            </w:r>
          </w:p>
          <w:p>
            <w:pPr>
              <w:pStyle w:val="null3"/>
              <w:jc w:val="left"/>
            </w:pPr>
            <w:r>
              <w:rPr>
                <w:sz w:val="20"/>
              </w:rPr>
              <w:t>2.</w:t>
            </w:r>
            <w:r>
              <w:rPr>
                <w:sz w:val="20"/>
              </w:rPr>
              <w:t>箱体工艺：木质箱体，表面黑色水性油漆喷涂处理；配置带孔金属网罩，网罩背部粘贴声学透声棉</w:t>
            </w:r>
          </w:p>
          <w:p>
            <w:pPr>
              <w:pStyle w:val="null3"/>
              <w:jc w:val="left"/>
            </w:pPr>
            <w:r>
              <w:rPr>
                <w:sz w:val="20"/>
              </w:rPr>
              <w:t>3.</w:t>
            </w:r>
            <w:r>
              <w:rPr>
                <w:sz w:val="20"/>
              </w:rPr>
              <w:t>单元配置：高效高质量发声单元配置，支持悬挂安装</w:t>
            </w:r>
          </w:p>
          <w:p>
            <w:pPr>
              <w:pStyle w:val="null3"/>
              <w:jc w:val="left"/>
            </w:pPr>
            <w:r>
              <w:rPr>
                <w:sz w:val="20"/>
              </w:rPr>
              <w:t>4.</w:t>
            </w:r>
            <w:r>
              <w:rPr>
                <w:sz w:val="20"/>
              </w:rPr>
              <w:t>单元组成：1只≥8英寸低音单元+1只≥1英寸高音单元+号角</w:t>
            </w:r>
          </w:p>
          <w:p>
            <w:pPr>
              <w:pStyle w:val="null3"/>
              <w:jc w:val="left"/>
            </w:pPr>
            <w:r>
              <w:rPr>
                <w:sz w:val="20"/>
              </w:rPr>
              <w:t>5.</w:t>
            </w:r>
            <w:r>
              <w:rPr>
                <w:sz w:val="20"/>
              </w:rPr>
              <w:t>频响范围（-3dB）：65Hz～18000Hz</w:t>
            </w:r>
          </w:p>
          <w:p>
            <w:pPr>
              <w:pStyle w:val="null3"/>
              <w:jc w:val="left"/>
            </w:pPr>
            <w:r>
              <w:rPr>
                <w:sz w:val="20"/>
              </w:rPr>
              <w:t>6.</w:t>
            </w:r>
            <w:r>
              <w:rPr>
                <w:sz w:val="20"/>
              </w:rPr>
              <w:t>灵敏度（1m/1W）：≥97dB</w:t>
            </w:r>
          </w:p>
          <w:p>
            <w:pPr>
              <w:pStyle w:val="null3"/>
              <w:jc w:val="left"/>
            </w:pPr>
            <w:r>
              <w:rPr>
                <w:sz w:val="20"/>
              </w:rPr>
              <w:t>7.</w:t>
            </w:r>
            <w:r>
              <w:rPr>
                <w:sz w:val="20"/>
              </w:rPr>
              <w:t>最大声压级：≥118dB</w:t>
            </w:r>
          </w:p>
          <w:p>
            <w:pPr>
              <w:pStyle w:val="null3"/>
              <w:jc w:val="left"/>
            </w:pPr>
            <w:r>
              <w:rPr>
                <w:sz w:val="20"/>
              </w:rPr>
              <w:t>8.</w:t>
            </w:r>
            <w:r>
              <w:rPr>
                <w:sz w:val="20"/>
              </w:rPr>
              <w:t>输入阻抗：8Ω</w:t>
            </w:r>
          </w:p>
          <w:p>
            <w:pPr>
              <w:pStyle w:val="null3"/>
              <w:jc w:val="left"/>
            </w:pPr>
            <w:r>
              <w:rPr>
                <w:sz w:val="20"/>
              </w:rPr>
              <w:t>9.</w:t>
            </w:r>
            <w:r>
              <w:rPr>
                <w:sz w:val="20"/>
              </w:rPr>
              <w:t>额定功率：≥150W</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音频线路</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音频输入，音箱线路、卡农线等</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13</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24</w:t>
            </w:r>
            <w:r>
              <w:rPr>
                <w:sz w:val="20"/>
              </w:rPr>
              <w:t>口千兆交换机</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汇聚交换机|三层|全管理|交换容量672Gbps/6.72Tbps|包转发率171Mpps/256Mpps|下行24个GE电口+上行4个10GE光口|监控带机量400|终端带机量800|机架款</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14</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24</w:t>
            </w:r>
            <w:r>
              <w:rPr>
                <w:sz w:val="20"/>
              </w:rPr>
              <w:t>口交换机</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汇聚交换机|三层|全管理|交换容量758Gbps/7.58Tbps|包转发率222Mpps/333Mpps|下行48个GE电口+上行4个10GE光口|监控带机量400|终端带机量800|机架款</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万兆光模块</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万兆光模块0SX010000</w:t>
            </w:r>
          </w:p>
          <w:p>
            <w:pPr>
              <w:pStyle w:val="null3"/>
              <w:jc w:val="left"/>
            </w:pPr>
            <w:r>
              <w:rPr>
                <w:sz w:val="20"/>
              </w:rPr>
              <w:t>光模块-SFP+-10G-单模模块(1310nm,10km,LC)</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16</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光纤跳线</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名称:光纤跳线</w:t>
            </w:r>
          </w:p>
          <w:p>
            <w:pPr>
              <w:pStyle w:val="null3"/>
              <w:jc w:val="left"/>
            </w:pPr>
            <w:r>
              <w:rPr>
                <w:sz w:val="20"/>
              </w:rPr>
              <w:t>2.</w:t>
            </w:r>
            <w:r>
              <w:rPr>
                <w:sz w:val="20"/>
              </w:rPr>
              <w:t>类别:单模光纤跳线</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条</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17</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稳压电源</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输入电压:280V~430V(三相四线制)</w:t>
            </w:r>
          </w:p>
          <w:p>
            <w:pPr>
              <w:pStyle w:val="null3"/>
              <w:jc w:val="left"/>
            </w:pPr>
            <w:r>
              <w:rPr>
                <w:sz w:val="20"/>
              </w:rPr>
              <w:t>输出电压:相电压220V土4%频率:50/60Hz/线电压380V土4%(三相四线制)</w:t>
            </w:r>
          </w:p>
          <w:p>
            <w:pPr>
              <w:pStyle w:val="null3"/>
              <w:jc w:val="left"/>
            </w:pPr>
            <w:r>
              <w:rPr>
                <w:sz w:val="20"/>
              </w:rPr>
              <w:t>调整时间:≤6S[当输入电压变化20V时]</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配线架</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1.</w:t>
            </w:r>
            <w:r>
              <w:rPr>
                <w:sz w:val="20"/>
              </w:rPr>
              <w:t>名称:配线架</w:t>
            </w:r>
          </w:p>
          <w:p>
            <w:pPr>
              <w:pStyle w:val="null3"/>
              <w:jc w:val="left"/>
            </w:pPr>
            <w:r>
              <w:rPr>
                <w:sz w:val="20"/>
              </w:rPr>
              <w:t>2.</w:t>
            </w:r>
            <w:r>
              <w:rPr>
                <w:sz w:val="20"/>
              </w:rPr>
              <w:t>规格:50/24理线架</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16</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19</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安装系统</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4</w:t>
            </w:r>
            <w:r>
              <w:rPr>
                <w:sz w:val="20"/>
              </w:rPr>
              <w:t>个电脑室云系统搭建、系统版本搭建，网络环境搭建、培训</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项</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20</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千兆网络线材</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千兆网络线材</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箱</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21</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4</w:t>
            </w:r>
            <w:r>
              <w:rPr>
                <w:sz w:val="20"/>
              </w:rPr>
              <w:t>平方电源线</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4</w:t>
            </w:r>
            <w:r>
              <w:rPr>
                <w:sz w:val="20"/>
              </w:rPr>
              <w:t>平方电源线路，三相线路均匀分3组含地线供电线路</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项</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22</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3+2+3</w:t>
            </w:r>
            <w:r>
              <w:rPr>
                <w:sz w:val="20"/>
              </w:rPr>
              <w:t>插座含安装</w:t>
            </w:r>
          </w:p>
        </w:tc>
        <w:tc>
          <w:tcPr>
            <w:tcW w:type="dxa" w:w="4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电源线及3+2+3插座含安装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216</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r>
    </w:tbl>
    <w:p>
      <w:pPr>
        <w:pStyle w:val="null3"/>
      </w:pPr>
      <w:r>
        <w:rPr>
          <w:b/>
        </w:rPr>
        <w:t>三</w:t>
      </w:r>
      <w:r>
        <w:rPr>
          <w:b/>
        </w:rPr>
        <w:t>、项目实施要求</w:t>
      </w:r>
    </w:p>
    <w:p>
      <w:pPr>
        <w:pStyle w:val="null3"/>
      </w:pPr>
      <w:r>
        <w:rPr/>
        <w:t>1、实施内容要求</w:t>
      </w:r>
    </w:p>
    <w:p>
      <w:pPr>
        <w:pStyle w:val="null3"/>
      </w:pPr>
      <w:r>
        <w:rPr/>
        <w:t>产品除保证各项指标和性能符合招标要求以外，还应具备高兼容性、可靠性、稳定性、可扩展性；同时体现出系统功能的高度集成和管理的统一和操作上的自动化。</w:t>
      </w:r>
    </w:p>
    <w:p>
      <w:pPr>
        <w:pStyle w:val="null3"/>
      </w:pPr>
      <w:r>
        <w:rPr/>
        <w:t>2、实施进度控制要求</w:t>
      </w:r>
    </w:p>
    <w:p>
      <w:pPr>
        <w:pStyle w:val="null3"/>
      </w:pPr>
      <w:r>
        <w:rPr/>
        <w:t>投标人应根据本项目情况制定进度控制措施（包括但不限于各阶段的工作内容、工作程序、持续时间和衔接关系编制计划）；将该计划付诸实施，在实施的过程中检查实际进度是否按计划要求进行，对出现的偏差分析原因，采取补救措施、修改原计划，直至完成项目实施及验收，交付使用。</w:t>
      </w:r>
    </w:p>
    <w:p>
      <w:pPr>
        <w:pStyle w:val="null3"/>
      </w:pPr>
      <w:r>
        <w:rPr/>
        <w:t>3、安全、文明实施管理的要求</w:t>
      </w:r>
    </w:p>
    <w:p>
      <w:pPr>
        <w:pStyle w:val="null3"/>
      </w:pPr>
      <w:r>
        <w:rPr/>
        <w:t>投标人应明确实施安全生产目标及文明施工目标，并对本项目安全实施做出分析、计划和控制。</w:t>
      </w:r>
    </w:p>
    <w:p>
      <w:pPr>
        <w:pStyle w:val="null3"/>
      </w:pPr>
      <w:r>
        <w:rPr/>
        <w:t>4、具有完善的质量管理体系、职业健康安全管理体系、环境管理体系或获得以上认证证书。</w:t>
      </w:r>
    </w:p>
    <w:p>
      <w:pPr>
        <w:pStyle w:val="null3"/>
      </w:pPr>
      <w:r>
        <w:rPr/>
        <w:t>5、投标人应提供项目实施方案，包括但不限于实施技术及程序、工作重点、难点及其解决措施、人员安排、进度计划、工期保证措施、安全文明保证措施等方案以及与采购人的协调等内容。</w:t>
      </w:r>
    </w:p>
    <w:p>
      <w:pPr>
        <w:pStyle w:val="null3"/>
      </w:pPr>
      <w:r>
        <w:rPr>
          <w:b/>
        </w:rPr>
        <w:t>四</w:t>
      </w:r>
      <w:r>
        <w:rPr>
          <w:b/>
        </w:rPr>
        <w:t>、安装调试及技术服务要求</w:t>
      </w:r>
    </w:p>
    <w:p>
      <w:pPr>
        <w:pStyle w:val="null3"/>
      </w:pPr>
      <w:r>
        <w:rPr/>
        <w:t>1、所供设备和材料中标人必须送货上门和负责安装调试。</w:t>
      </w:r>
    </w:p>
    <w:p>
      <w:pPr>
        <w:pStyle w:val="null3"/>
      </w:pPr>
      <w:r>
        <w:rPr/>
        <w:t>2、中标人应当依照招标文件的要求和投标文件的承诺，将设备、安装并调试至正常运行的最佳状态。</w:t>
      </w:r>
    </w:p>
    <w:p>
      <w:pPr>
        <w:pStyle w:val="null3"/>
      </w:pPr>
      <w:r>
        <w:rPr/>
        <w:t>3、中标人应将关键主机设备的用户手册、保修手册、有关单证资料及配备件、随机工具等交付给采购人，使用操作及安全须知等重要资料应附有中文说明。</w:t>
      </w:r>
    </w:p>
    <w:p>
      <w:pPr>
        <w:pStyle w:val="null3"/>
      </w:pPr>
      <w:r>
        <w:rPr/>
        <w:t>4、投标人应保证仪器设备在不需要增配未列出配件（特别指出的除外）的前提下货物功能、技术标准能够达到招标文件的要求，而无须再增配未列出的配件；如中标人所提供的产品需要增配配件才能达到要求的，所增配的配件须由中标人免费提供。</w:t>
      </w:r>
    </w:p>
    <w:p>
      <w:pPr>
        <w:pStyle w:val="null3"/>
      </w:pPr>
      <w:r>
        <w:rPr/>
        <w:t>5、技术服务能力要求：具有完善的信息系统服务能力或获得信息系统服务交付能力等级证书。</w:t>
      </w:r>
    </w:p>
    <w:p>
      <w:pPr>
        <w:pStyle w:val="null3"/>
      </w:pPr>
      <w:r>
        <w:rPr>
          <w:b/>
        </w:rPr>
        <w:t>五</w:t>
      </w:r>
      <w:r>
        <w:rPr>
          <w:b/>
        </w:rPr>
        <w:t>、质</w:t>
      </w:r>
      <w:r>
        <w:rPr>
          <w:b/>
        </w:rPr>
        <w:t>保期</w:t>
      </w:r>
      <w:r>
        <w:rPr>
          <w:b/>
        </w:rPr>
        <w:t>及售后服务要求</w:t>
      </w:r>
    </w:p>
    <w:p>
      <w:pPr>
        <w:pStyle w:val="null3"/>
      </w:pPr>
      <w:r>
        <w:rPr/>
        <w:t>1、验收合格后不少于3年，质保期内中标人必须负责提供设备原厂维修及更换原厂配件的售后服务。若中标人所投产品的制造商承诺的质保期长于本招标文件要求的3年，则以制造商承诺的质保期为准。质保期自项目最终验收合格之日起计算。</w:t>
      </w:r>
    </w:p>
    <w:p>
      <w:pPr>
        <w:pStyle w:val="null3"/>
      </w:pPr>
      <w:r>
        <w:rPr/>
        <w:t>2、质保期内中标人提供产品正常使用情况下的维修及保养服务，其中硬件在质保期内出现严重质量问题应无偿更换。</w:t>
      </w:r>
    </w:p>
    <w:p>
      <w:pPr>
        <w:pStyle w:val="null3"/>
      </w:pPr>
      <w:r>
        <w:rPr/>
        <w:t>3、质保期内，非采购人的人为原因而出现产品质量及安装问题，由中标人负责包修、包换或包退，并承担因此而产生的一切费用。</w:t>
      </w:r>
    </w:p>
    <w:p>
      <w:pPr>
        <w:pStyle w:val="null3"/>
      </w:pPr>
      <w:r>
        <w:rPr/>
        <w:t>4、所有货物质保服务方式均为中标人上门服务，即由中标人派员到货物使用现场维修，由此产生的一切费用均由中标人承担。</w:t>
      </w:r>
    </w:p>
    <w:p>
      <w:pPr>
        <w:pStyle w:val="null3"/>
      </w:pPr>
      <w:r>
        <w:rPr/>
        <w:t>5、质保期内非人为原因损坏、失效或已达到报废标准的零部件除无偿更换外，对更换上的零部件还应有3年的质保期。凡因产品质量问题，在质保期内若设备经检修后又在同一部件出现相同质量故障，可无偿更换同级别新设备部件。</w:t>
      </w:r>
    </w:p>
    <w:p>
      <w:pPr>
        <w:pStyle w:val="null3"/>
      </w:pPr>
      <w:r>
        <w:rPr/>
        <w:t>6、具有完善的售后服务体系或获得售后服务体系认证证书。</w:t>
      </w:r>
    </w:p>
    <w:p>
      <w:pPr>
        <w:pStyle w:val="null3"/>
      </w:pPr>
      <w:r>
        <w:rPr/>
        <w:t>7、培训要求：培训作为售后服务不可缺少的一部分，供应商须提供及时、有效的技术培训。具有完善的培训体系。①安装期培训：在安装工作开始前，供应商技术人员对各项仪器及系统安装步骤进行详细说明，采购人的技术人员将现场监督供应商完成所有的安装调试工作。②安装后培训：设备安装、调试完成以后，供应商须对采购人的系统管理人员、操作人员进行分类培训，达到具有判断各仪器、设备的运作是否正常的能力。对于所有培训，供应商应派出具有相应专业资格和实际工作经验的辅导人员进行培训。</w:t>
      </w:r>
    </w:p>
    <w:p>
      <w:pPr>
        <w:pStyle w:val="null3"/>
      </w:pPr>
      <w:r>
        <w:rPr/>
        <w:t>8、投标人应提供质保及售后服务方案。</w:t>
      </w:r>
    </w:p>
    <w:p>
      <w:pPr>
        <w:pStyle w:val="null3"/>
      </w:pPr>
      <w:r>
        <w:rPr>
          <w:b/>
        </w:rPr>
        <w:t>六</w:t>
      </w:r>
      <w:r>
        <w:rPr>
          <w:b/>
        </w:rPr>
        <w:t>、包装和运输要求</w:t>
      </w:r>
    </w:p>
    <w:p>
      <w:pPr>
        <w:pStyle w:val="null3"/>
      </w:pPr>
      <w:r>
        <w:rPr/>
        <w:t>1、中标人必须承担将所需物品运送到采购人指定地点过程中的全部费用，包括运输费、装卸费、搬运费、服务人员人身意外保险等费用均由中标人负责。</w:t>
      </w:r>
    </w:p>
    <w:p>
      <w:pPr>
        <w:pStyle w:val="null3"/>
      </w:pPr>
      <w:r>
        <w:rPr/>
        <w:t>2、供货应有详尽科学的进度计划安排，货物在运输过程中有任何损坏、丢失由中标人负责。</w:t>
      </w:r>
    </w:p>
    <w:p>
      <w:pPr>
        <w:pStyle w:val="null3"/>
      </w:pPr>
      <w:r>
        <w:rPr/>
        <w:t>3、货品的包装运输、装卸环节应有相应的质量保证与把控措施，中标人所供货品的包装应足以承受整个过程中的运输、转运、装卸、储存等，充分考虑到运输途中的各种情况（如暴露于恶劣气候等）和广东地区的气候特点，以及露天存放的需要。</w:t>
      </w:r>
    </w:p>
    <w:p>
      <w:pPr>
        <w:pStyle w:val="null3"/>
      </w:pPr>
      <w:r>
        <w:rPr/>
        <w:t>4、中标人所提供的项目内货品必须是全新的产品并且符合国家有关标准以及该产品的出厂标准。</w:t>
      </w:r>
    </w:p>
    <w:p>
      <w:pPr>
        <w:pStyle w:val="null3"/>
      </w:pPr>
      <w:r>
        <w:rPr/>
        <w:t>5、中标人在供货过程中发生质量事故，应及时报告采购人代表，一般事故送采购人备案，重大质量事故的处理方案应由双方共同研究再实施。</w:t>
      </w:r>
    </w:p>
    <w:p>
      <w:pPr>
        <w:pStyle w:val="null3"/>
      </w:pPr>
      <w:r>
        <w:rPr>
          <w:b/>
        </w:rPr>
        <w:t>七</w:t>
      </w:r>
      <w:r>
        <w:rPr>
          <w:b/>
        </w:rPr>
        <w:t>、</w:t>
      </w:r>
      <w:r>
        <w:rPr>
          <w:b/>
        </w:rPr>
        <w:t>服务</w:t>
      </w:r>
      <w:r>
        <w:rPr>
          <w:b/>
        </w:rPr>
        <w:t>质量保证措施</w:t>
      </w:r>
    </w:p>
    <w:p>
      <w:pPr>
        <w:pStyle w:val="null3"/>
      </w:pPr>
      <w:r>
        <w:rPr/>
        <w:t>1、中标人须保证货物是全新、未使用过的，并完全符合强制性的国家技术质量规范和合同规定的质量、规格、性能和技术规范等的要求。</w:t>
      </w:r>
    </w:p>
    <w:p>
      <w:pPr>
        <w:pStyle w:val="null3"/>
      </w:pPr>
      <w:r>
        <w:rPr/>
        <w:t>2、货物为全新的产品，无污染、无侵权行为、表面无划损、无任何缺陷隐患，在中国境内可依常规安全合法使用。</w:t>
      </w:r>
    </w:p>
    <w:p>
      <w:pPr>
        <w:pStyle w:val="null3"/>
      </w:pPr>
      <w:r>
        <w:rPr/>
        <w:t>3、货物为未启封全新包装，具出厂合格证，序列号、包装箱号与出厂批号一致，并可追溯查阅、防伪溯源。</w:t>
      </w:r>
    </w:p>
    <w:p>
      <w:pPr>
        <w:pStyle w:val="null3"/>
      </w:pPr>
      <w:r>
        <w:rPr/>
        <w:t>4、中标人须保证所提供的货物经正确安装、正常运转和保养，在其使用寿命期内须具有符合质量要求和产品说明书的性能。在货物质保期之内，中标人须对由于设计、工艺或材料的缺陷而发生的任何不足或故障负责。</w:t>
      </w:r>
    </w:p>
    <w:p>
      <w:pPr>
        <w:pStyle w:val="null3"/>
      </w:pPr>
      <w:r>
        <w:rPr/>
        <w:t>5、中标人免费为用户提供硬件设备操作、各项操作的培训服务，并向受训人员提供技术资料、参考材料、培训手册等。</w:t>
      </w:r>
    </w:p>
    <w:p>
      <w:pPr>
        <w:pStyle w:val="null3"/>
      </w:pPr>
      <w:r>
        <w:rPr/>
        <w:t>6、中标人履约全程（含货物质保期）均需指派固定的项目负责人承担与采购人的沟通协作工作，确保为采购人提供专业的服务。</w:t>
      </w:r>
    </w:p>
    <w:p>
      <w:pPr>
        <w:pStyle w:val="null3"/>
      </w:pPr>
      <w:r>
        <w:rPr/>
        <w:t>7、投标人应提供质量保证措施方案。</w:t>
      </w:r>
    </w:p>
    <w:p>
      <w:pPr>
        <w:pStyle w:val="null3"/>
      </w:pPr>
      <w:r>
        <w:rPr>
          <w:b/>
        </w:rPr>
        <w:t>八</w:t>
      </w:r>
      <w:r>
        <w:rPr>
          <w:b/>
        </w:rPr>
        <w:t>、技术人员配置要求</w:t>
      </w:r>
    </w:p>
    <w:p>
      <w:pPr>
        <w:pStyle w:val="null3"/>
      </w:pPr>
      <w:r>
        <w:rPr/>
        <w:t>投标人须为本项目配置专业、稳定的专项技术实施团队，项目核心人员配置至少包含项目经理、技术负责人、技术专家、专职技术人员等岗位，可全面保障项目实施、调试、交付及质保等全流程工作。所有派驻人员须具备本项目相关从业能力，专业背景、工作经验需覆盖信息系统、计算机网络、数据库、系统集成、系统分析规划、系统管理、架构设计、信息安全、电子技术、通信等相关技术领域，能够胜任对应岗位工作，保障项目顺利落地实施。</w:t>
      </w:r>
    </w:p>
    <w:p>
      <w:pPr>
        <w:pStyle w:val="null3"/>
      </w:pPr>
      <w:r>
        <w:rPr/>
        <w:t>项目实施期间，所有派驻人员须全程在岗履职，未经采购人同意，投标人不得擅自更换核心工作人员。采购人有权对派驻人员的专业能力、岗位适配度进行审核，对不符合项目建设要求的人员，可要求投标人无条件更换。投标人须保证团队人员配置充足、履职稳定，全力配合完成本项目全部建设工作。</w:t>
      </w:r>
    </w:p>
    <w:p>
      <w:pPr>
        <w:pStyle w:val="null3"/>
      </w:pPr>
      <w:r>
        <w:rPr>
          <w:b/>
        </w:rPr>
        <w:t>九</w:t>
      </w:r>
      <w:r>
        <w:rPr>
          <w:b/>
        </w:rPr>
        <w:t>、《资格条件承诺函》格式</w:t>
      </w:r>
    </w:p>
    <w:p>
      <w:pPr>
        <w:pStyle w:val="null3"/>
        <w:jc w:val="center"/>
      </w:pPr>
      <w:r>
        <w:rPr>
          <w:b/>
        </w:rPr>
        <w:t>资格条件承诺函</w:t>
      </w:r>
    </w:p>
    <w:p>
      <w:pPr>
        <w:pStyle w:val="null3"/>
      </w:pPr>
      <w:r>
        <w:rPr/>
        <w:t>我方（供应商名称）符合《中华人民共和国政府采购法》第二十二条第一款第（二）项、第（三）项、第（四）项、第（五）项规定条件，具体包括：</w:t>
      </w:r>
    </w:p>
    <w:p>
      <w:pPr>
        <w:pStyle w:val="null3"/>
      </w:pPr>
      <w:r>
        <w:rPr/>
        <w:t>1.具有良好的商业信誉和健全的财务会计制度；</w:t>
      </w:r>
    </w:p>
    <w:p>
      <w:pPr>
        <w:pStyle w:val="null3"/>
      </w:pPr>
      <w:r>
        <w:rPr/>
        <w:t>2.具有履行合同所必需的设备和专业技术能力；</w:t>
      </w:r>
    </w:p>
    <w:p>
      <w:pPr>
        <w:pStyle w:val="null3"/>
      </w:pPr>
      <w:r>
        <w:rPr/>
        <w:t>3.有依法缴纳税收和社会保障资金的良好记录；</w:t>
      </w:r>
    </w:p>
    <w:p>
      <w:pPr>
        <w:pStyle w:val="null3"/>
      </w:pPr>
      <w:r>
        <w:rPr/>
        <w:t>4.参加政府采购活动前三年内，在经营活动中没有重大违法记录。</w:t>
      </w:r>
    </w:p>
    <w:p>
      <w:pPr>
        <w:pStyle w:val="null3"/>
      </w:pPr>
      <w:r>
        <w:rPr/>
        <w:t>我方对上述承诺内容的真实性、合法性和有效性负责，如有虚假承诺的，接受按照政府采购相关规定进行处理，并依法承担相应法律责任。</w:t>
      </w:r>
    </w:p>
    <w:p>
      <w:pPr>
        <w:pStyle w:val="null3"/>
      </w:pPr>
      <w:r>
        <w:rPr/>
        <w:t>特此承诺。</w:t>
      </w:r>
    </w:p>
    <w:p>
      <w:pPr>
        <w:pStyle w:val="null3"/>
        <w:jc w:val="right"/>
      </w:pPr>
      <w:r>
        <w:rPr/>
        <w:t>供应商名称（公章）</w:t>
      </w:r>
    </w:p>
    <w:p>
      <w:pPr>
        <w:pStyle w:val="null3"/>
        <w:jc w:val="right"/>
      </w:pPr>
      <w:r>
        <w:rPr/>
        <w:t>年   月   日</w:t>
      </w:r>
    </w:p>
    <w:p>
      <w:pPr>
        <w:pStyle w:val="null3"/>
      </w:pPr>
      <w:r>
        <w:rPr/>
        <w:t>采购包1（东莞市水乡未来学校云终端设备采购项目）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接到采购人通知后30个自然日内完成供货、安装、调试及验收工作。</w:t>
            </w:r>
          </w:p>
        </w:tc>
      </w:tr>
      <w:tr>
        <w:tc>
          <w:tcPr>
            <w:tcW w:type="dxa" w:w="4153"/>
          </w:tcPr>
          <w:p>
            <w:pPr>
              <w:pStyle w:val="null3"/>
            </w:pPr>
            <w:r>
              <w:rPr/>
              <w:t>标的提供的地点</w:t>
            </w:r>
          </w:p>
        </w:tc>
        <w:tc>
          <w:tcPr>
            <w:tcW w:type="dxa" w:w="4153"/>
          </w:tcPr>
          <w:p>
            <w:pPr>
              <w:pStyle w:val="null3"/>
            </w:pPr>
            <w:r>
              <w:rPr/>
              <w:t>东莞市水乡未来学校。</w:t>
            </w:r>
          </w:p>
        </w:tc>
      </w:tr>
      <w:tr>
        <w:tc>
          <w:tcPr>
            <w:tcW w:type="dxa" w:w="4153"/>
          </w:tcPr>
          <w:p>
            <w:pPr>
              <w:pStyle w:val="null3"/>
            </w:pPr>
            <w:r>
              <w:rPr/>
              <w:t>付款方式</w:t>
            </w:r>
          </w:p>
        </w:tc>
        <w:tc>
          <w:tcPr>
            <w:tcW w:type="dxa" w:w="4153"/>
          </w:tcPr>
          <w:p>
            <w:pPr>
              <w:pStyle w:val="null3"/>
            </w:pPr>
            <w:r>
              <w:rPr/>
              <w:t>1期：支付比例30%,合同签订后，采购人向中标人支付合同总价30%；</w:t>
            </w:r>
          </w:p>
          <w:p>
            <w:pPr>
              <w:pStyle w:val="null3"/>
            </w:pPr>
            <w:r>
              <w:rPr/>
              <w:t>2期：支付比例40%,货物到货后，采购人向中标人支付合同总价的 40%；</w:t>
            </w:r>
          </w:p>
          <w:p>
            <w:pPr>
              <w:pStyle w:val="null3"/>
            </w:pPr>
            <w:r>
              <w:rPr/>
              <w:t>3期：支付比例30%,项目验收合格后，采购人向中标人支付合同总价的30%（①供应商收取款项时必须出具合法的票据，否则采购人有权拒绝付款。②采购人应在上述规定时间内向供应商支付款项，如无正当理由未按时付款，供应商有权顺延工期。③合同款支付程序如按照东莞市财政支付程序支付，则约定的付款期限为采购人莞市财政提交资料的期限，东莞市财政的审批期限不纳入采购方承诺期限内。如果中标人怠于或者拒绝提供资料或者办理手续等中标人原因导致的付款迟延，责任全部由中标人承担，采购人不以违约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本项目由采购人作为验收主体，依据用户需求书及合同相关约定，自行组织验收部门成立专项验收小组全权负责本项目验收工作，严格按照国家相关规定与规范开展验收，必要时可邀请外部专业人员或第三方权威机构共同参与验收评定，保障验收工作严谨合规、客观公正。 2.验收内容：验收范围涵盖本项目全部供货货物、配套材料、设备安装、系统调试及相关技术服务等全部内容，同步审查中标人是否完整交付全部产品、提交全套完整技术资料，核查所有设备是否具备正规产品合格证，逐项核实货物技术参数、使用性能是否符合招标文件及合同要求，全面排查设备外观、质量及使用隐患。 3.验收标准：项目验收严格执行标准化判定原则，货物有国家强制及现行标准的按照国家标准进行验收，无国家标准的品类统一依照对应行业通用标准执行；所有供货货物须为原制造商全新原厂产品，整机无污染、无知识产权侵权问题，设备表面无划痕破损、无任何缺陷及安全隐患，确保所有产品可在国内常规环境下安全、合法、稳定投入使用。 4.验收时间：待中标人完成全部货物供货、现场安装及系统调试工作后，可正式向采购人提交书面验收申请，采购人在收到验收申请当日起 10 日内组织开展集中验收；经双方现场检验核实、项目整体验收合格并共同签署验收报告后，正式计算项目质保周期，同时由中标人同步提交完整产品保修文件备案留存。 5.验收程序：中标人履约完毕并整理齐全各类技术资料、合格证明文件后，向采购人发起验收申请；验收小组在现场逐项清点设备、核验资料、测试系统整体运行效果，在全部满足合同供货要求、技术指标达标且持有产品合格证的前提下，由采购人依法签发正式货物验收报告；若履约期间产生货物质量争议，统一交由广东省或东莞市质量技术监督部门开展专业质量鉴定，依据鉴定结果明确鉴定费用承担主体。 6.验收方式：采用资料审核与现场实地查验、设备实操运行测试相结合的方式开展验收，验收小组对照采购需求及合同条款逐项比对产品配置与技术性能，结合国家及行业标准综合判定项目履约质量；针对难以现场判定的专业技术及质量问题，可委托专业机构开展检测鉴定，严格依据鉴定结论及合格判定条件，综合确定项目验收结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采购需求中所有列出的相关货物技术要求均不是唯一指定，仅作参考，即投标人可就货物提出替代标准，只要投标人提供的货物满足采购人的功能要求、相当于(或优于)规定的货物品质和性能等技术参数要求，并提供满足本采购文件要求的证明材料，则视为合格。本需求书中涉及所有产品的参数允许出现合理范围内的偏差（±5%），设备辅助材料等按实际情况实施，不再另行增加费用，若不能满足采购人的使用要求，应根据采购人的实际需求进行调整并满足现场安装的需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报价应包含完成本项目所需的全部货物供应、运输、装卸、安装、调试、布线、配管、开槽、开挖、恢复、辅材购置、配套辅助设备、系统联调、验收、培训及售后服务等全部工作，所需一切人工、辅材、机械、措施及税费、保险等均包含在投标总价中，售后服务费及合同实施过程中的应预见和不可预见费用等完成合同规定责任和义务、达到合同目的的一切费用均包含。采购人不再另行支付任何费用（提供承诺函并加盖供应商公章，格式自拟）。</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货物质量要求</w:t>
            </w:r>
          </w:p>
        </w:tc>
        <w:tc>
          <w:tcPr>
            <w:tcW w:type="dxa" w:w="2076"/>
          </w:tcPr>
          <w:p>
            <w:pPr>
              <w:pStyle w:val="null3"/>
              <w:jc w:val="left"/>
            </w:pPr>
            <w:r>
              <w:rPr/>
              <w:t>1.投标人必须承诺，采购人有权核实中标人所投产品参数与功能情况（投标人需提供相应证明由采购人进行核实），如出现与投标文件响应存在差异或虚假响应的情况，采购人有权要求中标人按投标文件响应的情况重新供货，如未按期（由双方确认为准）重新供货的，采购人将上报市政府采购监管部门进行处理，由此导致项目中整批货物被拒收和索赔引发的所有损失，由中标人负责。2.为确保产品质量和售后服务，投标人必须承诺说明所供的所有货物是厂家的正规产品及保证采购单位采购的货物和服务能够同时享受产品制造商提供的售后服务，投标人须承诺在中标公告发布后3个工作日内提交产品制造商的售后服务说明函。（提供承诺函并加盖供应商公章，格式自拟）</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3C产品认证</w:t>
            </w:r>
          </w:p>
        </w:tc>
        <w:tc>
          <w:tcPr>
            <w:tcW w:type="dxa" w:w="2076"/>
          </w:tcPr>
          <w:p>
            <w:pPr>
              <w:pStyle w:val="null3"/>
              <w:jc w:val="left"/>
            </w:pPr>
            <w:r>
              <w:rPr/>
              <w:t>如本项目响应的产品属于中国国家强制性产品认证(CCC)产品的，投标人须在投标文件中承诺在交货时能提供对应产品具有中国国家强制性产品认证(CCC)证书。（提供承诺函并加盖供应商公章，格式自拟）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强制节能产品认证要求</w:t>
            </w:r>
          </w:p>
        </w:tc>
        <w:tc>
          <w:tcPr>
            <w:tcW w:type="dxa" w:w="2076"/>
          </w:tcPr>
          <w:p>
            <w:pPr>
              <w:pStyle w:val="null3"/>
              <w:jc w:val="left"/>
            </w:pPr>
            <w:r>
              <w:rPr/>
              <w:t>本项目响应的产品属于《节能产品政府采购品目清单》范围中政府强制采购产品类别，投标人须在投标文件中提供国家确定的认证机构出具的、处于有效期之内的节能产品认证证书。（须提供证书复印件加盖投标人公章）</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工业产品生产许可证</w:t>
            </w:r>
          </w:p>
        </w:tc>
        <w:tc>
          <w:tcPr>
            <w:tcW w:type="dxa" w:w="2076"/>
          </w:tcPr>
          <w:p>
            <w:pPr>
              <w:pStyle w:val="null3"/>
              <w:jc w:val="left"/>
            </w:pPr>
            <w:r>
              <w:rPr/>
              <w:t>1、投标人所投货物及配件属于《实施工业产品生产许可证管理的产品目录》产品的，请投标人承诺在交货时提供对应货物厂商具有的有效的《全国工业产品生产许可证》。2、如有属生产许可证管理范围的产品，未随货提供有效许可证复印件的，视为不合格产品，采购人有权拒收且不承担延误责任。（提供承诺函并加盖供应商公章，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其他计算机</w:t>
            </w:r>
          </w:p>
        </w:tc>
        <w:tc>
          <w:tcPr>
            <w:tcW w:type="dxa" w:w="831"/>
          </w:tcPr>
          <w:p>
            <w:pPr>
              <w:pStyle w:val="null3"/>
              <w:jc w:val="left"/>
            </w:pPr>
            <w:r>
              <w:rPr/>
              <w:t>云终端设备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1,699,405.20</w:t>
            </w:r>
          </w:p>
        </w:tc>
        <w:tc>
          <w:tcPr>
            <w:tcW w:type="dxa" w:w="831"/>
          </w:tcPr>
          <w:p>
            <w:pPr>
              <w:pStyle w:val="null3"/>
              <w:jc w:val="right"/>
            </w:pPr>
            <w:r>
              <w:rPr/>
              <w:t>1,699,405.20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其他计算机</w:t>
            </w:r>
          </w:p>
        </w:tc>
        <w:tc>
          <w:tcPr>
            <w:tcW w:type="dxa" w:w="831"/>
          </w:tcPr>
          <w:p>
            <w:pPr>
              <w:pStyle w:val="null3"/>
              <w:jc w:val="left"/>
            </w:pPr>
            <w:r>
              <w:rPr/>
              <w:t>老师机备课用云终端</w:t>
            </w:r>
          </w:p>
        </w:tc>
        <w:tc>
          <w:tcPr>
            <w:tcW w:type="dxa" w:w="831"/>
          </w:tcPr>
          <w:p>
            <w:pPr>
              <w:pStyle w:val="null3"/>
              <w:jc w:val="left"/>
            </w:pPr>
            <w:r>
              <w:rPr/>
              <w:t>套</w:t>
            </w:r>
          </w:p>
        </w:tc>
        <w:tc>
          <w:tcPr>
            <w:tcW w:type="dxa" w:w="831"/>
          </w:tcPr>
          <w:p>
            <w:pPr>
              <w:pStyle w:val="null3"/>
              <w:jc w:val="right"/>
            </w:pPr>
            <w:r>
              <w:rPr/>
              <w:t>60.00</w:t>
            </w:r>
          </w:p>
        </w:tc>
        <w:tc>
          <w:tcPr>
            <w:tcW w:type="dxa" w:w="831"/>
          </w:tcPr>
          <w:p>
            <w:pPr>
              <w:pStyle w:val="null3"/>
              <w:jc w:val="right"/>
            </w:pPr>
            <w:r>
              <w:rPr/>
              <w:t>4,999.00</w:t>
            </w:r>
          </w:p>
        </w:tc>
        <w:tc>
          <w:tcPr>
            <w:tcW w:type="dxa" w:w="831"/>
          </w:tcPr>
          <w:p>
            <w:pPr>
              <w:pStyle w:val="null3"/>
              <w:jc w:val="right"/>
            </w:pPr>
            <w:r>
              <w:rPr/>
              <w:t>299,940.00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云终端设备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老师机备课用云终端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采购需求中带“△”符号的“△</w:t>
            </w:r>
            <w:r>
              <w:rPr>
                <w:sz w:val="20"/>
                <w:color w:val="000000"/>
              </w:rPr>
              <w:t>老师机备课用云终端</w:t>
            </w:r>
            <w:r>
              <w:rPr/>
              <w:t>”为采购的主要标的（核心产品），投标人应在《分项报价表》中清晰列明“货物名称、规格型号、品牌、产地、价格等”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1.采购代理机构：本项目是指广东易采项目管理有限公司，负责整个采购活动的组织，依法负责编制和发布招标文件，对招标文件拥有最终的解释权，不以任何身份出任评标委员会成员。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东莞市水乡未来学校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招标代理服务费以中标金额为计算基数，采用差额定率累进法计算。差额定率累进法计算费率表如下：中标金额100万元以下：货物类费率1.5%，服务类费率1.5%，工程类费率1.0%。中标金额100-500万元：货物类费率1.1%，服务类费率0.8%，工程类费率0.7%。中标金额500-1000万元：货物类费率0.8%，服务类费率0.45%，工程类费率0.55%。中标金额1000-5000万元：货物类费率0.5%，服务类费率0.25%，工程类费率0.35%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广东易采项目管理有限公司</w:t>
      </w:r>
      <w:r>
        <w:rPr/>
        <w:t>代收。具体操作要求详见</w:t>
      </w:r>
      <w:r>
        <w:rPr/>
        <w:t>广东易采项目管理有限公司</w:t>
      </w:r>
      <w:r>
        <w:rPr/>
        <w:t>有关指引，递交事宜请自行咨询</w:t>
      </w:r>
      <w:r>
        <w:rPr/>
        <w:t>广东易采项目管理有限公司</w:t>
      </w:r>
      <w:r>
        <w:rPr/>
        <w:t>；请各投标人在投标文件递交截止时间前按须知前附表规定的金额递交至</w:t>
      </w:r>
      <w:r>
        <w:rPr/>
        <w:t>广东易采项目管理有限公司</w:t>
      </w:r>
      <w:r>
        <w:rPr/>
        <w:t>，到账情况以开标时</w:t>
      </w:r>
      <w:r>
        <w:rPr/>
        <w:t>广东易采项目管理有限公司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广东易采项目管理有限公司网（http://www.easier-gd.com/）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广东易采项目管理有限公司网（http://www.easier-gd.com/）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巫先生</w:t>
      </w:r>
    </w:p>
    <w:p>
      <w:pPr>
        <w:pStyle w:val="null3"/>
        <w:ind w:firstLine="480"/>
      </w:pPr>
      <w:r>
        <w:rPr/>
        <w:t>电话：</w:t>
      </w:r>
      <w:r>
        <w:rPr/>
        <w:t>0769-22238188</w:t>
      </w:r>
    </w:p>
    <w:p>
      <w:pPr>
        <w:pStyle w:val="null3"/>
        <w:ind w:firstLine="480"/>
      </w:pPr>
      <w:r>
        <w:rPr/>
        <w:t>传真：</w:t>
      </w:r>
      <w:r>
        <w:rPr/>
        <w:t>/</w:t>
      </w:r>
    </w:p>
    <w:p>
      <w:pPr>
        <w:pStyle w:val="null3"/>
        <w:ind w:firstLine="480"/>
      </w:pPr>
      <w:r>
        <w:rPr/>
        <w:t>邮箱：</w:t>
      </w:r>
      <w:r>
        <w:rPr/>
        <w:t>1098188111@qq.com</w:t>
      </w:r>
    </w:p>
    <w:p>
      <w:pPr>
        <w:pStyle w:val="null3"/>
        <w:ind w:firstLine="480"/>
      </w:pPr>
      <w:r>
        <w:rPr/>
        <w:t>地址：</w:t>
      </w:r>
      <w:r>
        <w:rPr/>
        <w:t>广东省东莞市南城街道簪花路11号1单元901室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水乡未来学校云终端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广东易采项目管理有限公司</w:t>
      </w:r>
      <w:r>
        <w:rPr/>
        <w:t>统一对外发布。</w:t>
      </w:r>
    </w:p>
    <w:p>
      <w:pPr>
        <w:pStyle w:val="null3"/>
        <w:ind w:firstLine="480"/>
      </w:pPr>
      <w:r>
        <w:rPr/>
        <w:t>（2）对</w:t>
      </w:r>
      <w:r>
        <w:rPr/>
        <w:t>广东易采项目管理有限公司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采购包1（东莞市水乡未来学校云终端设备采购项目）：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采购包1（东莞市水乡未来学校云终端设备采购项目）：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提供投标截止日前6个月内任意1个月依法缴纳税收和社会保障资金的相关材料。如依法免税或不需要缴纳社会保障资金的，提供相应证明材料，或提供《资格条件承诺函》（按照招标文件格式）。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供应商必须具有良好的商业信誉和健全的财务会计制度（提供上一年度财务状况报告或基本开户行出具的资信证明），或提供《资格条件承诺函》（按照招标文件格式）。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按投标（响应）文件格式填报设备及专业技术能力情况，或提供《资格条件承诺函》（按照招标文件格式）。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采购包1（东莞市水乡未来学校云终端设备采购项目）：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投标报价要求</w:t>
            </w:r>
          </w:p>
        </w:tc>
        <w:tc>
          <w:tcPr>
            <w:tcW w:type="dxa" w:w="4238"/>
          </w:tcPr>
          <w:p>
            <w:pPr>
              <w:pStyle w:val="null3"/>
            </w:pPr>
            <w:r>
              <w:rPr/>
              <w:t>投标报价满足投标报价要求且投标方案为固定不可选择。</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3</w:t>
            </w:r>
          </w:p>
        </w:tc>
        <w:tc>
          <w:tcPr>
            <w:tcW w:type="dxa" w:w="3178"/>
          </w:tcPr>
          <w:p>
            <w:pPr>
              <w:pStyle w:val="null3"/>
            </w:pPr>
            <w:r>
              <w:rPr/>
              <w:t>投标文件的编制、签名和盖章</w:t>
            </w:r>
          </w:p>
        </w:tc>
        <w:tc>
          <w:tcPr>
            <w:tcW w:type="dxa" w:w="4238"/>
          </w:tcPr>
          <w:p>
            <w:pPr>
              <w:pStyle w:val="null3"/>
            </w:pPr>
            <w:r>
              <w:rPr/>
              <w:t>投标文件的编制、签名和盖章符合要求。</w:t>
            </w:r>
          </w:p>
        </w:tc>
      </w:tr>
      <w:tr>
        <w:tc>
          <w:tcPr>
            <w:tcW w:type="dxa" w:w="890"/>
          </w:tcPr>
          <w:p>
            <w:pPr>
              <w:pStyle w:val="null3"/>
            </w:pPr>
            <w:r>
              <w:rPr/>
              <w:t>4</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构成（如各种人工费、管理费、设备费、软件费、场地费用、培训费、风险责任金、工具器材、损耗品及材料、税费等）及佐证材料与报价合理性相关的说明、材料。评审委员会应当结合同类项目服务价格、该行业当地薪资水平等情况，依据专业经验对报价合理性进行判断。如果投标（响应）供应商不提供书面说明、证明材料，或者提供的书面说明、证明材料不能证明其报价合理性的，应当将其作为无效投标（响应）处理。如果投标（响应）供应商提供的书面说明、证明材料能证明其报价合理性的，评审结果为通过。</w:t>
            </w:r>
          </w:p>
        </w:tc>
      </w:tr>
      <w:tr>
        <w:tc>
          <w:tcPr>
            <w:tcW w:type="dxa" w:w="890"/>
          </w:tcPr>
          <w:p>
            <w:pPr>
              <w:pStyle w:val="null3"/>
            </w:pPr>
            <w:r>
              <w:rPr/>
              <w:t>5</w:t>
            </w:r>
          </w:p>
        </w:tc>
        <w:tc>
          <w:tcPr>
            <w:tcW w:type="dxa" w:w="3178"/>
          </w:tcPr>
          <w:p>
            <w:pPr>
              <w:pStyle w:val="null3"/>
            </w:pPr>
            <w:r>
              <w:rPr/>
              <w:t>商务、技术审查</w:t>
            </w:r>
          </w:p>
        </w:tc>
        <w:tc>
          <w:tcPr>
            <w:tcW w:type="dxa" w:w="4238"/>
          </w:tcPr>
          <w:p>
            <w:pPr>
              <w:pStyle w:val="null3"/>
            </w:pPr>
            <w:r>
              <w:rPr/>
              <w:t>《商务条件响应表》和《技术和服务要求响应表》满足招标文件实质性要求，“★”条款满足招标文件要求。</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投标文件未含有采购人不能接受的附加条件。</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采购包1(东莞市水乡未来学校云终端设备采购项目):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重要技术规格偏离情况 (20.0分)</w:t>
            </w:r>
          </w:p>
        </w:tc>
        <w:tc>
          <w:tcPr>
            <w:tcW w:type="dxa" w:w="5076"/>
          </w:tcPr>
          <w:p>
            <w:pPr>
              <w:pStyle w:val="null3"/>
              <w:jc w:val="left"/>
            </w:pPr>
            <w:r>
              <w:rPr/>
              <w:t>根据投标人对采购需求中标注“▲”号的条款进行评分：每满足一项得2分，最高得20分。注：①用户需求书要求提供证明资料的，则投标文件中须提供对应产品参数的证明资料并加盖投标人公章。②用户需求书未要求提供证明资料的，则投标文件中须提供所投产品彩页或原厂商的官方技术白皮书（或产品说明书）或原厂商所作的技术参数说明或原厂商网站链接及网站产品说明的截图等详细技术资料或提供国家认可的第三方机构出具的检测报告并加盖投标人公章。③为了便于评审，建议在项目材料中框选标记清晰并说明对应的需求参数，必要时可增加文字说明便于评审专家理解，否则投标人自行承担不利后果。</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方案在能满足本项目用户需要的基础上，对实施技术及程序、工作重点、难点及其解决措施、人员安排、进度计划、工期保证措施、安全文明保证措施等方案以及与采购人的协调等内容的科学性、安全性、可行性、完整性进行评审：（1）投标人完整提供实施技术及程序、工作重点、难点及解决措施、人员安排、进度计划、工期保证措施、专项技术方案、安全文明保证措施、与采购人协调方案等全部内容。整体方案科学合理、逻辑思路清晰、内容体系全面完整，能够结合本项目实际情况针对性编制，各项工作规划细致周全、落地性强，可圆满完成本项目各项实施指标及采购需求，得10分；（2），投标人提供实施技术及程序、工作重点、难点及解决措施、人员安排、进度计划、工期保证措施、专项技术方案、安全文明保证措施、与采购人协调方案等全套实施方案。整体方案较为科学合理，思路较为清晰，内容较为全面，可结合项目实际情况编制，各项规划考虑较为周全，能够顺利完成本项目各项实施指标及采购需求，得7分；（3）具备完整的项目实施相关方案，涵盖实施技术及程序、重难点解决措施、人员安排、进度计划、工期保障、安全文明施工、供需双方协调等全部核心内容。方案整体科学合理性一般，规划思路、内容完整性中等，可基本结合项目实际情况编制，各项保障及实施举措基本到位，能够基本完成本项目各项实施指标，得4分；（4）投标人虽提供了相关项目实施方案，但整体规划不完善、科学性不足，方案思路模糊、内容缺漏较多、全面性欠缺，未结合项目实际情况细化编制，各项工作规划、保障措施表述简单笼统、细节缺失，进度及实施规划合理性差，难以保障项目高质量实施，得1分；（5）未提供相关方案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根据投标人提供的售后服务方案，评审范围包含故障响应、售后人员配置、质保期内外服务承诺、定期维保计划、备品备件保障、培训方案等内容进行评审： （1）售后服务方案完整规范，明确列明售后处理方式、标准化服务流程、技术人员配置及全程跟进机制；提供完整备品备件清单，明确各备件技术参数、用途及储备数量；制定专项应急维修响应机制，设置专职售后管理人员，全程跟进维修进度、记录服务台账，服务闭环体系完整，得10分； （2）售后服务方案包含完整的服务方式、处理流程、人员配置及跟进机制；提供完整备品备件清单及参数、用途说明，备件储备可满足项目售后需求；具备应急维修响应机制，配置专人跟进售后进度、留存服务记录，得7分； （3）售后服务方案列明基础服务方式、处理流程及人员跟进机制；备品备件清单内容完整，但储备数量有限；应急维修机制条款不全，仅覆盖基础故障处置场景，可完成基础售后跟进及记录工作，得4分； （4）售后服务方案未明确标准化服务流程、人员配置及跟进机制，服务条款模糊；备品备件清单参数、用途说明不清晰，备件储备不足；应急维修处置机制存在实质性缺项，无法保障高效售后处置，得1分； ⑤未提供相关方案得0分。</w:t>
            </w:r>
          </w:p>
        </w:tc>
      </w:tr>
      <w:tr>
        <w:tc>
          <w:tcPr>
            <w:tcW w:type="dxa" w:w="922"/>
            <w:gridSpan w:val="2"/>
            <w:vMerge/>
          </w:tcPr>
          <w:p/>
        </w:tc>
        <w:tc>
          <w:tcPr>
            <w:tcW w:type="dxa" w:w="2307"/>
          </w:tcPr>
          <w:p>
            <w:pPr>
              <w:pStyle w:val="null3"/>
              <w:jc w:val="left"/>
            </w:pPr>
            <w:r>
              <w:rPr/>
              <w:t>质量保证措施方案 (10.0分)</w:t>
            </w:r>
          </w:p>
        </w:tc>
        <w:tc>
          <w:tcPr>
            <w:tcW w:type="dxa" w:w="5076"/>
          </w:tcPr>
          <w:p>
            <w:pPr>
              <w:pStyle w:val="null3"/>
              <w:jc w:val="left"/>
            </w:pPr>
            <w:r>
              <w:rPr/>
              <w:t>根据投标人提供的服务质量保证措施（包括但不限于：包装运输、装卸、安装调试等环节的质量保证与把控措施）进行评审：（1）投标人提供完整、详实的全流程服务质量保证方案。货品包装方案规范严谨、防护措施齐全，货品标签标识清晰、规范统一；运输保障体系完善，运输时效管控能力强，可严格保障供货周期；装卸作业拥有标准化、科学可行的质量管控制度与操作规范；安装调试流程规范、质控措施全面落地。整体方案完全结合本项目实际工况、供货及施工需求编制，针对性极强，可全面满足本项目采购各项要求，得10分；（2）投标人提供完整的包装、运输、装卸、安装调试全流程质量保证方案。货品包装方案严谨合规，标签标识清晰完整；具备完善的运输保障措施，运输时效性较强；装卸、安装调试环节均制定了规范、有效的质量管控制度。方案可部分结合本项目实际情况编制，整体能够满足本项目全部采购需求，得7分；（3）投标人针对包装、运输、装卸、安装调试各环节均制定了对应的质量管控制度与保障措施，方案内容完整、无缺项，但未结合本项目实际场景、项目特点及采购要求进行针对性设计，通用性较强，仅能基本满足本项目采购基础需求，得4分；（4）投标人虽提供了包装、运输、装卸、安装调试相关质量保障内容，但方案内容空洞、措施不合理、操作性差、管控逻辑存在缺陷，质控制度不具备落地可行性，无法有效保障项目供货及安装质量，难以满足本项目采购需求，得1分；（5）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(15.0分)</w:t>
            </w:r>
          </w:p>
        </w:tc>
        <w:tc>
          <w:tcPr>
            <w:tcW w:type="dxa" w:w="5076"/>
          </w:tcPr>
          <w:p>
            <w:pPr>
              <w:pStyle w:val="null3"/>
              <w:jc w:val="left"/>
            </w:pPr>
            <w:r>
              <w:rPr/>
              <w:t>根据供应商具有的本项目采购清单中同类设备业绩或信息化类业绩进行评审，每提供一项得3分，满分15分。 注：须提供合同复印件加盖投标人公章。</w:t>
            </w:r>
          </w:p>
        </w:tc>
      </w:tr>
      <w:tr>
        <w:tc>
          <w:tcPr>
            <w:tcW w:type="dxa" w:w="922"/>
            <w:gridSpan w:val="2"/>
            <w:vMerge/>
          </w:tcPr>
          <w:p/>
        </w:tc>
        <w:tc>
          <w:tcPr>
            <w:tcW w:type="dxa" w:w="2307"/>
          </w:tcPr>
          <w:p>
            <w:pPr>
              <w:pStyle w:val="null3"/>
              <w:jc w:val="left"/>
            </w:pPr>
            <w:r>
              <w:rPr/>
              <w:t>拟投入本项目人员情况 (5.0分)</w:t>
            </w:r>
          </w:p>
        </w:tc>
        <w:tc>
          <w:tcPr>
            <w:tcW w:type="dxa" w:w="5076"/>
          </w:tcPr>
          <w:p>
            <w:pPr>
              <w:pStyle w:val="null3"/>
              <w:jc w:val="left"/>
            </w:pPr>
            <w:r>
              <w:rPr/>
              <w:t>拟投入的项目经理（仅1人）具有：具有由人力资源和社会保障部门（含原人事部门）或工业和信息化部门颁发的系统集成项目管理工程师证书，得5分。 注：①须提供上述人员的证书复印件；②须提供上述人员距开标当前月前6个月（不含开标当月）内任意1个月投标人为其购买的社保证明复印件。</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sz w:val="48"/>
          <w:b/>
        </w:rPr>
        <w:t>合　同　书</w:t>
      </w:r>
    </w:p>
    <w:p>
      <w:pPr>
        <w:pStyle w:val="null3"/>
      </w:pPr>
      <w:r>
        <w:rPr>
          <w:sz w:val="28"/>
        </w:rPr>
        <w:t>采购计划编号：</w:t>
      </w:r>
    </w:p>
    <w:p>
      <w:pPr>
        <w:pStyle w:val="null3"/>
        <w:spacing w:before="150" w:after="150"/>
      </w:pPr>
      <w:r>
        <w:rPr>
          <w:sz w:val="28"/>
        </w:rPr>
        <w:t>项目编号：</w:t>
      </w:r>
    </w:p>
    <w:p>
      <w:pPr>
        <w:pStyle w:val="null3"/>
        <w:spacing w:before="150" w:after="150"/>
      </w:pPr>
      <w:r>
        <w:rPr>
          <w:sz w:val="28"/>
        </w:rPr>
        <w:t>项目名称：</w:t>
      </w:r>
    </w:p>
    <w:p>
      <w:pPr>
        <w:pStyle w:val="null3"/>
      </w:pPr>
      <w:r>
        <w:rPr>
          <w:sz w:val="21"/>
          <w:b/>
        </w:rPr>
        <w:t>甲　　方：</w:t>
      </w:r>
    </w:p>
    <w:p>
      <w:pPr>
        <w:pStyle w:val="null3"/>
        <w:jc w:val="both"/>
      </w:pPr>
      <w:r>
        <w:rPr>
          <w:sz w:val="21"/>
        </w:rPr>
        <w:t>电　　话：　　传　　真：　　地　　址：</w:t>
      </w:r>
    </w:p>
    <w:p>
      <w:pPr>
        <w:pStyle w:val="null3"/>
        <w:jc w:val="both"/>
      </w:pPr>
      <w:r>
        <w:rPr>
          <w:sz w:val="21"/>
          <w:b/>
        </w:rPr>
        <w:t>乙　　方：</w:t>
      </w:r>
    </w:p>
    <w:p>
      <w:pPr>
        <w:pStyle w:val="null3"/>
        <w:jc w:val="both"/>
      </w:pPr>
      <w:r>
        <w:rPr>
          <w:sz w:val="21"/>
        </w:rPr>
        <w:t>电　　话：　　传　　真：　　地　　址：</w:t>
      </w:r>
    </w:p>
    <w:p>
      <w:pPr>
        <w:pStyle w:val="null3"/>
        <w:ind w:firstLine="404"/>
        <w:jc w:val="both"/>
      </w:pPr>
      <w:r>
        <w:rPr>
          <w:sz w:val="21"/>
        </w:rPr>
        <w:t>根据</w:t>
      </w:r>
      <w:r>
        <w:rPr>
          <w:sz w:val="21"/>
          <w:u w:val="single"/>
        </w:rPr>
        <w:t>东莞市水乡未来学校云终端设备采购项目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ind w:firstLine="422"/>
        <w:jc w:val="both"/>
      </w:pPr>
      <w:r>
        <w:rPr>
          <w:sz w:val="21"/>
          <w:b/>
        </w:rPr>
        <w:t>一、项目基本情况</w:t>
      </w:r>
    </w:p>
    <w:p>
      <w:pPr>
        <w:pStyle w:val="null3"/>
        <w:ind w:firstLine="420"/>
        <w:jc w:val="both"/>
      </w:pPr>
      <w:r>
        <w:rPr>
          <w:sz w:val="21"/>
        </w:rPr>
        <w:t>1.</w:t>
      </w:r>
      <w:r>
        <w:rPr>
          <w:sz w:val="21"/>
        </w:rPr>
        <w:t>项目编号：</w:t>
      </w:r>
    </w:p>
    <w:p>
      <w:pPr>
        <w:pStyle w:val="null3"/>
        <w:ind w:firstLine="420"/>
        <w:jc w:val="both"/>
      </w:pPr>
      <w:r>
        <w:rPr>
          <w:sz w:val="21"/>
        </w:rPr>
        <w:t>2.</w:t>
      </w:r>
      <w:r>
        <w:rPr>
          <w:sz w:val="21"/>
        </w:rPr>
        <w:t>项目名称：</w:t>
      </w:r>
    </w:p>
    <w:p>
      <w:pPr>
        <w:pStyle w:val="null3"/>
        <w:ind w:firstLine="422"/>
        <w:jc w:val="both"/>
      </w:pPr>
      <w:r>
        <w:rPr>
          <w:sz w:val="21"/>
          <w:b/>
        </w:rPr>
        <w:t>二、项目概况</w:t>
      </w:r>
    </w:p>
    <w:p>
      <w:pPr>
        <w:pStyle w:val="null3"/>
        <w:ind w:firstLine="420"/>
      </w:pPr>
      <w:r>
        <w:rPr>
          <w:sz w:val="21"/>
        </w:rPr>
        <w:t>东莞水乡未来学校位于洪梅中学及周边地块，占地面积约</w:t>
      </w:r>
      <w:r>
        <w:rPr>
          <w:sz w:val="21"/>
        </w:rPr>
        <w:t>162.7</w:t>
      </w:r>
      <w:r>
        <w:rPr>
          <w:sz w:val="21"/>
        </w:rPr>
        <w:t>亩。学校西侧是洪梅大道和洪梅中心广场；北侧是桥东路；南侧是洪梅镇中心幼儿园和洪梅体育馆。东莞水乡未来学校总建筑面积约</w:t>
      </w:r>
      <w:r>
        <w:rPr>
          <w:sz w:val="21"/>
        </w:rPr>
        <w:t>14.8</w:t>
      </w:r>
      <w:r>
        <w:rPr>
          <w:sz w:val="21"/>
        </w:rPr>
        <w:t>万平方米。学校预计办学规模为</w:t>
      </w:r>
      <w:r>
        <w:rPr>
          <w:sz w:val="21"/>
        </w:rPr>
        <w:t>72</w:t>
      </w:r>
      <w:r>
        <w:rPr>
          <w:sz w:val="21"/>
        </w:rPr>
        <w:t>班，共</w:t>
      </w:r>
      <w:r>
        <w:rPr>
          <w:sz w:val="21"/>
        </w:rPr>
        <w:t>3960</w:t>
      </w:r>
      <w:r>
        <w:rPr>
          <w:sz w:val="21"/>
        </w:rPr>
        <w:t>人，其中初中</w:t>
      </w:r>
      <w:r>
        <w:rPr>
          <w:sz w:val="21"/>
        </w:rPr>
        <w:t>24</w:t>
      </w:r>
      <w:r>
        <w:rPr>
          <w:sz w:val="21"/>
        </w:rPr>
        <w:t>个班，共</w:t>
      </w:r>
      <w:r>
        <w:rPr>
          <w:sz w:val="21"/>
        </w:rPr>
        <w:t>1200</w:t>
      </w:r>
      <w:r>
        <w:rPr>
          <w:sz w:val="21"/>
        </w:rPr>
        <w:t>人；普通高中</w:t>
      </w:r>
      <w:r>
        <w:rPr>
          <w:sz w:val="21"/>
        </w:rPr>
        <w:t>48</w:t>
      </w:r>
      <w:r>
        <w:rPr>
          <w:sz w:val="21"/>
        </w:rPr>
        <w:t>个班，共</w:t>
      </w:r>
      <w:r>
        <w:rPr>
          <w:sz w:val="21"/>
        </w:rPr>
        <w:t>2760</w:t>
      </w:r>
      <w:r>
        <w:rPr>
          <w:sz w:val="21"/>
        </w:rPr>
        <w:t>人。</w:t>
      </w:r>
    </w:p>
    <w:p>
      <w:pPr>
        <w:pStyle w:val="null3"/>
        <w:ind w:firstLine="422"/>
        <w:jc w:val="both"/>
      </w:pPr>
      <w:r>
        <w:rPr>
          <w:sz w:val="21"/>
          <w:b/>
        </w:rPr>
        <w:t>三、供货期</w:t>
      </w:r>
    </w:p>
    <w:p>
      <w:pPr>
        <w:pStyle w:val="null3"/>
        <w:ind w:firstLine="422"/>
        <w:jc w:val="both"/>
      </w:pPr>
      <w:r>
        <w:rPr>
          <w:sz w:val="21"/>
        </w:rPr>
        <w:t>接到甲方通知后</w:t>
      </w:r>
      <w:r>
        <w:rPr>
          <w:sz w:val="21"/>
        </w:rPr>
        <w:t>30</w:t>
      </w:r>
      <w:r>
        <w:rPr>
          <w:sz w:val="21"/>
        </w:rPr>
        <w:t>个自然日内完成供货、安装、调试及验收工作。</w:t>
      </w:r>
    </w:p>
    <w:p>
      <w:pPr>
        <w:pStyle w:val="null3"/>
        <w:ind w:firstLine="422"/>
        <w:jc w:val="both"/>
      </w:pPr>
      <w:r>
        <w:rPr>
          <w:sz w:val="21"/>
          <w:b/>
        </w:rPr>
        <w:t>四、供货地点</w:t>
      </w:r>
    </w:p>
    <w:p>
      <w:pPr>
        <w:pStyle w:val="null3"/>
        <w:ind w:firstLine="420"/>
        <w:jc w:val="both"/>
      </w:pPr>
      <w:r>
        <w:rPr>
          <w:sz w:val="21"/>
        </w:rPr>
        <w:t>甲方指定地点。</w:t>
      </w:r>
    </w:p>
    <w:p>
      <w:pPr>
        <w:pStyle w:val="null3"/>
        <w:ind w:firstLine="422"/>
        <w:jc w:val="both"/>
      </w:pPr>
      <w:r>
        <w:rPr>
          <w:sz w:val="21"/>
          <w:b/>
        </w:rPr>
        <w:t>五、采购货物一览表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46"/>
        <w:gridCol w:w="3845"/>
        <w:gridCol w:w="661"/>
        <w:gridCol w:w="661"/>
        <w:gridCol w:w="661"/>
        <w:gridCol w:w="916"/>
        <w:gridCol w:w="916"/>
      </w:tblGrid>
      <w:tr>
        <w:tc>
          <w:tcPr>
            <w:tcW w:type="dxa" w:w="64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名称</w:t>
            </w:r>
          </w:p>
        </w:tc>
        <w:tc>
          <w:tcPr>
            <w:tcW w:type="dxa" w:w="3845"/>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1"/>
              </w:rPr>
              <w:t>品牌、规格、标准</w:t>
            </w:r>
            <w:r>
              <w:rPr>
                <w:sz w:val="21"/>
              </w:rPr>
              <w:t>/</w:t>
            </w:r>
            <w:r>
              <w:rPr>
                <w:sz w:val="21"/>
              </w:rPr>
              <w:t>主要服务内容</w:t>
            </w:r>
          </w:p>
        </w:tc>
        <w:tc>
          <w:tcPr>
            <w:tcW w:type="dxa" w:w="661"/>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1"/>
              </w:rPr>
              <w:t>产地</w:t>
            </w:r>
          </w:p>
        </w:tc>
        <w:tc>
          <w:tcPr>
            <w:tcW w:type="dxa" w:w="661"/>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spacing w:before="150" w:after="150"/>
              <w:jc w:val="center"/>
            </w:pPr>
            <w:r>
              <w:rPr>
                <w:sz w:val="21"/>
              </w:rPr>
              <w:t>数量</w:t>
            </w:r>
          </w:p>
        </w:tc>
        <w:tc>
          <w:tcPr>
            <w:tcW w:type="dxa" w:w="661"/>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1"/>
              </w:rPr>
              <w:t>单位</w:t>
            </w:r>
          </w:p>
        </w:tc>
        <w:tc>
          <w:tcPr>
            <w:tcW w:type="dxa" w:w="916"/>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1"/>
              </w:rPr>
              <w:t>单价</w:t>
            </w:r>
          </w:p>
          <w:p>
            <w:pPr>
              <w:pStyle w:val="null3"/>
              <w:jc w:val="center"/>
            </w:pPr>
            <w:r>
              <w:rPr>
                <w:sz w:val="21"/>
              </w:rPr>
              <w:t>（元）</w:t>
            </w:r>
          </w:p>
        </w:tc>
        <w:tc>
          <w:tcPr>
            <w:tcW w:type="dxa" w:w="916"/>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1"/>
              </w:rPr>
              <w:t>金额</w:t>
            </w:r>
          </w:p>
          <w:p>
            <w:pPr>
              <w:pStyle w:val="null3"/>
              <w:jc w:val="center"/>
            </w:pPr>
            <w:r>
              <w:rPr>
                <w:sz w:val="21"/>
              </w:rPr>
              <w:t>（元）</w:t>
            </w:r>
          </w:p>
        </w:tc>
      </w:tr>
      <w:tr>
        <w:tc>
          <w:tcPr>
            <w:tcW w:type="dxa" w:w="64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1"/>
              </w:rPr>
              <w:t>**</w:t>
            </w:r>
          </w:p>
        </w:tc>
        <w:tc>
          <w:tcPr>
            <w:tcW w:type="dxa" w:w="384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1"/>
              </w:rPr>
              <w:t>**</w:t>
            </w: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1"/>
              </w:rPr>
              <w:t>**</w:t>
            </w: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1"/>
              </w:rPr>
              <w:t>**</w:t>
            </w: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1"/>
              </w:rPr>
              <w:t>**</w:t>
            </w:r>
          </w:p>
        </w:tc>
        <w:tc>
          <w:tcPr>
            <w:tcW w:type="dxa" w:w="916"/>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1"/>
              </w:rPr>
              <w:t>**</w:t>
            </w:r>
          </w:p>
        </w:tc>
        <w:tc>
          <w:tcPr>
            <w:tcW w:type="dxa" w:w="916"/>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1"/>
              </w:rPr>
              <w:t>**</w:t>
            </w:r>
          </w:p>
        </w:tc>
      </w:tr>
      <w:tr>
        <w:tc>
          <w:tcPr>
            <w:tcW w:type="dxa" w:w="64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p>
        </w:tc>
        <w:tc>
          <w:tcPr>
            <w:tcW w:type="dxa" w:w="384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916"/>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916"/>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r>
      <w:tr>
        <w:tc>
          <w:tcPr>
            <w:tcW w:type="dxa" w:w="64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tc>
        <w:tc>
          <w:tcPr>
            <w:tcW w:type="dxa" w:w="384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916"/>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916"/>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r>
      <w:tr>
        <w:tc>
          <w:tcPr>
            <w:tcW w:type="dxa" w:w="64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tc>
        <w:tc>
          <w:tcPr>
            <w:tcW w:type="dxa" w:w="384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916"/>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916"/>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r>
      <w:tr>
        <w:tc>
          <w:tcPr>
            <w:tcW w:type="dxa" w:w="64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tc>
        <w:tc>
          <w:tcPr>
            <w:tcW w:type="dxa" w:w="384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661"/>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916"/>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916"/>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r>
      <w:tr>
        <w:tc>
          <w:tcPr>
            <w:tcW w:type="dxa" w:w="7390"/>
            <w:gridSpan w:val="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1"/>
              </w:rPr>
              <w:t>合计：人民币大写：</w:t>
            </w:r>
            <w:r>
              <w:rPr>
                <w:sz w:val="21"/>
              </w:rPr>
              <w:t>**</w:t>
            </w:r>
            <w:r>
              <w:rPr>
                <w:sz w:val="21"/>
              </w:rPr>
              <w:t>元整</w:t>
            </w:r>
          </w:p>
        </w:tc>
        <w:tc>
          <w:tcPr>
            <w:tcW w:type="dxa" w:w="916"/>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1"/>
              </w:rPr>
              <w:t>￥：</w:t>
            </w:r>
            <w:r>
              <w:rPr>
                <w:sz w:val="21"/>
              </w:rPr>
              <w:t>**</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rPr>
        <w:t>三、项目实施要求</w:t>
      </w:r>
    </w:p>
    <w:p>
      <w:pPr>
        <w:pStyle w:val="null3"/>
        <w:ind w:firstLine="420"/>
        <w:jc w:val="both"/>
      </w:pPr>
      <w:r>
        <w:rPr>
          <w:sz w:val="21"/>
        </w:rPr>
        <w:t>1</w:t>
      </w:r>
      <w:r>
        <w:rPr>
          <w:sz w:val="21"/>
        </w:rPr>
        <w:t>、实施内容要求</w:t>
      </w:r>
    </w:p>
    <w:p>
      <w:pPr>
        <w:pStyle w:val="null3"/>
        <w:ind w:firstLine="420"/>
        <w:jc w:val="both"/>
      </w:pPr>
      <w:r>
        <w:rPr>
          <w:sz w:val="21"/>
        </w:rPr>
        <w:t>产品除保证各项指标和性能符合招标要求以外，还应具备高兼容性、可靠性、稳定性、可扩展性；同时体现出系统功能的高度集成和管理的统一和操作上的自动化。</w:t>
      </w:r>
    </w:p>
    <w:p>
      <w:pPr>
        <w:pStyle w:val="null3"/>
        <w:ind w:firstLine="420"/>
        <w:jc w:val="both"/>
      </w:pPr>
      <w:r>
        <w:rPr>
          <w:sz w:val="21"/>
        </w:rPr>
        <w:t>2</w:t>
      </w:r>
      <w:r>
        <w:rPr>
          <w:sz w:val="21"/>
        </w:rPr>
        <w:t>、实施进度控制要求</w:t>
      </w:r>
    </w:p>
    <w:p>
      <w:pPr>
        <w:pStyle w:val="null3"/>
        <w:ind w:firstLine="420"/>
        <w:jc w:val="both"/>
      </w:pPr>
      <w:r>
        <w:rPr>
          <w:sz w:val="21"/>
        </w:rPr>
        <w:t>乙方应根据本项目情况制定进度控制措施（包括但不限于各阶段的工作内容、工作程序、持续时间和衔接关系编制计划）；将该计划付诸实施，在实施的过程中检查实际进度是否按计划要求进行，对出现的偏差分析原因，采取补救措施、修改原计划，直至完成项目实施及验收，交付使用。</w:t>
      </w:r>
    </w:p>
    <w:p>
      <w:pPr>
        <w:pStyle w:val="null3"/>
        <w:ind w:firstLine="420"/>
        <w:jc w:val="both"/>
      </w:pPr>
      <w:r>
        <w:rPr>
          <w:sz w:val="21"/>
        </w:rPr>
        <w:t>3</w:t>
      </w:r>
      <w:r>
        <w:rPr>
          <w:sz w:val="21"/>
        </w:rPr>
        <w:t>、安全、文明实施管理的要求</w:t>
      </w:r>
    </w:p>
    <w:p>
      <w:pPr>
        <w:pStyle w:val="null3"/>
        <w:ind w:firstLine="420"/>
        <w:jc w:val="both"/>
      </w:pPr>
      <w:r>
        <w:rPr>
          <w:sz w:val="21"/>
        </w:rPr>
        <w:t>乙方应明确实施安全生产目标及文明施工目标，并对本项目安全实施做出分析、计划和控制。</w:t>
      </w:r>
    </w:p>
    <w:p>
      <w:pPr>
        <w:pStyle w:val="null3"/>
        <w:ind w:firstLine="420"/>
        <w:jc w:val="both"/>
      </w:pPr>
      <w:r>
        <w:rPr>
          <w:sz w:val="21"/>
        </w:rPr>
        <w:t>4</w:t>
      </w:r>
      <w:r>
        <w:rPr>
          <w:sz w:val="21"/>
        </w:rPr>
        <w:t>、具有完善的质量管理体系、职业健康安全管理体系、环境管理体系或获得以上认证证书。</w:t>
      </w:r>
    </w:p>
    <w:p>
      <w:pPr>
        <w:pStyle w:val="null3"/>
        <w:ind w:firstLine="420"/>
        <w:jc w:val="both"/>
      </w:pPr>
      <w:r>
        <w:rPr>
          <w:sz w:val="21"/>
        </w:rPr>
        <w:t>5</w:t>
      </w:r>
      <w:r>
        <w:rPr>
          <w:sz w:val="21"/>
        </w:rPr>
        <w:t>、乙方应提供项目实施方案，包括但不限于实施技术及程序、工作重点、难点及其解决措施、人员安排、进度计划、工期保证措施、安全文明保证措施等方案以及与甲方的协调等内容。</w:t>
      </w:r>
    </w:p>
    <w:p>
      <w:pPr>
        <w:pStyle w:val="null3"/>
        <w:ind w:firstLine="422"/>
        <w:jc w:val="both"/>
      </w:pPr>
      <w:r>
        <w:rPr>
          <w:sz w:val="21"/>
          <w:b/>
        </w:rPr>
        <w:t>四、安装调试及技术服务要求</w:t>
      </w:r>
    </w:p>
    <w:p>
      <w:pPr>
        <w:pStyle w:val="null3"/>
        <w:ind w:firstLine="420"/>
        <w:jc w:val="both"/>
      </w:pPr>
      <w:r>
        <w:rPr>
          <w:sz w:val="21"/>
        </w:rPr>
        <w:t>1</w:t>
      </w:r>
      <w:r>
        <w:rPr>
          <w:sz w:val="21"/>
        </w:rPr>
        <w:t>、所供设备和材料乙方必须送货上门和负责安装调试。</w:t>
      </w:r>
    </w:p>
    <w:p>
      <w:pPr>
        <w:pStyle w:val="null3"/>
        <w:ind w:firstLine="420"/>
        <w:jc w:val="both"/>
      </w:pPr>
      <w:r>
        <w:rPr>
          <w:sz w:val="21"/>
        </w:rPr>
        <w:t>2</w:t>
      </w:r>
      <w:r>
        <w:rPr>
          <w:sz w:val="21"/>
        </w:rPr>
        <w:t>、乙方应当依照招标文件的要求和投标文件的承诺，将设备、安装并调试至正常运行的最佳状态。</w:t>
      </w:r>
    </w:p>
    <w:p>
      <w:pPr>
        <w:pStyle w:val="null3"/>
        <w:ind w:firstLine="420"/>
        <w:jc w:val="both"/>
      </w:pPr>
      <w:r>
        <w:rPr>
          <w:sz w:val="21"/>
        </w:rPr>
        <w:t>3</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4</w:t>
      </w:r>
      <w:r>
        <w:rPr>
          <w:sz w:val="21"/>
        </w:rPr>
        <w:t>、乙方应保证仪器设备在不需要增配未列出配件（特别指出的除外）的前提下货物功能、技术标准能够达到招标文件的要求，而无须再增配未列出的配件；如乙方所提供的产品需要增配配件才能达到要求的，所增配的配件须由乙方免费提供。</w:t>
      </w:r>
    </w:p>
    <w:p>
      <w:pPr>
        <w:pStyle w:val="null3"/>
        <w:ind w:firstLine="420"/>
        <w:jc w:val="both"/>
      </w:pPr>
      <w:r>
        <w:rPr>
          <w:sz w:val="21"/>
        </w:rPr>
        <w:t>5</w:t>
      </w:r>
      <w:r>
        <w:rPr>
          <w:sz w:val="21"/>
        </w:rPr>
        <w:t>、技术服务能力要求：具有完善的信息系统服务能力或获得信息系统服务交付能力等级证书。</w:t>
      </w:r>
    </w:p>
    <w:p>
      <w:pPr>
        <w:pStyle w:val="null3"/>
        <w:ind w:firstLine="422"/>
        <w:jc w:val="both"/>
      </w:pPr>
      <w:r>
        <w:rPr>
          <w:sz w:val="21"/>
          <w:b/>
        </w:rPr>
        <w:t>五、质保期及售后服务要求</w:t>
      </w:r>
    </w:p>
    <w:p>
      <w:pPr>
        <w:pStyle w:val="null3"/>
        <w:ind w:firstLine="420"/>
        <w:jc w:val="both"/>
      </w:pPr>
      <w:r>
        <w:rPr>
          <w:sz w:val="21"/>
        </w:rPr>
        <w:t>1</w:t>
      </w:r>
      <w:r>
        <w:rPr>
          <w:sz w:val="21"/>
        </w:rPr>
        <w:t>、验收合格后不少于</w:t>
      </w:r>
      <w:r>
        <w:rPr>
          <w:sz w:val="21"/>
        </w:rPr>
        <w:t>3</w:t>
      </w:r>
      <w:r>
        <w:rPr>
          <w:sz w:val="21"/>
        </w:rPr>
        <w:t>年，质保期内乙方必须负责提供设备原厂维修及更换原厂配件的售后服务。若乙方所投产品的制造商承诺的质保期长于本招标文件要求的</w:t>
      </w:r>
      <w:r>
        <w:rPr>
          <w:sz w:val="21"/>
        </w:rPr>
        <w:t>3</w:t>
      </w:r>
      <w:r>
        <w:rPr>
          <w:sz w:val="21"/>
        </w:rPr>
        <w:t>年，则以制造商承诺的质保期为准。质保期自项目最终验收合格之日起计算。</w:t>
      </w:r>
    </w:p>
    <w:p>
      <w:pPr>
        <w:pStyle w:val="null3"/>
        <w:ind w:firstLine="420"/>
        <w:jc w:val="both"/>
      </w:pPr>
      <w:r>
        <w:rPr>
          <w:sz w:val="21"/>
        </w:rPr>
        <w:t>2</w:t>
      </w:r>
      <w:r>
        <w:rPr>
          <w:sz w:val="21"/>
        </w:rPr>
        <w:t>、质保期内乙方提供产品正常使用情况下的维修及保养服务，其中硬件在质保期内出现严重质量问题应无偿更换。</w:t>
      </w:r>
    </w:p>
    <w:p>
      <w:pPr>
        <w:pStyle w:val="null3"/>
        <w:ind w:firstLine="420"/>
        <w:jc w:val="both"/>
      </w:pPr>
      <w:r>
        <w:rPr>
          <w:sz w:val="21"/>
        </w:rPr>
        <w:t>3</w:t>
      </w:r>
      <w:r>
        <w:rPr>
          <w:sz w:val="21"/>
        </w:rPr>
        <w:t>、质保期内，非甲方的人为原因而出现产品质量及安装问题，由乙方负责包修、包换或包退，并承担因此而产生的一切费用。</w:t>
      </w:r>
    </w:p>
    <w:p>
      <w:pPr>
        <w:pStyle w:val="null3"/>
        <w:ind w:firstLine="420"/>
        <w:jc w:val="both"/>
      </w:pPr>
      <w:r>
        <w:rPr>
          <w:sz w:val="21"/>
        </w:rPr>
        <w:t>4</w:t>
      </w:r>
      <w:r>
        <w:rPr>
          <w:sz w:val="21"/>
        </w:rPr>
        <w:t>、所有货物质保服务方式均为乙方上门服务，即由乙方派员到货物使用现场维修，由此产生的一切费用均由乙方承担。</w:t>
      </w:r>
    </w:p>
    <w:p>
      <w:pPr>
        <w:pStyle w:val="null3"/>
        <w:ind w:firstLine="420"/>
        <w:jc w:val="both"/>
      </w:pPr>
      <w:r>
        <w:rPr>
          <w:sz w:val="21"/>
        </w:rPr>
        <w:t>5</w:t>
      </w:r>
      <w:r>
        <w:rPr>
          <w:sz w:val="21"/>
        </w:rPr>
        <w:t>、质保期内非人为原因损坏、失效或已达到报废标准的零部件除无偿更换外，对更换上的零部件还应有</w:t>
      </w:r>
      <w:r>
        <w:rPr>
          <w:sz w:val="21"/>
        </w:rPr>
        <w:t>3</w:t>
      </w:r>
      <w:r>
        <w:rPr>
          <w:sz w:val="21"/>
        </w:rPr>
        <w:t>年的质保期。凡因产品质量问题，在质保期内若设备经检修后又在同一部件出现相同质量故障，可无偿更换同级别新设备部件。</w:t>
      </w:r>
    </w:p>
    <w:p>
      <w:pPr>
        <w:pStyle w:val="null3"/>
        <w:ind w:firstLine="420"/>
        <w:jc w:val="both"/>
      </w:pPr>
      <w:r>
        <w:rPr>
          <w:sz w:val="21"/>
        </w:rPr>
        <w:t>6</w:t>
      </w:r>
      <w:r>
        <w:rPr>
          <w:sz w:val="21"/>
        </w:rPr>
        <w:t>、具有完善的售后服务体系或获得售后服务体系认证证书。</w:t>
      </w:r>
    </w:p>
    <w:p>
      <w:pPr>
        <w:pStyle w:val="null3"/>
        <w:ind w:firstLine="420"/>
        <w:jc w:val="both"/>
      </w:pPr>
      <w:r>
        <w:rPr>
          <w:sz w:val="21"/>
        </w:rPr>
        <w:t>7</w:t>
      </w:r>
      <w:r>
        <w:rPr>
          <w:sz w:val="21"/>
        </w:rPr>
        <w:t>、培训要求：培训作为售后服务不可缺少的一部分，供应商须提供及时、有效的技术培训。具有完善的培训体系。</w:t>
      </w:r>
      <w:r>
        <w:rPr>
          <w:sz w:val="21"/>
        </w:rPr>
        <w:t>①</w:t>
      </w:r>
      <w:r>
        <w:rPr>
          <w:sz w:val="21"/>
        </w:rPr>
        <w:t>安装期培训：在安装工作开始前，供应商技术人员对各项仪器及系统安装步骤进行详细说明，甲方的技术人员将现场监督供应商完成所有的安装调试工作。</w:t>
      </w:r>
      <w:r>
        <w:rPr>
          <w:sz w:val="21"/>
        </w:rPr>
        <w:t>②</w:t>
      </w:r>
      <w:r>
        <w:rPr>
          <w:sz w:val="21"/>
        </w:rPr>
        <w:t>安装后培训：设备安装、调试完成以后，供应商须对甲方的系统管理人员、操作人员进行分类培训，达到具有判断各仪器、设备的运作是否正常的能力。对于所有培训，供应商应派出具有相应专业资格和实际工作经验的辅导人员进行培训。</w:t>
      </w:r>
    </w:p>
    <w:p>
      <w:pPr>
        <w:pStyle w:val="null3"/>
        <w:ind w:firstLine="420"/>
        <w:jc w:val="both"/>
      </w:pPr>
      <w:r>
        <w:rPr>
          <w:sz w:val="21"/>
        </w:rPr>
        <w:t>8</w:t>
      </w:r>
      <w:r>
        <w:rPr>
          <w:sz w:val="21"/>
        </w:rPr>
        <w:t>、乙方应提供质保及售后服务方案。</w:t>
      </w:r>
    </w:p>
    <w:p>
      <w:pPr>
        <w:pStyle w:val="null3"/>
        <w:ind w:firstLine="422"/>
        <w:jc w:val="both"/>
      </w:pPr>
      <w:r>
        <w:rPr>
          <w:sz w:val="21"/>
          <w:b/>
        </w:rPr>
        <w:t>六、包装和运输要求</w:t>
      </w:r>
    </w:p>
    <w:p>
      <w:pPr>
        <w:pStyle w:val="null3"/>
        <w:ind w:firstLine="420"/>
        <w:jc w:val="both"/>
      </w:pPr>
      <w:r>
        <w:rPr>
          <w:sz w:val="21"/>
        </w:rPr>
        <w:t>1</w:t>
      </w:r>
      <w:r>
        <w:rPr>
          <w:sz w:val="21"/>
        </w:rPr>
        <w:t>、乙方必须承担将所需物品运送到甲方指定地点过程中的全部费用，包括运输费、装卸费、搬运费、服务人员人身意外保险等费用均由乙方负责。</w:t>
      </w:r>
    </w:p>
    <w:p>
      <w:pPr>
        <w:pStyle w:val="null3"/>
        <w:ind w:firstLine="420"/>
        <w:jc w:val="both"/>
      </w:pPr>
      <w:r>
        <w:rPr>
          <w:sz w:val="21"/>
        </w:rPr>
        <w:t>2</w:t>
      </w:r>
      <w:r>
        <w:rPr>
          <w:sz w:val="21"/>
        </w:rPr>
        <w:t>、供货应有详尽科学的进度计划安排，货物在运输过程中有任何损坏、丢失由乙方负责。</w:t>
      </w:r>
    </w:p>
    <w:p>
      <w:pPr>
        <w:pStyle w:val="null3"/>
        <w:ind w:firstLine="420"/>
        <w:jc w:val="both"/>
      </w:pPr>
      <w:r>
        <w:rPr>
          <w:sz w:val="21"/>
        </w:rPr>
        <w:t>3</w:t>
      </w:r>
      <w:r>
        <w:rPr>
          <w:sz w:val="21"/>
        </w:rPr>
        <w:t>、货品的包装运输、装卸环节应有相应的质量保证与把控措施，乙方所供货品的包装应足以承受整个过程中的运输、转运、装卸、储存等，充分考虑到运输途中的各种情况（如暴露于恶劣气候等）和广东地区的气候特点，以及露天存放的需要。</w:t>
      </w:r>
    </w:p>
    <w:p>
      <w:pPr>
        <w:pStyle w:val="null3"/>
        <w:ind w:firstLine="420"/>
        <w:jc w:val="both"/>
      </w:pPr>
      <w:r>
        <w:rPr>
          <w:sz w:val="21"/>
        </w:rPr>
        <w:t>4</w:t>
      </w:r>
      <w:r>
        <w:rPr>
          <w:sz w:val="21"/>
        </w:rPr>
        <w:t>、乙方所提供的项目内货品必须是全新的产品并且符合国家有关标准以及该产品的出厂标准。</w:t>
      </w:r>
    </w:p>
    <w:p>
      <w:pPr>
        <w:pStyle w:val="null3"/>
        <w:ind w:firstLine="420"/>
        <w:jc w:val="both"/>
      </w:pPr>
      <w:r>
        <w:rPr>
          <w:sz w:val="21"/>
        </w:rPr>
        <w:t>5</w:t>
      </w:r>
      <w:r>
        <w:rPr>
          <w:sz w:val="21"/>
        </w:rPr>
        <w:t>、乙方在供货过程中发生质量事故，应及时报告甲方代表，一般事故送甲方备案，重大质量事故的处理方案应由双方共同研究再实施。</w:t>
      </w:r>
    </w:p>
    <w:p>
      <w:pPr>
        <w:pStyle w:val="null3"/>
        <w:ind w:firstLine="422"/>
        <w:jc w:val="both"/>
      </w:pPr>
      <w:r>
        <w:rPr>
          <w:sz w:val="21"/>
          <w:b/>
        </w:rPr>
        <w:t>七、服务质量保证措施</w:t>
      </w:r>
    </w:p>
    <w:p>
      <w:pPr>
        <w:pStyle w:val="null3"/>
        <w:ind w:firstLine="420"/>
        <w:jc w:val="both"/>
      </w:pPr>
      <w:r>
        <w:rPr>
          <w:sz w:val="21"/>
        </w:rPr>
        <w:t>1</w:t>
      </w:r>
      <w:r>
        <w:rPr>
          <w:sz w:val="21"/>
        </w:rPr>
        <w:t>、乙方须保证货物是全新、未使用过的，并完全符合强制性的国家技术质量规范和合同规定的质量、规格、性能和技术规范等的要求。</w:t>
      </w:r>
    </w:p>
    <w:p>
      <w:pPr>
        <w:pStyle w:val="null3"/>
        <w:ind w:firstLine="420"/>
        <w:jc w:val="both"/>
      </w:pPr>
      <w:r>
        <w:rPr>
          <w:sz w:val="21"/>
        </w:rPr>
        <w:t>2</w:t>
      </w:r>
      <w:r>
        <w:rPr>
          <w:sz w:val="21"/>
        </w:rPr>
        <w:t>、货物为全新的产品，无污染、无侵权行为、表面无划损、无任何缺陷隐患，在中国境内可依常规安全合法使用。</w:t>
      </w:r>
    </w:p>
    <w:p>
      <w:pPr>
        <w:pStyle w:val="null3"/>
        <w:ind w:firstLine="420"/>
        <w:jc w:val="both"/>
      </w:pPr>
      <w:r>
        <w:rPr>
          <w:sz w:val="21"/>
        </w:rPr>
        <w:t>3</w:t>
      </w:r>
      <w:r>
        <w:rPr>
          <w:sz w:val="21"/>
        </w:rPr>
        <w:t>、货物为未启封全新包装，具出厂合格证，序列号、包装箱号与出厂批号一致，并可追溯查阅、防伪溯源。</w:t>
      </w:r>
    </w:p>
    <w:p>
      <w:pPr>
        <w:pStyle w:val="null3"/>
        <w:ind w:firstLine="420"/>
        <w:jc w:val="both"/>
      </w:pPr>
      <w:r>
        <w:rPr>
          <w:sz w:val="21"/>
        </w:rPr>
        <w:t>4</w:t>
      </w:r>
      <w:r>
        <w:rPr>
          <w:sz w:val="21"/>
        </w:rPr>
        <w:t>、乙方须保证所提供的货物经正确安装、正常运转和保养，在其使用寿命期内须具有符合质量要求和产品说明书的性能。在货物质保期之内，乙方须对由于设计、工艺或材料的缺陷而发生的任何不足或故障负责。</w:t>
      </w:r>
    </w:p>
    <w:p>
      <w:pPr>
        <w:pStyle w:val="null3"/>
        <w:ind w:firstLine="420"/>
        <w:jc w:val="both"/>
      </w:pPr>
      <w:r>
        <w:rPr>
          <w:sz w:val="21"/>
        </w:rPr>
        <w:t>5</w:t>
      </w:r>
      <w:r>
        <w:rPr>
          <w:sz w:val="21"/>
        </w:rPr>
        <w:t>、乙方免费为用户提供硬件设备操作、各项操作的培训服务，并向受训人员提供技术资料、参考材料、培训手册等。</w:t>
      </w:r>
    </w:p>
    <w:p>
      <w:pPr>
        <w:pStyle w:val="null3"/>
        <w:ind w:firstLine="420"/>
        <w:jc w:val="both"/>
      </w:pPr>
      <w:r>
        <w:rPr>
          <w:sz w:val="21"/>
        </w:rPr>
        <w:t>6</w:t>
      </w:r>
      <w:r>
        <w:rPr>
          <w:sz w:val="21"/>
        </w:rPr>
        <w:t>、乙方履约全程（含货物质保期）均需指派固定的项目负责人承担与甲方的沟通协作工作，确保为甲方提供专业的服务。</w:t>
      </w:r>
    </w:p>
    <w:p>
      <w:pPr>
        <w:pStyle w:val="null3"/>
        <w:ind w:firstLine="420"/>
        <w:jc w:val="both"/>
      </w:pPr>
      <w:r>
        <w:rPr>
          <w:sz w:val="21"/>
        </w:rPr>
        <w:t>7</w:t>
      </w:r>
      <w:r>
        <w:rPr>
          <w:sz w:val="21"/>
        </w:rPr>
        <w:t>、乙方应提供质量保证措施方案。</w:t>
      </w:r>
    </w:p>
    <w:p>
      <w:pPr>
        <w:pStyle w:val="null3"/>
        <w:ind w:firstLine="422"/>
        <w:jc w:val="both"/>
      </w:pPr>
      <w:r>
        <w:rPr>
          <w:sz w:val="21"/>
          <w:b/>
        </w:rPr>
        <w:t>八、技术人员配置要求</w:t>
      </w:r>
    </w:p>
    <w:p>
      <w:pPr>
        <w:pStyle w:val="null3"/>
        <w:ind w:firstLine="420"/>
        <w:jc w:val="both"/>
      </w:pPr>
      <w:r>
        <w:rPr>
          <w:sz w:val="21"/>
        </w:rPr>
        <w:t>乙方须为本项目配置专业、稳定的专项技术实施团队，项目核心人员配置至少包含项目经理、技术负责人、技术专家、专职技术人员等岗位，可全面保障项目实施、调试、交付及质保等全流程工作。所有派驻人员须具备本项目相关从业能力，专业背景、工作经验需覆盖信息系统、计算机网络、数据库、系统集成、系统分析规划、系统管理、架构设计、信息安全、电子技术、通信等相关技术领域，能够胜任对应岗位工作，保障项目顺利落地实施。</w:t>
      </w:r>
    </w:p>
    <w:p>
      <w:pPr>
        <w:pStyle w:val="null3"/>
        <w:ind w:firstLine="420"/>
        <w:jc w:val="both"/>
      </w:pPr>
      <w:r>
        <w:rPr>
          <w:sz w:val="21"/>
        </w:rPr>
        <w:t>项目实施期间，所有派驻人员须全程在岗履职，未经甲方同意，乙方不得擅自更换核心工作人员。甲方有权对派驻人员的专业能力、岗位适配度进行审核，对不符合项目建设要求的人员，可要求乙方无条件更换。乙方须保证团队人员配置充足、履职稳定，全力配合完成本项目全部建设工作。</w:t>
      </w:r>
    </w:p>
    <w:p>
      <w:pPr>
        <w:pStyle w:val="null3"/>
        <w:ind w:firstLine="422"/>
        <w:jc w:val="both"/>
      </w:pPr>
      <w:r>
        <w:rPr>
          <w:sz w:val="21"/>
          <w:b/>
        </w:rPr>
        <w:t>九、验收要求</w:t>
      </w:r>
    </w:p>
    <w:p>
      <w:pPr>
        <w:pStyle w:val="null3"/>
        <w:ind w:firstLine="420"/>
        <w:jc w:val="both"/>
      </w:pPr>
      <w:r>
        <w:rPr>
          <w:sz w:val="21"/>
        </w:rPr>
        <w:t>1.</w:t>
      </w:r>
      <w:r>
        <w:rPr>
          <w:sz w:val="21"/>
        </w:rPr>
        <w:t>验收主体：本项目由甲方作为验收主体，依据用户需求书及合同相关约定，自行组织验收部门成立专项验收小组全权负责本项目验收工作，严格按照国家相关规定与规范开展验收，必要时可邀请外部专业人员或第三方权威机构共同参与验收评定，保障验收工作严谨合规、客观公正。</w:t>
      </w:r>
    </w:p>
    <w:p>
      <w:pPr>
        <w:pStyle w:val="null3"/>
        <w:ind w:firstLine="420"/>
        <w:jc w:val="both"/>
      </w:pPr>
      <w:r>
        <w:rPr>
          <w:sz w:val="21"/>
        </w:rPr>
        <w:t>2.</w:t>
      </w:r>
      <w:r>
        <w:rPr>
          <w:sz w:val="21"/>
        </w:rPr>
        <w:t>验收内容：验收范围涵盖本项目全部供货货物、配套材料、设备安装、系统调试及相关技术服务等全部内容，同步审查乙方是否完整交付全部产品、提交全套完整技术资料，核查所有设备是否具备正规产品合格证，逐项核实货物技术参数、使用性能是否符合招标文件及合同要求，全面排查设备外观、质量及使用隐患。</w:t>
      </w:r>
    </w:p>
    <w:p>
      <w:pPr>
        <w:pStyle w:val="null3"/>
        <w:ind w:firstLine="420"/>
        <w:jc w:val="both"/>
      </w:pPr>
      <w:r>
        <w:rPr>
          <w:sz w:val="21"/>
        </w:rPr>
        <w:t>3.</w:t>
      </w:r>
      <w:r>
        <w:rPr>
          <w:sz w:val="21"/>
        </w:rPr>
        <w:t>验收标准：项目验收严格执行标准化判定原则，货物有国家强制及现行标准的按照国家标准进行验收，无国家标准的品类统一依照对应行业通用标准执行；所有供货货物须为原制造商全新原厂产品，整机无污染、无知识产权侵权问题，设备表面无划痕破损、无任何缺陷及安全隐患，确保所有产品可在国内常规环境下安全、合法、稳定投入使用。</w:t>
      </w:r>
    </w:p>
    <w:p>
      <w:pPr>
        <w:pStyle w:val="null3"/>
        <w:ind w:firstLine="420"/>
        <w:jc w:val="both"/>
      </w:pPr>
      <w:r>
        <w:rPr>
          <w:sz w:val="21"/>
        </w:rPr>
        <w:t>4.</w:t>
      </w:r>
      <w:r>
        <w:rPr>
          <w:sz w:val="21"/>
        </w:rPr>
        <w:t>验收时间：待乙方完成全部货物供货、现场安装及系统调试工作后，可正式向甲方提交书面验收申请，甲方在收到验收申请当日起</w:t>
      </w:r>
      <w:r>
        <w:rPr>
          <w:sz w:val="21"/>
        </w:rPr>
        <w:t xml:space="preserve"> 10 </w:t>
      </w:r>
      <w:r>
        <w:rPr>
          <w:sz w:val="21"/>
        </w:rPr>
        <w:t>日内组织开展集中验收；经双方现场检验核实、项目整体验收合格并共同签署验收报告后，正式计算项目质保周期，同时由乙方同步提交完整产品保修文件备案留存。</w:t>
      </w:r>
    </w:p>
    <w:p>
      <w:pPr>
        <w:pStyle w:val="null3"/>
        <w:ind w:firstLine="420"/>
        <w:jc w:val="both"/>
      </w:pPr>
      <w:r>
        <w:rPr>
          <w:sz w:val="21"/>
        </w:rPr>
        <w:t>5.</w:t>
      </w:r>
      <w:r>
        <w:rPr>
          <w:sz w:val="21"/>
        </w:rPr>
        <w:t>验收程序：乙方履约完毕并整理齐全各类技术资料、合格证明文件后，向甲方发起验收申请；验收小组在现场逐项清点设备、核验资料、测试系统整体运行效果，在全部满足合同供货要求、技术指标达标且持有产品合格证的前提下，由甲方依法签发正式货物验收报告；若履约期间产生货物质量争议，统一交由广东省或东莞市质量技术监督部门开展专业质量鉴定，依据鉴定结果明确鉴定费用承担主体。</w:t>
      </w:r>
    </w:p>
    <w:p>
      <w:pPr>
        <w:pStyle w:val="null3"/>
        <w:ind w:firstLine="420"/>
        <w:jc w:val="both"/>
      </w:pPr>
      <w:r>
        <w:rPr>
          <w:sz w:val="21"/>
        </w:rPr>
        <w:t>6.</w:t>
      </w:r>
      <w:r>
        <w:rPr>
          <w:sz w:val="21"/>
        </w:rPr>
        <w:t>验收方式：采用资料审核与现场实地查验、设备实操运行测试相结合的方式开展验收，验收小组对照采购需求及合同条款逐项比对产品配置与技术性能，结合国家及行业标准综合判定项目履约质量；针对难以现场判定的专业技术及质量问题，可委托专业机构开展检测鉴定，严格依据鉴定结论及合格判定条件，综合确定项目验收结果。</w:t>
      </w:r>
    </w:p>
    <w:p>
      <w:pPr>
        <w:pStyle w:val="null3"/>
        <w:ind w:firstLine="422"/>
        <w:jc w:val="both"/>
      </w:pPr>
      <w:r>
        <w:rPr>
          <w:sz w:val="21"/>
          <w:b/>
        </w:rPr>
        <w:t>十、货物质量要求</w:t>
      </w:r>
    </w:p>
    <w:p>
      <w:pPr>
        <w:pStyle w:val="null3"/>
        <w:ind w:firstLine="420"/>
      </w:pPr>
      <w:r>
        <w:rPr>
          <w:sz w:val="21"/>
        </w:rPr>
        <w:t>1.</w:t>
      </w:r>
      <w:r>
        <w:rPr>
          <w:sz w:val="21"/>
        </w:rPr>
        <w:t>甲方有权核实乙方所投产品参数与功能情况（乙方需提供相应证明由甲方进行核实），如出现与投标文件响应存在差异或虚假响应的情况，甲方有权要求乙方按投标文件响应的情况重新供货，如未按期（由双方确认为准）重新供货的，甲方将上报市政府采购监管部门进行处理，由此导致项目中整批货物被拒收和索赔引发的所有损失，由乙方负责。</w:t>
      </w:r>
    </w:p>
    <w:p>
      <w:pPr>
        <w:pStyle w:val="null3"/>
        <w:ind w:firstLine="420"/>
      </w:pPr>
      <w:r>
        <w:rPr>
          <w:sz w:val="21"/>
        </w:rPr>
        <w:t>2.</w:t>
      </w:r>
      <w:r>
        <w:rPr>
          <w:sz w:val="21"/>
        </w:rPr>
        <w:t>为确保产品质量和售后服务，乙方必须承诺说明所供的所有货物是厂家的正规产品及保证采购单位采购的货物和服务能够同时享受产品制造商提供的售后服务，乙方须承诺在中标公告发布后</w:t>
      </w:r>
      <w:r>
        <w:rPr>
          <w:sz w:val="21"/>
        </w:rPr>
        <w:t>3</w:t>
      </w:r>
      <w:r>
        <w:rPr>
          <w:sz w:val="21"/>
        </w:rPr>
        <w:t>个工作日内提交产品制造商的售后服务说明函。</w:t>
      </w:r>
    </w:p>
    <w:p>
      <w:pPr>
        <w:pStyle w:val="null3"/>
        <w:ind w:firstLine="422"/>
        <w:jc w:val="both"/>
      </w:pPr>
      <w:r>
        <w:rPr>
          <w:sz w:val="21"/>
          <w:b/>
        </w:rPr>
        <w:t>十一、双方权利义务</w:t>
      </w:r>
    </w:p>
    <w:p>
      <w:pPr>
        <w:pStyle w:val="null3"/>
        <w:ind w:firstLine="420"/>
        <w:jc w:val="both"/>
      </w:pPr>
      <w:r>
        <w:rPr>
          <w:sz w:val="21"/>
        </w:rPr>
        <w:t>1.</w:t>
      </w:r>
      <w:r>
        <w:rPr>
          <w:sz w:val="21"/>
        </w:rPr>
        <w:t>甲方权力和义务</w:t>
      </w:r>
    </w:p>
    <w:p>
      <w:pPr>
        <w:pStyle w:val="null3"/>
        <w:ind w:firstLine="420"/>
        <w:jc w:val="both"/>
      </w:pPr>
      <w:r>
        <w:rPr>
          <w:sz w:val="21"/>
        </w:rPr>
        <w:t>（</w:t>
      </w:r>
      <w:r>
        <w:rPr>
          <w:sz w:val="21"/>
        </w:rPr>
        <w:t>1</w:t>
      </w:r>
      <w:r>
        <w:rPr>
          <w:sz w:val="21"/>
        </w:rPr>
        <w:t>）验收乙方提供的合同货物。</w:t>
      </w:r>
    </w:p>
    <w:p>
      <w:pPr>
        <w:pStyle w:val="null3"/>
        <w:ind w:firstLine="420"/>
        <w:jc w:val="both"/>
      </w:pPr>
      <w:r>
        <w:rPr>
          <w:sz w:val="21"/>
        </w:rPr>
        <w:t>（</w:t>
      </w:r>
      <w:r>
        <w:rPr>
          <w:sz w:val="21"/>
        </w:rPr>
        <w:t>2</w:t>
      </w:r>
      <w:r>
        <w:rPr>
          <w:sz w:val="21"/>
        </w:rPr>
        <w:t>）审批乙方提交的关于项目的实施组织方案。</w:t>
      </w:r>
    </w:p>
    <w:p>
      <w:pPr>
        <w:pStyle w:val="null3"/>
        <w:ind w:firstLine="420"/>
        <w:jc w:val="both"/>
      </w:pPr>
      <w:r>
        <w:rPr>
          <w:sz w:val="21"/>
        </w:rPr>
        <w:t>（</w:t>
      </w:r>
      <w:r>
        <w:rPr>
          <w:sz w:val="21"/>
        </w:rPr>
        <w:t>3</w:t>
      </w:r>
      <w:r>
        <w:rPr>
          <w:sz w:val="21"/>
        </w:rPr>
        <w:t>）监督、指导乙方进行服务实施工作，具有及时纠正出现问题的权利。</w:t>
      </w:r>
    </w:p>
    <w:p>
      <w:pPr>
        <w:pStyle w:val="null3"/>
        <w:ind w:firstLine="420"/>
        <w:jc w:val="both"/>
      </w:pPr>
      <w:r>
        <w:rPr>
          <w:sz w:val="21"/>
        </w:rPr>
        <w:t>（</w:t>
      </w:r>
      <w:r>
        <w:rPr>
          <w:sz w:val="21"/>
        </w:rPr>
        <w:t>4</w:t>
      </w:r>
      <w:r>
        <w:rPr>
          <w:sz w:val="21"/>
        </w:rPr>
        <w:t>）协调乙方工作，对乙方需要协调解决的问题，甲方应采取积极态度予以处理。</w:t>
      </w:r>
    </w:p>
    <w:p>
      <w:pPr>
        <w:pStyle w:val="null3"/>
        <w:ind w:firstLine="420"/>
        <w:jc w:val="both"/>
      </w:pPr>
      <w:r>
        <w:rPr>
          <w:sz w:val="21"/>
        </w:rPr>
        <w:t>（</w:t>
      </w:r>
      <w:r>
        <w:rPr>
          <w:sz w:val="21"/>
        </w:rPr>
        <w:t>5</w:t>
      </w:r>
      <w:r>
        <w:rPr>
          <w:sz w:val="21"/>
        </w:rPr>
        <w:t>）在乙方提供服务时，如对甲方的设备造成了损坏，甲方有权要求乙方赔偿。</w:t>
      </w:r>
    </w:p>
    <w:p>
      <w:pPr>
        <w:pStyle w:val="null3"/>
        <w:ind w:firstLine="420"/>
        <w:jc w:val="both"/>
      </w:pPr>
      <w:r>
        <w:rPr>
          <w:sz w:val="21"/>
        </w:rPr>
        <w:t>（</w:t>
      </w:r>
      <w:r>
        <w:rPr>
          <w:sz w:val="21"/>
        </w:rPr>
        <w:t>6</w:t>
      </w:r>
      <w:r>
        <w:rPr>
          <w:sz w:val="21"/>
        </w:rPr>
        <w:t>）招标文件和投标文件约定的甲方其余权利义务。</w:t>
      </w:r>
    </w:p>
    <w:p>
      <w:pPr>
        <w:pStyle w:val="null3"/>
        <w:ind w:firstLine="420"/>
        <w:jc w:val="both"/>
      </w:pPr>
      <w:r>
        <w:rPr>
          <w:sz w:val="21"/>
        </w:rPr>
        <w:t>2.</w:t>
      </w:r>
      <w:r>
        <w:rPr>
          <w:sz w:val="21"/>
        </w:rPr>
        <w:t>乙方权力和义务</w:t>
      </w:r>
    </w:p>
    <w:p>
      <w:pPr>
        <w:pStyle w:val="null3"/>
        <w:ind w:firstLine="420"/>
        <w:jc w:val="both"/>
      </w:pPr>
      <w:r>
        <w:rPr>
          <w:sz w:val="21"/>
        </w:rPr>
        <w:t>（</w:t>
      </w:r>
      <w:r>
        <w:rPr>
          <w:sz w:val="21"/>
        </w:rPr>
        <w:t>1</w:t>
      </w:r>
      <w:r>
        <w:rPr>
          <w:sz w:val="21"/>
        </w:rPr>
        <w:t>）乙方应按招标文件的要求和投标文件的承诺进行供货，发生任何货物及服务的变更均须向甲方提出交书面报审报告。</w:t>
      </w:r>
    </w:p>
    <w:p>
      <w:pPr>
        <w:pStyle w:val="null3"/>
        <w:ind w:firstLine="420"/>
        <w:jc w:val="both"/>
      </w:pPr>
      <w:r>
        <w:rPr>
          <w:sz w:val="21"/>
        </w:rPr>
        <w:t>（</w:t>
      </w:r>
      <w:r>
        <w:rPr>
          <w:sz w:val="21"/>
        </w:rPr>
        <w:t>2</w:t>
      </w:r>
      <w:r>
        <w:rPr>
          <w:sz w:val="21"/>
        </w:rPr>
        <w:t>）在满足招标文件的前提下，严格按照其投标文件的实施组织方案（包括实施计划、设备、人员、文明、安全等）进行服务。</w:t>
      </w:r>
    </w:p>
    <w:p>
      <w:pPr>
        <w:pStyle w:val="null3"/>
        <w:ind w:firstLine="420"/>
        <w:jc w:val="both"/>
      </w:pPr>
      <w:r>
        <w:rPr>
          <w:sz w:val="21"/>
        </w:rPr>
        <w:t>（</w:t>
      </w:r>
      <w:r>
        <w:rPr>
          <w:sz w:val="21"/>
        </w:rPr>
        <w:t>3</w:t>
      </w:r>
      <w:r>
        <w:rPr>
          <w:sz w:val="21"/>
        </w:rPr>
        <w:t>）在组织实施服务过程中，遵守有关安全生产管理规定，严格按相关安全标准组织实施，采取必要的安全防护措施，消除事故隐患。由于乙方安全措施不力造成事故的责任和因此发生的费用，由乙方承担。</w:t>
      </w:r>
    </w:p>
    <w:p>
      <w:pPr>
        <w:pStyle w:val="null3"/>
        <w:ind w:firstLine="420"/>
        <w:jc w:val="both"/>
      </w:pPr>
      <w:r>
        <w:rPr>
          <w:sz w:val="21"/>
        </w:rPr>
        <w:t>（</w:t>
      </w:r>
      <w:r>
        <w:rPr>
          <w:sz w:val="21"/>
        </w:rPr>
        <w:t>4</w:t>
      </w:r>
      <w:r>
        <w:rPr>
          <w:sz w:val="21"/>
        </w:rPr>
        <w:t>）做好服务现场设施的保护，若乙方防护不力而造成一切责任及经济损失由乙方承担；</w:t>
      </w:r>
    </w:p>
    <w:p>
      <w:pPr>
        <w:pStyle w:val="null3"/>
        <w:ind w:firstLine="420"/>
        <w:jc w:val="both"/>
      </w:pPr>
      <w:r>
        <w:rPr>
          <w:sz w:val="21"/>
        </w:rPr>
        <w:t>（</w:t>
      </w:r>
      <w:r>
        <w:rPr>
          <w:sz w:val="21"/>
        </w:rPr>
        <w:t>5</w:t>
      </w:r>
      <w:r>
        <w:rPr>
          <w:sz w:val="21"/>
        </w:rPr>
        <w:t>）必须为从事危险作业的职工办理意外伤害保险，并为实施服务场地内自有人员生命财产和实施服务机械设备办理保险，支付保险费用。</w:t>
      </w:r>
    </w:p>
    <w:p>
      <w:pPr>
        <w:pStyle w:val="null3"/>
        <w:ind w:firstLine="420"/>
        <w:jc w:val="both"/>
      </w:pPr>
      <w:r>
        <w:rPr>
          <w:sz w:val="21"/>
        </w:rPr>
        <w:t>（</w:t>
      </w:r>
      <w:r>
        <w:rPr>
          <w:sz w:val="21"/>
        </w:rPr>
        <w:t>6</w:t>
      </w:r>
      <w:r>
        <w:rPr>
          <w:sz w:val="21"/>
        </w:rPr>
        <w:t>）招标文件和投标文件约定的乙方其余权利义务。</w:t>
      </w:r>
    </w:p>
    <w:p>
      <w:pPr>
        <w:pStyle w:val="null3"/>
        <w:ind w:firstLine="422"/>
        <w:jc w:val="both"/>
      </w:pPr>
      <w:r>
        <w:rPr>
          <w:sz w:val="21"/>
          <w:b/>
        </w:rPr>
        <w:t>十二、付款方式</w:t>
      </w:r>
    </w:p>
    <w:p>
      <w:pPr>
        <w:pStyle w:val="null3"/>
        <w:ind w:firstLine="422"/>
        <w:jc w:val="both"/>
      </w:pPr>
      <w:r>
        <w:rPr>
          <w:sz w:val="21"/>
        </w:rPr>
        <w:t>第</w:t>
      </w:r>
      <w:r>
        <w:rPr>
          <w:sz w:val="21"/>
        </w:rPr>
        <w:t>1</w:t>
      </w:r>
      <w:r>
        <w:rPr>
          <w:sz w:val="21"/>
        </w:rPr>
        <w:t>期：支付比例</w:t>
      </w:r>
      <w:r>
        <w:rPr>
          <w:sz w:val="21"/>
        </w:rPr>
        <w:t>30%,</w:t>
      </w:r>
      <w:r>
        <w:rPr>
          <w:sz w:val="21"/>
        </w:rPr>
        <w:t>合同签订后，甲方向乙方支付合同总价</w:t>
      </w:r>
      <w:r>
        <w:rPr>
          <w:sz w:val="21"/>
        </w:rPr>
        <w:t>30%</w:t>
      </w:r>
      <w:r>
        <w:rPr>
          <w:sz w:val="21"/>
        </w:rPr>
        <w:t>；</w:t>
      </w:r>
    </w:p>
    <w:p>
      <w:pPr>
        <w:pStyle w:val="null3"/>
        <w:ind w:firstLine="422"/>
        <w:jc w:val="both"/>
      </w:pPr>
      <w:r>
        <w:rPr>
          <w:sz w:val="21"/>
        </w:rPr>
        <w:t>第</w:t>
      </w:r>
      <w:r>
        <w:rPr>
          <w:sz w:val="21"/>
        </w:rPr>
        <w:t>2</w:t>
      </w:r>
      <w:r>
        <w:rPr>
          <w:sz w:val="21"/>
        </w:rPr>
        <w:t>期：付比例</w:t>
      </w:r>
      <w:r>
        <w:rPr>
          <w:sz w:val="21"/>
        </w:rPr>
        <w:t>40%,</w:t>
      </w:r>
      <w:r>
        <w:rPr>
          <w:sz w:val="24"/>
        </w:rPr>
        <w:t>货物到货后，</w:t>
      </w:r>
      <w:r>
        <w:rPr>
          <w:sz w:val="21"/>
        </w:rPr>
        <w:t>甲方向乙方</w:t>
      </w:r>
      <w:r>
        <w:rPr>
          <w:sz w:val="24"/>
        </w:rPr>
        <w:t>支付合同总价的</w:t>
      </w:r>
      <w:r>
        <w:rPr>
          <w:sz w:val="24"/>
        </w:rPr>
        <w:t>40%</w:t>
      </w:r>
      <w:r>
        <w:rPr>
          <w:sz w:val="24"/>
        </w:rPr>
        <w:t>；</w:t>
      </w:r>
      <w:r>
        <w:rPr>
          <w:sz w:val="21"/>
        </w:rPr>
        <w:t>,</w:t>
      </w:r>
    </w:p>
    <w:p>
      <w:pPr>
        <w:pStyle w:val="null3"/>
        <w:ind w:firstLine="422"/>
        <w:jc w:val="both"/>
      </w:pPr>
      <w:r>
        <w:rPr>
          <w:sz w:val="21"/>
        </w:rPr>
        <w:t>第</w:t>
      </w:r>
      <w:r>
        <w:rPr>
          <w:sz w:val="21"/>
        </w:rPr>
        <w:t>2</w:t>
      </w:r>
      <w:r>
        <w:rPr>
          <w:sz w:val="21"/>
        </w:rPr>
        <w:t>期：支付比例</w:t>
      </w:r>
      <w:r>
        <w:rPr>
          <w:sz w:val="21"/>
        </w:rPr>
        <w:t>30%,</w:t>
      </w:r>
      <w:r>
        <w:rPr>
          <w:sz w:val="21"/>
        </w:rPr>
        <w:t>项目验收合格后，甲方向乙方支付合同总价的</w:t>
      </w:r>
      <w:r>
        <w:rPr>
          <w:sz w:val="21"/>
        </w:rPr>
        <w:t>30%</w:t>
      </w:r>
      <w:r>
        <w:rPr>
          <w:sz w:val="21"/>
        </w:rPr>
        <w:t>。注：本项目资金来源为财政资金，相关付款程序严格遵守东莞市政府财政资金支付程序规定。</w:t>
      </w:r>
    </w:p>
    <w:p>
      <w:pPr>
        <w:pStyle w:val="null3"/>
        <w:ind w:firstLine="422"/>
        <w:jc w:val="both"/>
      </w:pPr>
      <w:r>
        <w:rPr>
          <w:sz w:val="21"/>
        </w:rPr>
        <w:t>（①供应商收取款项时必须出具合法的票据，否则甲方有权拒绝付款。②甲方应在上述规定时间内向供应商支付款项，如无正当理由未按时付款，供应商有权顺延工期。③合同款支付程序如按照东莞市财政支付程序支付，则约定的付款期限为甲方莞市财政提交资料的期限，东莞市财政的审批期限不纳入采购方承诺期限内。如果乙方怠于或者拒绝提供资料或者办理手续等乙方原因导致的付款迟延，责任全部由乙方承担，甲方不以违约论。）</w:t>
      </w:r>
    </w:p>
    <w:p>
      <w:pPr>
        <w:pStyle w:val="null3"/>
        <w:ind w:firstLine="422"/>
        <w:jc w:val="both"/>
      </w:pPr>
      <w:r>
        <w:rPr>
          <w:sz w:val="21"/>
          <w:b/>
        </w:rPr>
        <w:t>十三、违约责任</w:t>
      </w:r>
    </w:p>
    <w:p>
      <w:pPr>
        <w:pStyle w:val="null3"/>
        <w:ind w:firstLine="420"/>
        <w:jc w:val="both"/>
      </w:pPr>
      <w:r>
        <w:rPr>
          <w:sz w:val="21"/>
        </w:rPr>
        <w:t>1.</w:t>
      </w:r>
      <w:r>
        <w:rPr>
          <w:sz w:val="21"/>
        </w:rPr>
        <w:t>乙方违反合同及招标文件约定的有关义务，对甲方造成经济损失的，应给予甲方经济赔偿；如造成重大损失的，甲方有权终止合同。</w:t>
      </w:r>
    </w:p>
    <w:p>
      <w:pPr>
        <w:pStyle w:val="null3"/>
        <w:ind w:firstLine="420"/>
        <w:jc w:val="both"/>
      </w:pPr>
      <w:r>
        <w:rPr>
          <w:sz w:val="21"/>
        </w:rPr>
        <w:t>2.</w:t>
      </w:r>
      <w:r>
        <w:rPr>
          <w:sz w:val="21"/>
        </w:rPr>
        <w:t>除合同规定外，如果乙方没有按照合同规定的时间交付或完成，甲方可要求乙方支付违约金。从逾期之日起每日按本合同总价</w:t>
      </w:r>
      <w:r>
        <w:rPr>
          <w:sz w:val="21"/>
        </w:rPr>
        <w:t>3</w:t>
      </w:r>
      <w:r>
        <w:rPr>
          <w:sz w:val="21"/>
        </w:rPr>
        <w:t>‰的数额向甲方支付违约金；逾期</w:t>
      </w:r>
      <w:r>
        <w:rPr>
          <w:sz w:val="21"/>
        </w:rPr>
        <w:t>15</w:t>
      </w:r>
      <w:r>
        <w:rPr>
          <w:sz w:val="21"/>
        </w:rPr>
        <w:t>天或以上的，甲方有权终止合同，要求乙方一次性支付合同总金额</w:t>
      </w:r>
      <w:r>
        <w:rPr>
          <w:sz w:val="21"/>
        </w:rPr>
        <w:t>20%</w:t>
      </w:r>
      <w:r>
        <w:rPr>
          <w:sz w:val="21"/>
        </w:rPr>
        <w:t>违约金，并且给甲方造成的经济损失由乙方承担赔偿责任。</w:t>
      </w:r>
    </w:p>
    <w:p>
      <w:pPr>
        <w:pStyle w:val="null3"/>
        <w:ind w:firstLine="420"/>
        <w:jc w:val="both"/>
      </w:pPr>
      <w:r>
        <w:rPr>
          <w:sz w:val="21"/>
        </w:rPr>
        <w:t>3.</w:t>
      </w:r>
      <w:r>
        <w:rPr>
          <w:sz w:val="21"/>
        </w:rPr>
        <w:t>因乙方原因导致本合同解除或是无法履行的，乙方应向甲方支付合同总价</w:t>
      </w:r>
      <w:r>
        <w:rPr>
          <w:sz w:val="21"/>
        </w:rPr>
        <w:t>20%</w:t>
      </w:r>
      <w:r>
        <w:rPr>
          <w:sz w:val="21"/>
        </w:rPr>
        <w:t>的违约金，并且给甲方造成的经济损失由乙方承担赔偿责任。</w:t>
      </w:r>
    </w:p>
    <w:p>
      <w:pPr>
        <w:pStyle w:val="null3"/>
        <w:ind w:firstLine="420"/>
        <w:jc w:val="both"/>
      </w:pPr>
      <w:r>
        <w:rPr>
          <w:sz w:val="21"/>
        </w:rPr>
        <w:t>4.</w:t>
      </w:r>
      <w:r>
        <w:rPr>
          <w:sz w:val="21"/>
        </w:rPr>
        <w:t>甲方有权从未支付的款项中直接扣除乙方的违约金，不足的部分由乙方另行补足。</w:t>
      </w:r>
    </w:p>
    <w:p>
      <w:pPr>
        <w:pStyle w:val="null3"/>
        <w:ind w:firstLine="420"/>
        <w:jc w:val="both"/>
      </w:pPr>
      <w:r>
        <w:rPr>
          <w:sz w:val="21"/>
        </w:rPr>
        <w:t>5.</w:t>
      </w:r>
      <w:r>
        <w:rPr>
          <w:sz w:val="21"/>
        </w:rPr>
        <w:t>乙方交付的货物不符合合同规定的，甲方有权拒收，经乙方一再努力仍未能达到合同规定的，甲方有权单方中止合同且乙方需向甲方支付合同总价</w:t>
      </w:r>
      <w:r>
        <w:rPr>
          <w:sz w:val="21"/>
        </w:rPr>
        <w:t>20%</w:t>
      </w:r>
      <w:r>
        <w:rPr>
          <w:sz w:val="21"/>
        </w:rPr>
        <w:t>的违约金。</w:t>
      </w:r>
    </w:p>
    <w:p>
      <w:pPr>
        <w:pStyle w:val="null3"/>
        <w:ind w:firstLine="422"/>
        <w:jc w:val="both"/>
      </w:pPr>
      <w:r>
        <w:rPr>
          <w:sz w:val="21"/>
          <w:b/>
        </w:rPr>
        <w:t>十四、争议的解决</w:t>
      </w:r>
    </w:p>
    <w:p>
      <w:pPr>
        <w:pStyle w:val="null3"/>
        <w:ind w:firstLine="420"/>
        <w:jc w:val="both"/>
      </w:pPr>
      <w:r>
        <w:rPr>
          <w:sz w:val="21"/>
        </w:rPr>
        <w:t>1.</w:t>
      </w:r>
      <w:r>
        <w:rPr>
          <w:sz w:val="21"/>
        </w:rPr>
        <w:t>凡与本合同有关而引起的一切争议，甲乙双方应首先通过友好协商解决，如经协商后仍不能达成协议时，任何一方可以向法院提出诉讼。</w:t>
      </w:r>
    </w:p>
    <w:p>
      <w:pPr>
        <w:pStyle w:val="null3"/>
        <w:ind w:firstLine="420"/>
        <w:jc w:val="both"/>
      </w:pPr>
      <w:r>
        <w:rPr>
          <w:sz w:val="21"/>
        </w:rPr>
        <w:t>2.</w:t>
      </w:r>
      <w:r>
        <w:rPr>
          <w:sz w:val="21"/>
        </w:rPr>
        <w:t>本合同发生的诉讼管辖地为东莞市有管辖权的法院。</w:t>
      </w:r>
    </w:p>
    <w:p>
      <w:pPr>
        <w:pStyle w:val="null3"/>
        <w:ind w:firstLine="420"/>
        <w:jc w:val="both"/>
      </w:pPr>
      <w:r>
        <w:rPr>
          <w:sz w:val="21"/>
        </w:rPr>
        <w:t>3.</w:t>
      </w:r>
      <w:r>
        <w:rPr>
          <w:sz w:val="21"/>
        </w:rPr>
        <w:t>在进行法院审理期间，除提交法院审理的事项外，合同其他部分仍继续履行。</w:t>
      </w:r>
    </w:p>
    <w:p>
      <w:pPr>
        <w:pStyle w:val="null3"/>
        <w:ind w:firstLine="420"/>
        <w:jc w:val="both"/>
      </w:pPr>
      <w:r>
        <w:rPr>
          <w:sz w:val="21"/>
        </w:rPr>
        <w:t>4.</w:t>
      </w:r>
      <w:r>
        <w:rPr>
          <w:sz w:val="21"/>
        </w:rPr>
        <w:t>本合同按照中华人民共和国的法律进行解释。</w:t>
      </w:r>
    </w:p>
    <w:p>
      <w:pPr>
        <w:pStyle w:val="null3"/>
        <w:ind w:firstLine="422"/>
        <w:jc w:val="both"/>
      </w:pPr>
      <w:r>
        <w:rPr>
          <w:sz w:val="21"/>
          <w:b/>
        </w:rPr>
        <w:t>十五、不可抗力</w:t>
      </w:r>
    </w:p>
    <w:p>
      <w:pPr>
        <w:pStyle w:val="null3"/>
        <w:ind w:firstLine="420"/>
        <w:jc w:val="both"/>
      </w:pPr>
      <w:r>
        <w:rPr>
          <w:sz w:val="21"/>
        </w:rPr>
        <w:t>1.</w:t>
      </w:r>
      <w:r>
        <w:rPr>
          <w:sz w:val="21"/>
        </w:rPr>
        <w:t>甲乙双方如果任何一方因不可抗拒力的力量如地震、风暴、洪水、火灾或其他自然灾害、瘟疫、战争、暴乱、敌对行动、公共骚乱、公共敌人的行为、政府或公共机关的禁止、劳资纠纷或其他双方无法控制、不可预见的事件，而无法履行本合同规定的义务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20"/>
        <w:jc w:val="both"/>
      </w:pPr>
      <w:r>
        <w:rPr>
          <w:sz w:val="21"/>
        </w:rPr>
        <w:t>2.</w:t>
      </w:r>
      <w:r>
        <w:rPr>
          <w:sz w:val="21"/>
        </w:rPr>
        <w:t>如果发生了不可抗力的事件，任何一方均不对另一方因不能履约或延误履约而遭受的任何损害，成本增加或损失负责。遇到不可抗力事件的一方应采取适当的措施以减少或消除不可抗力事件的影响，并在最短时间内努力重新履行因不可抗力事件而受影响的义务。通过协商，双方应根据不可抗力对合同履行的影响程度，决定是否修改或终止本合同。</w:t>
      </w:r>
    </w:p>
    <w:p>
      <w:pPr>
        <w:pStyle w:val="null3"/>
        <w:ind w:firstLine="422"/>
        <w:jc w:val="both"/>
      </w:pPr>
      <w:r>
        <w:rPr>
          <w:sz w:val="21"/>
          <w:b/>
        </w:rPr>
        <w:t>十六、合同生效</w:t>
      </w:r>
    </w:p>
    <w:p>
      <w:pPr>
        <w:pStyle w:val="null3"/>
        <w:ind w:firstLine="420"/>
        <w:jc w:val="both"/>
      </w:pPr>
      <w:r>
        <w:rPr>
          <w:sz w:val="21"/>
        </w:rPr>
        <w:t>1.</w:t>
      </w:r>
      <w:r>
        <w:rPr>
          <w:sz w:val="21"/>
        </w:rPr>
        <w:t>本合同由双方法定代表人或委托代理人签字盖章后立即生效，具有同等法律效力，服务期为合同签定日至年月日，合同有效期随服务期结束而自然终止。</w:t>
      </w:r>
    </w:p>
    <w:p>
      <w:pPr>
        <w:pStyle w:val="null3"/>
        <w:ind w:firstLine="420"/>
        <w:jc w:val="both"/>
      </w:pPr>
      <w:r>
        <w:rPr>
          <w:sz w:val="21"/>
        </w:rPr>
        <w:t>2.</w:t>
      </w:r>
      <w:r>
        <w:rPr>
          <w:sz w:val="21"/>
        </w:rPr>
        <w:t>本合同一式份，其中甲方份、乙方份，采购代理机构壹份（须在合同签订之日起</w:t>
      </w:r>
      <w:r>
        <w:rPr>
          <w:sz w:val="21"/>
        </w:rPr>
        <w:t>5</w:t>
      </w:r>
      <w:r>
        <w:rPr>
          <w:sz w:val="21"/>
        </w:rPr>
        <w:t>个工作日内递交）。</w:t>
      </w:r>
    </w:p>
    <w:p>
      <w:pPr>
        <w:pStyle w:val="null3"/>
        <w:ind w:firstLine="422"/>
        <w:jc w:val="both"/>
      </w:pPr>
      <w:r>
        <w:rPr>
          <w:sz w:val="21"/>
          <w:b/>
        </w:rPr>
        <w:t>十七、其它</w:t>
      </w:r>
    </w:p>
    <w:p>
      <w:pPr>
        <w:pStyle w:val="null3"/>
        <w:ind w:firstLine="420"/>
        <w:jc w:val="both"/>
      </w:pPr>
      <w:r>
        <w:rPr>
          <w:sz w:val="21"/>
        </w:rPr>
        <w:t>1.</w:t>
      </w:r>
      <w:r>
        <w:rPr>
          <w:sz w:val="21"/>
        </w:rPr>
        <w:t>本合同未尽事宜，双方可签订补充合同，补充合同与所有附件均为合同的有效组成部分，与本合同具有同等法律效力。</w:t>
      </w:r>
    </w:p>
    <w:p>
      <w:pPr>
        <w:pStyle w:val="null3"/>
        <w:ind w:firstLine="420"/>
        <w:jc w:val="both"/>
      </w:pPr>
      <w:r>
        <w:rPr>
          <w:sz w:val="21"/>
        </w:rPr>
        <w:t>2.</w:t>
      </w:r>
      <w:r>
        <w:rPr>
          <w:sz w:val="21"/>
        </w:rPr>
        <w:t>在执行本合同的过程中，所有经甲乙双方签署确认的文件（包括会议纪要、补充协议、往来信函、合同附件等）即成为本合同的有效组成部分，其生效日期为双方签字盖章或确认之日期。</w:t>
      </w:r>
    </w:p>
    <w:p>
      <w:pPr>
        <w:pStyle w:val="null3"/>
        <w:ind w:firstLine="420"/>
        <w:jc w:val="both"/>
      </w:pPr>
      <w:r>
        <w:rPr>
          <w:sz w:val="21"/>
        </w:rPr>
        <w:t>3.</w:t>
      </w:r>
      <w:r>
        <w:rPr>
          <w:sz w:val="21"/>
        </w:rPr>
        <w:t>本合同合计页</w:t>
      </w:r>
      <w:r>
        <w:rPr>
          <w:sz w:val="21"/>
        </w:rPr>
        <w:t>A4</w:t>
      </w:r>
      <w:r>
        <w:rPr>
          <w:sz w:val="21"/>
        </w:rPr>
        <w:t>纸张，缺页之合同为无效合同。</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r>
              <w:rPr>
                <w:sz w:val="21"/>
              </w:rPr>
              <w:t>(</w:t>
            </w:r>
            <w:r>
              <w:rPr>
                <w:sz w:val="21"/>
              </w:rPr>
              <w:t>盖章</w:t>
            </w:r>
            <w:r>
              <w:rPr>
                <w:sz w:val="21"/>
              </w:rPr>
              <w:t>)</w:t>
            </w:r>
            <w:r>
              <w:rPr>
                <w:sz w:val="21"/>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甲方代表人</w:t>
            </w:r>
            <w:r>
              <w:rPr>
                <w:sz w:val="21"/>
              </w:rPr>
              <w:t>(</w:t>
            </w:r>
            <w:r>
              <w:rPr>
                <w:sz w:val="21"/>
              </w:rPr>
              <w:t>签字</w:t>
            </w:r>
            <w:r>
              <w:rPr>
                <w:sz w:val="21"/>
              </w:rPr>
              <w:t>)</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乙方代表人</w:t>
            </w:r>
            <w:r>
              <w:rPr>
                <w:sz w:val="21"/>
              </w:rPr>
              <w:t>(</w:t>
            </w:r>
            <w:r>
              <w:rPr>
                <w:sz w:val="21"/>
              </w:rPr>
              <w:t>签字</w:t>
            </w:r>
            <w:r>
              <w:rPr>
                <w:sz w:val="21"/>
              </w:rPr>
              <w:t>)</w:t>
            </w:r>
            <w:r>
              <w:rPr>
                <w:sz w:val="21"/>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签字日期：</w:t>
            </w:r>
          </w:p>
        </w:tc>
        <w:tc>
          <w:tcPr>
            <w:tcW w:type="dxa" w:w="4153"/>
            <w:tcBorders>
              <w:left w:val="none" w:color="000000" w:sz="4"/>
              <w:bottom w:val="none" w:color="000000" w:sz="4"/>
            </w:tcBorders>
            <w:tcMar>
              <w:top w:type="dxa" w:w="0"/>
              <w:left w:type="dxa" w:w="105"/>
              <w:bottom w:type="dxa" w:w="0"/>
              <w:right w:type="dxa" w:w="105"/>
            </w:tcMar>
            <w:vAlign w:val="top"/>
          </w:tcPr>
          <w:p>
            <w:pPr>
              <w:pStyle w:val="null3"/>
              <w:jc w:val="both"/>
            </w:pPr>
            <w:r>
              <w:rPr>
                <w:sz w:val="21"/>
              </w:rPr>
              <w:t>签字日期：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4153"/>
            <w:tcBorders>
              <w:left w:val="none" w:color="000000" w:sz="4"/>
              <w:bottom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4153"/>
            <w:tcBorders>
              <w:left w:val="none" w:color="000000" w:sz="4"/>
              <w:bottom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c>
          <w:tcPr>
            <w:tcW w:type="dxa" w:w="4153"/>
            <w:tcBorders>
              <w:left w:val="none" w:color="000000" w:sz="4"/>
              <w:bottom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c>
          <w:tcPr>
            <w:tcW w:type="dxa" w:w="4153"/>
            <w:tcBorders>
              <w:left w:val="none" w:color="000000" w:sz="4"/>
              <w:bottom w:val="none" w:color="000000" w:sz="4"/>
            </w:tcBorders>
            <w:tcMar>
              <w:top w:type="dxa" w:w="0"/>
              <w:left w:type="dxa" w:w="105"/>
              <w:bottom w:type="dxa" w:w="0"/>
              <w:right w:type="dxa" w:w="105"/>
            </w:tcMar>
            <w:vAlign w:val="top"/>
          </w:tcPr>
          <w:p>
            <w:pPr>
              <w:pStyle w:val="null3"/>
              <w:jc w:val="both"/>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银行账户：</w:t>
            </w:r>
          </w:p>
        </w:tc>
      </w:tr>
    </w:tbl>
    <w:p>
      <w:pPr>
        <w:pStyle w:val="null3"/>
        <w:ind w:firstLine="420"/>
        <w:jc w:val="both"/>
      </w:pPr>
      <w:r>
        <w:rPr>
          <w:sz w:val="21"/>
          <w:b/>
        </w:rPr>
        <w:t>合同附件</w:t>
      </w:r>
      <w:r>
        <w:rPr>
          <w:sz w:val="21"/>
          <w:b/>
        </w:rPr>
        <w:t>(</w:t>
      </w:r>
      <w:r>
        <w:rPr>
          <w:sz w:val="21"/>
          <w:b/>
        </w:rPr>
        <w:t>合同编号</w:t>
      </w:r>
      <w:r>
        <w:rPr>
          <w:sz w:val="21"/>
          <w:b/>
        </w:rPr>
        <w:t>)</w:t>
      </w:r>
    </w:p>
    <w:p>
      <w:pPr>
        <w:pStyle w:val="null3"/>
        <w:ind w:firstLine="420"/>
        <w:jc w:val="both"/>
      </w:pPr>
      <w:r>
        <w:rPr>
          <w:sz w:val="21"/>
        </w:rPr>
        <w:t>附件</w:t>
      </w:r>
      <w:r>
        <w:rPr>
          <w:sz w:val="21"/>
        </w:rPr>
        <w:t>1.</w:t>
      </w:r>
      <w:r>
        <w:rPr>
          <w:sz w:val="21"/>
        </w:rPr>
        <w:t>中标通知书</w:t>
      </w:r>
    </w:p>
    <w:p>
      <w:pPr>
        <w:pStyle w:val="null3"/>
        <w:ind w:firstLine="420"/>
        <w:jc w:val="both"/>
      </w:pPr>
      <w:r>
        <w:rPr>
          <w:sz w:val="21"/>
        </w:rPr>
        <w:t>附件</w:t>
      </w:r>
      <w:r>
        <w:rPr>
          <w:sz w:val="21"/>
        </w:rPr>
        <w:t>2.</w:t>
      </w:r>
      <w:r>
        <w:rPr>
          <w:sz w:val="21"/>
        </w:rPr>
        <w:t>招标文件</w:t>
      </w:r>
    </w:p>
    <w:p>
      <w:pPr>
        <w:pStyle w:val="null3"/>
        <w:ind w:firstLine="420"/>
        <w:jc w:val="both"/>
      </w:pPr>
      <w:r>
        <w:rPr>
          <w:sz w:val="21"/>
        </w:rPr>
        <w:t>附件</w:t>
      </w:r>
      <w:r>
        <w:rPr>
          <w:sz w:val="21"/>
        </w:rPr>
        <w:t>3.</w:t>
      </w:r>
      <w:r>
        <w:rPr>
          <w:sz w:val="21"/>
        </w:rPr>
        <w:t>投标文件</w:t>
      </w:r>
    </w:p>
    <w:p>
      <w:pPr>
        <w:pStyle w:val="null3"/>
        <w:ind w:firstLine="420"/>
        <w:jc w:val="both"/>
      </w:pPr>
      <w:r>
        <w:rPr>
          <w:sz w:val="21"/>
        </w:rPr>
        <w:t>．．．．．．</w:t>
      </w:r>
    </w:p>
    <w:p>
      <w:pPr>
        <w:pStyle w:val="null3"/>
        <w:ind w:firstLine="422"/>
        <w:jc w:val="both"/>
      </w:pPr>
      <w:r>
        <w:rPr>
          <w:sz w:val="21"/>
          <w:b/>
        </w:rPr>
        <w:t>备注：</w:t>
      </w:r>
    </w:p>
    <w:p>
      <w:pPr>
        <w:pStyle w:val="null3"/>
        <w:ind w:firstLine="420"/>
        <w:jc w:val="both"/>
      </w:pPr>
      <w:r>
        <w:rPr>
          <w:sz w:val="21"/>
        </w:rPr>
        <w:t>本合同所有附件均在签订合同时编制，其编制依据是招标文件“采购需求”中的要求和中标人的投标文件中的相应内容。</w:t>
      </w:r>
    </w:p>
    <w:p>
      <w:pPr>
        <w:pStyle w:val="null3"/>
        <w:jc w:val="both"/>
      </w:pPr>
      <w:r>
        <w:rPr>
          <w:sz w:val="21"/>
        </w:rPr>
        <w:t>合同附件的具体内容由双方在签订合同时确定。</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441901-2026-04999</w:t>
      </w:r>
    </w:p>
    <w:p>
      <w:pPr>
        <w:pStyle w:val="null3"/>
        <w:jc w:val="center"/>
        <w:outlineLvl w:val="3"/>
      </w:pPr>
      <w:r>
        <w:rPr>
          <w:sz w:val="24"/>
          <w:b/>
        </w:rPr>
        <w:t>采购项目编号：</w:t>
      </w:r>
      <w:r>
        <w:rPr>
          <w:sz w:val="24"/>
          <w:b/>
        </w:rPr>
        <w:t>441901-2026-04999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广东易采项目管理有限公司</w:t>
      </w:r>
    </w:p>
    <w:p>
      <w:pPr>
        <w:pStyle w:val="null3"/>
        <w:ind w:firstLine="480"/>
      </w:pPr>
      <w:r>
        <w:rPr/>
        <w:t xml:space="preserve"> 你方组织的</w:t>
      </w:r>
      <w:r>
        <w:rPr>
          <w:u w:val="single"/>
        </w:rPr>
        <w:t>“</w:t>
      </w:r>
      <w:r>
        <w:rPr>
          <w:u w:val="single"/>
        </w:rPr>
        <w:t>东莞市水乡未来学校云终端设备采购项目</w:t>
      </w:r>
      <w:r>
        <w:rPr>
          <w:u w:val="single"/>
        </w:rPr>
        <w:t>”</w:t>
      </w:r>
      <w:r>
        <w:rPr/>
        <w:t>项目的招标[采购项目编号为：</w:t>
      </w:r>
      <w:r>
        <w:rPr>
          <w:u w:val="single"/>
        </w:rPr>
        <w:t>441901-2026-04999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东莞市水乡未来学校云终端设备采购项目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广东易采项目管理有限公司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东莞市水乡未来学校云终端设备采购项目</w:t>
      </w:r>
      <w:r>
        <w:rPr/>
        <w:t>”项目采购[采购项目编号为</w:t>
      </w:r>
      <w:r>
        <w:rPr/>
        <w:t>441901-2026-04999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东莞市水乡未来学校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广东易采项目管理有限公司</w:t>
      </w:r>
    </w:p>
    <w:p>
      <w:pPr>
        <w:pStyle w:val="null3"/>
        <w:ind w:firstLine="480"/>
      </w:pPr>
      <w:r>
        <w:rPr/>
        <w:t xml:space="preserve"> 如果我方在贵采购代理机构组织的</w:t>
      </w:r>
      <w:r>
        <w:rPr/>
        <w:t>东莞市水乡未来学校云终端设备采购项目</w:t>
      </w:r>
      <w:r>
        <w:rPr/>
        <w:t>招标中获中标（采购项目编号：</w:t>
      </w:r>
      <w:r>
        <w:rPr/>
        <w:t>441901-2026-04999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广东易采项目管理有限公司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广东易采项目管理有限公司</w:t>
      </w:r>
    </w:p>
    <w:p>
      <w:pPr>
        <w:pStyle w:val="null3"/>
        <w:ind w:firstLine="480"/>
      </w:pPr>
      <w:r>
        <w:rPr/>
        <w:t>我单位已登记并准备参与“</w:t>
      </w:r>
      <w:r>
        <w:rPr/>
        <w:t>东莞市水乡未来学校云终端设备采购项目</w:t>
      </w:r>
      <w:r>
        <w:rPr/>
        <w:t>”项目（采购项目编号：</w:t>
      </w:r>
      <w:r>
        <w:rPr/>
        <w:t>441901-2026-04999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