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441301-2026-02461</w:t>
      </w:r>
    </w:p>
    <w:p>
      <w:pPr>
        <w:pStyle w:val="null3"/>
        <w:jc w:val="center"/>
        <w:outlineLvl w:val="3"/>
      </w:pPr>
      <w:r>
        <w:rPr>
          <w:sz w:val="24"/>
          <w:b/>
        </w:rPr>
        <w:t>采购项目编号：</w:t>
      </w:r>
      <w:r>
        <w:rPr>
          <w:sz w:val="24"/>
          <w:b/>
        </w:rPr>
        <w:t>04-06-04A-2026-D-F-E15721</w:t>
      </w:r>
    </w:p>
    <w:p>
      <w:pPr>
        <w:pStyle w:val="null3"/>
        <w:jc w:val="center"/>
        <w:outlineLvl w:val="3"/>
      </w:pPr>
      <w:r>
        <w:rPr>
          <w:sz w:val="24"/>
          <w:b/>
        </w:rPr>
        <w:t>项目名称：</w:t>
      </w:r>
      <w:r>
        <w:rPr>
          <w:sz w:val="24"/>
          <w:b/>
        </w:rPr>
        <w:t>临床电脑设备租赁服务</w:t>
      </w:r>
    </w:p>
    <w:p>
      <w:pPr>
        <w:pStyle w:val="null3"/>
        <w:jc w:val="center"/>
        <w:outlineLvl w:val="3"/>
      </w:pPr>
      <w:r>
        <w:rPr>
          <w:sz w:val="24"/>
          <w:b/>
        </w:rPr>
        <w:t>采购人：</w:t>
      </w:r>
      <w:r>
        <w:rPr>
          <w:sz w:val="24"/>
          <w:b/>
        </w:rPr>
        <w:t>惠州市第一人民医院</w:t>
      </w:r>
    </w:p>
    <w:p>
      <w:pPr>
        <w:pStyle w:val="null3"/>
        <w:jc w:val="center"/>
        <w:outlineLvl w:val="3"/>
      </w:pPr>
      <w:r>
        <w:rPr>
          <w:sz w:val="24"/>
          <w:b/>
        </w:rPr>
        <w:t>采购代理机构：</w:t>
      </w:r>
      <w:r>
        <w:rPr>
          <w:sz w:val="24"/>
          <w:b/>
        </w:rPr>
        <w:t>公诚管理咨询有限公司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公诚管理咨询有限公司</w:t>
      </w:r>
      <w:r>
        <w:rPr/>
        <w:t>受</w:t>
      </w:r>
      <w:r>
        <w:rPr/>
        <w:t>惠州市第一人民医院</w:t>
      </w:r>
      <w:r>
        <w:rPr/>
        <w:t>的委托，采用</w:t>
      </w:r>
      <w:r>
        <w:rPr/>
        <w:t>公开招标</w:t>
      </w:r>
      <w:r>
        <w:rPr/>
        <w:t>方式组织采购</w:t>
      </w:r>
      <w:r>
        <w:rPr/>
        <w:t>临床电脑设备租赁服务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临床电脑设备租赁服务</w:t>
      </w:r>
    </w:p>
    <w:p>
      <w:pPr>
        <w:pStyle w:val="null3"/>
        <w:ind w:firstLine="480"/>
      </w:pPr>
      <w:r>
        <w:rPr/>
        <w:t>采购计划编号：</w:t>
      </w:r>
      <w:r>
        <w:rPr/>
        <w:t>441301-2026-02461</w:t>
      </w:r>
    </w:p>
    <w:p>
      <w:pPr>
        <w:pStyle w:val="null3"/>
        <w:ind w:firstLine="480"/>
      </w:pPr>
      <w:r>
        <w:rPr/>
        <w:t>采购项目编号：</w:t>
      </w:r>
      <w:r>
        <w:rPr/>
        <w:t>04-06-04A-2026-D-F-E15721</w:t>
      </w:r>
    </w:p>
    <w:p>
      <w:pPr>
        <w:pStyle w:val="null3"/>
        <w:ind w:firstLine="480"/>
      </w:pPr>
      <w:r>
        <w:rPr/>
        <w:t>采购方式：</w:t>
      </w:r>
      <w:r>
        <w:rPr/>
        <w:t>公开招标</w:t>
      </w:r>
    </w:p>
    <w:p>
      <w:pPr>
        <w:pStyle w:val="null3"/>
        <w:ind w:firstLine="480"/>
      </w:pPr>
      <w:r>
        <w:rPr/>
        <w:t>预算金额：</w:t>
      </w:r>
      <w:r>
        <w:rPr/>
        <w:t>2,376,000.00</w:t>
      </w:r>
      <w:r>
        <w:rPr/>
        <w:t>元</w:t>
      </w:r>
    </w:p>
    <w:p>
      <w:pPr>
        <w:pStyle w:val="null3"/>
        <w:outlineLvl w:val="3"/>
      </w:pPr>
      <w:r>
        <w:rPr>
          <w:sz w:val="24"/>
          <w:b/>
        </w:rPr>
        <w:t>2.项目内容及需求情况（采购项目技术规格、参数及要求）</w:t>
      </w:r>
    </w:p>
    <w:p>
      <w:pPr>
        <w:pStyle w:val="null3"/>
      </w:pPr>
      <w:r>
        <w:rPr/>
        <w:t>采购包1(临床电脑设备租赁服务):</w:t>
      </w:r>
    </w:p>
    <w:p>
      <w:pPr>
        <w:pStyle w:val="null3"/>
      </w:pPr>
      <w:r>
        <w:rPr/>
        <w:t>采购包预算金额：2,376,000.00元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其他信息技术服务</w:t>
            </w:r>
          </w:p>
        </w:tc>
        <w:tc>
          <w:tcPr>
            <w:tcW w:type="dxa" w:w="2136"/>
          </w:tcPr>
          <w:p>
            <w:pPr>
              <w:pStyle w:val="null3"/>
            </w:pPr>
            <w:r>
              <w:rPr/>
              <w:t>临床电脑设备租赁服务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合同履行期限：本项目服务有效期为3年。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法人或其他组织的营业执照或事业单位法人证书或社会团体法人登记证书扫描件，如投标人为自然人的提供自然人身份证明扫描件;如国家另有规定的，则从其规定。(分文机构投标，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2）有依法缴纳税收和社会保障资金的良好记录：提供《资格条件承诺函》(具体格式可参照招标公告附件)。</w:t>
      </w:r>
    </w:p>
    <w:p>
      <w:pPr>
        <w:pStyle w:val="null3"/>
      </w:pPr>
      <w:r>
        <w:rPr/>
        <w:t>3）具有良好的商业信誉和健全的财务会计制度：提供《资格条件承诺函》(具体格式可参照招标公告附件)。</w:t>
      </w:r>
    </w:p>
    <w:p>
      <w:pPr>
        <w:pStyle w:val="null3"/>
      </w:pPr>
      <w:r>
        <w:rPr/>
        <w:t>4）履行合同所必需的设备和专业技术能力：提供《资格条件承诺函》(具体格式可参照招标公告附件)。</w:t>
      </w:r>
    </w:p>
    <w:p>
      <w:pPr>
        <w:pStyle w:val="null3"/>
      </w:pPr>
      <w:r>
        <w:rPr/>
        <w:t>5）参加采购活动前3年内，在经营活动中没有重大违法记录：参加采购活动前3年内，在经营活动中没有重大违法记录:提供《资格条件承诺函》(具体格式可参照招标公告附件)。重大违法记录，是指供应商因违法经营受到刑事处罚或者责令停产停业、品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采购包1（临床电脑设备租赁服务）：</w:t>
      </w:r>
      <w:r>
        <w:rPr/>
        <w:t>本项目属于不专门面向中小企业采购项目。依照《政府采购促进中小企业发展管理办法》、《支持监狱企业发展有关问题的通知》和《财政部 民政部中国残疾人联合会关于促进残疾人就业政府采购政策的通知》的规定，对符合相关条件的投标人给予相应的政府采购政策扶持。（详见本项目招标文件“第四章 评标”中的“政府采购政策落实”相关内容）。</w:t>
      </w:r>
    </w:p>
    <w:p>
      <w:pPr>
        <w:pStyle w:val="null3"/>
        <w:outlineLvl w:val="3"/>
      </w:pPr>
      <w:r>
        <w:rPr>
          <w:sz w:val="24"/>
          <w:b/>
        </w:rPr>
        <w:t>3.本项目特定的资格要求：</w:t>
      </w:r>
    </w:p>
    <w:p>
      <w:pPr>
        <w:pStyle w:val="null3"/>
      </w:pPr>
      <w:r>
        <w:rPr/>
        <w:t>采购包1（临床电脑设备租赁服务）：</w:t>
      </w:r>
    </w:p>
    <w:p>
      <w:pPr>
        <w:pStyle w:val="null3"/>
      </w:pPr>
      <w:r>
        <w:rPr/>
        <w:t>1)供应商未被列入“中国执行信息公开网”（http://zxgk.court.gov.cn/shixin/）“失信被执行人”及“信用中国”网站（https://www.creditchina.gov.cn)“重大税收违法失信主体”的记录名单；不处于中国政府采购网(http://www.ccgp.gov.cn)“政府采购严重违法失信行为信息记录”中的禁止参加政府采购活动期间。（以采购代理机构人员于投标（响应）截止时间当天在“中国执行信息公开网”（http://zxgk.court.gov.cn/shixin/）、“信用中国”网站（http://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惠州市第一人民医院</w:t>
      </w:r>
    </w:p>
    <w:p>
      <w:pPr>
        <w:pStyle w:val="null3"/>
        <w:ind w:firstLine="480"/>
      </w:pPr>
      <w:r>
        <w:rPr/>
        <w:t xml:space="preserve"> 地址：</w:t>
      </w:r>
      <w:r>
        <w:rPr/>
        <w:t>惠州市江北三新南路20号</w:t>
      </w:r>
    </w:p>
    <w:p>
      <w:pPr>
        <w:pStyle w:val="null3"/>
        <w:ind w:firstLine="480"/>
      </w:pPr>
      <w:r>
        <w:rPr/>
        <w:t xml:space="preserve"> 联系方式：</w:t>
      </w:r>
      <w:r>
        <w:rPr/>
        <w:t>07522883434</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广东省惠州市惠城区云山东路4号云山大院2号楼3楼</w:t>
      </w:r>
    </w:p>
    <w:p>
      <w:pPr>
        <w:pStyle w:val="null3"/>
        <w:ind w:firstLine="480"/>
      </w:pPr>
      <w:r>
        <w:rPr/>
        <w:t xml:space="preserve"> 联系方式：</w:t>
      </w:r>
      <w:r>
        <w:rPr/>
        <w:t>18923682168（练璇）</w:t>
      </w:r>
    </w:p>
    <w:p>
      <w:pPr>
        <w:pStyle w:val="null3"/>
        <w:outlineLvl w:val="3"/>
      </w:pPr>
      <w:r>
        <w:rPr>
          <w:sz w:val="24"/>
          <w:b/>
        </w:rPr>
        <w:t xml:space="preserve"> 3.项目联系方式</w:t>
      </w:r>
    </w:p>
    <w:p>
      <w:pPr>
        <w:pStyle w:val="null3"/>
        <w:ind w:firstLine="480"/>
      </w:pPr>
      <w:r>
        <w:rPr/>
        <w:t xml:space="preserve"> 项目联系人：</w:t>
      </w:r>
      <w:r>
        <w:rPr/>
        <w:t>盛菲、李涛、刘伟胜、庞文勇、练璇</w:t>
      </w:r>
    </w:p>
    <w:p>
      <w:pPr>
        <w:pStyle w:val="null3"/>
        <w:ind w:firstLine="480"/>
      </w:pPr>
      <w:r>
        <w:rPr/>
        <w:t xml:space="preserve"> 电话：</w:t>
      </w:r>
      <w:r>
        <w:rPr/>
        <w:t>18923682168（练璇）</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本项目为临床电脑设备租赁服务，本项目服务有效期为3年。</w:t>
      </w:r>
    </w:p>
    <w:p>
      <w:pPr>
        <w:pStyle w:val="null3"/>
        <w:spacing w:after="165"/>
        <w:ind w:firstLine="420"/>
        <w:jc w:val="left"/>
      </w:pPr>
      <w:r>
        <w:rPr>
          <w:sz w:val="21"/>
        </w:rPr>
        <w:t>标的提供的时间：</w:t>
      </w:r>
      <w:r>
        <w:rPr>
          <w:sz w:val="21"/>
        </w:rPr>
        <w:t>中标人自收到用户通知之日起，5个自然日内完成租赁设备的到货，现场签收、系统调试及测试，确保设备正常运行后移交采购人使用。</w:t>
      </w:r>
    </w:p>
    <w:p>
      <w:pPr>
        <w:pStyle w:val="null3"/>
        <w:spacing w:after="165"/>
        <w:ind w:firstLine="420"/>
        <w:jc w:val="left"/>
      </w:pPr>
      <w:r>
        <w:rPr>
          <w:sz w:val="21"/>
        </w:rPr>
        <w:t>服务开始时间：自中标人根据采购人发出的计划表，完成足额数量的设备到货签收之日起。</w:t>
      </w:r>
    </w:p>
    <w:p>
      <w:pPr>
        <w:pStyle w:val="null3"/>
      </w:pPr>
      <w:r>
        <w:rPr/>
        <w:t>采购包1（临床电脑设备租赁服务）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本项目服务有效期为3年。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1期：支付比例50%,首付款：中标人将设备送达采购人指定地点，双方确认货物签收表后，且采购人收到中标人提供的正式发票后60日内支付合同租赁费的 50%。</w:t>
            </w:r>
          </w:p>
          <w:p>
            <w:pPr>
              <w:pStyle w:val="null3"/>
            </w:pPr>
            <w:r>
              <w:rPr/>
              <w:t>2期：支付比例50%,剩余款项支付 （1）剩余款项：合同租赁费扣除首付款后的余额，即租赁费的50%，分期进行支付。 （2）分期计算依据：剩余款项按照3年（36 个月）平均分摊为月度基础费用，每个月进行月度服务考核统计，每3个月为一个支付周期。评分细则详细见《月度服务考核表》。 （3）中标人需在每个付款周期开始前，向采购人提供上一期的服务质量评分报告，核算当期实际应付费用，且采购人在收到中标人提供的正式发票后60日内支付当期实际应付费用。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1期：1.中标人所供台式计算机设备必须为全新未开封产品。设备出厂日期至到货当日不得超过1年半。 2.所有租赁设备实际配置参数必须符合或优于招标文件及投标承诺的技术指标。 3.所有设备必须严格在国家“三包”政策有效期内。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其他，1.投标人的报价须以人民币元为单位（保留小数点后两位（第三位及以后按四舍五入原则统一处理），报价不得高于采购预算价，否则将导致其投标无效。 2.投标人的报价为含税全包报价，报价应包含保险所有服务及经营所有费用，达到合同目的的一切费用，采购人不再另外支付任何其他费用。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报价说明</w:t>
            </w:r>
          </w:p>
        </w:tc>
        <w:tc>
          <w:tcPr>
            <w:tcW w:type="dxa" w:w="2076"/>
          </w:tcPr>
          <w:p>
            <w:pPr>
              <w:pStyle w:val="null3"/>
              <w:jc w:val="left"/>
            </w:pPr>
            <w:r>
              <w:rPr/>
              <w:t>1.根据《政府采购货物和服务招标投标管理办法》（财政部令第87号）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注：因本项目为远程开标，投标人无需到达开评标现场，若投标人在投标时认为自身报价可能会明显低于其他通过符合性审查投标人的报价，有可能影响产品质量或者不能诚信履约的，投标人可以自行提前在投标文件中提供书面说明等相关证明材料供评标委员会审查认定。） 2. 无效的投标报价将作无效投标处理。根据《政府采购货物和服务招标投标管理办法》（财政部令第87号）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【注：依据《关于推动解决政府采购异常低价问题的通知》（财库〔2026〕2号）的规定，政府采购评审中出现下列情形之一的，评审委员会应当启动异常低价投标（响应）审查程序：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（注：相关法律法规对供应商报价有规定的，从其规定。）</w:t>
            </w:r>
          </w:p>
        </w:tc>
      </w:tr>
      <w:tr>
        <w:tc>
          <w:tcPr>
            <w:tcW w:type="dxa" w:w="2076"/>
          </w:tcPr>
          <w:p/>
        </w:tc>
        <w:tc>
          <w:tcPr>
            <w:tcW w:type="dxa" w:w="2076"/>
          </w:tcPr>
          <w:p>
            <w:pPr>
              <w:pStyle w:val="null3"/>
              <w:jc w:val="center"/>
            </w:pPr>
            <w:r>
              <w:rPr/>
              <w:t>2</w:t>
            </w:r>
          </w:p>
        </w:tc>
        <w:tc>
          <w:tcPr>
            <w:tcW w:type="dxa" w:w="2076"/>
          </w:tcPr>
          <w:p>
            <w:pPr>
              <w:pStyle w:val="null3"/>
              <w:jc w:val="left"/>
            </w:pPr>
            <w:r>
              <w:rPr/>
              <w:t>其他要求（人员要求）</w:t>
            </w:r>
          </w:p>
        </w:tc>
        <w:tc>
          <w:tcPr>
            <w:tcW w:type="dxa" w:w="2076"/>
          </w:tcPr>
          <w:p>
            <w:pPr>
              <w:pStyle w:val="null3"/>
              <w:jc w:val="left"/>
            </w:pPr>
            <w:r>
              <w:rPr/>
              <w:t>投标人需拟派1名项目负责人及技术团队实施人员。负责设备协调、故障对接、巡检配合等工作，确保在岗履职，遵守院方管理规定。</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投标人不得将中标项目转让或分包给他人，否则采购人有权单方终止协议，由此产生的一切经济损失由投标人自行承担。投标时须提供相关承诺，格式自拟。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商务星号条款汇总</w:t>
            </w:r>
          </w:p>
        </w:tc>
        <w:tc>
          <w:tcPr>
            <w:tcW w:type="dxa" w:w="2076"/>
          </w:tcPr>
          <w:p>
            <w:pPr>
              <w:pStyle w:val="null3"/>
              <w:jc w:val="left"/>
            </w:pPr>
            <w:r>
              <w:rPr/>
              <w:t>其他要求：投标人不得将中标项目转让或分包给他人，否则采购人有权单方终止协议，由此产生的一切经济损失由投标人自行承担。投标时须提供相关承诺，格式自拟。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临床电脑设备租赁服务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2,376,000.00</w:t>
            </w:r>
          </w:p>
        </w:tc>
        <w:tc>
          <w:tcPr>
            <w:tcW w:type="dxa" w:w="933"/>
          </w:tcPr>
          <w:p>
            <w:pPr>
              <w:pStyle w:val="null3"/>
              <w:jc w:val="right"/>
            </w:pPr>
            <w:r>
              <w:rPr/>
              <w:t>2,376,000.00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临床电脑设备租赁服务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50"/>
              <w:gridCol w:w="350"/>
              <w:gridCol w:w="2507"/>
              <w:gridCol w:w="525"/>
              <w:gridCol w:w="233"/>
              <w:gridCol w:w="350"/>
              <w:gridCol w:w="525"/>
              <w:gridCol w:w="758"/>
            </w:tblGrid>
            <w:tr>
              <w:tc>
                <w:tcPr>
                  <w:tcW w:type="dxa" w:w="350"/>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0"/>
                      <w:color w:val="000000"/>
                    </w:rPr>
                    <w:t>序号</w:t>
                  </w:r>
                </w:p>
              </w:tc>
              <w:tc>
                <w:tcPr>
                  <w:tcW w:type="dxa" w:w="350"/>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0"/>
                      <w:color w:val="000000"/>
                    </w:rPr>
                    <w:t>设备名称</w:t>
                  </w:r>
                </w:p>
              </w:tc>
              <w:tc>
                <w:tcPr>
                  <w:tcW w:type="dxa" w:w="250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0"/>
                      <w:color w:val="000000"/>
                    </w:rPr>
                    <w:t>配置参数</w:t>
                  </w:r>
                </w:p>
              </w:tc>
              <w:tc>
                <w:tcPr>
                  <w:tcW w:type="dxa" w:w="5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sz w:val="20"/>
                      <w:color w:val="000000"/>
                    </w:rPr>
                    <w:t>租赁期（月）</w:t>
                  </w:r>
                </w:p>
              </w:tc>
              <w:tc>
                <w:tcPr>
                  <w:tcW w:type="dxa" w:w="23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spacing w:after="165"/>
                    <w:jc w:val="both"/>
                  </w:pPr>
                  <w:r>
                    <w:rPr>
                      <w:sz w:val="20"/>
                      <w:color w:val="000000"/>
                    </w:rPr>
                    <w:t>单位</w:t>
                  </w:r>
                </w:p>
              </w:tc>
              <w:tc>
                <w:tcPr>
                  <w:tcW w:type="dxa" w:w="350"/>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0"/>
                      <w:color w:val="000000"/>
                    </w:rPr>
                    <w:t>数量</w:t>
                  </w:r>
                </w:p>
              </w:tc>
              <w:tc>
                <w:tcPr>
                  <w:tcW w:type="dxa" w:w="5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sz w:val="20"/>
                      <w:color w:val="000000"/>
                    </w:rPr>
                    <w:t>最高单价（元</w:t>
                  </w:r>
                  <w:r>
                    <w:rPr>
                      <w:sz w:val="20"/>
                      <w:color w:val="000000"/>
                    </w:rPr>
                    <w:t>/</w:t>
                  </w:r>
                  <w:r>
                    <w:rPr>
                      <w:sz w:val="20"/>
                      <w:color w:val="000000"/>
                    </w:rPr>
                    <w:t>月</w:t>
                  </w:r>
                  <w:r>
                    <w:rPr>
                      <w:sz w:val="20"/>
                      <w:color w:val="000000"/>
                    </w:rPr>
                    <w:t>*</w:t>
                  </w:r>
                  <w:r>
                    <w:rPr>
                      <w:sz w:val="20"/>
                      <w:color w:val="000000"/>
                    </w:rPr>
                    <w:t>台）</w:t>
                  </w:r>
                </w:p>
              </w:tc>
              <w:tc>
                <w:tcPr>
                  <w:tcW w:type="dxa" w:w="75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sz w:val="20"/>
                      <w:color w:val="000000"/>
                    </w:rPr>
                    <w:t>最高小计（元）</w:t>
                  </w:r>
                </w:p>
              </w:tc>
            </w:tr>
            <w:tr>
              <w:tc>
                <w:tcPr>
                  <w:tcW w:type="dxa" w:w="350"/>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0"/>
                      <w:color w:val="000000"/>
                    </w:rPr>
                    <w:t>1</w:t>
                  </w:r>
                </w:p>
              </w:tc>
              <w:tc>
                <w:tcPr>
                  <w:tcW w:type="dxa" w:w="35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0"/>
                      <w:color w:val="000000"/>
                    </w:rPr>
                    <w:t>台式计算机</w:t>
                  </w:r>
                </w:p>
              </w:tc>
              <w:tc>
                <w:tcPr>
                  <w:tcW w:type="dxa" w:w="250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left"/>
                  </w:pPr>
                  <w:r>
                    <w:rPr>
                      <w:sz w:val="20"/>
                      <w:color w:val="000000"/>
                    </w:rPr>
                    <w:t>1</w:t>
                  </w:r>
                  <w:r>
                    <w:rPr>
                      <w:sz w:val="20"/>
                      <w:color w:val="000000"/>
                    </w:rPr>
                    <w:t>、</w:t>
                  </w:r>
                  <w:r>
                    <w:rPr>
                      <w:sz w:val="20"/>
                      <w:color w:val="000000"/>
                    </w:rPr>
                    <w:t>▲</w:t>
                  </w:r>
                  <w:r>
                    <w:rPr>
                      <w:sz w:val="20"/>
                      <w:color w:val="000000"/>
                    </w:rPr>
                    <w:t>CPU</w:t>
                  </w:r>
                  <w:r>
                    <w:rPr>
                      <w:sz w:val="20"/>
                      <w:color w:val="000000"/>
                    </w:rPr>
                    <w:t>：核心数≥</w:t>
                  </w:r>
                  <w:r>
                    <w:rPr>
                      <w:sz w:val="20"/>
                      <w:color w:val="000000"/>
                    </w:rPr>
                    <w:t>10</w:t>
                  </w:r>
                  <w:r>
                    <w:rPr>
                      <w:sz w:val="20"/>
                      <w:color w:val="000000"/>
                    </w:rPr>
                    <w:t>；线程数≥</w:t>
                  </w:r>
                  <w:r>
                    <w:rPr>
                      <w:sz w:val="20"/>
                      <w:color w:val="000000"/>
                    </w:rPr>
                    <w:t>16</w:t>
                  </w:r>
                  <w:r>
                    <w:rPr>
                      <w:sz w:val="20"/>
                      <w:color w:val="000000"/>
                    </w:rPr>
                    <w:t>；主频≥</w:t>
                  </w:r>
                  <w:r>
                    <w:rPr>
                      <w:sz w:val="20"/>
                      <w:color w:val="000000"/>
                    </w:rPr>
                    <w:t>2.5Ghz</w:t>
                  </w:r>
                  <w:r>
                    <w:rPr>
                      <w:sz w:val="20"/>
                      <w:color w:val="000000"/>
                    </w:rPr>
                    <w:t>，最大睿频≥</w:t>
                  </w:r>
                  <w:r>
                    <w:rPr>
                      <w:sz w:val="20"/>
                      <w:color w:val="000000"/>
                    </w:rPr>
                    <w:t xml:space="preserve"> 4.7Ghz;</w:t>
                  </w:r>
                  <w:r>
                    <w:rPr>
                      <w:sz w:val="20"/>
                      <w:color w:val="000000"/>
                    </w:rPr>
                    <w:t>处理器基础功耗≥</w:t>
                  </w:r>
                  <w:r>
                    <w:rPr>
                      <w:sz w:val="20"/>
                      <w:color w:val="000000"/>
                    </w:rPr>
                    <w:t xml:space="preserve">65W; </w:t>
                  </w:r>
                  <w:r>
                    <w:rPr>
                      <w:sz w:val="20"/>
                      <w:color w:val="000000"/>
                    </w:rPr>
                    <w:t>制作工艺≤</w:t>
                  </w:r>
                  <w:r>
                    <w:rPr>
                      <w:sz w:val="20"/>
                      <w:color w:val="000000"/>
                    </w:rPr>
                    <w:t>10nm;</w:t>
                  </w:r>
                  <w:r>
                    <w:rPr>
                      <w:sz w:val="21"/>
                    </w:rPr>
                    <w:t>（</w:t>
                  </w:r>
                  <w:r>
                    <w:rPr>
                      <w:sz w:val="20"/>
                      <w:color w:val="000000"/>
                    </w:rPr>
                    <w:t>提供原厂详尽技术参数说明书或技术白皮书或详细描述文件，须加盖原厂的公章。</w:t>
                  </w:r>
                  <w:r>
                    <w:rPr>
                      <w:sz w:val="21"/>
                    </w:rPr>
                    <w:t>）</w:t>
                  </w:r>
                </w:p>
                <w:p>
                  <w:pPr>
                    <w:pStyle w:val="null3"/>
                    <w:spacing w:after="165"/>
                    <w:jc w:val="left"/>
                  </w:pPr>
                  <w:r>
                    <w:rPr>
                      <w:sz w:val="20"/>
                      <w:color w:val="000000"/>
                    </w:rPr>
                    <w:t>2</w:t>
                  </w:r>
                  <w:r>
                    <w:rPr>
                      <w:sz w:val="20"/>
                      <w:color w:val="000000"/>
                    </w:rPr>
                    <w:t>、内存：</w:t>
                  </w:r>
                  <w:r>
                    <w:rPr>
                      <w:sz w:val="20"/>
                      <w:color w:val="000000"/>
                    </w:rPr>
                    <w:t>≥</w:t>
                  </w:r>
                  <w:r>
                    <w:rPr>
                      <w:sz w:val="20"/>
                      <w:color w:val="000000"/>
                    </w:rPr>
                    <w:t>16GB</w:t>
                  </w:r>
                  <w:r>
                    <w:rPr>
                      <w:sz w:val="20"/>
                      <w:color w:val="000000"/>
                    </w:rPr>
                    <w:t>，频率≥</w:t>
                  </w:r>
                  <w:r>
                    <w:rPr>
                      <w:sz w:val="20"/>
                      <w:color w:val="000000"/>
                    </w:rPr>
                    <w:t>3200MHz</w:t>
                  </w:r>
                  <w:r>
                    <w:rPr>
                      <w:sz w:val="20"/>
                      <w:color w:val="000000"/>
                    </w:rPr>
                    <w:t>；</w:t>
                  </w:r>
                </w:p>
                <w:p>
                  <w:pPr>
                    <w:pStyle w:val="null3"/>
                    <w:spacing w:after="165"/>
                    <w:jc w:val="left"/>
                  </w:pPr>
                  <w:r>
                    <w:rPr>
                      <w:sz w:val="20"/>
                      <w:color w:val="000000"/>
                    </w:rPr>
                    <w:t>3</w:t>
                  </w:r>
                  <w:r>
                    <w:rPr>
                      <w:sz w:val="20"/>
                      <w:color w:val="000000"/>
                    </w:rPr>
                    <w:t>、硬盘：≥</w:t>
                  </w:r>
                  <w:r>
                    <w:rPr>
                      <w:sz w:val="20"/>
                      <w:color w:val="000000"/>
                    </w:rPr>
                    <w:t>512GB SSD, M.2</w:t>
                  </w:r>
                  <w:r>
                    <w:rPr>
                      <w:sz w:val="20"/>
                      <w:color w:val="000000"/>
                    </w:rPr>
                    <w:t>接口</w:t>
                  </w:r>
                  <w:r>
                    <w:rPr>
                      <w:sz w:val="20"/>
                      <w:color w:val="000000"/>
                    </w:rPr>
                    <w:t xml:space="preserve"> NVMe</w:t>
                  </w:r>
                  <w:r>
                    <w:rPr>
                      <w:sz w:val="20"/>
                      <w:color w:val="000000"/>
                    </w:rPr>
                    <w:t>协议</w:t>
                  </w:r>
                  <w:r>
                    <w:rPr>
                      <w:sz w:val="20"/>
                      <w:color w:val="000000"/>
                    </w:rPr>
                    <w:t>;</w:t>
                  </w:r>
                </w:p>
                <w:p>
                  <w:pPr>
                    <w:pStyle w:val="null3"/>
                    <w:spacing w:after="165"/>
                    <w:jc w:val="left"/>
                  </w:pPr>
                  <w:r>
                    <w:rPr>
                      <w:sz w:val="20"/>
                      <w:color w:val="000000"/>
                    </w:rPr>
                    <w:t>4</w:t>
                  </w:r>
                  <w:r>
                    <w:rPr>
                      <w:sz w:val="20"/>
                      <w:color w:val="000000"/>
                    </w:rPr>
                    <w:t>、显卡：至少支持</w:t>
                  </w:r>
                  <w:r>
                    <w:rPr>
                      <w:sz w:val="20"/>
                      <w:color w:val="000000"/>
                    </w:rPr>
                    <w:t>1</w:t>
                  </w:r>
                  <w:r>
                    <w:rPr>
                      <w:sz w:val="20"/>
                      <w:color w:val="000000"/>
                    </w:rPr>
                    <w:t>个</w:t>
                  </w:r>
                  <w:r>
                    <w:rPr>
                      <w:sz w:val="20"/>
                      <w:color w:val="000000"/>
                    </w:rPr>
                    <w:t>HDMI</w:t>
                  </w:r>
                  <w:r>
                    <w:rPr>
                      <w:sz w:val="20"/>
                      <w:color w:val="000000"/>
                    </w:rPr>
                    <w:t>接口输出；</w:t>
                  </w:r>
                </w:p>
                <w:p>
                  <w:pPr>
                    <w:pStyle w:val="null3"/>
                    <w:spacing w:after="165"/>
                    <w:jc w:val="left"/>
                  </w:pPr>
                  <w:r>
                    <w:rPr>
                      <w:sz w:val="20"/>
                      <w:color w:val="000000"/>
                    </w:rPr>
                    <w:t>5</w:t>
                  </w:r>
                  <w:r>
                    <w:rPr>
                      <w:sz w:val="20"/>
                      <w:color w:val="000000"/>
                    </w:rPr>
                    <w:t>、有线网卡：≥</w:t>
                  </w:r>
                  <w:r>
                    <w:rPr>
                      <w:sz w:val="20"/>
                      <w:color w:val="000000"/>
                    </w:rPr>
                    <w:t>1</w:t>
                  </w:r>
                  <w:r>
                    <w:rPr>
                      <w:sz w:val="20"/>
                      <w:color w:val="000000"/>
                    </w:rPr>
                    <w:t>个千兆自适应</w:t>
                  </w:r>
                  <w:r>
                    <w:rPr>
                      <w:sz w:val="20"/>
                      <w:color w:val="000000"/>
                    </w:rPr>
                    <w:t>RJ45</w:t>
                  </w:r>
                  <w:r>
                    <w:rPr>
                      <w:sz w:val="20"/>
                      <w:color w:val="000000"/>
                    </w:rPr>
                    <w:t>网口；</w:t>
                  </w:r>
                </w:p>
                <w:p>
                  <w:pPr>
                    <w:pStyle w:val="null3"/>
                    <w:spacing w:after="165"/>
                    <w:jc w:val="left"/>
                  </w:pPr>
                  <w:r>
                    <w:rPr>
                      <w:sz w:val="20"/>
                      <w:color w:val="000000"/>
                    </w:rPr>
                    <w:t>6</w:t>
                  </w:r>
                  <w:r>
                    <w:rPr>
                      <w:sz w:val="20"/>
                      <w:color w:val="000000"/>
                    </w:rPr>
                    <w:t>、操作系统：支持安装银河麒麟桌面操作系统</w:t>
                  </w:r>
                  <w:r>
                    <w:rPr>
                      <w:sz w:val="20"/>
                      <w:color w:val="000000"/>
                    </w:rPr>
                    <w:t>/</w:t>
                  </w:r>
                  <w:r>
                    <w:rPr>
                      <w:sz w:val="20"/>
                      <w:color w:val="000000"/>
                    </w:rPr>
                    <w:t>统信操作系统，支持</w:t>
                  </w:r>
                  <w:r>
                    <w:rPr>
                      <w:sz w:val="20"/>
                      <w:color w:val="000000"/>
                    </w:rPr>
                    <w:t>Windows10/11</w:t>
                  </w:r>
                  <w:r>
                    <w:rPr>
                      <w:sz w:val="20"/>
                      <w:color w:val="000000"/>
                    </w:rPr>
                    <w:t>操作系统</w:t>
                  </w:r>
                  <w:r>
                    <w:rPr>
                      <w:sz w:val="20"/>
                      <w:color w:val="000000"/>
                    </w:rPr>
                    <w:t>;</w:t>
                  </w:r>
                </w:p>
                <w:p>
                  <w:pPr>
                    <w:pStyle w:val="null3"/>
                    <w:spacing w:after="165"/>
                    <w:jc w:val="left"/>
                  </w:pPr>
                  <w:r>
                    <w:rPr>
                      <w:sz w:val="20"/>
                      <w:color w:val="000000"/>
                    </w:rPr>
                    <w:t>7</w:t>
                  </w:r>
                  <w:r>
                    <w:rPr>
                      <w:sz w:val="20"/>
                      <w:color w:val="000000"/>
                    </w:rPr>
                    <w:t>、包含</w:t>
                  </w:r>
                  <w:r>
                    <w:rPr>
                      <w:sz w:val="20"/>
                      <w:color w:val="000000"/>
                    </w:rPr>
                    <w:t>USB</w:t>
                  </w:r>
                  <w:r>
                    <w:rPr>
                      <w:sz w:val="20"/>
                      <w:color w:val="000000"/>
                    </w:rPr>
                    <w:t>键盘鼠标套件</w:t>
                  </w:r>
                  <w:r>
                    <w:rPr>
                      <w:sz w:val="20"/>
                      <w:color w:val="000000"/>
                    </w:rPr>
                    <w:t>。</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after="165"/>
                    <w:jc w:val="both"/>
                  </w:pPr>
                  <w:r>
                    <w:rPr>
                      <w:sz w:val="20"/>
                      <w:color w:val="000000"/>
                    </w:rPr>
                    <w:t>36</w:t>
                  </w:r>
                </w:p>
              </w:tc>
              <w:tc>
                <w:tcPr>
                  <w:tcW w:type="dxa" w:w="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after="165"/>
                    <w:jc w:val="both"/>
                  </w:pPr>
                  <w:r>
                    <w:rPr>
                      <w:sz w:val="20"/>
                      <w:color w:val="000000"/>
                    </w:rPr>
                    <w:t>台</w:t>
                  </w:r>
                </w:p>
              </w:tc>
              <w:tc>
                <w:tcPr>
                  <w:tcW w:type="dxa" w:w="35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0"/>
                      <w:color w:val="000000"/>
                    </w:rPr>
                    <w:t>400</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after="165"/>
                    <w:jc w:val="both"/>
                  </w:pPr>
                  <w:r>
                    <w:rPr>
                      <w:sz w:val="20"/>
                      <w:color w:val="000000"/>
                    </w:rPr>
                    <w:t>165</w:t>
                  </w:r>
                </w:p>
              </w:tc>
              <w:tc>
                <w:tcPr>
                  <w:tcW w:type="dxa" w:w="75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after="165"/>
                    <w:jc w:val="both"/>
                  </w:pPr>
                  <w:r>
                    <w:rPr>
                      <w:sz w:val="20"/>
                      <w:color w:val="000000"/>
                    </w:rPr>
                    <w:t>2376000</w:t>
                  </w:r>
                </w:p>
              </w:tc>
            </w:tr>
            <w:tr>
              <w:tc>
                <w:tcPr>
                  <w:tcW w:type="dxa" w:w="3965"/>
                  <w:gridSpan w:val="5"/>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spacing w:after="165"/>
                    <w:jc w:val="center"/>
                  </w:pPr>
                  <w:r>
                    <w:rPr>
                      <w:sz w:val="20"/>
                      <w:color w:val="000000"/>
                    </w:rPr>
                    <w:t>合计</w:t>
                  </w:r>
                </w:p>
              </w:tc>
              <w:tc>
                <w:tcPr>
                  <w:tcW w:type="dxa" w:w="350"/>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75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0"/>
                      <w:color w:val="000000"/>
                    </w:rPr>
                    <w:t>2376000</w:t>
                  </w:r>
                </w:p>
              </w:tc>
            </w:tr>
          </w:tbl>
          <w:p/>
        </w:tc>
      </w:tr>
      <w:tr>
        <w:tc>
          <w:tcPr>
            <w:tcW w:type="dxa" w:w="2076"/>
          </w:tcPr>
          <w:p/>
        </w:tc>
        <w:tc>
          <w:tcPr>
            <w:tcW w:type="dxa" w:w="415"/>
          </w:tcPr>
          <w:p>
            <w:pPr>
              <w:pStyle w:val="null3"/>
            </w:pPr>
            <w:r>
              <w:rPr/>
              <w:t>2</w:t>
            </w:r>
          </w:p>
        </w:tc>
        <w:tc>
          <w:tcPr>
            <w:tcW w:type="dxa" w:w="5814"/>
          </w:tcPr>
          <w:p>
            <w:pPr>
              <w:pStyle w:val="null3"/>
              <w:spacing w:after="165"/>
            </w:pPr>
            <w:r>
              <w:rPr>
                <w:sz w:val="20"/>
              </w:rPr>
              <w:t>租赁服务要求</w:t>
            </w:r>
          </w:p>
          <w:p>
            <w:pPr>
              <w:pStyle w:val="null3"/>
              <w:spacing w:after="165"/>
            </w:pPr>
            <w:r>
              <w:rPr>
                <w:sz w:val="20"/>
              </w:rPr>
              <w:t xml:space="preserve">1. </w:t>
            </w:r>
            <w:r>
              <w:rPr>
                <w:sz w:val="20"/>
              </w:rPr>
              <w:t>中标人需保证租赁设备均为三包政策内设备，保证所提供货物符合或优于相关设备配置参数要求内容；项目内所提供台式计算机设备全新产品，须具备</w:t>
            </w:r>
            <w:r>
              <w:rPr>
                <w:sz w:val="20"/>
              </w:rPr>
              <w:t xml:space="preserve">CCC </w:t>
            </w:r>
            <w:r>
              <w:rPr>
                <w:sz w:val="20"/>
              </w:rPr>
              <w:t>中国强制性产品认证证书（</w:t>
            </w:r>
            <w:r>
              <w:rPr>
                <w:sz w:val="20"/>
              </w:rPr>
              <w:t>3C</w:t>
            </w:r>
            <w:r>
              <w:rPr>
                <w:sz w:val="20"/>
              </w:rPr>
              <w:t>证书）</w:t>
            </w:r>
            <w:r>
              <w:rPr>
                <w:sz w:val="20"/>
              </w:rPr>
              <w:t>（提供加盖公章的证书复印件，证书型号与投标设备一致），生产期限应不超过出厂时间后</w:t>
            </w:r>
            <w:r>
              <w:rPr>
                <w:sz w:val="20"/>
              </w:rPr>
              <w:t>18</w:t>
            </w:r>
            <w:r>
              <w:rPr>
                <w:sz w:val="20"/>
              </w:rPr>
              <w:t>个月</w:t>
            </w:r>
            <w:r>
              <w:rPr>
                <w:sz w:val="20"/>
              </w:rPr>
              <w:t>，中标人可提供不超过三个品牌整机型号（提供所列型号的官方宣传册或官网技术规格截图（加盖供应商公章））。</w:t>
            </w:r>
          </w:p>
          <w:p>
            <w:pPr>
              <w:pStyle w:val="null3"/>
              <w:spacing w:after="165"/>
            </w:pPr>
            <w:r>
              <w:rPr>
                <w:sz w:val="20"/>
              </w:rPr>
              <w:t xml:space="preserve">2. </w:t>
            </w:r>
            <w:r>
              <w:rPr>
                <w:sz w:val="20"/>
              </w:rPr>
              <w:t>★为统筹规范医院设备管理，中标人须对租赁设备粘贴明显标识，有效区分医院自行购置设备及租赁设备。中标人提供符合医院要求的设备标签，提供数量与采购计划表总数量相符。注：提供相应承诺函，格式自拟。</w:t>
            </w:r>
          </w:p>
          <w:p>
            <w:pPr>
              <w:pStyle w:val="null3"/>
              <w:spacing w:after="165"/>
            </w:pPr>
            <w:r>
              <w:rPr>
                <w:sz w:val="20"/>
              </w:rPr>
              <w:t>3.</w:t>
            </w:r>
            <w:r>
              <w:rPr>
                <w:sz w:val="20"/>
              </w:rPr>
              <w:t>中标人需协助采购人完成硬件设备的操作系统安装、根据安装采购人要求的必备软件列表，安装测试、网络联调工作，并负责解决相关的技术问题；中标人将设备配送、安装至用户指定地点，并配合用户完成旧设备数据迁移至新设备、清除旧设备硬盘数据、旧设备存放至指定地点等。</w:t>
            </w:r>
          </w:p>
          <w:p>
            <w:pPr>
              <w:pStyle w:val="null3"/>
              <w:spacing w:after="165"/>
            </w:pPr>
            <w:r>
              <w:rPr>
                <w:sz w:val="20"/>
              </w:rPr>
              <w:t>4.</w:t>
            </w:r>
            <w:r>
              <w:rPr>
                <w:sz w:val="20"/>
              </w:rPr>
              <w:t>租赁设备故障导致无法正常使用，中标人应当在</w:t>
            </w:r>
            <w:r>
              <w:rPr>
                <w:sz w:val="20"/>
              </w:rPr>
              <w:t>10</w:t>
            </w:r>
            <w:r>
              <w:rPr>
                <w:sz w:val="20"/>
              </w:rPr>
              <w:t>分钟内响应，</w:t>
            </w:r>
            <w:r>
              <w:rPr>
                <w:sz w:val="20"/>
              </w:rPr>
              <w:t>30</w:t>
            </w:r>
            <w:r>
              <w:rPr>
                <w:sz w:val="20"/>
              </w:rPr>
              <w:t>分钟内需处理完成，针对现场短时间（</w:t>
            </w:r>
            <w:r>
              <w:rPr>
                <w:sz w:val="20"/>
              </w:rPr>
              <w:t>120</w:t>
            </w:r>
            <w:r>
              <w:rPr>
                <w:sz w:val="20"/>
              </w:rPr>
              <w:t>分钟）无法维修处理的，需提供备用机保障用户正常使用，</w:t>
            </w:r>
            <w:r>
              <w:rPr>
                <w:sz w:val="20"/>
              </w:rPr>
              <w:t>同步</w:t>
            </w:r>
            <w:r>
              <w:rPr>
                <w:sz w:val="20"/>
              </w:rPr>
              <w:t>将故障设备返厂维修并及时跟进维修进度和后期使用情况。项目内提供台式电脑主机若故障涉及硬件</w:t>
            </w:r>
            <w:r>
              <w:rPr>
                <w:sz w:val="20"/>
              </w:rPr>
              <w:t>故障</w:t>
            </w:r>
            <w:r>
              <w:rPr>
                <w:sz w:val="20"/>
              </w:rPr>
              <w:t>，同一台设备出现相同故障且经中标人维修达</w:t>
            </w:r>
            <w:r>
              <w:rPr>
                <w:sz w:val="20"/>
              </w:rPr>
              <w:t>2</w:t>
            </w:r>
            <w:r>
              <w:rPr>
                <w:sz w:val="20"/>
              </w:rPr>
              <w:t>次</w:t>
            </w:r>
            <w:r>
              <w:rPr>
                <w:sz w:val="20"/>
              </w:rPr>
              <w:t>的</w:t>
            </w:r>
            <w:r>
              <w:rPr>
                <w:sz w:val="20"/>
              </w:rPr>
              <w:t>，中标人需在维修失败后</w:t>
            </w:r>
            <w:r>
              <w:rPr>
                <w:sz w:val="20"/>
              </w:rPr>
              <w:t>2</w:t>
            </w:r>
            <w:r>
              <w:rPr>
                <w:sz w:val="20"/>
              </w:rPr>
              <w:t>个工作日内，为采购人更换同型号、同配置或者更高配置的全新设备，更换过程产生的所有费用由中标人承担，确保不影响采购人正常使用。</w:t>
            </w:r>
          </w:p>
          <w:p>
            <w:pPr>
              <w:pStyle w:val="null3"/>
              <w:spacing w:after="165"/>
            </w:pPr>
            <w:r>
              <w:rPr>
                <w:sz w:val="20"/>
              </w:rPr>
              <w:t>5.</w:t>
            </w:r>
            <w:r>
              <w:rPr>
                <w:sz w:val="20"/>
              </w:rPr>
              <w:t>中标人自收到用户通知之日起，应在</w:t>
            </w:r>
            <w:r>
              <w:rPr>
                <w:sz w:val="20"/>
              </w:rPr>
              <w:t>5</w:t>
            </w:r>
            <w:r>
              <w:rPr>
                <w:sz w:val="20"/>
              </w:rPr>
              <w:t>个自然日内完成租赁设备的到货，现场签收、系统调试及测试，确保设备正常运行后移交用户使用。</w:t>
            </w:r>
          </w:p>
          <w:p>
            <w:pPr>
              <w:pStyle w:val="null3"/>
              <w:spacing w:after="165"/>
            </w:pPr>
            <w:r>
              <w:rPr>
                <w:sz w:val="20"/>
              </w:rPr>
              <w:t>6.</w:t>
            </w:r>
            <w:r>
              <w:rPr>
                <w:sz w:val="20"/>
              </w:rPr>
              <w:t>中标人提供电话、电子邮件、远程连接等多种形式服务。</w:t>
            </w:r>
          </w:p>
          <w:p>
            <w:pPr>
              <w:pStyle w:val="null3"/>
              <w:spacing w:after="165"/>
            </w:pPr>
            <w:r>
              <w:rPr>
                <w:sz w:val="20"/>
              </w:rPr>
              <w:t>7.</w:t>
            </w:r>
            <w:r>
              <w:rPr>
                <w:sz w:val="20"/>
              </w:rPr>
              <w:t>每隔半年，双方在价格不高于合同金额的情况下，可协商调整或升级各种设备的配置参数及要求，中标人需提供参数对比表，并经厂家盖章确认。</w:t>
            </w:r>
          </w:p>
          <w:p>
            <w:pPr>
              <w:pStyle w:val="null3"/>
              <w:spacing w:after="165"/>
            </w:pPr>
            <w:r>
              <w:rPr>
                <w:sz w:val="20"/>
              </w:rPr>
              <w:t>8.</w:t>
            </w:r>
            <w:r>
              <w:rPr>
                <w:sz w:val="20"/>
              </w:rPr>
              <w:t>项目报价为清单内货物及配件安装到院价格，报价包含物品打包、配送服务、安装调试、物资税金等。</w:t>
            </w:r>
          </w:p>
          <w:p>
            <w:pPr>
              <w:pStyle w:val="null3"/>
              <w:spacing w:after="165"/>
            </w:pPr>
            <w:r>
              <w:rPr>
                <w:sz w:val="20"/>
              </w:rPr>
              <w:t>9.</w:t>
            </w:r>
            <w:r>
              <w:rPr>
                <w:sz w:val="20"/>
              </w:rPr>
              <w:t>原有设备处置：医院产权的原有电脑</w:t>
            </w:r>
            <w:r>
              <w:rPr>
                <w:sz w:val="20"/>
              </w:rPr>
              <w:t>(</w:t>
            </w:r>
            <w:r>
              <w:rPr>
                <w:sz w:val="20"/>
              </w:rPr>
              <w:t>台式、一体机</w:t>
            </w:r>
            <w:r>
              <w:rPr>
                <w:sz w:val="20"/>
              </w:rPr>
              <w:t>)</w:t>
            </w:r>
            <w:r>
              <w:rPr>
                <w:sz w:val="20"/>
              </w:rPr>
              <w:t>由中标人按医院报废及新增计划提供租赁设备进行替换，替换下来的原有电脑，由医院按照内部处置流程自行处置，与中标人无关。</w:t>
            </w:r>
          </w:p>
          <w:p>
            <w:pPr>
              <w:pStyle w:val="null3"/>
              <w:spacing w:after="165"/>
            </w:pPr>
            <w:r>
              <w:rPr>
                <w:sz w:val="20"/>
              </w:rPr>
              <w:t>10.</w:t>
            </w:r>
            <w:r>
              <w:rPr>
                <w:sz w:val="20"/>
              </w:rPr>
              <w:t>替换后的租赁设备产权归中标人所有。租赁期内，因质量问题导致设备故障检查维修及更换配件所产生的一切费用由中标人负责，因采购人人为损坏导致的故障除外，此类情况产生的维修费用由采购人承担。</w:t>
            </w:r>
          </w:p>
          <w:p>
            <w:pPr>
              <w:pStyle w:val="null3"/>
            </w:pPr>
            <w:r>
              <w:rPr>
                <w:sz w:val="21"/>
              </w:rPr>
              <w:t>11.★</w:t>
            </w:r>
            <w:r>
              <w:rPr>
                <w:sz w:val="21"/>
              </w:rPr>
              <w:t>报废处置与数据归属：当租赁设备达到报废标准、无法继续使用时，采购人需及时书面通知中标人告知设备报废状态；设备报废后的处置工作由中标人负责。核心约定：设备所搭载的存储介质（如硬盘、固态硬盘等）及存储介质内的所有数据均归采购人所有，采购人无需将存储介质及相关数据归还中标人且采购人无需对存储介质支付额外费用；</w:t>
            </w:r>
            <w:r>
              <w:rPr>
                <w:sz w:val="20"/>
              </w:rPr>
              <w:t>无论设备故障、维修、更换、报废等任何原因，均需先配合采购人完成存储介质的拆除工作，拆除后的存储介质由采购人自行处理（如销毁、留存等），中标人仅可处置除归属采购人的存储介质外的其他设备部件。注：提供相应承诺函，格式自拟。</w:t>
            </w:r>
          </w:p>
          <w:p>
            <w:pPr>
              <w:pStyle w:val="null3"/>
              <w:spacing w:after="165"/>
            </w:pPr>
            <w:r>
              <w:rPr>
                <w:sz w:val="20"/>
              </w:rPr>
              <w:t>12.</w:t>
            </w:r>
            <w:r>
              <w:rPr>
                <w:sz w:val="20"/>
              </w:rPr>
              <w:t>▲租赁期间，中标人需对租赁设备进行盘点，具体要求如下（</w:t>
            </w:r>
            <w:r>
              <w:rPr>
                <w:sz w:val="20"/>
              </w:rPr>
              <w:t>投标时须提供相关承诺，格式自拟）</w:t>
            </w:r>
            <w:r>
              <w:rPr>
                <w:sz w:val="20"/>
              </w:rPr>
              <w:t>：</w:t>
            </w:r>
          </w:p>
          <w:p>
            <w:pPr>
              <w:pStyle w:val="null3"/>
              <w:spacing w:after="165"/>
            </w:pPr>
            <w:r>
              <w:rPr>
                <w:sz w:val="20"/>
              </w:rPr>
              <w:t>（</w:t>
            </w:r>
            <w:r>
              <w:rPr>
                <w:sz w:val="20"/>
              </w:rPr>
              <w:t>1</w:t>
            </w:r>
            <w:r>
              <w:rPr>
                <w:sz w:val="20"/>
              </w:rPr>
              <w:t>）盘点内容：明确每台设备的实际所在地、使用状态、完好情况，做好详细登记记录，形成盘点报告，经采购人确认后双方留存，作为服务到期后设备搬离的依据；</w:t>
            </w:r>
          </w:p>
          <w:p>
            <w:pPr>
              <w:pStyle w:val="null3"/>
              <w:spacing w:after="165"/>
            </w:pPr>
            <w:r>
              <w:rPr>
                <w:sz w:val="20"/>
              </w:rPr>
              <w:t>（</w:t>
            </w:r>
            <w:r>
              <w:rPr>
                <w:sz w:val="20"/>
              </w:rPr>
              <w:t>2</w:t>
            </w:r>
            <w:r>
              <w:rPr>
                <w:sz w:val="20"/>
              </w:rPr>
              <w:t>）责任划分：若中标人未按约定定期开展盘点工作，导致服务期届满搬离设备时发现设备丢失、损毁且无法核实原因的，该部分设备的损失由中标人自行承担，与采购人无关。</w:t>
            </w:r>
          </w:p>
          <w:p>
            <w:pPr>
              <w:pStyle w:val="null3"/>
              <w:spacing w:after="165"/>
            </w:pPr>
            <w:r>
              <w:rPr>
                <w:sz w:val="20"/>
              </w:rPr>
              <w:t>13.</w:t>
            </w:r>
            <w:r>
              <w:rPr>
                <w:sz w:val="20"/>
              </w:rPr>
              <w:t>保密条款</w:t>
            </w:r>
          </w:p>
          <w:p>
            <w:pPr>
              <w:pStyle w:val="null3"/>
              <w:spacing w:after="165"/>
            </w:pPr>
            <w:r>
              <w:rPr>
                <w:sz w:val="20"/>
              </w:rPr>
              <w:t>（</w:t>
            </w:r>
            <w:r>
              <w:rPr>
                <w:sz w:val="20"/>
              </w:rPr>
              <w:t>1</w:t>
            </w:r>
            <w:r>
              <w:rPr>
                <w:sz w:val="20"/>
              </w:rPr>
              <w:t>）中标人应对与本次设备租赁服务相关的全部信息严格保密。采购人存放在中标人设备上的全部数据及信息，包括但不限于</w:t>
            </w:r>
            <w:r>
              <w:rPr>
                <w:sz w:val="20"/>
              </w:rPr>
              <w:t>:</w:t>
            </w:r>
          </w:p>
          <w:p>
            <w:pPr>
              <w:pStyle w:val="null3"/>
              <w:spacing w:after="165"/>
            </w:pPr>
            <w:r>
              <w:rPr>
                <w:sz w:val="20"/>
              </w:rPr>
              <w:t>采购人的商业秘密、技术资料、源代码、数据库、系统配置参数、用户信息、运营数据、业务数据等；</w:t>
            </w:r>
          </w:p>
          <w:p>
            <w:pPr>
              <w:pStyle w:val="null3"/>
              <w:spacing w:after="165"/>
            </w:pPr>
            <w:r>
              <w:rPr>
                <w:sz w:val="20"/>
              </w:rPr>
              <w:t>采购人通过设备运行、存储、处理的任何电子数据，无论其以何种形式存在</w:t>
            </w:r>
            <w:r>
              <w:rPr>
                <w:sz w:val="20"/>
              </w:rPr>
              <w:t>;</w:t>
            </w:r>
          </w:p>
          <w:p>
            <w:pPr>
              <w:pStyle w:val="null3"/>
              <w:spacing w:after="165"/>
            </w:pPr>
            <w:r>
              <w:rPr>
                <w:sz w:val="20"/>
              </w:rPr>
              <w:t>采购人的病人信息、员工信息、财务数据等非公开信息</w:t>
            </w:r>
            <w:r>
              <w:rPr>
                <w:sz w:val="20"/>
              </w:rPr>
              <w:t>:</w:t>
            </w:r>
          </w:p>
          <w:p>
            <w:pPr>
              <w:pStyle w:val="null3"/>
              <w:spacing w:after="165"/>
            </w:pPr>
            <w:r>
              <w:rPr>
                <w:sz w:val="20"/>
              </w:rPr>
              <w:t>履行过程中知悉的对方的商业秘密、技术资料、经营策略等未公开信息。</w:t>
            </w:r>
          </w:p>
          <w:p>
            <w:pPr>
              <w:pStyle w:val="null3"/>
              <w:spacing w:after="165"/>
            </w:pPr>
            <w:r>
              <w:rPr>
                <w:sz w:val="20"/>
              </w:rPr>
              <w:t>（</w:t>
            </w:r>
            <w:r>
              <w:rPr>
                <w:sz w:val="20"/>
              </w:rPr>
              <w:t>2</w:t>
            </w:r>
            <w:r>
              <w:rPr>
                <w:sz w:val="20"/>
              </w:rPr>
              <w:t>）中标人的保密义务</w:t>
            </w:r>
            <w:r>
              <w:rPr>
                <w:sz w:val="20"/>
              </w:rPr>
              <w:t>:</w:t>
            </w:r>
          </w:p>
          <w:p>
            <w:pPr>
              <w:pStyle w:val="null3"/>
              <w:spacing w:after="165"/>
            </w:pPr>
            <w:r>
              <w:rPr>
                <w:sz w:val="20"/>
              </w:rPr>
              <w:t>中标人应严格遵守保密规定，自觉维护采购人的利益，对采购人存放于中标人设备上的全部数据承担保密义务。</w:t>
            </w:r>
          </w:p>
          <w:p>
            <w:pPr>
              <w:pStyle w:val="null3"/>
              <w:spacing w:after="165"/>
            </w:pPr>
            <w:r>
              <w:rPr>
                <w:sz w:val="20"/>
              </w:rPr>
              <w:t>未经采购人事先书面同意，中标人不得以任何方式向任何第三方泄露上述保密信息，亦不得将保密信息用于约定之外的任何目的。</w:t>
            </w:r>
          </w:p>
          <w:p>
            <w:pPr>
              <w:pStyle w:val="null3"/>
              <w:spacing w:after="165"/>
            </w:pPr>
            <w:r>
              <w:rPr>
                <w:sz w:val="20"/>
              </w:rPr>
              <w:t>中标人不得利用所掌握的采购人保密信息牟取私利，不得复制、传播、转让、许可或提供他人使用采购人存放的保密信息。</w:t>
            </w:r>
          </w:p>
          <w:p>
            <w:pPr>
              <w:pStyle w:val="null3"/>
            </w:pPr>
            <w:r>
              <w:rPr>
                <w:sz w:val="21"/>
              </w:rPr>
              <w:t>中标人了解并承认，采购人会将具有商业价值的数据存放于中标人设备上，且因技术服务、系统维护、软件升级等原因，中标人工作人员有可</w:t>
            </w:r>
          </w:p>
          <w:p>
            <w:pPr>
              <w:pStyle w:val="null3"/>
              <w:spacing w:after="165"/>
            </w:pPr>
            <w:r>
              <w:rPr>
                <w:sz w:val="20"/>
              </w:rPr>
              <w:t>能在某些情形下访问这些数据。中标人承诺仅在相关的必要范围内访问和使用保密信息，并对此类访问建立记录和审批制度。</w:t>
            </w:r>
          </w:p>
          <w:p>
            <w:pPr>
              <w:pStyle w:val="null3"/>
              <w:spacing w:after="165"/>
            </w:pPr>
            <w:r>
              <w:rPr>
                <w:sz w:val="20"/>
              </w:rPr>
              <w:t>中标人应将保密信息的访问权限严格限定在所必需的最小范围内，并对接触保密信息的员工进行保密教育和约束，确保其员工同样遵守本保密条款的约定。中标人员工违反本条款的，视为中标人违约。</w:t>
            </w:r>
          </w:p>
          <w:p>
            <w:pPr>
              <w:pStyle w:val="null3"/>
            </w:pPr>
            <w:r>
              <w:rPr>
                <w:sz w:val="21"/>
              </w:rPr>
              <w:t>中标人应采取不低于保护自身同类保密信息所采取的谨慎程度，且在任何情况下不低于合理行业标准的保护措施，防止保密信息被泄露、破坏或丢失。</w:t>
            </w:r>
          </w:p>
          <w:p>
            <w:pPr>
              <w:pStyle w:val="null3"/>
              <w:spacing w:after="165"/>
            </w:pPr>
            <w:r>
              <w:rPr>
                <w:sz w:val="20"/>
              </w:rPr>
              <w:t>（</w:t>
            </w:r>
            <w:r>
              <w:rPr>
                <w:sz w:val="20"/>
              </w:rPr>
              <w:t>3</w:t>
            </w:r>
            <w:r>
              <w:rPr>
                <w:sz w:val="20"/>
              </w:rPr>
              <w:t>）保密期限</w:t>
            </w:r>
          </w:p>
          <w:p>
            <w:pPr>
              <w:pStyle w:val="null3"/>
              <w:spacing w:after="165"/>
            </w:pPr>
            <w:r>
              <w:rPr>
                <w:sz w:val="20"/>
              </w:rPr>
              <w:t>本保密条款的保密义务自合同签订之日起生效，在合同履行期间及合同终止后永久有效，直至该保密信息依法进入公共领域或不再具有保密性为止。</w:t>
            </w:r>
          </w:p>
          <w:p>
            <w:pPr>
              <w:pStyle w:val="null3"/>
              <w:spacing w:after="165"/>
              <w:jc w:val="both"/>
            </w:pPr>
            <w:r>
              <w:rPr>
                <w:sz w:val="20"/>
              </w:rPr>
              <w:t>合同到期或提前终止后，双方仍应继续履行保密义务，任何一方不得以合同已终止为由免除保密责任。</w:t>
            </w:r>
          </w:p>
          <w:p>
            <w:pPr>
              <w:pStyle w:val="null3"/>
              <w:spacing w:after="165"/>
              <w:jc w:val="both"/>
            </w:pPr>
            <w:r>
              <w:rPr>
                <w:sz w:val="20"/>
              </w:rPr>
              <w:t>（</w:t>
            </w:r>
            <w:r>
              <w:rPr>
                <w:sz w:val="20"/>
              </w:rPr>
              <w:t>4</w:t>
            </w:r>
            <w:r>
              <w:rPr>
                <w:sz w:val="20"/>
              </w:rPr>
              <w:t>）中标人要严格按照保险法律法规的规定，加强保险信息管理，加强信息安全保护，控制相关信息的使用范围，防止信息外泄和滥用。对因管理医疗责任险或协助采购人开展工作获取的有关个人信息资料承担保密责任，中标人不得将信息用于其他用途。中标人泄露个人信息资料，或未经允许用于其他用途的，应承担相关的法律责任；给采购人或者被保险人造成损失的，除承担赔偿责任外，采购人有权单方解除合同，并要求中标人支付合同总金额</w:t>
            </w:r>
            <w:r>
              <w:rPr>
                <w:sz w:val="20"/>
              </w:rPr>
              <w:t>20%</w:t>
            </w:r>
            <w:r>
              <w:rPr>
                <w:sz w:val="20"/>
              </w:rPr>
              <w:t>的违约金。</w:t>
            </w:r>
          </w:p>
          <w:p>
            <w:pPr>
              <w:pStyle w:val="null3"/>
            </w:pPr>
            <w:r>
              <w:rPr>
                <w:sz w:val="21"/>
              </w:rPr>
              <w:t>14</w:t>
            </w:r>
            <w:r>
              <w:rPr>
                <w:sz w:val="21"/>
              </w:rPr>
              <w:t>、</w:t>
            </w:r>
            <w:r>
              <w:rPr>
                <w:sz w:val="21"/>
              </w:rPr>
              <w:t>★</w:t>
            </w:r>
            <w:r>
              <w:rPr>
                <w:sz w:val="21"/>
              </w:rPr>
              <w:t>业务连续性保障及违约产品的临时留用约定</w:t>
            </w:r>
            <w:r>
              <w:rPr>
                <w:sz w:val="21"/>
              </w:rPr>
              <w:t>：为保障采购人业务的连续性，在验收或使用过程中发现中标人交付的产品存在违反本合同</w:t>
            </w:r>
            <w:r>
              <w:rPr>
                <w:sz w:val="21"/>
              </w:rPr>
              <w:t>“</w:t>
            </w:r>
            <w:r>
              <w:rPr>
                <w:sz w:val="21"/>
              </w:rPr>
              <w:t>全新</w:t>
            </w:r>
            <w:r>
              <w:rPr>
                <w:sz w:val="21"/>
              </w:rPr>
              <w:t>”</w:t>
            </w:r>
            <w:r>
              <w:rPr>
                <w:sz w:val="21"/>
              </w:rPr>
              <w:t>或</w:t>
            </w:r>
            <w:r>
              <w:rPr>
                <w:sz w:val="21"/>
              </w:rPr>
              <w:t>“</w:t>
            </w:r>
            <w:r>
              <w:rPr>
                <w:sz w:val="21"/>
              </w:rPr>
              <w:t>出厂期限</w:t>
            </w:r>
            <w:r>
              <w:rPr>
                <w:sz w:val="21"/>
              </w:rPr>
              <w:t>”</w:t>
            </w:r>
            <w:r>
              <w:rPr>
                <w:sz w:val="21"/>
              </w:rPr>
              <w:t>约定之情形时，采购人有权选择暂不退回违约产品，并在原安装位置继续使用，直至采购人完成替代项目的采购合同签订且新供应商交付的合格产品到货并完成安装替换为止。采购人对上述违约产品的继续使用，仅为维持采购人业务运转的临时应急措施，不视为采购人对产品质量的认可、对瑕疵的接受或验收合格。</w:t>
            </w:r>
            <w:r>
              <w:rPr>
                <w:sz w:val="21"/>
              </w:rPr>
              <w:t>此临时留用行为不免除、不减轻、不中止中标人的任何违约责任，采购人仍有权按照本合同追究中标人的违约金及赔偿责任。在上述临时留用期间，采购人无需向中标人支付该部分违约产品的任何货款、租金、折旧费或使用费。留用期间产品的毁损、灭失风险，以及因产品自身质量或性能问题导致的采购人业务数据丢失、停工等直接和间接损失，仍由中标人承担。在新供应商交付的合格产品完成替换后【</w:t>
            </w:r>
            <w:r>
              <w:rPr>
                <w:sz w:val="21"/>
              </w:rPr>
              <w:t>5</w:t>
            </w:r>
            <w:r>
              <w:rPr>
                <w:sz w:val="21"/>
              </w:rPr>
              <w:t>】个工作日内，中标人应自行上门拆卸并收回原违约产品，相关拆卸、包装、运输费用及风险均</w:t>
            </w:r>
          </w:p>
          <w:p>
            <w:pPr>
              <w:pStyle w:val="null3"/>
              <w:spacing w:after="165"/>
            </w:pPr>
            <w:r>
              <w:rPr>
                <w:sz w:val="20"/>
              </w:rPr>
              <w:t>由中标人承担。若中标人逾期未收回，视为中标人放弃该批违约产品的所有权，采购人有权作为废弃物自行处置，由此产生的清理费用由中标人承担。</w:t>
            </w:r>
            <w:r>
              <w:rPr>
                <w:sz w:val="20"/>
              </w:rPr>
              <w:t>注：提供相应承诺函，格式自拟</w:t>
            </w:r>
          </w:p>
          <w:p>
            <w:pPr>
              <w:pStyle w:val="null3"/>
              <w:spacing w:after="165"/>
            </w:pPr>
            <w:r>
              <w:rPr>
                <w:sz w:val="20"/>
              </w:rPr>
              <w:t>15</w:t>
            </w:r>
            <w:r>
              <w:rPr>
                <w:sz w:val="20"/>
              </w:rPr>
              <w:t>、</w:t>
            </w:r>
            <w:r>
              <w:rPr>
                <w:sz w:val="20"/>
              </w:rPr>
              <w:t>★</w:t>
            </w:r>
            <w:r>
              <w:rPr>
                <w:sz w:val="20"/>
              </w:rPr>
              <w:t>证明文件与验收核查约定：</w:t>
            </w:r>
          </w:p>
          <w:p>
            <w:pPr>
              <w:pStyle w:val="null3"/>
              <w:spacing w:after="165"/>
            </w:pPr>
            <w:r>
              <w:rPr>
                <w:sz w:val="20"/>
              </w:rPr>
              <w:t>中标人交货时须随货提供原厂出厂合格证、质保卡、装箱单等有效证明文件。产品外包装及机身铭牌上的生产日期或出厂日期标识必须清晰、完整、无涂改、无重新贴标痕迹。</w:t>
            </w:r>
          </w:p>
          <w:p>
            <w:pPr>
              <w:pStyle w:val="null3"/>
              <w:spacing w:after="165"/>
            </w:pPr>
            <w:r>
              <w:rPr>
                <w:sz w:val="20"/>
              </w:rPr>
              <w:t>采购人在验收环节及临时留用期间，有权通过查验产品外观、防伪标识、系统底层硬件信息（包括但不限于</w:t>
            </w:r>
            <w:r>
              <w:rPr>
                <w:sz w:val="20"/>
              </w:rPr>
              <w:t>BIOS</w:t>
            </w:r>
            <w:r>
              <w:rPr>
                <w:sz w:val="20"/>
              </w:rPr>
              <w:t>信息、硬盘通电时间及写入量等）或委托第三方专业检测机构，对产品的全新程度及实际出厂时间进行核查。</w:t>
            </w:r>
          </w:p>
          <w:p>
            <w:pPr>
              <w:pStyle w:val="null3"/>
              <w:spacing w:after="165"/>
            </w:pPr>
            <w:r>
              <w:rPr>
                <w:sz w:val="20"/>
              </w:rPr>
              <w:t>若经核查确认中标人交付的产品不符合“全新”标准或出厂时间超过</w:t>
            </w:r>
            <w:r>
              <w:rPr>
                <w:sz w:val="20"/>
              </w:rPr>
              <w:t>18</w:t>
            </w:r>
            <w:r>
              <w:rPr>
                <w:sz w:val="20"/>
              </w:rPr>
              <w:t>个月的，除采购人行使临时留用权外，中标人须按合同总金额的【</w:t>
            </w:r>
            <w:r>
              <w:rPr>
                <w:sz w:val="20"/>
              </w:rPr>
              <w:t>20%</w:t>
            </w:r>
            <w:r>
              <w:rPr>
                <w:sz w:val="20"/>
              </w:rPr>
              <w:t>】向采购人支付违约金。</w:t>
            </w:r>
          </w:p>
          <w:p>
            <w:pPr>
              <w:pStyle w:val="null3"/>
            </w:pPr>
            <w:r>
              <w:rPr>
                <w:sz w:val="21"/>
              </w:rPr>
              <w:t>若经查实中标人存在故意隐瞒产品非全新事实（如使用翻新件、水洗板充当全新件，或篡改出厂日期标签）等弄虚作假行为，构成商业欺诈的，采购人有权要求中标人按合同总金额的【</w:t>
            </w:r>
            <w:r>
              <w:rPr>
                <w:sz w:val="21"/>
              </w:rPr>
              <w:t>20%</w:t>
            </w:r>
            <w:r>
              <w:rPr>
                <w:sz w:val="21"/>
              </w:rPr>
              <w:t>】向采购人支付惩罚性违约金。注：提供相应承诺函，格式自拟。</w:t>
            </w:r>
          </w:p>
        </w:tc>
      </w:tr>
      <w:tr>
        <w:tc>
          <w:tcPr>
            <w:tcW w:type="dxa" w:w="2076"/>
          </w:tcPr>
          <w:p/>
        </w:tc>
        <w:tc>
          <w:tcPr>
            <w:tcW w:type="dxa" w:w="415"/>
          </w:tcPr>
          <w:p>
            <w:pPr>
              <w:pStyle w:val="null3"/>
            </w:pPr>
            <w:r>
              <w:rPr/>
              <w:t>3</w:t>
            </w:r>
          </w:p>
        </w:tc>
        <w:tc>
          <w:tcPr>
            <w:tcW w:type="dxa" w:w="5814"/>
          </w:tcPr>
          <w:p>
            <w:pPr>
              <w:pStyle w:val="null3"/>
            </w:pPr>
            <w:r>
              <w:rPr>
                <w:sz w:val="21"/>
              </w:rPr>
              <w:t>月度服务考核表</w:t>
            </w:r>
          </w:p>
          <w:tbl>
            <w:tblPr>
              <w:tblBorders>
                <w:top w:val="none" w:color="000000" w:sz="4"/>
                <w:left w:val="none" w:color="000000" w:sz="4"/>
                <w:bottom w:val="none" w:color="000000" w:sz="4"/>
                <w:right w:val="none" w:color="000000" w:sz="4"/>
                <w:insideH w:val="none"/>
                <w:insideV w:val="none"/>
              </w:tblBorders>
            </w:tblPr>
            <w:tblGrid>
              <w:gridCol w:w="396"/>
              <w:gridCol w:w="848"/>
              <w:gridCol w:w="2940"/>
              <w:gridCol w:w="622"/>
              <w:gridCol w:w="792"/>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right"/>
                  </w:pPr>
                  <w:r>
                    <w:rPr>
                      <w:sz w:val="20"/>
                    </w:rPr>
                    <w:t>考核时间段:   年  月</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序号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考核项目</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考核内容</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考核得分</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扣分事项</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1</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响应情况</w:t>
                  </w:r>
                </w:p>
                <w:p>
                  <w:pPr>
                    <w:pStyle w:val="null3"/>
                    <w:spacing w:after="165"/>
                    <w:jc w:val="both"/>
                  </w:pPr>
                  <w:r>
                    <w:rPr>
                      <w:sz w:val="20"/>
                    </w:rPr>
                    <w:t>（总分40分）</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0"/>
                    </w:rPr>
                    <w:t>乙方应在甲方发出明确信息设备配置要求起，用户确认签收之日止，2天以内配置相应信息设备，如未能按服务响应要求落实，每延迟一次扣5分。</w:t>
                  </w:r>
                </w:p>
              </w:tc>
              <w:tc>
                <w:tcPr>
                  <w:tcW w:type="dxa" w:w="6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乙方在接到设备报障后10分钟内响应(如未能响应每次扣0.5分)，0.5小时内解决问题(如未能按时解决，每次扣1分)100%的故障解决率(如未能响应，扣10分)</w:t>
                  </w:r>
                </w:p>
              </w:tc>
              <w:tc>
                <w:tcPr>
                  <w:tcW w:type="dxa" w:w="622"/>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2</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服务质量</w:t>
                  </w:r>
                </w:p>
                <w:p>
                  <w:pPr>
                    <w:pStyle w:val="null3"/>
                    <w:spacing w:after="165"/>
                    <w:jc w:val="both"/>
                  </w:pPr>
                  <w:r>
                    <w:rPr>
                      <w:sz w:val="20"/>
                    </w:rPr>
                    <w:t>（总分40分）</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0"/>
                    </w:rPr>
                    <w:t>所提供的设备均为合同(或补充协议)约定的型号以及全新设备，甲方不定期随机抽查，如未能响应，则每台设备扣3分。</w:t>
                  </w:r>
                </w:p>
              </w:tc>
              <w:tc>
                <w:tcPr>
                  <w:tcW w:type="dxa" w:w="6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如相同设备使用期间出现同类型器械故障达三次的，乙方应为甲方更换全新设备。如未能响应，每台设备/天扣1分。</w:t>
                  </w:r>
                </w:p>
              </w:tc>
              <w:tc>
                <w:tcPr>
                  <w:tcW w:type="dxa" w:w="622"/>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r>
            <w:tr>
              <w:tc>
                <w:tcPr>
                  <w:tcW w:type="dxa" w:w="39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合理的工作投诉，扣5分/次</w:t>
                  </w:r>
                </w:p>
              </w:tc>
              <w:tc>
                <w:tcPr>
                  <w:tcW w:type="dxa" w:w="622"/>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r>
            <w:tr>
              <w:tc>
                <w:tcPr>
                  <w:tcW w:type="dxa" w:w="39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设备部署后，未能正常运转超过12小时，影响医疗业务运作的，扣10分/次</w:t>
                  </w:r>
                </w:p>
              </w:tc>
              <w:tc>
                <w:tcPr>
                  <w:tcW w:type="dxa" w:w="622"/>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r>
            <w:tr>
              <w:tc>
                <w:tcPr>
                  <w:tcW w:type="dxa" w:w="39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未经甲方书面同意，驻点人员。擅自离岗且未安排替补人员顶岗的，每缺岗1个工作日扣1分。</w:t>
                  </w:r>
                </w:p>
              </w:tc>
              <w:tc>
                <w:tcPr>
                  <w:tcW w:type="dxa" w:w="622"/>
                  <w:vMerge/>
                  <w:tcBorders>
                    <w:top w:val="none" w:color="000000" w:sz="4"/>
                    <w:left w:val="none" w:color="000000" w:sz="4"/>
                    <w:bottom w:val="single" w:color="000000" w:sz="4"/>
                    <w:right w:val="single" w:color="000000" w:sz="4"/>
                  </w:tcBorders>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配合度</w:t>
                  </w:r>
                </w:p>
                <w:p>
                  <w:pPr>
                    <w:pStyle w:val="null3"/>
                    <w:spacing w:after="165"/>
                    <w:jc w:val="both"/>
                  </w:pPr>
                  <w:r>
                    <w:rPr>
                      <w:sz w:val="20"/>
                    </w:rPr>
                    <w:t>（总分20分）</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0"/>
                    </w:rPr>
                    <w:t>参与医院或上级安排的突击性工作或临时加班工作，完全参与加5分，部分参与得2-4分，未参与0分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总分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rPr>
                    <w:t>考核细则：</w:t>
                  </w:r>
                </w:p>
                <w:tbl>
                  <w:tblGrid>
                    <w:gridCol w:w="1745"/>
                    <w:gridCol w:w="3636"/>
                  </w:tblGrid>
                  <w:tr>
                    <w:tc>
                      <w:tcPr>
                        <w:tcW w:type="dxa" w:w="174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得分区间</w:t>
                        </w:r>
                      </w:p>
                    </w:tc>
                    <w:tc>
                      <w:tcPr>
                        <w:tcW w:type="dxa" w:w="36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奖惩措施</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90≤S</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不扣除月服务费用</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85&lt;S&lt;90</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扣除月服务费用10%</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80&lt;S≤85</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扣除月服务费用15%</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75&lt;S≤80</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扣除月服务费用20%</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70&lt;S≤75</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扣除月服务费用30%</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65&lt;S≤70</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扣除月服务费用40%</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60≤S≤65</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扣除月服务费用50%</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0≤S&lt;60</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扣除月服务费用60%</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S&lt;0</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扣除月服务费用100%</w:t>
                        </w:r>
                      </w:p>
                    </w:tc>
                  </w:tr>
                  <w:tr>
                    <w:tc>
                      <w:tcPr>
                        <w:tcW w:type="dxa" w:w="5381"/>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说明:</w:t>
                        </w:r>
                        <w:r>
                          <w:rPr>
                            <w:sz w:val="20"/>
                            <w:color w:val="000000"/>
                          </w:rPr>
                          <w:t>总体考核评分默认100分，根据实际情况进行增减，与项目付款挂钩。连续两个月的考核指标得分小于60分的，或一个月的月考核指标得分小于0分的，招标人有权单方面书面通知中标人解除本合同，且无需承担任何违约责任，中标人需提供租赁服务至招标人完成新服务单位采购流程为止。</w:t>
                        </w:r>
                      </w:p>
                    </w:tc>
                  </w:tr>
                </w:tbl>
                <w:p>
                  <w:pPr>
                    <w:pStyle w:val="null3"/>
                    <w:spacing w:after="165"/>
                    <w:jc w:val="left"/>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rPr>
                    <w:t>说明:总体考核评分默认100分，根据实际情况进行增减，与项目付款挂钩。</w:t>
                  </w:r>
                </w:p>
              </w:tc>
            </w:tr>
          </w:tbl>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技术★</w:t>
            </w:r>
            <w:r>
              <w:rPr>
                <w:sz w:val="21"/>
              </w:rPr>
              <w:t>条款汇总：</w:t>
            </w:r>
          </w:p>
          <w:p>
            <w:pPr>
              <w:pStyle w:val="null3"/>
              <w:spacing w:after="165"/>
            </w:pPr>
            <w:r>
              <w:rPr>
                <w:sz w:val="20"/>
              </w:rPr>
              <w:t>租赁服务要求</w:t>
            </w:r>
          </w:p>
          <w:p>
            <w:pPr>
              <w:pStyle w:val="null3"/>
              <w:spacing w:after="165"/>
            </w:pPr>
            <w:r>
              <w:rPr>
                <w:sz w:val="20"/>
              </w:rPr>
              <w:t xml:space="preserve">2. </w:t>
            </w:r>
            <w:r>
              <w:rPr>
                <w:sz w:val="20"/>
              </w:rPr>
              <w:t>★为统筹规范医院设备管理，中标人须对租赁设备粘贴明显标识，有效区分医院自行购置设备及租赁设备。中标人提供符合医院要求的设备标签，提供数量与采购计划表总数量相符。注：提供相应承诺函，格式自拟。</w:t>
            </w:r>
          </w:p>
          <w:p>
            <w:pPr>
              <w:pStyle w:val="null3"/>
              <w:spacing w:after="165"/>
            </w:pPr>
            <w:r>
              <w:rPr>
                <w:sz w:val="20"/>
              </w:rPr>
              <w:t xml:space="preserve">11. </w:t>
            </w:r>
            <w:r>
              <w:rPr>
                <w:sz w:val="20"/>
              </w:rPr>
              <w:t>★报废处置与数据归属：当租赁设备达到报废标准、无法继续使用时，采购人需及时书面通知中标人告知设备报废状态；设备报废后的处置工作由中标人负责。核心约定：设备所搭载的存储介质（如硬盘、固态硬盘等）及存储介质内的所有数据均归采购人所有，采购人无需将存储介质及相关数据归还中标人且采购人无需对存储介质支付额外费用；无论设备故障、维修、更换、报废等任何原因，均需先配合采购人完成存储介质的拆除工作，拆除后的存储介质由采购人自行处理（如销毁、留存等），中标人仅可处置除归属采购人的存储介质外的其他设备部件。注：提供相应承诺函，格式自拟。</w:t>
            </w:r>
          </w:p>
          <w:p>
            <w:pPr>
              <w:pStyle w:val="null3"/>
              <w:spacing w:after="165"/>
            </w:pPr>
            <w:r>
              <w:rPr>
                <w:sz w:val="20"/>
              </w:rPr>
              <w:t>14</w:t>
            </w:r>
            <w:r>
              <w:rPr>
                <w:sz w:val="20"/>
              </w:rPr>
              <w:t>、</w:t>
            </w:r>
            <w:r>
              <w:rPr>
                <w:sz w:val="20"/>
              </w:rPr>
              <w:t>★</w:t>
            </w:r>
            <w:r>
              <w:rPr>
                <w:sz w:val="20"/>
              </w:rPr>
              <w:t>业务连续性保障及违约产品的临时留用约定：为保障采购人业务的连续性，在验收或使用过程中发现中标人交付的产品存在违反本合同“全新”或“出厂期限”约定之情形时，采购人有权选择暂不退回违约产品，并在原安装位置继续使用，直至采购人完成替代项目的采购合同签订且新供应商交付的合格产品到货并完成安装替换为止。采购人对上述违约产品的继续使用，仅为维持采购人业务运转的临时应急措施，不视为采购人对产品质量的认可、对瑕疵的接受或验收合格。</w:t>
            </w:r>
            <w:r>
              <w:rPr>
                <w:sz w:val="20"/>
              </w:rPr>
              <w:t>此临时留用行为不免除、不减轻、不中止中标人的任何违约责任，采购人仍有权按照本合同追究中标人的违约金及赔偿责任。在上述临时留用期间，采购人无需向中标人支付该部分违约产品的任何货款、租金、折旧费或使用费。留用期间产品的毁损、灭失风险，以及因产品自身质量或性能问题导致的采购人业务数据丢失、停工等直接和间接损失，仍由中标人承担。在新供应商交付的合格产品完成替换后【</w:t>
            </w:r>
            <w:r>
              <w:rPr>
                <w:sz w:val="20"/>
              </w:rPr>
              <w:t>5</w:t>
            </w:r>
            <w:r>
              <w:rPr>
                <w:sz w:val="20"/>
              </w:rPr>
              <w:t>】个工作日内，中标人应自行上门拆卸并收回原违约产品，相关拆卸、包装、运输费用及风险均由中标人承担。若中标人逾期未收回，视为中标人放弃该批违约产品的所有权，采购人有权作为废弃物自行处置，由此产生的清理费用由中标人承担。</w:t>
            </w:r>
            <w:r>
              <w:rPr>
                <w:sz w:val="20"/>
              </w:rPr>
              <w:t>注：提供相应承诺函，格式自拟</w:t>
            </w:r>
          </w:p>
          <w:p>
            <w:pPr>
              <w:pStyle w:val="null3"/>
            </w:pPr>
            <w:r>
              <w:rPr>
                <w:sz w:val="21"/>
              </w:rPr>
              <w:t>15</w:t>
            </w:r>
            <w:r>
              <w:rPr>
                <w:sz w:val="21"/>
              </w:rPr>
              <w:t>、</w:t>
            </w:r>
            <w:r>
              <w:rPr>
                <w:sz w:val="21"/>
              </w:rPr>
              <w:t>★</w:t>
            </w:r>
            <w:r>
              <w:rPr>
                <w:sz w:val="21"/>
              </w:rPr>
              <w:t>证明文件与验收核查约定：</w:t>
            </w:r>
          </w:p>
          <w:p>
            <w:pPr>
              <w:pStyle w:val="null3"/>
              <w:spacing w:after="165"/>
            </w:pPr>
            <w:r>
              <w:rPr>
                <w:sz w:val="20"/>
              </w:rPr>
              <w:t>中标人交货时须随货提供原厂出厂合格证、质保卡、装箱单等有效证明文件。产品外包装及机身铭牌上的生产日期或出厂日期标识必须清晰、完整、无涂改、无重新贴标痕迹。</w:t>
            </w:r>
          </w:p>
          <w:p>
            <w:pPr>
              <w:pStyle w:val="null3"/>
              <w:spacing w:after="165"/>
            </w:pPr>
            <w:r>
              <w:rPr>
                <w:sz w:val="20"/>
              </w:rPr>
              <w:t>采购人在验收环节及临时留用期间，有权通过查验产品外观、防伪标识、系统底层硬件信息（包括但不限于</w:t>
            </w:r>
            <w:r>
              <w:rPr>
                <w:sz w:val="20"/>
              </w:rPr>
              <w:t>BIOS</w:t>
            </w:r>
            <w:r>
              <w:rPr>
                <w:sz w:val="20"/>
              </w:rPr>
              <w:t>信息、硬盘通电时间及写入量等）或委托第三方专业检测机构，对产品的全新程度及实际出厂时间进行核查。</w:t>
            </w:r>
          </w:p>
          <w:p>
            <w:pPr>
              <w:pStyle w:val="null3"/>
              <w:spacing w:after="165"/>
            </w:pPr>
            <w:r>
              <w:rPr>
                <w:sz w:val="20"/>
              </w:rPr>
              <w:t>若经核查确认中标人交付的产品不符合“全新”标准或出厂时间超过</w:t>
            </w:r>
            <w:r>
              <w:rPr>
                <w:sz w:val="20"/>
              </w:rPr>
              <w:t>18</w:t>
            </w:r>
            <w:r>
              <w:rPr>
                <w:sz w:val="20"/>
              </w:rPr>
              <w:t>个月的，除采购人行使临时留用权外，中标人须按合同总金额的【</w:t>
            </w:r>
            <w:r>
              <w:rPr>
                <w:sz w:val="20"/>
              </w:rPr>
              <w:t>20%</w:t>
            </w:r>
            <w:r>
              <w:rPr>
                <w:sz w:val="20"/>
              </w:rPr>
              <w:t>】向采购人支付违约金。</w:t>
            </w:r>
          </w:p>
          <w:p>
            <w:pPr>
              <w:pStyle w:val="null3"/>
            </w:pPr>
            <w:r>
              <w:rPr>
                <w:sz w:val="21"/>
              </w:rPr>
              <w:t>若经查实中标人存在故意隐瞒产品非全新事实（如使用翻新件、水洗板充当全新件，或篡改出厂日期标签）等弄虚作假行为，构成商业欺诈的，采购人有权要求中标人按合同总金额的【</w:t>
            </w:r>
            <w:r>
              <w:rPr>
                <w:sz w:val="21"/>
              </w:rPr>
              <w:t>20%</w:t>
            </w:r>
            <w:r>
              <w:rPr>
                <w:sz w:val="21"/>
              </w:rPr>
              <w:t>】向采购人支付惩罚性违约金。注：提供相应承诺函，格式自拟。</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技术</w:t>
            </w:r>
            <w:r>
              <w:rPr>
                <w:sz w:val="21"/>
              </w:rPr>
              <w:t>▲</w:t>
            </w:r>
            <w:r>
              <w:rPr>
                <w:sz w:val="21"/>
              </w:rPr>
              <w:t>条款汇总：</w:t>
            </w:r>
          </w:p>
          <w:p>
            <w:pPr>
              <w:pStyle w:val="null3"/>
              <w:spacing w:after="165"/>
            </w:pPr>
            <w:r>
              <w:rPr>
                <w:sz w:val="20"/>
              </w:rPr>
              <w:t>配置参数</w:t>
            </w:r>
          </w:p>
          <w:p>
            <w:pPr>
              <w:pStyle w:val="null3"/>
            </w:pPr>
            <w:r>
              <w:rPr>
                <w:sz w:val="20"/>
              </w:rPr>
              <w:t>1.▲CPU：核心数≥10；线程数≥16；主频≥2.5Ghz，最大睿频≥ 4.7Ghz;处理器基础功耗≥65W; 制作工艺≤10nm; （提供原厂详尽技术参数说明书或技术白皮书或详细描述文件，须加盖原厂的公章。）</w:t>
            </w:r>
          </w:p>
          <w:p>
            <w:pPr>
              <w:pStyle w:val="null3"/>
              <w:spacing w:after="165"/>
            </w:pPr>
            <w:r>
              <w:rPr>
                <w:sz w:val="21"/>
              </w:rPr>
              <w:t>租赁服务要求</w:t>
            </w:r>
          </w:p>
          <w:p>
            <w:pPr>
              <w:pStyle w:val="null3"/>
              <w:spacing w:after="165"/>
            </w:pPr>
            <w:r>
              <w:rPr>
                <w:sz w:val="20"/>
              </w:rPr>
              <w:t>12.</w:t>
            </w:r>
            <w:r>
              <w:rPr>
                <w:sz w:val="20"/>
              </w:rPr>
              <w:t>▲租赁期间，中标人需对租赁设备进行盘点，具体要求如下（</w:t>
            </w:r>
            <w:r>
              <w:rPr>
                <w:sz w:val="20"/>
              </w:rPr>
              <w:t>投标时须提供相关承诺，格式自拟）</w:t>
            </w:r>
            <w:r>
              <w:rPr>
                <w:sz w:val="20"/>
              </w:rPr>
              <w:t>：</w:t>
            </w:r>
          </w:p>
          <w:p>
            <w:pPr>
              <w:pStyle w:val="null3"/>
              <w:spacing w:after="165"/>
            </w:pPr>
            <w:r>
              <w:rPr>
                <w:sz w:val="20"/>
              </w:rPr>
              <w:t>（</w:t>
            </w:r>
            <w:r>
              <w:rPr>
                <w:sz w:val="20"/>
              </w:rPr>
              <w:t>1</w:t>
            </w:r>
            <w:r>
              <w:rPr>
                <w:sz w:val="20"/>
              </w:rPr>
              <w:t>）盘点内容：明确每台设备的实际所在地、使用状态、完好情况，做好详细登记记录，形成盘点报告，经采购人确认后双方留存，作为服务到期后设备搬离的依据；</w:t>
            </w:r>
          </w:p>
          <w:p>
            <w:pPr>
              <w:pStyle w:val="null3"/>
            </w:pPr>
            <w:r>
              <w:rPr>
                <w:sz w:val="21"/>
              </w:rPr>
              <w:t>（</w:t>
            </w:r>
            <w:r>
              <w:rPr>
                <w:sz w:val="21"/>
              </w:rPr>
              <w:t>2</w:t>
            </w:r>
            <w:r>
              <w:rPr>
                <w:sz w:val="21"/>
              </w:rPr>
              <w:t>）责任划分：若中标人未按约定定期开展盘点工作，导致服务期届满搬离设备时发现设备丢失、损毁且无法核实原因的，该部分设备的损失由中标人自行承担，与采购人无关。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采购机构代理服务收费标准：采购机构代理服务收费标准：本次取费依据以中标金额为基准，按服务类类别，采用差额定率累进法下浮25%计算，由中标（成交）供应商支付，取费费率如下： 100万元（含）以下为1.5%、500万元（含）～100万元（不含）为0.8%。 举例：如服务类中标金额150万元，100万元×1.5%=1.5万元，（150-100）万元×0.8%=0.4万元，则代理服务费=（1.5+0.4）×（1-25%）=1.425万元由中标（成交）供应商一次性支付。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远程开标提醒：（1）供应商在参加开标以前须自行对使用电脑的网络环境、驱动安装、客户端安装以及数字证书的有效性等进行检，确保可以正常使用。（2）本项目开标方式为“远程开标”，供应商须在投标文件提交截止时间前，将加密投标文件上传至云平台项目采购系统中，逾期上传或错误方式投递送达将导致投标无效（以投标文件投递至采购系统时间为准）。本项目将在云平台进行在线签到及在线解密，投标人不需要委派代表前往开标现场。远程开标操作指南（供应商版）： https://gdgpo.czt.gd.gov.cn/help/transaction/gongyinshan.html。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；请各投标人在投标文件递交截止时间前按须知前附表规定的金额递交至</w:t>
      </w:r>
      <w:r>
        <w:rPr/>
        <w:t>公诚管理咨询有限公司</w:t>
      </w:r>
      <w:r>
        <w:rPr/>
        <w:t>，到账情况以开标时</w:t>
      </w:r>
      <w:r>
        <w:rPr/>
        <w:t>公诚管理咨询有限公司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李成斌</w:t>
      </w:r>
    </w:p>
    <w:p>
      <w:pPr>
        <w:pStyle w:val="null3"/>
        <w:ind w:firstLine="480"/>
      </w:pPr>
      <w:r>
        <w:rPr/>
        <w:t>电话：</w:t>
      </w:r>
      <w:r>
        <w:rPr/>
        <w:t>13923658150</w:t>
      </w:r>
    </w:p>
    <w:p>
      <w:pPr>
        <w:pStyle w:val="null3"/>
        <w:ind w:firstLine="480"/>
      </w:pPr>
      <w:r>
        <w:rPr/>
        <w:t>传真：</w:t>
      </w:r>
      <w:r>
        <w:rPr/>
        <w:t>/</w:t>
      </w:r>
    </w:p>
    <w:p>
      <w:pPr>
        <w:pStyle w:val="null3"/>
        <w:ind w:firstLine="480"/>
      </w:pPr>
      <w:r>
        <w:rPr/>
        <w:t>邮箱：</w:t>
      </w:r>
      <w:r>
        <w:rPr/>
        <w:t>gczx_yw1@126.com</w:t>
      </w:r>
    </w:p>
    <w:p>
      <w:pPr>
        <w:pStyle w:val="null3"/>
        <w:ind w:firstLine="480"/>
      </w:pPr>
      <w:r>
        <w:rPr/>
        <w:t>地址：</w:t>
      </w:r>
      <w:r>
        <w:rPr/>
        <w:t>广东省惠州市惠城区云山东路4号云山大院2号楼3楼</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w:t>
      </w:r>
    </w:p>
    <w:p>
      <w:pPr>
        <w:pStyle w:val="null3"/>
      </w:pPr>
      <w:r>
        <w:rPr/>
        <w:t>地 址：广东省惠州市江北文华一路6号市财政局9楼903室政府采购监管科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采购包1(临床电脑设备租赁服务)：综合评分法,是指投标文件满足招标文件全部实质性要求，且按照评审因素的量化指标评审得分最高的投标人为中标候选人的评标方法。（最低报价不是中标的唯一依据。）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采购包1（临床电脑设备租赁服务）：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采购包1（临床电脑设备租赁服务）：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法人或其他组织的营业执照或事业单位法人证书或社会团体法人登记证书扫描件，如投标人为自然人的提供自然人身份证明扫描件;如国家另有规定的，则从其规定。(分文机构投标，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资格条件承诺函》(具体格式可参照招标公告附件)。重大违法记录，是指供应商因违法经营受到刑事处罚或者责令停产停业、品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中国执行信息公开网”（http://zxgk.court.gov.cn/shixin/）“失信被执行人”及“信用中国”网站（https://www.creditchina.gov.cn)“重大税收违法失信主体”的记录名单；不处于中国政府采购网(http://www.ccgp.gov.cn)“政府采购严重违法失信行为信息记录”中的禁止参加政府采购活动期间。（以采购代理机构人员于投标（响应）截止时间当天在“中国执行信息公开网”（http://zxgk.court.gov.cn/shixin/）、“信用中国”网站（http://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本项目属于不专门面向中小企业采购项目。依照《政府采购促进中小企业发展管理办法》、《支持监狱企业发展有关问题的通知》和《财政部 民政部中国残疾人联合会关于促进残疾人就业政府采购政策的通知》的规定，对符合相关条件的投标人给予相应的政府采购政策扶持。（详见本项目招标文件“第四章 评标”中的“政府采购政策落实”相关内容）。</w:t>
            </w:r>
          </w:p>
        </w:tc>
      </w:tr>
    </w:tbl>
    <w:p>
      <w:pPr>
        <w:pStyle w:val="null3"/>
        <w:ind w:firstLine="480"/>
      </w:pPr>
      <w:r>
        <w:rPr/>
        <w:t>表二符合性审查表：</w:t>
      </w:r>
    </w:p>
    <w:p>
      <w:pPr>
        <w:pStyle w:val="null3"/>
      </w:pPr>
      <w:r>
        <w:rPr/>
        <w:t>采购包1（临床电脑设备租赁服务）：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投标人按照招标文件要求提供了投标函。</w:t>
            </w:r>
          </w:p>
        </w:tc>
      </w:tr>
      <w:tr>
        <w:tc>
          <w:tcPr>
            <w:tcW w:type="dxa" w:w="890"/>
          </w:tcPr>
          <w:p>
            <w:pPr>
              <w:pStyle w:val="null3"/>
            </w:pPr>
            <w:r>
              <w:rPr/>
              <w:t>2</w:t>
            </w:r>
          </w:p>
        </w:tc>
        <w:tc>
          <w:tcPr>
            <w:tcW w:type="dxa" w:w="3178"/>
          </w:tcPr>
          <w:p>
            <w:pPr>
              <w:pStyle w:val="null3"/>
            </w:pPr>
            <w:r>
              <w:rPr/>
              <w:t>投标文件没有无效签署的</w:t>
            </w:r>
          </w:p>
        </w:tc>
        <w:tc>
          <w:tcPr>
            <w:tcW w:type="dxa" w:w="4238"/>
          </w:tcPr>
          <w:p>
            <w:pPr>
              <w:pStyle w:val="null3"/>
            </w:pPr>
            <w:r>
              <w:rPr/>
              <w:t>投标文件按照招标文件规定要求签署、盖章，没有无效签署的。</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按照招标文件的报价方式、报价要求进行了报价且报价方案是唯一确定的。</w:t>
            </w:r>
          </w:p>
        </w:tc>
      </w:tr>
      <w:tr>
        <w:tc>
          <w:tcPr>
            <w:tcW w:type="dxa" w:w="890"/>
          </w:tcPr>
          <w:p>
            <w:pPr>
              <w:pStyle w:val="null3"/>
            </w:pPr>
            <w:r>
              <w:rPr/>
              <w:t>4</w:t>
            </w:r>
          </w:p>
        </w:tc>
        <w:tc>
          <w:tcPr>
            <w:tcW w:type="dxa" w:w="3178"/>
          </w:tcPr>
          <w:p>
            <w:pPr>
              <w:pStyle w:val="null3"/>
            </w:pPr>
            <w:r>
              <w:rPr/>
              <w:t>技术商务要求</w:t>
            </w:r>
          </w:p>
        </w:tc>
        <w:tc>
          <w:tcPr>
            <w:tcW w:type="dxa" w:w="4238"/>
          </w:tcPr>
          <w:p>
            <w:pPr>
              <w:pStyle w:val="null3"/>
            </w:pPr>
            <w:r>
              <w:rPr/>
              <w:t>实质性响应招标文件中“★”号参数的技术商务要求。</w:t>
            </w:r>
          </w:p>
        </w:tc>
      </w:tr>
      <w:tr>
        <w:tc>
          <w:tcPr>
            <w:tcW w:type="dxa" w:w="890"/>
          </w:tcPr>
          <w:p>
            <w:pPr>
              <w:pStyle w:val="null3"/>
            </w:pPr>
            <w:r>
              <w:rPr/>
              <w:t>5</w:t>
            </w:r>
          </w:p>
        </w:tc>
        <w:tc>
          <w:tcPr>
            <w:tcW w:type="dxa" w:w="3178"/>
          </w:tcPr>
          <w:p>
            <w:pPr>
              <w:pStyle w:val="null3"/>
            </w:pPr>
            <w:r>
              <w:rPr/>
              <w:t>其它</w:t>
            </w:r>
          </w:p>
        </w:tc>
        <w:tc>
          <w:tcPr>
            <w:tcW w:type="dxa" w:w="4238"/>
          </w:tcPr>
          <w:p>
            <w:pPr>
              <w:pStyle w:val="null3"/>
            </w:pPr>
            <w:r>
              <w:rPr/>
              <w:t>投标文件没有招标文件中规定的其它无效投标条款的。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临床电脑设备租赁服务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商务部分25.5分</w:t>
            </w:r>
          </w:p>
          <w:p>
            <w:pPr>
              <w:pStyle w:val="null3"/>
            </w:pPr>
            <w:r>
              <w:rPr/>
              <w:t>技术部分59.5分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带▲号的技术参数响应情况 (10.0分)</w:t>
            </w:r>
          </w:p>
        </w:tc>
        <w:tc>
          <w:tcPr>
            <w:tcW w:type="dxa" w:w="5076"/>
          </w:tcPr>
          <w:p>
            <w:pPr>
              <w:pStyle w:val="null3"/>
              <w:jc w:val="left"/>
            </w:pPr>
            <w:r>
              <w:rPr/>
              <w:t>评标委员会根据投标人对第二章 采购需求中标“▲”的技术条款（共2条）响应情况进行评审，每偏离（不满足）一条扣5分，直至本项分数扣完为止。 注：1、要求条款中有明确佐证材料要求的，按其要求提供。2、要求条款中没有明确佐证材料要求的，提供以下任意一种佐证材料： （1）原厂出具的详尽的技术参数说明书（技术白皮书）； （2）其他具有同等证明效力的官方技术资料或佐证材料； （3）提供相关承诺函，格式自拟。 以上未提供或表述模糊不清的视为不满足不得分。</w:t>
            </w:r>
          </w:p>
        </w:tc>
      </w:tr>
      <w:tr>
        <w:tc>
          <w:tcPr>
            <w:tcW w:type="dxa" w:w="922"/>
            <w:gridSpan w:val="2"/>
            <w:vMerge/>
          </w:tcPr>
          <w:p/>
        </w:tc>
        <w:tc>
          <w:tcPr>
            <w:tcW w:type="dxa" w:w="2307"/>
          </w:tcPr>
          <w:p>
            <w:pPr>
              <w:pStyle w:val="null3"/>
              <w:jc w:val="left"/>
            </w:pPr>
            <w:r>
              <w:rPr/>
              <w:t>非▲号及非★号的技术参数响应情况 (25.5分)</w:t>
            </w:r>
          </w:p>
        </w:tc>
        <w:tc>
          <w:tcPr>
            <w:tcW w:type="dxa" w:w="5076"/>
          </w:tcPr>
          <w:p>
            <w:pPr>
              <w:pStyle w:val="null3"/>
              <w:jc w:val="left"/>
            </w:pPr>
            <w:r>
              <w:rPr/>
              <w:t>评标委员会根据投标人对第二章 采购需求 2. 技术要求（附表一）中未标“▲”和“★”的技术条款(共17条，除月度考核表外，其余条款阿拉伯数字为一条，月度考核单独为一条。)响应情况进行评审：每偏离（不满足）一条扣1.5分，直至本项分数扣完为止。 注：1、要求条款中有明确佐证材料要求的，按其要求提供。2、要求条款中没有明确佐证材料要求的，提供以下任意一种佐证材料： （1）原厂出具的详尽的技术参数说明书（技术白皮书）；（2）其他具有同等证明效力的官方技术资料或佐证材料； （3）提供相关承诺函，格式自拟； （4）以《技术和服务要求响应表》为准。 以上未提供或表述模糊不清的视为不满足不得分。</w:t>
            </w:r>
          </w:p>
        </w:tc>
      </w:tr>
      <w:tr>
        <w:tc>
          <w:tcPr>
            <w:tcW w:type="dxa" w:w="922"/>
            <w:gridSpan w:val="2"/>
            <w:vMerge/>
          </w:tcPr>
          <w:p/>
        </w:tc>
        <w:tc>
          <w:tcPr>
            <w:tcW w:type="dxa" w:w="2307"/>
          </w:tcPr>
          <w:p>
            <w:pPr>
              <w:pStyle w:val="null3"/>
              <w:jc w:val="left"/>
            </w:pPr>
            <w:r>
              <w:rPr/>
              <w:t>服务质量保障方案 (8.0分)</w:t>
            </w:r>
          </w:p>
        </w:tc>
        <w:tc>
          <w:tcPr>
            <w:tcW w:type="dxa" w:w="5076"/>
          </w:tcPr>
          <w:p>
            <w:pPr>
              <w:pStyle w:val="null3"/>
              <w:jc w:val="left"/>
            </w:pPr>
            <w:r>
              <w:rPr/>
              <w:t>一、评标委员会根据投标人提供服务方案的详细内容进行综合评审:方案包括 (1) 交付计划;(2) 维修流程;(3) 盘点方案（4）设备回收方案等方面。每提供1项得1分，满足4分。 二、在包含上述内容基础上根据第二章采购需求对方案的详细内容进行综合评审:： （1）方案完全满足且优于采购需求的，得4分； （2）方案基本能满足采购需求的，得2.5分；（3）方案不完全满足采购需求的，得1分； （4）方案不完整，方案不合理或未提供实施方案的不得分。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一、评标委员会根据投标人提供服务方案的详细内容进行综合评审:方案包括(1) 项目整体规划;(2) 保密方案;(3) 交付与安装实施方案。每提供1项得1分，满足3分。 二、在包含上述内容基础上根据第二章采购需求对方案的详细内容进行综合评审: （1）方案完全满足且优于采购需求的，得5分； （2）方案基本能满足采购需求的，得3分； （3）方案不完全满足采购需求的，得1分； （4）方案不完整，方案不合理或未提供实施方案的不得分。</w:t>
            </w:r>
          </w:p>
        </w:tc>
      </w:tr>
      <w:tr>
        <w:tc>
          <w:tcPr>
            <w:tcW w:type="dxa" w:w="922"/>
            <w:gridSpan w:val="2"/>
            <w:vMerge/>
          </w:tcPr>
          <w:p/>
        </w:tc>
        <w:tc>
          <w:tcPr>
            <w:tcW w:type="dxa" w:w="2307"/>
          </w:tcPr>
          <w:p>
            <w:pPr>
              <w:pStyle w:val="null3"/>
              <w:jc w:val="left"/>
            </w:pPr>
            <w:r>
              <w:rPr/>
              <w:t>应急服务方案 (8.0分)</w:t>
            </w:r>
          </w:p>
        </w:tc>
        <w:tc>
          <w:tcPr>
            <w:tcW w:type="dxa" w:w="5076"/>
          </w:tcPr>
          <w:p>
            <w:pPr>
              <w:pStyle w:val="null3"/>
              <w:jc w:val="left"/>
            </w:pPr>
            <w:r>
              <w:rPr/>
              <w:t>一、评标委员会根据投标人提供服务方案的详细内容进行综合评审:方案包括(1) 覆盖全场景应急事件;(2) 应急组织与响应机制;(3) 核心应急处置措施（4）应急资源保障。每提供1项得1分，满足4分。 二、在包含上述内容基础上根据第二章采购需求对方案的详细内容进行综合评审: （1）方案完全满足且优于采购需求的，得4分； （2）方案基本能满足采购需求的，得2.5分； （3）方案不完全满足采购需求的，得1分； （4）方案不完整，方案不合理或未提供实施方案的不得分。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根据各投标人2023年1月1日至今（以合同签订时间为准）的同类项目业绩数量情况进行评分，同类业绩是指计算机设备集成服务或增配服务或计算机设备租赁设备等，每提供一个业绩得2分，本项最高得8分。 注：1.投标人须提供合同关键页复印件（包括：合同封面或首页、服务内容页及双方签章页；加盖供应商公章）；2.同一项目不同年份的合同按一份业绩计算，不重复计算业绩分数；3.同一用户在同一招标/采购项目中续签的合同不重复计分。</w:t>
            </w:r>
          </w:p>
        </w:tc>
      </w:tr>
      <w:tr>
        <w:tc>
          <w:tcPr>
            <w:tcW w:type="dxa" w:w="922"/>
            <w:gridSpan w:val="2"/>
            <w:vMerge/>
          </w:tcPr>
          <w:p/>
        </w:tc>
        <w:tc>
          <w:tcPr>
            <w:tcW w:type="dxa" w:w="2307"/>
          </w:tcPr>
          <w:p>
            <w:pPr>
              <w:pStyle w:val="null3"/>
              <w:jc w:val="left"/>
            </w:pPr>
            <w:r>
              <w:rPr/>
              <w:t>拟派项目负责人 (5.5分)</w:t>
            </w:r>
          </w:p>
        </w:tc>
        <w:tc>
          <w:tcPr>
            <w:tcW w:type="dxa" w:w="5076"/>
          </w:tcPr>
          <w:p>
            <w:pPr>
              <w:pStyle w:val="null3"/>
              <w:jc w:val="left"/>
            </w:pPr>
            <w:r>
              <w:rPr/>
              <w:t>根据投标人为本项目拟派出1名项目负责人的情况进行评审：具有人力资源和社会保障部和国家工业和信息化部（原国家信息产业部）颁发的信息系统项目管理师（高级）证书，得5.5分。 注：提供该人员在投标单位购买的开标当月前近6个月内任意一个月的社保证明材料和相关证书复印件，无提供或提供不齐全的不得分。</w:t>
            </w:r>
          </w:p>
        </w:tc>
      </w:tr>
      <w:tr>
        <w:tc>
          <w:tcPr>
            <w:tcW w:type="dxa" w:w="922"/>
            <w:gridSpan w:val="2"/>
            <w:vMerge/>
          </w:tcPr>
          <w:p/>
        </w:tc>
        <w:tc>
          <w:tcPr>
            <w:tcW w:type="dxa" w:w="2307"/>
          </w:tcPr>
          <w:p>
            <w:pPr>
              <w:pStyle w:val="null3"/>
              <w:jc w:val="left"/>
            </w:pPr>
            <w:r>
              <w:rPr/>
              <w:t>拟派技术人员 (12.0分)</w:t>
            </w:r>
          </w:p>
        </w:tc>
        <w:tc>
          <w:tcPr>
            <w:tcW w:type="dxa" w:w="5076"/>
          </w:tcPr>
          <w:p>
            <w:pPr>
              <w:pStyle w:val="null3"/>
              <w:jc w:val="left"/>
            </w:pPr>
            <w:r>
              <w:rPr/>
              <w:t>根据本项目采购需求内容，要求投标人对本项目投入的实施团队（不含项目负责人）进行评审： 1、具备中国网络安全审查认证和市场监管大数据中心（原中国网络安全审查技术与认证中心）颁发的信息安全保障人员认证证书的，每提供1人得2分，满分共4分； 2、具备人力资源和社会保障部和国家工业和信息化部（原国家信息产业部）颁发的中级网络工程师证书的，每提供1人得2分，满分共4分； 3、投标人每安排1名人员驻场服务得4分，满分4分，未安排驻点人员不得分。备注：驻场服务时间与医院行政部门工作时间一致。提供相关承诺函，格式自拟。 （①提供上述人员在投标单位购买的开标当月前近6个月内任意一个月的社保证明材料和相关证书复印件，无提供或提供不齐全的不得分。②以上人员证书不重复计分，同一人员提供多证按得分最高项计分，驻场服务人员可以与持证人员重复，也可以提供其他人员。）</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after="165"/>
        <w:jc w:val="center"/>
      </w:pPr>
      <w:r>
        <w:rPr>
          <w:sz w:val="24"/>
          <w:b/>
        </w:rPr>
        <w:t>合同格式仅作为参考，最终以双方签订的合同为准。</w:t>
      </w:r>
    </w:p>
    <w:p>
      <w:pPr>
        <w:pStyle w:val="null3"/>
        <w:spacing w:after="165"/>
        <w:jc w:val="center"/>
      </w:pPr>
      <w:r>
        <w:rPr>
          <w:sz w:val="44"/>
          <w:b/>
          <w:color w:val="000000"/>
        </w:rPr>
        <w:t>服</w:t>
      </w:r>
      <w:r>
        <w:rPr>
          <w:sz w:val="44"/>
          <w:b/>
          <w:color w:val="000000"/>
        </w:rPr>
        <w:t>务</w:t>
      </w:r>
      <w:r>
        <w:rPr>
          <w:sz w:val="44"/>
          <w:b/>
          <w:color w:val="000000"/>
        </w:rPr>
        <w:t>合</w:t>
      </w:r>
      <w:r>
        <w:rPr>
          <w:sz w:val="44"/>
          <w:b/>
          <w:color w:val="000000"/>
        </w:rPr>
        <w:t>同</w:t>
      </w:r>
    </w:p>
    <w:p>
      <w:pPr>
        <w:pStyle w:val="null3"/>
        <w:spacing w:after="165"/>
        <w:ind w:right="420"/>
        <w:jc w:val="center"/>
      </w:pPr>
      <w:r>
        <w:rPr>
          <w:sz w:val="24"/>
          <w:color w:val="000000"/>
        </w:rPr>
        <w:t>合同编号:</w:t>
      </w:r>
      <w:r>
        <w:rPr>
          <w:sz w:val="24"/>
          <w:color w:val="000000"/>
          <w:u w:val="single"/>
        </w:rPr>
        <w:t xml:space="preserve">        </w:t>
      </w:r>
    </w:p>
    <w:p>
      <w:pPr>
        <w:pStyle w:val="null3"/>
        <w:spacing w:after="165"/>
        <w:jc w:val="both"/>
      </w:pPr>
      <w:r>
        <w:rPr>
          <w:sz w:val="24"/>
          <w:color w:val="000000"/>
        </w:rPr>
        <w:t>甲方：惠州市第一人民医院</w:t>
      </w:r>
    </w:p>
    <w:p>
      <w:pPr>
        <w:pStyle w:val="null3"/>
        <w:spacing w:after="165"/>
        <w:jc w:val="both"/>
      </w:pPr>
      <w:r>
        <w:rPr>
          <w:sz w:val="24"/>
          <w:color w:val="000000"/>
        </w:rPr>
        <w:t>乙方：</w:t>
      </w:r>
      <w:r>
        <w:rPr>
          <w:sz w:val="20"/>
          <w:u w:val="single"/>
        </w:rPr>
        <w:t xml:space="preserve">                 </w:t>
      </w:r>
    </w:p>
    <w:p>
      <w:pPr>
        <w:pStyle w:val="null3"/>
        <w:spacing w:after="165"/>
        <w:ind w:firstLine="600"/>
        <w:jc w:val="both"/>
      </w:pPr>
      <w:r>
        <w:rPr>
          <w:sz w:val="24"/>
          <w:color w:val="000000"/>
        </w:rPr>
        <w:t>根据《中华人民共和国民法典》《</w:t>
      </w:r>
      <w:r>
        <w:rPr>
          <w:sz w:val="24"/>
          <w:color w:val="000000"/>
        </w:rPr>
        <w:t>成交</w:t>
      </w:r>
      <w:r>
        <w:rPr>
          <w:sz w:val="24"/>
          <w:color w:val="000000"/>
        </w:rPr>
        <w:t>通知书（</w:t>
      </w:r>
      <w:r>
        <w:rPr>
          <w:sz w:val="24"/>
          <w:color w:val="000000"/>
        </w:rPr>
        <w:t>文件编号：</w:t>
      </w:r>
      <w:r>
        <w:rPr>
          <w:sz w:val="20"/>
          <w:u w:val="single"/>
        </w:rPr>
        <w:t xml:space="preserve">            </w:t>
      </w:r>
      <w:r>
        <w:rPr>
          <w:sz w:val="24"/>
          <w:color w:val="000000"/>
        </w:rPr>
        <w:t>）》，甲乙双方在平等、自愿、互利原则上，经协商一致，签订本合同。甲乙双方同意按以下条款和条件，由甲方向乙方购买</w:t>
      </w:r>
      <w:r>
        <w:rPr>
          <w:sz w:val="24"/>
          <w:b/>
          <w:color w:val="000000"/>
        </w:rPr>
        <w:t>临床电脑设备租赁服务</w:t>
      </w:r>
      <w:r>
        <w:rPr>
          <w:sz w:val="24"/>
          <w:color w:val="000000"/>
        </w:rPr>
        <w:t>服务。</w:t>
      </w:r>
    </w:p>
    <w:p>
      <w:pPr>
        <w:pStyle w:val="null3"/>
        <w:numPr>
          <w:ilvl w:val="0"/>
          <w:numId w:val="1"/>
        </w:numPr>
        <w:spacing w:after="120"/>
        <w:jc w:val="both"/>
      </w:pPr>
      <w:r>
        <w:rPr>
          <w:sz w:val="21"/>
          <w:b/>
        </w:rPr>
        <w:t xml:space="preserve"> </w:t>
      </w:r>
      <w:r>
        <w:rPr>
          <w:sz w:val="24"/>
          <w:b/>
          <w:color w:val="000000"/>
        </w:rPr>
        <w:t>合同标的及价款</w:t>
      </w:r>
    </w:p>
    <w:tbl>
      <w:tblPr>
        <w:tblW w:w="0" w:type="auto"/>
        <w:tblBorders>
          <w:top w:val="none" w:color="000000" w:sz="4"/>
          <w:left w:val="none" w:color="000000" w:sz="4"/>
          <w:bottom w:val="none" w:color="000000" w:sz="4"/>
          <w:right w:val="none" w:color="000000" w:sz="4"/>
          <w:insideH w:val="none"/>
          <w:insideV w:val="none"/>
        </w:tblBorders>
      </w:tblPr>
      <w:tblGrid>
        <w:gridCol w:w="514"/>
        <w:gridCol w:w="514"/>
        <w:gridCol w:w="3687"/>
        <w:gridCol w:w="686"/>
        <w:gridCol w:w="343"/>
        <w:gridCol w:w="514"/>
        <w:gridCol w:w="772"/>
        <w:gridCol w:w="1115"/>
      </w:tblGrid>
      <w:tr>
        <w:tc>
          <w:tcPr>
            <w:tcW w:type="dxa" w:w="514"/>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4"/>
                <w:color w:val="000000"/>
              </w:rPr>
              <w:t>序号</w:t>
            </w:r>
          </w:p>
        </w:tc>
        <w:tc>
          <w:tcPr>
            <w:tcW w:type="dxa" w:w="51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4"/>
                <w:color w:val="000000"/>
              </w:rPr>
              <w:t>设备名称</w:t>
            </w:r>
          </w:p>
        </w:tc>
        <w:tc>
          <w:tcPr>
            <w:tcW w:type="dxa" w:w="368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4"/>
                <w:color w:val="000000"/>
              </w:rPr>
              <w:t>配置参数</w:t>
            </w:r>
          </w:p>
        </w:tc>
        <w:tc>
          <w:tcPr>
            <w:tcW w:type="dxa" w:w="68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sz w:val="24"/>
                <w:color w:val="000000"/>
              </w:rPr>
              <w:t>租赁期（月）</w:t>
            </w:r>
          </w:p>
        </w:tc>
        <w:tc>
          <w:tcPr>
            <w:tcW w:type="dxa" w:w="34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spacing w:after="165"/>
              <w:jc w:val="both"/>
            </w:pPr>
            <w:r>
              <w:rPr>
                <w:sz w:val="24"/>
                <w:color w:val="000000"/>
              </w:rPr>
              <w:t>单位</w:t>
            </w:r>
          </w:p>
        </w:tc>
        <w:tc>
          <w:tcPr>
            <w:tcW w:type="dxa" w:w="51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4"/>
                <w:color w:val="000000"/>
              </w:rPr>
              <w:t>数量</w:t>
            </w:r>
          </w:p>
        </w:tc>
        <w:tc>
          <w:tcPr>
            <w:tcW w:type="dxa" w:w="7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sz w:val="24"/>
                <w:color w:val="000000"/>
              </w:rPr>
              <w:t>单价（元/月*台）</w:t>
            </w:r>
          </w:p>
        </w:tc>
        <w:tc>
          <w:tcPr>
            <w:tcW w:type="dxa" w:w="11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both"/>
            </w:pPr>
            <w:r>
              <w:rPr>
                <w:sz w:val="24"/>
                <w:color w:val="000000"/>
              </w:rPr>
              <w:t>最高小计（元）</w:t>
            </w:r>
          </w:p>
        </w:tc>
      </w:tr>
      <w:tr>
        <w:tc>
          <w:tcPr>
            <w:tcW w:type="dxa" w:w="51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4"/>
                <w:color w:val="000000"/>
              </w:rPr>
              <w:t>1</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center"/>
            </w:pPr>
            <w:r>
              <w:rPr>
                <w:sz w:val="24"/>
                <w:color w:val="000000"/>
              </w:rPr>
              <w:t>台式计算机</w:t>
            </w:r>
          </w:p>
        </w:tc>
        <w:tc>
          <w:tcPr>
            <w:tcW w:type="dxa" w:w="368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both"/>
            </w:pPr>
            <w:r>
              <w:rPr>
                <w:sz w:val="24"/>
                <w:color w:val="000000"/>
              </w:rPr>
              <w:t>1</w:t>
            </w:r>
            <w:r>
              <w:rPr>
                <w:sz w:val="24"/>
                <w:color w:val="000000"/>
              </w:rPr>
              <w:t>、▲CPU：核心数≥10；线程数≥16；主频≥2.5Ghz，最大睿频≥ 4.7Ghz;处理器基础功耗≥65W; 制作工艺≤10nm; （须加盖原厂的公章。）</w:t>
            </w:r>
          </w:p>
          <w:p>
            <w:pPr>
              <w:pStyle w:val="null3"/>
              <w:spacing w:after="165"/>
              <w:jc w:val="both"/>
            </w:pPr>
            <w:r>
              <w:rPr>
                <w:sz w:val="24"/>
                <w:color w:val="000000"/>
              </w:rPr>
              <w:t>2</w:t>
            </w:r>
            <w:r>
              <w:rPr>
                <w:sz w:val="24"/>
                <w:color w:val="000000"/>
              </w:rPr>
              <w:t>、内存： ≥16GB，频率≥3200MHz；</w:t>
            </w:r>
          </w:p>
          <w:p>
            <w:pPr>
              <w:pStyle w:val="null3"/>
              <w:spacing w:after="165"/>
              <w:jc w:val="both"/>
            </w:pPr>
            <w:r>
              <w:rPr>
                <w:sz w:val="24"/>
                <w:color w:val="000000"/>
              </w:rPr>
              <w:t>3</w:t>
            </w:r>
            <w:r>
              <w:rPr>
                <w:sz w:val="24"/>
                <w:color w:val="000000"/>
              </w:rPr>
              <w:t>、硬盘：≥512GB SSD, M.2接口 NVMe协议;</w:t>
            </w:r>
          </w:p>
          <w:p>
            <w:pPr>
              <w:pStyle w:val="null3"/>
              <w:spacing w:after="165"/>
              <w:jc w:val="both"/>
            </w:pPr>
            <w:r>
              <w:rPr>
                <w:sz w:val="24"/>
                <w:color w:val="000000"/>
              </w:rPr>
              <w:t>4</w:t>
            </w:r>
            <w:r>
              <w:rPr>
                <w:sz w:val="24"/>
                <w:color w:val="000000"/>
              </w:rPr>
              <w:t>、显卡：至少支持1个HDMI接口输出；</w:t>
            </w:r>
          </w:p>
          <w:p>
            <w:pPr>
              <w:pStyle w:val="null3"/>
              <w:spacing w:after="165"/>
              <w:jc w:val="both"/>
            </w:pPr>
            <w:r>
              <w:rPr>
                <w:sz w:val="24"/>
                <w:color w:val="000000"/>
              </w:rPr>
              <w:t>5</w:t>
            </w:r>
            <w:r>
              <w:rPr>
                <w:sz w:val="24"/>
                <w:color w:val="000000"/>
              </w:rPr>
              <w:t>、有线网卡：≥1个千兆自适应RJ45网口；</w:t>
            </w:r>
          </w:p>
          <w:p>
            <w:pPr>
              <w:pStyle w:val="null3"/>
              <w:spacing w:after="165"/>
              <w:jc w:val="both"/>
            </w:pPr>
            <w:r>
              <w:rPr>
                <w:sz w:val="24"/>
                <w:color w:val="000000"/>
              </w:rPr>
              <w:t>6</w:t>
            </w:r>
            <w:r>
              <w:rPr>
                <w:sz w:val="24"/>
                <w:color w:val="000000"/>
              </w:rPr>
              <w:t>、操作系统：支持安装银河麒麟桌面操作系统/统信操作系统，支持Windows10/11操作系统;</w:t>
            </w:r>
          </w:p>
          <w:p>
            <w:pPr>
              <w:pStyle w:val="null3"/>
              <w:spacing w:after="165"/>
              <w:jc w:val="both"/>
            </w:pPr>
            <w:r>
              <w:rPr>
                <w:sz w:val="24"/>
                <w:color w:val="000000"/>
              </w:rPr>
              <w:t>7</w:t>
            </w:r>
            <w:r>
              <w:rPr>
                <w:sz w:val="24"/>
                <w:color w:val="000000"/>
              </w:rPr>
              <w:t>、包含USB键盘鼠标套件。</w:t>
            </w:r>
          </w:p>
        </w:tc>
        <w:tc>
          <w:tcPr>
            <w:tcW w:type="dxa" w:w="68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after="165"/>
              <w:jc w:val="center"/>
            </w:pPr>
            <w:r>
              <w:rPr>
                <w:sz w:val="24"/>
                <w:color w:val="000000"/>
              </w:rPr>
              <w:t>36</w:t>
            </w:r>
          </w:p>
        </w:tc>
        <w:tc>
          <w:tcPr>
            <w:tcW w:type="dxa" w:w="3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after="165"/>
              <w:jc w:val="center"/>
            </w:pPr>
            <w:r>
              <w:rPr>
                <w:sz w:val="24"/>
                <w:color w:val="000000"/>
              </w:rPr>
              <w:t>台</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center"/>
            </w:pPr>
            <w:r>
              <w:rPr>
                <w:sz w:val="24"/>
                <w:color w:val="000000"/>
              </w:rPr>
              <w:t>400</w:t>
            </w:r>
          </w:p>
        </w:tc>
        <w:tc>
          <w:tcPr>
            <w:tcW w:type="dxa" w:w="7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after="165"/>
              <w:jc w:val="center"/>
            </w:pPr>
          </w:p>
        </w:tc>
        <w:tc>
          <w:tcPr>
            <w:tcW w:type="dxa" w:w="111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744"/>
            <w:gridSpan w:val="5"/>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sz w:val="24"/>
                <w:color w:val="000000"/>
              </w:rPr>
              <w:t>合计</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spacing w:after="165"/>
              <w:jc w:val="both"/>
            </w:pPr>
          </w:p>
        </w:tc>
        <w:tc>
          <w:tcPr>
            <w:tcW w:type="dxa" w:w="772"/>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115"/>
            <w:tcBorders>
              <w:top w:val="none" w:color="000000" w:sz="4"/>
              <w:left w:val="none" w:color="000000" w:sz="4"/>
              <w:bottom w:val="single" w:color="000000" w:sz="4"/>
              <w:right w:val="single" w:color="000000" w:sz="4"/>
            </w:tcBorders>
            <w:tcMar>
              <w:top w:type="dxa" w:w="0"/>
              <w:left w:type="dxa" w:w="0"/>
              <w:bottom w:type="dxa" w:w="0"/>
              <w:right w:type="dxa" w:w="0"/>
            </w:tcMar>
          </w:tcPr>
          <w:p/>
        </w:tc>
      </w:tr>
    </w:tbl>
    <w:p>
      <w:pPr>
        <w:pStyle w:val="null3"/>
        <w:jc w:val="both"/>
      </w:pPr>
      <w:r>
        <w:rPr>
          <w:sz w:val="24"/>
          <w:b/>
          <w:color w:val="000000"/>
        </w:rPr>
        <w:t>注：数量为预估数量，最终结算=实际数量*单价。</w:t>
      </w:r>
    </w:p>
    <w:p>
      <w:pPr>
        <w:pStyle w:val="null3"/>
        <w:spacing w:after="165"/>
        <w:ind w:firstLine="480"/>
        <w:jc w:val="both"/>
      </w:pPr>
      <w:r>
        <w:rPr>
          <w:sz w:val="24"/>
          <w:b/>
          <w:color w:val="000000"/>
        </w:rPr>
        <w:t>第二条  服务地点</w:t>
      </w:r>
    </w:p>
    <w:p>
      <w:pPr>
        <w:pStyle w:val="null3"/>
        <w:spacing w:after="165"/>
        <w:ind w:firstLine="480"/>
        <w:jc w:val="both"/>
      </w:pPr>
      <w:r>
        <w:rPr>
          <w:sz w:val="24"/>
          <w:color w:val="000000"/>
        </w:rPr>
        <w:t>甲方指定地点。</w:t>
      </w:r>
    </w:p>
    <w:p>
      <w:pPr>
        <w:pStyle w:val="null3"/>
        <w:spacing w:after="165"/>
        <w:ind w:firstLine="482"/>
        <w:jc w:val="both"/>
      </w:pPr>
      <w:r>
        <w:rPr>
          <w:sz w:val="24"/>
          <w:b/>
          <w:color w:val="000000"/>
        </w:rPr>
        <w:t>第三条 服务内容</w:t>
      </w:r>
    </w:p>
    <w:p>
      <w:pPr>
        <w:pStyle w:val="null3"/>
        <w:spacing w:after="165"/>
        <w:ind w:firstLine="480"/>
        <w:jc w:val="both"/>
      </w:pPr>
      <w:r>
        <w:rPr>
          <w:sz w:val="24"/>
          <w:color w:val="000000"/>
        </w:rPr>
        <w:t>1.</w:t>
      </w:r>
      <w:r>
        <w:rPr>
          <w:sz w:val="24"/>
          <w:color w:val="000000"/>
        </w:rPr>
        <w:t>乙方需保证租赁设备均为三包政策内设备，保证所提供货物符合或优于相关设备配置参数要求内容；项目内所提供台式计算机设备全新产品，生产期限应不超过出厂时间后18个月，中标人可提供不超过三个品牌整机型号（提供所列型号的官方宣传册或官网技术规格截图（加盖供应商公章））。</w:t>
      </w:r>
    </w:p>
    <w:p>
      <w:pPr>
        <w:pStyle w:val="null3"/>
        <w:spacing w:after="165"/>
        <w:ind w:firstLine="480"/>
        <w:jc w:val="both"/>
      </w:pPr>
      <w:r>
        <w:rPr>
          <w:sz w:val="24"/>
          <w:color w:val="000000"/>
        </w:rPr>
        <w:t>2.★</w:t>
      </w:r>
      <w:r>
        <w:rPr>
          <w:sz w:val="24"/>
          <w:color w:val="000000"/>
        </w:rPr>
        <w:t>为统筹规范医院设备管理，乙方须对租赁设备粘贴明显标识，有效区分医院自行购置设备及租赁设备。乙方提供符合医院要求的设备标签，提供数量与采购计划表总数量相符。注：投标时须提供相关承诺，格式自拟。</w:t>
      </w:r>
    </w:p>
    <w:p>
      <w:pPr>
        <w:pStyle w:val="null3"/>
        <w:spacing w:after="165"/>
        <w:ind w:firstLine="480"/>
        <w:jc w:val="both"/>
      </w:pPr>
      <w:r>
        <w:rPr>
          <w:sz w:val="24"/>
          <w:color w:val="000000"/>
        </w:rPr>
        <w:t>3.</w:t>
      </w:r>
      <w:r>
        <w:rPr>
          <w:sz w:val="24"/>
          <w:color w:val="000000"/>
        </w:rPr>
        <w:t>乙方需协助甲方完成硬件设备的操作系统安装、根据安装甲方要求的必备软件列表，安装测试、网络联调工作，并负责解决相关的技术问题；乙方将设备配送、安装至用户指定地点，并配合用户完成旧设备数据迁移至新设备、清除旧设备硬盘数据、旧设备存放至指定地点等。</w:t>
      </w:r>
    </w:p>
    <w:p>
      <w:pPr>
        <w:pStyle w:val="null3"/>
        <w:spacing w:after="165"/>
        <w:ind w:firstLine="480"/>
        <w:jc w:val="both"/>
      </w:pPr>
      <w:r>
        <w:rPr>
          <w:sz w:val="24"/>
          <w:color w:val="000000"/>
        </w:rPr>
        <w:t>4.</w:t>
      </w:r>
      <w:r>
        <w:rPr>
          <w:sz w:val="24"/>
          <w:color w:val="000000"/>
        </w:rPr>
        <w:t>租赁设备故障导致无法正常使用，乙方应当在10分钟内响应，30分钟内需处理完成，针对现场短时间（120分钟）无法维修处理的，需提供备用机保障用户正常使用，并将故障设备返厂维修并及时跟进维修进度和后期使用情况。若故障涉及硬件问题，项目内提供台式电脑主机，同一台设备出现相同故障且经乙方维修达2次后，乙方需在维修失败后2个工作日内，为甲方更换同型号、同配置或者更高配置的全新设备，更换过程产生的所有费用由乙方承担，确保不影响甲方正常使用。</w:t>
      </w:r>
    </w:p>
    <w:p>
      <w:pPr>
        <w:pStyle w:val="null3"/>
        <w:spacing w:after="165"/>
        <w:ind w:firstLine="480"/>
        <w:jc w:val="both"/>
      </w:pPr>
      <w:r>
        <w:rPr>
          <w:sz w:val="24"/>
          <w:color w:val="000000"/>
        </w:rPr>
        <w:t>5.</w:t>
      </w:r>
      <w:r>
        <w:rPr>
          <w:sz w:val="24"/>
          <w:color w:val="000000"/>
        </w:rPr>
        <w:t>乙方自收到用户通知之日起，应在5个自然日内完成租赁设备的到货，现场签收、系统调试及测试，确保设备正常运行后移交用户使用。</w:t>
      </w:r>
    </w:p>
    <w:p>
      <w:pPr>
        <w:pStyle w:val="null3"/>
        <w:spacing w:after="165"/>
        <w:ind w:firstLine="480"/>
        <w:jc w:val="both"/>
      </w:pPr>
      <w:r>
        <w:rPr>
          <w:sz w:val="24"/>
          <w:color w:val="000000"/>
        </w:rPr>
        <w:t>6.</w:t>
      </w:r>
      <w:r>
        <w:rPr>
          <w:sz w:val="24"/>
          <w:color w:val="000000"/>
        </w:rPr>
        <w:t>乙方提供电话、电子邮件、远程连接等多种形式服务。</w:t>
      </w:r>
    </w:p>
    <w:p>
      <w:pPr>
        <w:pStyle w:val="null3"/>
        <w:spacing w:after="165"/>
        <w:ind w:firstLine="480"/>
        <w:jc w:val="both"/>
      </w:pPr>
      <w:r>
        <w:rPr>
          <w:sz w:val="24"/>
          <w:color w:val="000000"/>
        </w:rPr>
        <w:t>7.</w:t>
      </w:r>
      <w:r>
        <w:rPr>
          <w:sz w:val="24"/>
          <w:color w:val="000000"/>
        </w:rPr>
        <w:t>每隔半年，双方在价格不高于合同金额的情况下，协商调整或升级各种设备的配置参数及要求，乙方需提供参数对比表，并经厂家盖章确认。</w:t>
      </w:r>
    </w:p>
    <w:p>
      <w:pPr>
        <w:pStyle w:val="null3"/>
        <w:spacing w:after="165"/>
        <w:ind w:firstLine="480"/>
        <w:jc w:val="both"/>
      </w:pPr>
      <w:r>
        <w:rPr>
          <w:sz w:val="24"/>
          <w:color w:val="000000"/>
        </w:rPr>
        <w:t>8.</w:t>
      </w:r>
      <w:r>
        <w:rPr>
          <w:sz w:val="24"/>
          <w:color w:val="000000"/>
        </w:rPr>
        <w:t>项目报价为清单内货物及配件安装到院价格，报价包含物品打包、配送服务、安装调试、物资税金等。</w:t>
      </w:r>
    </w:p>
    <w:p>
      <w:pPr>
        <w:pStyle w:val="null3"/>
        <w:spacing w:after="165"/>
        <w:ind w:firstLine="480"/>
        <w:jc w:val="both"/>
      </w:pPr>
      <w:r>
        <w:rPr>
          <w:sz w:val="24"/>
          <w:color w:val="000000"/>
        </w:rPr>
        <w:t>9.</w:t>
      </w:r>
      <w:r>
        <w:rPr>
          <w:sz w:val="24"/>
          <w:color w:val="000000"/>
        </w:rPr>
        <w:t>原有设备处置：医院产权的原有电脑(台式、一体机)由中标人按医院报废及新增计划提供租赁设备进行替换，替换下来的原有电脑，由医院按照内部处置流程自行处置，与乙方无关。</w:t>
      </w:r>
    </w:p>
    <w:p>
      <w:pPr>
        <w:pStyle w:val="null3"/>
        <w:spacing w:after="165"/>
        <w:ind w:firstLine="480"/>
        <w:jc w:val="both"/>
      </w:pPr>
      <w:r>
        <w:rPr>
          <w:sz w:val="24"/>
          <w:color w:val="000000"/>
        </w:rPr>
        <w:t>10.</w:t>
      </w:r>
      <w:r>
        <w:rPr>
          <w:sz w:val="24"/>
          <w:color w:val="000000"/>
        </w:rPr>
        <w:t>替换后的租赁设备产权归乙方所有。租赁期内，因质量问题导致设备故障检查维修及更换配件所产生的一切费用由中标人负责，因甲方人为损坏导致的故障除外，此类情况产生的维修费用由采购人承担。</w:t>
      </w:r>
    </w:p>
    <w:p>
      <w:pPr>
        <w:pStyle w:val="null3"/>
        <w:spacing w:after="165"/>
        <w:ind w:firstLine="480"/>
        <w:jc w:val="both"/>
      </w:pPr>
      <w:r>
        <w:rPr>
          <w:sz w:val="24"/>
          <w:color w:val="000000"/>
        </w:rPr>
        <w:t>11.</w:t>
      </w:r>
      <w:r>
        <w:rPr>
          <w:sz w:val="24"/>
          <w:color w:val="000000"/>
        </w:rPr>
        <w:t>★</w:t>
      </w:r>
      <w:r>
        <w:rPr>
          <w:sz w:val="24"/>
          <w:color w:val="000000"/>
        </w:rPr>
        <w:t>报废处置与数据归属：当租赁设备达到报废标准、无法继续使用时，甲方需及时书面通知乙方告知设备报废状态；设备报废后的处置工作由乙方负责。核心约定：设备所搭载的存储介质（如硬盘、固态硬盘等）及存储介质内的所有数据均归甲方所有，甲方无需将存储介质及相关数据归还乙方且甲方无需对存储介质支付额外费用；无论设备故障、维修、更换、报废等任何原因，均需先配合甲方完成存储介质的拆除工作，拆除后的存储介质由甲方自行处理（如销毁、留存等），乙方仅可处置除归属甲方的存储介质外的其他设备部件。注：提供相应承诺函，格式自拟。</w:t>
      </w:r>
    </w:p>
    <w:p>
      <w:pPr>
        <w:pStyle w:val="null3"/>
        <w:spacing w:after="165"/>
        <w:ind w:firstLine="480"/>
        <w:jc w:val="both"/>
      </w:pPr>
      <w:r>
        <w:rPr>
          <w:sz w:val="24"/>
          <w:color w:val="000000"/>
        </w:rPr>
        <w:t>12.▲</w:t>
      </w:r>
      <w:r>
        <w:rPr>
          <w:sz w:val="24"/>
          <w:color w:val="000000"/>
        </w:rPr>
        <w:t>租赁期间，乙方需对租赁设备进行盘点，具体要求如下（投标时须提供相关承诺，格式自拟）：</w:t>
      </w:r>
    </w:p>
    <w:p>
      <w:pPr>
        <w:pStyle w:val="null3"/>
        <w:spacing w:after="165"/>
        <w:ind w:firstLine="480"/>
        <w:jc w:val="both"/>
      </w:pPr>
      <w:r>
        <w:rPr>
          <w:sz w:val="24"/>
          <w:color w:val="000000"/>
        </w:rPr>
        <w:t>（1）盘点内容：明确每台设备的实际所在地、使用状态、完好情况，做好详细登记记录，形成盘点报告，经甲方确认后双方留存，作为服务到期后设备搬离的依据；</w:t>
      </w:r>
    </w:p>
    <w:p>
      <w:pPr>
        <w:pStyle w:val="null3"/>
        <w:spacing w:after="165"/>
        <w:ind w:firstLine="480"/>
        <w:jc w:val="both"/>
      </w:pPr>
      <w:r>
        <w:rPr>
          <w:sz w:val="24"/>
          <w:color w:val="000000"/>
        </w:rPr>
        <w:t>（2）责任划分：若乙方未按约定定期开展盘点工作，导致服务期届满搬离设备时发现设备丢失、损毁且无法核实原因的，该部分设备的损失由乙方自行承担，与甲方无关。</w:t>
      </w:r>
    </w:p>
    <w:p>
      <w:pPr>
        <w:pStyle w:val="null3"/>
        <w:spacing w:after="165"/>
        <w:ind w:firstLine="480"/>
        <w:jc w:val="both"/>
      </w:pPr>
      <w:r>
        <w:rPr>
          <w:sz w:val="24"/>
          <w:color w:val="000000"/>
        </w:rPr>
        <w:t>13.</w:t>
      </w:r>
      <w:r>
        <w:rPr>
          <w:sz w:val="24"/>
          <w:color w:val="000000"/>
        </w:rPr>
        <w:t>保密条款</w:t>
      </w:r>
    </w:p>
    <w:p>
      <w:pPr>
        <w:pStyle w:val="null3"/>
        <w:spacing w:after="165"/>
        <w:ind w:firstLine="480"/>
        <w:jc w:val="both"/>
      </w:pPr>
      <w:r>
        <w:rPr>
          <w:sz w:val="24"/>
          <w:color w:val="000000"/>
        </w:rPr>
        <w:t>（1）乙方应对与本次设备租赁服务相关的全部信息严格保密。甲方存放在中标人设备上的全部数据及信息，包括但不限于:</w:t>
      </w:r>
    </w:p>
    <w:p>
      <w:pPr>
        <w:pStyle w:val="null3"/>
        <w:spacing w:after="165"/>
        <w:ind w:firstLine="480"/>
        <w:jc w:val="both"/>
      </w:pPr>
      <w:r>
        <w:rPr>
          <w:sz w:val="24"/>
          <w:color w:val="000000"/>
        </w:rPr>
        <w:t>甲方的商业秘密、技术资料、源代码、数据库、系统配置参数、用户信息、运营数据、业务数据等；</w:t>
      </w:r>
    </w:p>
    <w:p>
      <w:pPr>
        <w:pStyle w:val="null3"/>
        <w:spacing w:after="165"/>
        <w:ind w:firstLine="480"/>
        <w:jc w:val="both"/>
      </w:pPr>
      <w:r>
        <w:rPr>
          <w:sz w:val="24"/>
          <w:color w:val="000000"/>
        </w:rPr>
        <w:t>甲方通过设备运行、存储、处理的任何电子数据，无论其以何种形式存在;</w:t>
      </w:r>
    </w:p>
    <w:p>
      <w:pPr>
        <w:pStyle w:val="null3"/>
        <w:spacing w:after="165"/>
        <w:ind w:firstLine="480"/>
        <w:jc w:val="both"/>
      </w:pPr>
      <w:r>
        <w:rPr>
          <w:sz w:val="24"/>
          <w:color w:val="000000"/>
        </w:rPr>
        <w:t>甲方的病人信息、员工信息、财务数据等非公开信息；</w:t>
      </w:r>
    </w:p>
    <w:p>
      <w:pPr>
        <w:pStyle w:val="null3"/>
        <w:spacing w:after="165"/>
        <w:ind w:firstLine="480"/>
        <w:jc w:val="both"/>
      </w:pPr>
      <w:r>
        <w:rPr>
          <w:sz w:val="24"/>
          <w:color w:val="000000"/>
        </w:rPr>
        <w:t>履行过程中知悉的对方的商业秘密、技术资料、经营策略等未公开信息。</w:t>
      </w:r>
    </w:p>
    <w:p>
      <w:pPr>
        <w:pStyle w:val="null3"/>
        <w:spacing w:after="165"/>
        <w:ind w:firstLine="480"/>
        <w:jc w:val="both"/>
      </w:pPr>
      <w:r>
        <w:rPr>
          <w:sz w:val="24"/>
          <w:color w:val="000000"/>
        </w:rPr>
        <w:t>（2）乙方的保密义务:</w:t>
      </w:r>
    </w:p>
    <w:p>
      <w:pPr>
        <w:pStyle w:val="null3"/>
        <w:spacing w:after="165"/>
        <w:ind w:firstLine="480"/>
        <w:jc w:val="both"/>
      </w:pPr>
      <w:r>
        <w:rPr>
          <w:sz w:val="24"/>
          <w:color w:val="000000"/>
        </w:rPr>
        <w:t>乙方应严格遵守保密规定，自觉维护甲方的利益，对甲方存放于乙方设备上的全部数据承担保密义务。</w:t>
      </w:r>
    </w:p>
    <w:p>
      <w:pPr>
        <w:pStyle w:val="null3"/>
        <w:spacing w:after="165"/>
        <w:ind w:firstLine="480"/>
        <w:jc w:val="both"/>
      </w:pPr>
      <w:r>
        <w:rPr>
          <w:sz w:val="24"/>
          <w:color w:val="000000"/>
        </w:rPr>
        <w:t>未经甲方事先书面同意，乙方不得以任何方式向任何第三方泄露上述保密信息，亦不得将保密信息用于约定之外的任何目的。</w:t>
      </w:r>
    </w:p>
    <w:p>
      <w:pPr>
        <w:pStyle w:val="null3"/>
        <w:spacing w:after="165"/>
        <w:ind w:firstLine="480"/>
        <w:jc w:val="both"/>
      </w:pPr>
      <w:r>
        <w:rPr>
          <w:sz w:val="24"/>
          <w:color w:val="000000"/>
        </w:rPr>
        <w:t>乙方不得利用所掌握的甲方保密信息牟取私利，不得复制、传播、转让、许可或提供他人使用甲方存放的保密信息。</w:t>
      </w:r>
    </w:p>
    <w:p>
      <w:pPr>
        <w:pStyle w:val="null3"/>
        <w:spacing w:after="165"/>
        <w:ind w:firstLine="480"/>
        <w:jc w:val="both"/>
      </w:pPr>
      <w:r>
        <w:rPr>
          <w:sz w:val="24"/>
          <w:color w:val="000000"/>
        </w:rPr>
        <w:t>乙方了解并承认，甲方会将具有商业价值的数据存放于乙方设备上，且因技术服务、系统维护、软件升级等原因，乙方工作人员有可能在某些情形下访问这些数据。乙方承诺仅在相关的必要范围内访问和使用保密信息，并对此类访问建立记录和审批制度。</w:t>
      </w:r>
    </w:p>
    <w:p>
      <w:pPr>
        <w:pStyle w:val="null3"/>
        <w:spacing w:after="165"/>
        <w:ind w:firstLine="480"/>
        <w:jc w:val="both"/>
      </w:pPr>
      <w:r>
        <w:rPr>
          <w:sz w:val="24"/>
          <w:color w:val="000000"/>
        </w:rPr>
        <w:t>乙方应将保密信息的访问权限严格限定在所必需的最小范围内，并对接触保密信息的员工进行保密教育和约束，确保其员工同样遵守本保密条款的约定。乙方员工违反本条款的，视为乙方违约。</w:t>
      </w:r>
    </w:p>
    <w:p>
      <w:pPr>
        <w:pStyle w:val="null3"/>
        <w:spacing w:after="165"/>
        <w:ind w:firstLine="480"/>
        <w:jc w:val="both"/>
      </w:pPr>
      <w:r>
        <w:rPr>
          <w:sz w:val="24"/>
          <w:color w:val="000000"/>
        </w:rPr>
        <w:t>乙方应采取不低于保护自身同类保密信息所采取的谨慎程度，且在任何情况下不低于合理行业标准的保护措施，防止保密信息被泄露、破坏或丢失。</w:t>
      </w:r>
    </w:p>
    <w:p>
      <w:pPr>
        <w:pStyle w:val="null3"/>
        <w:spacing w:after="165"/>
        <w:ind w:firstLine="480"/>
        <w:jc w:val="both"/>
      </w:pPr>
      <w:r>
        <w:rPr>
          <w:sz w:val="24"/>
          <w:color w:val="000000"/>
        </w:rPr>
        <w:t>（3）保密期限</w:t>
      </w:r>
    </w:p>
    <w:p>
      <w:pPr>
        <w:pStyle w:val="null3"/>
        <w:spacing w:after="165"/>
        <w:ind w:firstLine="480"/>
        <w:jc w:val="both"/>
      </w:pPr>
      <w:r>
        <w:rPr>
          <w:sz w:val="24"/>
          <w:color w:val="000000"/>
        </w:rPr>
        <w:t>本保密条款的保密义务自合同签订之日起生效，在合同履行期间及合同终止后永久有效，直至该保密信息依法进入公共领域或不再具有保密性为止。</w:t>
      </w:r>
    </w:p>
    <w:p>
      <w:pPr>
        <w:pStyle w:val="null3"/>
        <w:spacing w:after="165"/>
        <w:ind w:firstLine="480"/>
        <w:jc w:val="both"/>
      </w:pPr>
      <w:r>
        <w:rPr>
          <w:sz w:val="24"/>
          <w:color w:val="000000"/>
        </w:rPr>
        <w:t>合同到期或提前终止后，双方仍应继续履行保密义务，任何一方不得以合同已终止为由免除保密责任。</w:t>
      </w:r>
    </w:p>
    <w:p>
      <w:pPr>
        <w:pStyle w:val="null3"/>
        <w:spacing w:after="165"/>
        <w:ind w:firstLine="480"/>
        <w:jc w:val="both"/>
      </w:pPr>
      <w:r>
        <w:rPr>
          <w:sz w:val="24"/>
          <w:color w:val="000000"/>
        </w:rPr>
        <w:t>（4）乙方要严格按照保险法律法规的规定，加强保险信息管理，加强信息安全保护，控制相关信息的使用范围，防止信息外泄和滥用。对因管理医疗责任险或协助甲方开展工作获取的有关个人信息资料承担保密责任，乙方不得将信息用于其他用途。乙方泄露个人信息资料，或未经允许用于其他用途的，应承担相关的法律责任；给甲方或者被保险人造成损失的，除承担赔偿责任外，甲方有权单方解除合同，并要求乙方支付合同总金额20%的违约金。</w:t>
      </w:r>
    </w:p>
    <w:p>
      <w:pPr>
        <w:pStyle w:val="null3"/>
        <w:spacing w:after="165"/>
        <w:ind w:firstLine="480"/>
        <w:jc w:val="both"/>
      </w:pPr>
      <w:r>
        <w:rPr>
          <w:sz w:val="24"/>
          <w:color w:val="000000"/>
        </w:rPr>
        <w:t>14</w:t>
      </w:r>
      <w:r>
        <w:rPr>
          <w:sz w:val="24"/>
          <w:color w:val="000000"/>
        </w:rPr>
        <w:t>、★业务连续性保障及违约产品的临时留用约定：为保障甲方业务的连续性，在验收或使用过程中发现乙方交付的产品存在违反本合同“全新”或“出厂期限”约定之情形时，甲方有权选择暂不退回违约产品，并在原安装位置继续使用，直至甲方完成替代项目的采购合同签订且新供应商交付的合格产品到货并完成安装替换为止。甲方对上述违约产品的继续使用，仅为维持甲方业务运转的临时应急措施，不视为甲方对产品质量的认可、对瑕疵的接受或验收合格。 此临时留用行为不免除、不减轻、不中止乙方的任何违约责任，甲方仍有权按照本合同追究乙方的违约金及赔偿责任。在上述临时留用期间，甲方无需向乙方支付该部分违约产品的任何货款、租金、折旧费或使用费。留用期间产品的毁损、灭失风险，以及因产品自身质量或性能问题导致的采购人业务数据丢失、停工等直接和间接损失，仍由乙方承担。在新供应商交付的合格产品完成替换后【5】个工作日内，乙方应自行上门拆卸并收回原违约产品，相关拆卸、包装、运输费用及风险均由中标人承担。若乙方逾期未收回，视为乙方放弃该批违约产品的所有权，甲方有权作为废弃物自行处置，由此产生的清理费用由乙方承担。注：提供相应承诺函，格式自拟</w:t>
      </w:r>
    </w:p>
    <w:p>
      <w:pPr>
        <w:pStyle w:val="null3"/>
        <w:spacing w:after="165"/>
        <w:ind w:firstLine="480"/>
        <w:jc w:val="both"/>
      </w:pPr>
      <w:r>
        <w:rPr>
          <w:sz w:val="24"/>
          <w:color w:val="000000"/>
        </w:rPr>
        <w:t>15</w:t>
      </w:r>
      <w:r>
        <w:rPr>
          <w:sz w:val="24"/>
          <w:color w:val="000000"/>
        </w:rPr>
        <w:t>、★证明文件与验收核查约定：</w:t>
      </w:r>
    </w:p>
    <w:p>
      <w:pPr>
        <w:pStyle w:val="null3"/>
        <w:spacing w:after="165"/>
        <w:ind w:firstLine="480"/>
        <w:jc w:val="both"/>
      </w:pPr>
      <w:r>
        <w:rPr>
          <w:sz w:val="24"/>
          <w:color w:val="000000"/>
        </w:rPr>
        <w:t>乙方交货时须随货提供原厂出厂合格证、质保卡、装箱单等有效证明文件。产品外包装及机身铭牌上的生产日期或出厂日期标识必须清晰、完整、无涂改、无重新贴标痕迹。</w:t>
      </w:r>
    </w:p>
    <w:p>
      <w:pPr>
        <w:pStyle w:val="null3"/>
        <w:spacing w:after="165"/>
        <w:ind w:firstLine="480"/>
        <w:jc w:val="both"/>
      </w:pPr>
      <w:r>
        <w:rPr>
          <w:sz w:val="24"/>
          <w:color w:val="000000"/>
        </w:rPr>
        <w:t>甲方在验收环节及临时留用期间，有权通过查验产品外观、防伪标识、系统底层硬件信息（包括但不限于BIOS信息、硬盘通电时间及写入量等）或委托第三方专业检测机构，对产品的全新程度及实际出厂时间进行核查。</w:t>
      </w:r>
    </w:p>
    <w:p>
      <w:pPr>
        <w:pStyle w:val="null3"/>
        <w:spacing w:after="165"/>
        <w:ind w:firstLine="480"/>
        <w:jc w:val="both"/>
      </w:pPr>
      <w:r>
        <w:rPr>
          <w:sz w:val="24"/>
          <w:color w:val="000000"/>
        </w:rPr>
        <w:t>若经核查确认乙方交付的产品不符合“全新”标准或出厂时间超过18个月的，除甲方行使临时留用权外，乙方须按合同总金额的【20%】向采购人支付违约金。</w:t>
      </w:r>
    </w:p>
    <w:p>
      <w:pPr>
        <w:pStyle w:val="null3"/>
        <w:spacing w:after="165"/>
        <w:ind w:firstLine="480"/>
        <w:jc w:val="both"/>
      </w:pPr>
      <w:r>
        <w:rPr>
          <w:sz w:val="24"/>
          <w:color w:val="000000"/>
        </w:rPr>
        <w:t>若经查实乙方存在故意隐瞒产品非全新事实（如使用翻新件、水洗板充当全新件，或篡改出厂日期标签）等弄虚作假行为，构成商业欺诈的，甲方有权要求乙方按合同总金额的【20%】向甲方支付惩罚性违约金。注：提供相应承诺函，格式自拟。</w:t>
      </w:r>
    </w:p>
    <w:p>
      <w:pPr>
        <w:pStyle w:val="null3"/>
        <w:spacing w:after="165"/>
        <w:ind w:firstLine="482"/>
        <w:jc w:val="both"/>
      </w:pPr>
      <w:r>
        <w:rPr>
          <w:sz w:val="24"/>
          <w:b/>
          <w:color w:val="000000"/>
        </w:rPr>
        <w:t xml:space="preserve">第四条  </w:t>
      </w:r>
      <w:r>
        <w:rPr>
          <w:sz w:val="24"/>
          <w:b/>
        </w:rPr>
        <w:t>服务期</w:t>
      </w:r>
    </w:p>
    <w:p>
      <w:pPr>
        <w:pStyle w:val="null3"/>
        <w:spacing w:after="165"/>
        <w:ind w:firstLine="480"/>
        <w:jc w:val="both"/>
      </w:pPr>
      <w:r>
        <w:rPr>
          <w:sz w:val="24"/>
          <w:color w:val="000000"/>
        </w:rPr>
        <w:t>（1）标的提供的时间:本项目服务有效期为3年。乙方自收到甲方通知之日起，5个自然日内完成租赁设备的到货，现场签收、系统调试及测试，确保设备正常运行后移交甲方使用。</w:t>
      </w:r>
    </w:p>
    <w:p>
      <w:pPr>
        <w:pStyle w:val="null3"/>
        <w:spacing w:after="165"/>
        <w:ind w:firstLine="480"/>
        <w:jc w:val="both"/>
      </w:pPr>
      <w:r>
        <w:rPr>
          <w:sz w:val="24"/>
          <w:color w:val="000000"/>
        </w:rPr>
        <w:t>（2）服务开始时间：自乙方根据甲方发出的计划表，完成足额数量的设备到货签收之日起。</w:t>
      </w:r>
    </w:p>
    <w:p>
      <w:pPr>
        <w:pStyle w:val="null3"/>
        <w:spacing w:after="165"/>
        <w:ind w:firstLine="482"/>
        <w:jc w:val="both"/>
      </w:pPr>
      <w:r>
        <w:rPr>
          <w:sz w:val="24"/>
          <w:b/>
          <w:color w:val="000000"/>
        </w:rPr>
        <w:t>第五条  付款期限和方式</w:t>
      </w:r>
    </w:p>
    <w:p>
      <w:pPr>
        <w:pStyle w:val="null3"/>
        <w:numPr>
          <w:ilvl w:val="0"/>
          <w:numId w:val="1"/>
        </w:numPr>
        <w:spacing w:after="165"/>
      </w:pPr>
      <w:r>
        <w:rPr>
          <w:sz w:val="24"/>
          <w:color w:val="000000"/>
        </w:rPr>
        <w:t>首付款：</w:t>
      </w:r>
      <w:r>
        <w:rPr>
          <w:sz w:val="24"/>
          <w:color w:val="000000"/>
        </w:rPr>
        <w:t>乙方</w:t>
      </w:r>
      <w:r>
        <w:rPr>
          <w:sz w:val="24"/>
          <w:color w:val="000000"/>
        </w:rPr>
        <w:t>将设备送达甲方指定地点，双方确认货物签收表后，且甲方收到乙方提供的正式发票后</w:t>
      </w:r>
      <w:r>
        <w:rPr>
          <w:sz w:val="24"/>
          <w:color w:val="000000"/>
        </w:rPr>
        <w:t>60</w:t>
      </w:r>
      <w:r>
        <w:rPr>
          <w:sz w:val="24"/>
          <w:color w:val="000000"/>
        </w:rPr>
        <w:t>日内支付合同租赁费的</w:t>
      </w:r>
      <w:r>
        <w:rPr>
          <w:sz w:val="24"/>
          <w:color w:val="000000"/>
        </w:rPr>
        <w:t xml:space="preserve"> 50%</w:t>
      </w:r>
      <w:r>
        <w:rPr>
          <w:sz w:val="24"/>
          <w:color w:val="000000"/>
        </w:rPr>
        <w:t>。</w:t>
      </w:r>
    </w:p>
    <w:p>
      <w:pPr>
        <w:pStyle w:val="null3"/>
        <w:numPr>
          <w:ilvl w:val="0"/>
          <w:numId w:val="1"/>
        </w:numPr>
        <w:spacing w:after="165"/>
      </w:pPr>
      <w:r>
        <w:rPr>
          <w:sz w:val="24"/>
          <w:color w:val="000000"/>
        </w:rPr>
        <w:t>剩余款项支付</w:t>
      </w:r>
    </w:p>
    <w:p>
      <w:pPr>
        <w:pStyle w:val="null3"/>
        <w:spacing w:after="165"/>
        <w:ind w:left="420"/>
      </w:pPr>
      <w:r>
        <w:rPr>
          <w:sz w:val="24"/>
          <w:color w:val="000000"/>
        </w:rPr>
        <w:t>（</w:t>
      </w:r>
      <w:r>
        <w:rPr>
          <w:sz w:val="24"/>
          <w:color w:val="000000"/>
        </w:rPr>
        <w:t>1</w:t>
      </w:r>
      <w:r>
        <w:rPr>
          <w:sz w:val="24"/>
          <w:color w:val="000000"/>
        </w:rPr>
        <w:t>）剩余款项：合同租赁费扣除首付款后的余额，即租赁费的</w:t>
      </w:r>
      <w:r>
        <w:rPr>
          <w:sz w:val="24"/>
          <w:color w:val="000000"/>
        </w:rPr>
        <w:t>50%</w:t>
      </w:r>
      <w:r>
        <w:rPr>
          <w:sz w:val="24"/>
          <w:color w:val="000000"/>
        </w:rPr>
        <w:t>。</w:t>
      </w:r>
    </w:p>
    <w:p>
      <w:pPr>
        <w:pStyle w:val="null3"/>
        <w:spacing w:after="165"/>
        <w:ind w:left="420"/>
      </w:pPr>
      <w:r>
        <w:rPr>
          <w:sz w:val="24"/>
          <w:color w:val="000000"/>
        </w:rPr>
        <w:t>（</w:t>
      </w:r>
      <w:r>
        <w:rPr>
          <w:sz w:val="24"/>
          <w:color w:val="000000"/>
        </w:rPr>
        <w:t>2</w:t>
      </w:r>
      <w:r>
        <w:rPr>
          <w:sz w:val="24"/>
          <w:color w:val="000000"/>
        </w:rPr>
        <w:t>）分期计算依据：剩余款项按照</w:t>
      </w:r>
      <w:r>
        <w:rPr>
          <w:sz w:val="24"/>
          <w:color w:val="000000"/>
        </w:rPr>
        <w:t>3</w:t>
      </w:r>
      <w:r>
        <w:rPr>
          <w:sz w:val="24"/>
          <w:color w:val="000000"/>
        </w:rPr>
        <w:t>年（</w:t>
      </w:r>
      <w:r>
        <w:rPr>
          <w:sz w:val="24"/>
          <w:color w:val="000000"/>
        </w:rPr>
        <w:t>36</w:t>
      </w:r>
      <w:r>
        <w:rPr>
          <w:sz w:val="24"/>
          <w:color w:val="000000"/>
        </w:rPr>
        <w:t>个月）平均分摊为月度基础费用，每个月进行月度服务考核统计，每</w:t>
      </w:r>
      <w:r>
        <w:rPr>
          <w:sz w:val="24"/>
          <w:color w:val="000000"/>
        </w:rPr>
        <w:t>3</w:t>
      </w:r>
      <w:r>
        <w:rPr>
          <w:sz w:val="24"/>
          <w:color w:val="000000"/>
        </w:rPr>
        <w:t>个月为一个支付周期。评分细则详细见《月度服务考核表》</w:t>
      </w:r>
    </w:p>
    <w:p>
      <w:pPr>
        <w:pStyle w:val="null3"/>
        <w:spacing w:after="165"/>
        <w:ind w:left="420"/>
        <w:jc w:val="both"/>
      </w:pPr>
      <w:r>
        <w:rPr>
          <w:sz w:val="24"/>
          <w:color w:val="000000"/>
        </w:rPr>
        <w:t>（</w:t>
      </w:r>
      <w:r>
        <w:rPr>
          <w:sz w:val="24"/>
          <w:color w:val="000000"/>
        </w:rPr>
        <w:t>3</w:t>
      </w:r>
      <w:r>
        <w:rPr>
          <w:sz w:val="24"/>
          <w:color w:val="000000"/>
        </w:rPr>
        <w:t>）中标人需在每个付款周期开始前，向采购人提供上一期的服务质量评分报告，核算当期实际应付费用，且采购人在收到中标人提供的正式发票后</w:t>
      </w:r>
      <w:r>
        <w:rPr>
          <w:sz w:val="24"/>
          <w:color w:val="000000"/>
        </w:rPr>
        <w:t>60</w:t>
      </w:r>
      <w:r>
        <w:rPr>
          <w:sz w:val="24"/>
          <w:color w:val="000000"/>
        </w:rPr>
        <w:t>日内支付当期实际应付费用。</w:t>
      </w:r>
    </w:p>
    <w:p>
      <w:pPr>
        <w:pStyle w:val="null3"/>
        <w:numPr>
          <w:ilvl w:val="0"/>
          <w:numId w:val="1"/>
        </w:numPr>
        <w:spacing w:after="165"/>
        <w:jc w:val="both"/>
      </w:pPr>
      <w:r>
        <w:rPr>
          <w:sz w:val="24"/>
          <w:color w:val="000000"/>
        </w:rPr>
        <w:t>支付方式</w:t>
      </w:r>
      <w:r>
        <w:rPr>
          <w:sz w:val="24"/>
          <w:color w:val="000000"/>
        </w:rPr>
        <w:t>：</w:t>
      </w:r>
      <w:r>
        <w:rPr>
          <w:sz w:val="24"/>
          <w:color w:val="000000"/>
        </w:rPr>
        <w:t>采用银行转账支付</w:t>
      </w:r>
      <w:r>
        <w:rPr>
          <w:sz w:val="24"/>
          <w:color w:val="000000"/>
        </w:rPr>
        <w:t>，</w:t>
      </w:r>
      <w:r>
        <w:rPr>
          <w:sz w:val="24"/>
          <w:color w:val="000000"/>
        </w:rPr>
        <w:t>乙方账号</w:t>
      </w:r>
      <w:r>
        <w:rPr>
          <w:sz w:val="24"/>
          <w:color w:val="000000"/>
        </w:rPr>
        <w:t>信息</w:t>
      </w:r>
      <w:r>
        <w:rPr>
          <w:sz w:val="24"/>
          <w:color w:val="000000"/>
        </w:rPr>
        <w:t>：</w:t>
      </w:r>
    </w:p>
    <w:p>
      <w:pPr>
        <w:pStyle w:val="null3"/>
        <w:spacing w:after="165"/>
        <w:ind w:firstLine="482"/>
        <w:jc w:val="both"/>
      </w:pPr>
      <w:r>
        <w:rPr>
          <w:sz w:val="24"/>
          <w:color w:val="000000"/>
        </w:rPr>
        <w:t>账户名称：</w:t>
      </w:r>
      <w:r>
        <w:rPr>
          <w:sz w:val="20"/>
          <w:u w:val="single"/>
        </w:rPr>
        <w:t xml:space="preserve">                    </w:t>
      </w:r>
    </w:p>
    <w:p>
      <w:pPr>
        <w:pStyle w:val="null3"/>
        <w:spacing w:after="165"/>
        <w:ind w:firstLine="482"/>
        <w:jc w:val="both"/>
      </w:pPr>
      <w:r>
        <w:rPr>
          <w:sz w:val="24"/>
          <w:color w:val="000000"/>
        </w:rPr>
        <w:t>开户行：</w:t>
      </w:r>
      <w:r>
        <w:rPr>
          <w:sz w:val="20"/>
          <w:u w:val="single"/>
        </w:rPr>
        <w:t xml:space="preserve">                      </w:t>
      </w:r>
    </w:p>
    <w:p>
      <w:pPr>
        <w:pStyle w:val="null3"/>
        <w:spacing w:after="165"/>
        <w:ind w:firstLine="482"/>
        <w:jc w:val="both"/>
      </w:pPr>
      <w:r>
        <w:rPr>
          <w:sz w:val="24"/>
          <w:color w:val="000000"/>
        </w:rPr>
        <w:t>账号：</w:t>
      </w:r>
      <w:r>
        <w:rPr>
          <w:sz w:val="20"/>
          <w:u w:val="single"/>
        </w:rPr>
        <w:t xml:space="preserve">                        </w:t>
      </w:r>
    </w:p>
    <w:p>
      <w:pPr>
        <w:pStyle w:val="null3"/>
        <w:spacing w:after="165"/>
        <w:ind w:firstLine="480"/>
        <w:jc w:val="both"/>
      </w:pPr>
      <w:r>
        <w:rPr>
          <w:sz w:val="24"/>
          <w:b/>
        </w:rPr>
        <w:t>第六条  违约责任</w:t>
      </w:r>
    </w:p>
    <w:p>
      <w:pPr>
        <w:pStyle w:val="null3"/>
        <w:spacing w:after="165"/>
        <w:ind w:firstLine="504"/>
        <w:jc w:val="both"/>
      </w:pPr>
      <w:r>
        <w:rPr>
          <w:sz w:val="24"/>
        </w:rPr>
        <w:t>（1）乙方的违约责任：</w:t>
      </w:r>
    </w:p>
    <w:p>
      <w:pPr>
        <w:pStyle w:val="null3"/>
        <w:spacing w:after="165"/>
        <w:ind w:firstLine="504"/>
        <w:jc w:val="both"/>
      </w:pPr>
      <w:r>
        <w:rPr>
          <w:sz w:val="24"/>
        </w:rPr>
        <w:t>1.</w:t>
      </w:r>
      <w:r>
        <w:rPr>
          <w:sz w:val="24"/>
        </w:rPr>
        <w:t>乙方无正当理由拒绝提供服务的</w:t>
      </w:r>
      <w:r>
        <w:rPr>
          <w:sz w:val="24"/>
          <w:color w:val="000000"/>
        </w:rPr>
        <w:t>，或乙方提供的服务不符合本合同规定的，甲方有权拒收，并且乙方须向甲方支付本合同总价5%的违约金。</w:t>
      </w:r>
    </w:p>
    <w:p>
      <w:pPr>
        <w:pStyle w:val="null3"/>
        <w:spacing w:after="165"/>
        <w:ind w:firstLine="504"/>
        <w:jc w:val="both"/>
      </w:pPr>
      <w:r>
        <w:rPr>
          <w:sz w:val="24"/>
          <w:color w:val="000000"/>
        </w:rPr>
        <w:t>2.</w:t>
      </w:r>
      <w:r>
        <w:rPr>
          <w:sz w:val="24"/>
        </w:rPr>
        <w:t>乙方未能按本合同规定的服务时间提供服务的，从逾期之日起每日按本合同总价3‰的数额向甲方支付违约金；逾期半个月以上的，甲方有权终止合同，乙方应退还甲方已付款项，并且向甲方偿付合同总金额的</w:t>
      </w:r>
      <w:r>
        <w:rPr>
          <w:sz w:val="24"/>
          <w:u w:val="single"/>
        </w:rPr>
        <w:t>20%</w:t>
      </w:r>
      <w:r>
        <w:rPr>
          <w:sz w:val="24"/>
        </w:rPr>
        <w:t>的违约金</w:t>
      </w:r>
      <w:r>
        <w:rPr>
          <w:sz w:val="24"/>
          <w:color w:val="000000"/>
        </w:rPr>
        <w:t>。</w:t>
      </w:r>
    </w:p>
    <w:p>
      <w:pPr>
        <w:pStyle w:val="null3"/>
        <w:spacing w:after="165"/>
        <w:ind w:firstLine="504"/>
        <w:jc w:val="both"/>
      </w:pPr>
      <w:r>
        <w:rPr>
          <w:sz w:val="24"/>
          <w:color w:val="000000"/>
        </w:rPr>
        <w:t>3.</w:t>
      </w:r>
      <w:r>
        <w:rPr>
          <w:sz w:val="24"/>
          <w:color w:val="000000"/>
        </w:rPr>
        <w:t>乙方服务人员进行服务期间的过失或故意行为，造成甲方经济损失的，由乙方负责赔偿。</w:t>
      </w:r>
    </w:p>
    <w:p>
      <w:pPr>
        <w:pStyle w:val="null3"/>
        <w:spacing w:after="165"/>
        <w:ind w:firstLine="504"/>
        <w:jc w:val="both"/>
      </w:pPr>
      <w:r>
        <w:rPr>
          <w:sz w:val="24"/>
          <w:color w:val="000000"/>
        </w:rPr>
        <w:t>4.</w:t>
      </w:r>
      <w:r>
        <w:rPr>
          <w:sz w:val="24"/>
          <w:color w:val="000000"/>
        </w:rPr>
        <w:t>除甲方书面同意或法律、法规有明确规定可以分包的情形外，乙方不得以任何方式分包或转包本项目。否则，视为乙方违约，甲方有权取消其中选资格，并要求相应赔偿。</w:t>
      </w:r>
    </w:p>
    <w:p>
      <w:pPr>
        <w:pStyle w:val="null3"/>
        <w:spacing w:after="165"/>
        <w:ind w:firstLine="504"/>
        <w:jc w:val="both"/>
      </w:pPr>
      <w:r>
        <w:rPr>
          <w:sz w:val="24"/>
          <w:color w:val="000000"/>
        </w:rPr>
        <w:t>5.</w:t>
      </w:r>
      <w:r>
        <w:rPr>
          <w:sz w:val="24"/>
          <w:color w:val="000000"/>
        </w:rPr>
        <w:t>由于乙方的原因，导致双方签订的合同终止，乙方因此而遭受的损失，将由乙方独立承担，甲方对此不负任何责任，也不作任何赔偿。</w:t>
      </w:r>
    </w:p>
    <w:p>
      <w:pPr>
        <w:pStyle w:val="null3"/>
        <w:spacing w:after="165"/>
        <w:ind w:firstLine="480"/>
        <w:jc w:val="both"/>
      </w:pPr>
      <w:r>
        <w:rPr>
          <w:sz w:val="24"/>
        </w:rPr>
        <w:t>（2）甲方的违约责任：</w:t>
      </w:r>
    </w:p>
    <w:p>
      <w:pPr>
        <w:pStyle w:val="null3"/>
        <w:spacing w:after="165"/>
        <w:ind w:firstLine="480"/>
        <w:jc w:val="both"/>
      </w:pPr>
      <w:r>
        <w:rPr>
          <w:sz w:val="24"/>
        </w:rPr>
        <w:t>1.</w:t>
      </w:r>
      <w:r>
        <w:rPr>
          <w:sz w:val="24"/>
        </w:rPr>
        <w:t>甲方无正当理由拒绝接受服务的，应当承担由此对乙方造成的损失，并向乙方偿付拒绝接收部分服务款项的</w:t>
      </w:r>
      <w:r>
        <w:rPr>
          <w:sz w:val="24"/>
          <w:u w:val="single"/>
        </w:rPr>
        <w:t>20%</w:t>
      </w:r>
      <w:r>
        <w:rPr>
          <w:sz w:val="24"/>
        </w:rPr>
        <w:t>的违约金。</w:t>
      </w:r>
    </w:p>
    <w:p>
      <w:pPr>
        <w:pStyle w:val="null3"/>
        <w:spacing w:after="165"/>
        <w:ind w:firstLine="480"/>
        <w:jc w:val="both"/>
      </w:pPr>
      <w:r>
        <w:rPr>
          <w:sz w:val="24"/>
        </w:rPr>
        <w:t>2.</w:t>
      </w:r>
      <w:r>
        <w:rPr>
          <w:sz w:val="24"/>
        </w:rPr>
        <w:t>因甲方原因导致变更、中止或者终止政府采购合同的，甲方应当对供应商受到的损失予以赔偿或者补偿。</w:t>
      </w:r>
    </w:p>
    <w:p>
      <w:pPr>
        <w:pStyle w:val="null3"/>
        <w:spacing w:after="165"/>
        <w:ind w:firstLine="480"/>
        <w:jc w:val="both"/>
      </w:pPr>
      <w:r>
        <w:rPr>
          <w:sz w:val="24"/>
        </w:rPr>
        <w:t>（3）双方的违约责任：</w:t>
      </w:r>
    </w:p>
    <w:p>
      <w:pPr>
        <w:pStyle w:val="null3"/>
        <w:spacing w:after="165"/>
        <w:ind w:firstLine="480"/>
        <w:jc w:val="both"/>
      </w:pPr>
      <w:r>
        <w:rPr>
          <w:sz w:val="24"/>
        </w:rPr>
        <w:t>除明确约定的违约情形和违约责任外，任何一方违反本合同约定内容的，守约方可视情况追究违约责任，根据违反约定的程度确定违约方偿付相当于合同金额的3%至20%的违约金。</w:t>
      </w:r>
    </w:p>
    <w:p>
      <w:pPr>
        <w:pStyle w:val="null3"/>
        <w:spacing w:after="165"/>
        <w:ind w:firstLine="480"/>
        <w:jc w:val="both"/>
      </w:pPr>
      <w:r>
        <w:rPr>
          <w:sz w:val="24"/>
          <w:b/>
          <w:color w:val="000000"/>
        </w:rPr>
        <w:t xml:space="preserve">第七条  </w:t>
      </w:r>
      <w:r>
        <w:rPr>
          <w:sz w:val="24"/>
          <w:b/>
        </w:rPr>
        <w:t>保密条款</w:t>
      </w:r>
    </w:p>
    <w:p>
      <w:pPr>
        <w:pStyle w:val="null3"/>
        <w:spacing w:after="165"/>
        <w:ind w:firstLine="480"/>
        <w:jc w:val="both"/>
      </w:pPr>
      <w:r>
        <w:rPr>
          <w:sz w:val="24"/>
        </w:rPr>
        <w:t>未经另一方的书面许可，甲乙双方均不得将本合同中的内容及在本合同执行过程中获得的对方的信息向任何第三方直接或间接地泄露、透露和披露。合同约定的双方所承担的保密义务不因本合同的变更、终止而终止。</w:t>
      </w:r>
    </w:p>
    <w:p>
      <w:pPr>
        <w:pStyle w:val="null3"/>
        <w:spacing w:after="165"/>
        <w:ind w:firstLine="480"/>
        <w:jc w:val="both"/>
      </w:pPr>
      <w:r>
        <w:rPr>
          <w:sz w:val="24"/>
          <w:b/>
        </w:rPr>
        <w:t>第八条  不可抗力</w:t>
      </w:r>
    </w:p>
    <w:p>
      <w:pPr>
        <w:pStyle w:val="null3"/>
        <w:spacing w:after="165"/>
        <w:jc w:val="both"/>
      </w:pPr>
      <w:r>
        <w:rPr>
          <w:sz w:val="21"/>
        </w:rPr>
        <w:t xml:space="preserve">    </w:t>
      </w:r>
      <w:r>
        <w:rPr>
          <w:sz w:val="24"/>
          <w:color w:val="000000"/>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spacing w:after="165"/>
        <w:ind w:left="15" w:firstLine="465"/>
        <w:jc w:val="both"/>
      </w:pPr>
      <w:r>
        <w:rPr>
          <w:sz w:val="24"/>
          <w:b/>
          <w:color w:val="000000"/>
        </w:rPr>
        <w:t>第九条  争议的解决</w:t>
      </w:r>
    </w:p>
    <w:p>
      <w:pPr>
        <w:pStyle w:val="null3"/>
        <w:spacing w:after="165"/>
        <w:ind w:left="15" w:firstLine="463"/>
        <w:jc w:val="both"/>
      </w:pPr>
      <w:r>
        <w:rPr>
          <w:sz w:val="24"/>
          <w:color w:val="000000"/>
        </w:rPr>
        <w:t>执行本合同发生纠纷，当事人双方应当及时协商解决，协商不成时，任何一方均可向合同签订地人民法院提起诉讼。</w:t>
      </w:r>
    </w:p>
    <w:p>
      <w:pPr>
        <w:pStyle w:val="null3"/>
        <w:spacing w:after="165"/>
        <w:ind w:left="15" w:firstLine="465"/>
        <w:jc w:val="both"/>
      </w:pPr>
      <w:r>
        <w:rPr>
          <w:sz w:val="24"/>
          <w:b/>
          <w:color w:val="000000"/>
        </w:rPr>
        <w:t>第十条  其它事项</w:t>
      </w:r>
    </w:p>
    <w:p>
      <w:pPr>
        <w:pStyle w:val="null3"/>
        <w:spacing w:after="165"/>
        <w:ind w:left="15" w:firstLine="463"/>
        <w:jc w:val="both"/>
      </w:pPr>
      <w:r>
        <w:rPr>
          <w:sz w:val="24"/>
          <w:color w:val="000000"/>
        </w:rPr>
        <w:t>本合同所有附件、采购文件、响应文件及其附件（含评审期间的澄清文件和补充资料）、成交通知书均为合同的有效组成部分，与本合同具有同等法律效力。</w:t>
      </w:r>
    </w:p>
    <w:p>
      <w:pPr>
        <w:pStyle w:val="null3"/>
        <w:spacing w:after="165"/>
        <w:ind w:firstLine="482"/>
        <w:jc w:val="both"/>
      </w:pPr>
      <w:r>
        <w:rPr>
          <w:sz w:val="24"/>
          <w:b/>
        </w:rPr>
        <w:t xml:space="preserve">第十一条  </w:t>
      </w:r>
      <w:r>
        <w:rPr>
          <w:sz w:val="24"/>
          <w:b/>
        </w:rPr>
        <w:t>廉洁自律条款</w:t>
      </w:r>
    </w:p>
    <w:p>
      <w:pPr>
        <w:pStyle w:val="null3"/>
        <w:spacing w:after="165"/>
        <w:ind w:firstLine="480"/>
        <w:jc w:val="both"/>
      </w:pPr>
      <w:r>
        <w:rPr>
          <w:sz w:val="24"/>
        </w:rPr>
        <w:t>甲乙双方应自觉遵守廉洁自律制度，严禁商业贿赂行为。如有违反，按照国家法律法规及医院规章制度进行处理。</w:t>
      </w:r>
    </w:p>
    <w:p>
      <w:pPr>
        <w:pStyle w:val="null3"/>
        <w:spacing w:after="165"/>
        <w:ind w:left="15" w:firstLine="465"/>
        <w:jc w:val="both"/>
      </w:pPr>
      <w:r>
        <w:rPr>
          <w:sz w:val="24"/>
          <w:b/>
          <w:color w:val="000000"/>
        </w:rPr>
        <w:t>第十二条  特别约定</w:t>
      </w:r>
    </w:p>
    <w:p>
      <w:pPr>
        <w:pStyle w:val="null3"/>
        <w:spacing w:before="150" w:after="165"/>
        <w:ind w:firstLine="480"/>
        <w:jc w:val="both"/>
      </w:pPr>
      <w:r>
        <w:rPr>
          <w:sz w:val="21"/>
        </w:rPr>
        <w:t xml:space="preserve">  </w:t>
      </w:r>
      <w:r>
        <w:rPr>
          <w:sz w:val="24"/>
          <w:color w:val="000000"/>
        </w:rPr>
        <w:t>由于乙方产品自身的质量问题，造成甲方的损失</w:t>
      </w:r>
      <w:r>
        <w:rPr>
          <w:sz w:val="24"/>
          <w:color w:val="000000"/>
        </w:rPr>
        <w:t>，如</w:t>
      </w:r>
      <w:r>
        <w:rPr>
          <w:sz w:val="24"/>
          <w:color w:val="000000"/>
        </w:rPr>
        <w:t>患者、陪护人员及其他人员的人身或财产损害的，由乙方承担赔偿责任。若甲方因此承担了责任的，有权向乙方追偿</w:t>
      </w:r>
      <w:r>
        <w:rPr>
          <w:sz w:val="24"/>
        </w:rPr>
        <w:t>；同时，乙方还应当赔偿甲方受到的损失以及维护自身权益而产生的支出（如：律师费、诉讼费等）。</w:t>
      </w:r>
    </w:p>
    <w:p>
      <w:pPr>
        <w:pStyle w:val="null3"/>
        <w:spacing w:after="165"/>
        <w:ind w:left="420" w:firstLine="241"/>
        <w:jc w:val="both"/>
      </w:pPr>
      <w:r>
        <w:rPr>
          <w:sz w:val="24"/>
          <w:b/>
          <w:color w:val="000000"/>
        </w:rPr>
        <w:t>第十三条  其他</w:t>
      </w:r>
    </w:p>
    <w:p>
      <w:pPr>
        <w:pStyle w:val="null3"/>
        <w:spacing w:after="165"/>
        <w:ind w:firstLine="476"/>
        <w:jc w:val="both"/>
      </w:pPr>
      <w:r>
        <w:rPr>
          <w:sz w:val="24"/>
          <w:color w:val="000000"/>
        </w:rPr>
        <w:t>（一）本合同自甲乙双方签章之日起生效。</w:t>
      </w:r>
    </w:p>
    <w:p>
      <w:pPr>
        <w:pStyle w:val="null3"/>
        <w:spacing w:after="165"/>
        <w:ind w:firstLine="476"/>
        <w:jc w:val="both"/>
      </w:pPr>
      <w:r>
        <w:rPr>
          <w:sz w:val="24"/>
          <w:color w:val="000000"/>
        </w:rPr>
        <w:t>（二）未尽事宜，双方可签订补充协议，补充协议与本合同具有同等法律效力，补充协议未约定部分按照原合同履行。</w:t>
      </w:r>
    </w:p>
    <w:p>
      <w:pPr>
        <w:pStyle w:val="null3"/>
        <w:spacing w:after="165"/>
        <w:ind w:firstLine="476"/>
        <w:jc w:val="both"/>
      </w:pPr>
      <w:r>
        <w:rPr>
          <w:sz w:val="24"/>
          <w:color w:val="000000"/>
        </w:rPr>
        <w:t>（三）本合同一式</w:t>
      </w:r>
      <w:r>
        <w:rPr>
          <w:sz w:val="24"/>
          <w:color w:val="000000"/>
        </w:rPr>
        <w:t>4</w:t>
      </w:r>
      <w:r>
        <w:rPr>
          <w:sz w:val="24"/>
          <w:color w:val="000000"/>
        </w:rPr>
        <w:t>份，双方各执</w:t>
      </w:r>
      <w:r>
        <w:rPr>
          <w:sz w:val="24"/>
          <w:color w:val="000000"/>
        </w:rPr>
        <w:t>2</w:t>
      </w:r>
      <w:r>
        <w:rPr>
          <w:sz w:val="24"/>
          <w:color w:val="000000"/>
        </w:rPr>
        <w:t>份，具有同等法律效力，本合同所有</w:t>
      </w:r>
    </w:p>
    <w:p>
      <w:pPr>
        <w:pStyle w:val="null3"/>
        <w:spacing w:after="165"/>
        <w:jc w:val="both"/>
      </w:pPr>
      <w:r>
        <w:rPr>
          <w:sz w:val="24"/>
          <w:color w:val="000000"/>
        </w:rPr>
        <w:t>的相关附件为合同组成部分（详见附件清单）</w:t>
      </w:r>
      <w:r>
        <w:rPr>
          <w:sz w:val="24"/>
          <w:color w:val="000000"/>
        </w:rPr>
        <w:t>。</w:t>
      </w:r>
    </w:p>
    <w:p>
      <w:pPr>
        <w:pStyle w:val="null3"/>
        <w:spacing w:after="120"/>
        <w:jc w:val="both"/>
      </w:pPr>
      <w:r>
        <w:rPr>
          <w:sz w:val="24"/>
          <w:color w:val="000000"/>
        </w:rPr>
        <w:t>(</w:t>
      </w:r>
      <w:r>
        <w:rPr>
          <w:sz w:val="24"/>
          <w:color w:val="000000"/>
        </w:rPr>
        <w:t>此页为合同签署页，无正文内容</w:t>
      </w:r>
      <w:r>
        <w:rPr>
          <w:sz w:val="24"/>
          <w:color w:val="000000"/>
        </w:rPr>
        <w:t>)</w:t>
      </w:r>
    </w:p>
    <w:p>
      <w:pPr>
        <w:pStyle w:val="null3"/>
        <w:spacing w:after="165"/>
        <w:jc w:val="both"/>
      </w:pPr>
      <w:r>
        <w:rPr>
          <w:sz w:val="24"/>
          <w:color w:val="000000"/>
        </w:rPr>
        <w:t>甲方（签章）：惠州市第一人民医院</w:t>
      </w:r>
      <w:r>
        <w:rPr>
          <w:sz w:val="20"/>
        </w:rPr>
        <w:t xml:space="preserve">       </w:t>
      </w:r>
      <w:r>
        <w:rPr>
          <w:sz w:val="24"/>
          <w:color w:val="000000"/>
        </w:rPr>
        <w:t>乙方（签章）：</w:t>
      </w:r>
    </w:p>
    <w:p>
      <w:pPr>
        <w:pStyle w:val="null3"/>
        <w:spacing w:after="165"/>
        <w:jc w:val="both"/>
      </w:pPr>
      <w:r>
        <w:rPr>
          <w:sz w:val="24"/>
          <w:color w:val="000000"/>
        </w:rPr>
        <w:t>法定代表人</w:t>
      </w:r>
      <w:r>
        <w:rPr>
          <w:sz w:val="24"/>
          <w:color w:val="000000"/>
        </w:rPr>
        <w:t>/</w:t>
      </w:r>
      <w:r>
        <w:rPr>
          <w:sz w:val="24"/>
          <w:color w:val="000000"/>
        </w:rPr>
        <w:t>委托代理人：</w:t>
      </w:r>
      <w:r>
        <w:rPr>
          <w:sz w:val="20"/>
        </w:rPr>
        <w:t xml:space="preserve">               </w:t>
      </w:r>
      <w:r>
        <w:rPr>
          <w:sz w:val="24"/>
          <w:color w:val="000000"/>
        </w:rPr>
        <w:t>法定代表人：</w:t>
      </w:r>
      <w:r>
        <w:rPr>
          <w:sz w:val="20"/>
        </w:rPr>
        <w:t xml:space="preserve">    </w:t>
      </w:r>
    </w:p>
    <w:p>
      <w:pPr>
        <w:pStyle w:val="null3"/>
        <w:spacing w:after="165"/>
        <w:ind w:left="5040"/>
        <w:jc w:val="both"/>
      </w:pPr>
      <w:r>
        <w:rPr>
          <w:sz w:val="24"/>
          <w:color w:val="000000"/>
        </w:rPr>
        <w:t>地址：</w:t>
      </w:r>
      <w:r>
        <w:rPr>
          <w:sz w:val="24"/>
          <w:color w:val="000000"/>
          <w:u w:val="single"/>
        </w:rPr>
        <w:t xml:space="preserve"> 惠州市三新南路</w:t>
      </w:r>
      <w:r>
        <w:rPr>
          <w:sz w:val="24"/>
          <w:color w:val="000000"/>
          <w:u w:val="single"/>
        </w:rPr>
        <w:t>20</w:t>
      </w:r>
      <w:r>
        <w:rPr>
          <w:sz w:val="24"/>
          <w:color w:val="000000"/>
          <w:u w:val="single"/>
        </w:rPr>
        <w:t>号</w:t>
      </w:r>
      <w:r>
        <w:rPr>
          <w:sz w:val="20"/>
          <w:u w:val="single"/>
        </w:rPr>
        <w:t xml:space="preserve">  </w:t>
      </w:r>
      <w:r>
        <w:rPr>
          <w:sz w:val="20"/>
        </w:rPr>
        <w:t xml:space="preserve">         </w:t>
      </w:r>
      <w:r>
        <w:rPr>
          <w:sz w:val="24"/>
          <w:color w:val="000000"/>
        </w:rPr>
        <w:t>地址：</w:t>
      </w:r>
      <w:r>
        <w:rPr>
          <w:sz w:val="20"/>
          <w:u w:val="single"/>
        </w:rPr>
        <w:t xml:space="preserve">  </w:t>
      </w:r>
      <w:r>
        <w:rPr>
          <w:sz w:val="20"/>
          <w:u w:val="single"/>
        </w:rPr>
        <w:t xml:space="preserve">                  </w:t>
      </w:r>
      <w:r>
        <w:rPr>
          <w:sz w:val="20"/>
          <w:u w:val="single"/>
        </w:rPr>
        <w:t xml:space="preserve">  </w:t>
      </w:r>
    </w:p>
    <w:p>
      <w:pPr>
        <w:pStyle w:val="null3"/>
        <w:spacing w:after="165"/>
        <w:jc w:val="both"/>
      </w:pPr>
      <w:r>
        <w:rPr>
          <w:sz w:val="24"/>
          <w:color w:val="000000"/>
        </w:rPr>
        <w:t>电话：</w:t>
      </w:r>
      <w:r>
        <w:rPr>
          <w:sz w:val="24"/>
          <w:color w:val="000000"/>
          <w:u w:val="single"/>
        </w:rPr>
        <w:t>0752-2883900</w:t>
      </w:r>
      <w:r>
        <w:rPr>
          <w:sz w:val="20"/>
          <w:u w:val="single"/>
        </w:rPr>
        <w:t xml:space="preserve">         </w:t>
      </w:r>
      <w:r>
        <w:rPr>
          <w:sz w:val="20"/>
        </w:rPr>
        <w:t xml:space="preserve">         </w:t>
      </w:r>
      <w:r>
        <w:rPr>
          <w:sz w:val="24"/>
          <w:color w:val="000000"/>
        </w:rPr>
        <w:t>电话：</w:t>
      </w:r>
      <w:r>
        <w:rPr>
          <w:sz w:val="20"/>
          <w:u w:val="single"/>
        </w:rPr>
        <w:t xml:space="preserve"> </w:t>
      </w:r>
      <w:r>
        <w:rPr>
          <w:sz w:val="20"/>
          <w:u w:val="single"/>
        </w:rPr>
        <w:t xml:space="preserve">                   </w:t>
      </w:r>
      <w:r>
        <w:rPr>
          <w:sz w:val="20"/>
          <w:u w:val="single"/>
        </w:rPr>
        <w:t xml:space="preserve">  </w:t>
      </w:r>
    </w:p>
    <w:p>
      <w:pPr>
        <w:pStyle w:val="null3"/>
        <w:spacing w:after="165"/>
        <w:jc w:val="both"/>
      </w:pPr>
      <w:r>
        <w:rPr>
          <w:sz w:val="24"/>
          <w:color w:val="000000"/>
        </w:rPr>
        <w:t>传真：</w:t>
      </w:r>
      <w:r>
        <w:rPr>
          <w:sz w:val="24"/>
          <w:color w:val="000000"/>
          <w:u w:val="single"/>
        </w:rPr>
        <w:t xml:space="preserve"> 2883600 </w:t>
      </w:r>
      <w:r>
        <w:rPr>
          <w:sz w:val="20"/>
        </w:rPr>
        <w:t xml:space="preserve"> </w:t>
      </w:r>
      <w:r>
        <w:rPr>
          <w:sz w:val="24"/>
          <w:color w:val="000000"/>
        </w:rPr>
        <w:t>邮编：</w:t>
      </w:r>
      <w:r>
        <w:rPr>
          <w:sz w:val="24"/>
          <w:color w:val="000000"/>
          <w:u w:val="single"/>
        </w:rPr>
        <w:t>516003</w:t>
      </w:r>
      <w:r>
        <w:rPr>
          <w:sz w:val="20"/>
        </w:rPr>
        <w:t xml:space="preserve">         </w:t>
      </w:r>
      <w:r>
        <w:rPr>
          <w:sz w:val="24"/>
          <w:color w:val="000000"/>
        </w:rPr>
        <w:t>传真：</w:t>
      </w:r>
      <w:r>
        <w:rPr>
          <w:sz w:val="20"/>
          <w:u w:val="single"/>
        </w:rPr>
        <w:t xml:space="preserve">  </w:t>
      </w:r>
      <w:r>
        <w:rPr>
          <w:sz w:val="20"/>
          <w:u w:val="single"/>
        </w:rPr>
        <w:t xml:space="preserve"> </w:t>
      </w:r>
      <w:r>
        <w:rPr>
          <w:sz w:val="20"/>
          <w:u w:val="single"/>
        </w:rPr>
        <w:t xml:space="preserve">   </w:t>
      </w:r>
      <w:r>
        <w:rPr>
          <w:sz w:val="20"/>
        </w:rPr>
        <w:t xml:space="preserve"> </w:t>
      </w:r>
      <w:r>
        <w:rPr>
          <w:sz w:val="24"/>
          <w:color w:val="000000"/>
        </w:rPr>
        <w:t>邮编：</w:t>
      </w:r>
      <w:r>
        <w:rPr>
          <w:sz w:val="20"/>
          <w:u w:val="single"/>
        </w:rPr>
        <w:t xml:space="preserve"> </w:t>
      </w:r>
      <w:r>
        <w:rPr>
          <w:sz w:val="20"/>
          <w:u w:val="single"/>
        </w:rPr>
        <w:t xml:space="preserve">  </w:t>
      </w:r>
      <w:r>
        <w:rPr>
          <w:sz w:val="20"/>
          <w:u w:val="single"/>
        </w:rPr>
        <w:t xml:space="preserve">    </w:t>
      </w:r>
    </w:p>
    <w:p>
      <w:pPr>
        <w:pStyle w:val="null3"/>
        <w:spacing w:after="165"/>
        <w:jc w:val="both"/>
      </w:pPr>
      <w:r>
        <w:rPr>
          <w:sz w:val="24"/>
          <w:color w:val="000000"/>
        </w:rPr>
        <w:t>开户行：</w:t>
      </w:r>
      <w:r>
        <w:rPr>
          <w:sz w:val="24"/>
          <w:color w:val="000000"/>
          <w:u w:val="single"/>
        </w:rPr>
        <w:t>建行惠州江北支行</w:t>
      </w:r>
      <w:r>
        <w:rPr>
          <w:sz w:val="20"/>
          <w:u w:val="single"/>
        </w:rPr>
        <w:t xml:space="preserve">   </w:t>
      </w:r>
      <w:r>
        <w:rPr>
          <w:sz w:val="20"/>
        </w:rPr>
        <w:t xml:space="preserve">         </w:t>
      </w:r>
      <w:r>
        <w:rPr>
          <w:sz w:val="24"/>
          <w:color w:val="000000"/>
        </w:rPr>
        <w:t>开户行：</w:t>
      </w:r>
      <w:r>
        <w:rPr>
          <w:sz w:val="20"/>
          <w:u w:val="single"/>
        </w:rPr>
        <w:t xml:space="preserve"> </w:t>
      </w:r>
      <w:r>
        <w:rPr>
          <w:sz w:val="20"/>
          <w:u w:val="single"/>
        </w:rPr>
        <w:t xml:space="preserve">                 </w:t>
      </w:r>
      <w:r>
        <w:rPr>
          <w:sz w:val="20"/>
          <w:u w:val="single"/>
        </w:rPr>
        <w:t xml:space="preserve">  </w:t>
      </w:r>
    </w:p>
    <w:p>
      <w:pPr>
        <w:pStyle w:val="null3"/>
        <w:spacing w:after="165"/>
        <w:jc w:val="both"/>
      </w:pPr>
      <w:r>
        <w:rPr>
          <w:sz w:val="24"/>
          <w:color w:val="000000"/>
        </w:rPr>
        <w:t>账号</w:t>
      </w:r>
      <w:r>
        <w:rPr>
          <w:sz w:val="24"/>
          <w:color w:val="000000"/>
        </w:rPr>
        <w:t>：</w:t>
      </w:r>
      <w:r>
        <w:rPr>
          <w:sz w:val="24"/>
          <w:u w:val="single"/>
        </w:rPr>
        <w:t xml:space="preserve"> 44001718735059333333</w:t>
      </w:r>
      <w:r>
        <w:rPr>
          <w:sz w:val="20"/>
          <w:u w:val="single"/>
        </w:rPr>
        <w:t xml:space="preserve"> </w:t>
      </w:r>
      <w:r>
        <w:rPr>
          <w:sz w:val="20"/>
        </w:rPr>
        <w:t xml:space="preserve">         </w:t>
      </w:r>
      <w:r>
        <w:rPr>
          <w:sz w:val="24"/>
          <w:color w:val="000000"/>
        </w:rPr>
        <w:t>账号</w:t>
      </w:r>
      <w:r>
        <w:rPr>
          <w:sz w:val="24"/>
          <w:color w:val="000000"/>
        </w:rPr>
        <w:t>：</w:t>
      </w:r>
      <w:r>
        <w:rPr>
          <w:sz w:val="20"/>
          <w:u w:val="single"/>
        </w:rPr>
        <w:t xml:space="preserve">                     </w:t>
      </w:r>
      <w:r>
        <w:rPr>
          <w:sz w:val="20"/>
          <w:u w:val="single"/>
        </w:rPr>
        <w:t xml:space="preserve"> </w:t>
      </w:r>
    </w:p>
    <w:p>
      <w:pPr>
        <w:pStyle w:val="null3"/>
        <w:spacing w:after="165"/>
        <w:jc w:val="both"/>
      </w:pPr>
      <w:r>
        <w:rPr>
          <w:sz w:val="24"/>
          <w:color w:val="000000"/>
        </w:rPr>
        <w:t>税号：</w:t>
      </w:r>
      <w:r>
        <w:rPr>
          <w:sz w:val="20"/>
          <w:u w:val="single"/>
        </w:rPr>
        <w:t xml:space="preserve">  </w:t>
      </w:r>
      <w:r>
        <w:rPr>
          <w:sz w:val="24"/>
          <w:color w:val="000000"/>
          <w:u w:val="single"/>
        </w:rPr>
        <w:t>12441300690482894G</w:t>
      </w:r>
      <w:r>
        <w:rPr>
          <w:sz w:val="20"/>
          <w:u w:val="single"/>
        </w:rPr>
        <w:t xml:space="preserve">  </w:t>
      </w:r>
    </w:p>
    <w:p>
      <w:pPr>
        <w:pStyle w:val="null3"/>
        <w:spacing w:after="165"/>
        <w:jc w:val="both"/>
      </w:pPr>
      <w:r>
        <w:rPr>
          <w:sz w:val="24"/>
          <w:color w:val="000000"/>
        </w:rPr>
        <w:t>签约日期：</w:t>
      </w:r>
      <w:r>
        <w:rPr>
          <w:sz w:val="20"/>
        </w:rPr>
        <w:t xml:space="preserve">    </w:t>
      </w:r>
      <w:r>
        <w:rPr>
          <w:sz w:val="24"/>
          <w:color w:val="000000"/>
        </w:rPr>
        <w:t>年</w:t>
      </w:r>
      <w:r>
        <w:rPr>
          <w:sz w:val="20"/>
        </w:rPr>
        <w:t xml:space="preserve"> </w:t>
      </w:r>
      <w:r>
        <w:rPr>
          <w:sz w:val="24"/>
          <w:color w:val="000000"/>
        </w:rPr>
        <w:t xml:space="preserve"> 月</w:t>
      </w:r>
      <w:r>
        <w:rPr>
          <w:sz w:val="20"/>
        </w:rPr>
        <w:t xml:space="preserve">  </w:t>
      </w:r>
      <w:r>
        <w:rPr>
          <w:sz w:val="24"/>
          <w:color w:val="000000"/>
        </w:rPr>
        <w:t>日</w:t>
      </w:r>
      <w:r>
        <w:rPr>
          <w:sz w:val="20"/>
        </w:rPr>
        <w:t xml:space="preserve">          </w:t>
      </w:r>
    </w:p>
    <w:p>
      <w:pPr>
        <w:pStyle w:val="null3"/>
        <w:spacing w:after="165"/>
        <w:jc w:val="both"/>
      </w:pPr>
      <w:r>
        <w:rPr>
          <w:sz w:val="24"/>
          <w:color w:val="000000"/>
        </w:rPr>
        <w:t>签约地点：惠州市第一人民医院</w:t>
      </w:r>
    </w:p>
    <w:p>
      <w:pPr>
        <w:pStyle w:val="null3"/>
        <w:spacing w:before="0" w:after="0"/>
        <w:ind w:left="0" w:right="0"/>
        <w:jc w:val="both"/>
      </w:pPr>
      <w:r>
        <w:rPr>
          <w:sz w:val="24"/>
          <w:color w:val="000000"/>
        </w:rPr>
        <w:t>合同附件一：月度考评表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441301-2026-02461</w:t>
      </w:r>
    </w:p>
    <w:p>
      <w:pPr>
        <w:pStyle w:val="null3"/>
        <w:jc w:val="center"/>
        <w:outlineLvl w:val="3"/>
      </w:pPr>
      <w:r>
        <w:rPr>
          <w:sz w:val="24"/>
          <w:b/>
        </w:rPr>
        <w:t>采购项目编号：</w:t>
      </w:r>
      <w:r>
        <w:rPr>
          <w:sz w:val="24"/>
          <w:b/>
        </w:rPr>
        <w:t>04-06-04A-2026-D-F-E15721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临床电脑设备租赁服务</w:t>
      </w:r>
      <w:r>
        <w:rPr>
          <w:u w:val="single"/>
        </w:rPr>
        <w:t>”</w:t>
      </w:r>
      <w:r>
        <w:rPr/>
        <w:t>项目的招标[采购项目编号为：</w:t>
      </w:r>
      <w:r>
        <w:rPr>
          <w:u w:val="single"/>
        </w:rPr>
        <w:t>04-06-04A-2026-D-F-E15721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临床电脑设备租赁服务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临床电脑设备租赁服务</w:t>
      </w:r>
      <w:r>
        <w:rPr/>
        <w:t>”项目采购[采购项目编号为</w:t>
      </w:r>
      <w:r>
        <w:rPr/>
        <w:t>04-06-04A-2026-D-F-E15721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临床电脑设备租赁服务</w:t>
      </w:r>
      <w:r>
        <w:rPr/>
        <w:t>招标中获中标（采购项目编号：</w:t>
      </w:r>
      <w:r>
        <w:rPr/>
        <w:t>04-06-04A-2026-D-F-E15721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w:t>
      </w:r>
    </w:p>
    <w:p>
      <w:pPr>
        <w:pStyle w:val="null3"/>
        <w:ind w:firstLine="480"/>
      </w:pPr>
      <w:r>
        <w:rPr/>
        <w:t>我单位已登记并准备参与“</w:t>
      </w:r>
      <w:r>
        <w:rPr/>
        <w:t>临床电脑设备租赁服务</w:t>
      </w:r>
      <w:r>
        <w:rPr/>
        <w:t>”项目（采购项目编号：</w:t>
      </w:r>
      <w:r>
        <w:rPr/>
        <w:t>04-06-04A-2026-D-F-E15721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