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版本号：N511902202600002720260609001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云桌面系统建设服务项目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N5119022026000027</w:t>
      </w:r>
    </w:p>
    <w:p>
      <w:pPr>
        <w:pStyle w:val="null3"/>
        <w:jc w:val="left"/>
        <w:outlineLvl w:val="2"/>
      </w:pPr>
      <w:r>
        <w:rPr>
          <w:rFonts w:ascii="仿宋_GB2312" w:hAnsi="仿宋_GB2312" w:cs="仿宋_GB2312" w:eastAsia="仿宋_GB2312"/>
          <w:sz w:val="28"/>
          <w:b/>
        </w:rPr>
        <w:t>巴中市中医医院（巴中市巴州区人民医院）</w:t>
      </w:r>
    </w:p>
    <w:p>
      <w:pPr>
        <w:pStyle w:val="null3"/>
        <w:jc w:val="center"/>
        <w:outlineLvl w:val="2"/>
      </w:pPr>
      <w:r>
        <w:rPr>
          <w:rFonts w:ascii="仿宋_GB2312" w:hAnsi="仿宋_GB2312" w:cs="仿宋_GB2312" w:eastAsia="仿宋_GB2312"/>
          <w:sz w:val="28"/>
          <w:b/>
        </w:rPr>
        <w:t>四川天一融创工程项目管理有限公司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委托，拟对 </w:t>
      </w:r>
      <w:r>
        <w:rPr>
          <w:rFonts w:ascii="仿宋_GB2312" w:hAnsi="仿宋_GB2312" w:cs="仿宋_GB2312" w:eastAsia="仿宋_GB2312"/>
        </w:rPr>
        <w:t>云桌面系统建设服务项目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云桌面系统建设服务项目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巴中市中医医院（巴中市巴州区人民医院）云桌面系统建设服务项目主要是为医院的终端桌面管理引入先进的云服务技术，由供应商建设一套云桌面系统，并提供系统服务，达到对巴中市中医医院（巴中市巴州区人民医院）回风院区、郑家街院区统一集中管控目的；从而简化管理流程，提升管理效率，避免办公桌面环境因系统维护、故障恢复等原因长时间处于不可用的状态，从而最大程度的保证医院工作的正常开展，提高医院的医疗服务能力水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巴中市中医医院（巴中市巴州区人民医院）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巴州区巴州大道546号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0827-5257395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四川天一融创工程项目管理有限公司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四川省巴中市巴州区巴州大道容邦国际2号楼【12】层【3】号、【12】层【4】号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0827-5887080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参照国家原计委《招行代理服务收费管理暂行办法》(计价格【2002】1980号)所规定的收费标准，结合差额定率累进法及与采购人签订的《招际代理框架协议》进行核算，在按上述方式计算得出的基准服务费基础上，给予40%的优惠下浮(即按基准收费标准的60%计取)，代理费用为:4500元(大写:肆仟伍佰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和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 </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本项目技术服务要求的所有内容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本项目商务要求的所有内容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巴中市中医医院（巴中市巴州区人民医院）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四川天一融创工程项目管理有限公司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联系人：牟先生</w:t>
      </w:r>
    </w:p>
    <w:p>
      <w:pPr>
        <w:pStyle w:val="null3"/>
        <w:jc w:val="left"/>
      </w:pPr>
      <w:r>
        <w:rPr>
          <w:rFonts w:ascii="仿宋_GB2312" w:hAnsi="仿宋_GB2312" w:cs="仿宋_GB2312" w:eastAsia="仿宋_GB2312"/>
        </w:rPr>
        <w:t>联系电话：0827-5257395</w:t>
      </w:r>
    </w:p>
    <w:p>
      <w:pPr>
        <w:pStyle w:val="null3"/>
        <w:jc w:val="left"/>
      </w:pPr>
      <w:r>
        <w:rPr>
          <w:rFonts w:ascii="仿宋_GB2312" w:hAnsi="仿宋_GB2312" w:cs="仿宋_GB2312" w:eastAsia="仿宋_GB2312"/>
        </w:rPr>
        <w:t>地址：巴州区巴州大道546号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联系电话：0827-5887080</w:t>
      </w:r>
    </w:p>
    <w:p>
      <w:pPr>
        <w:pStyle w:val="null3"/>
        <w:jc w:val="left"/>
      </w:pPr>
      <w:r>
        <w:rPr>
          <w:rFonts w:ascii="仿宋_GB2312" w:hAnsi="仿宋_GB2312" w:cs="仿宋_GB2312" w:eastAsia="仿宋_GB2312"/>
        </w:rPr>
        <w:t>地址：四川省巴中市巴州区巴州大道容邦国际2号楼【12】层【3】号、【12】层【4】号</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493,600.00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C16080200 平台运营服务</w:t>
            </w:r>
          </w:p>
        </w:tc>
        <w:tc>
          <w:tcPr>
            <w:tcW w:type="dxa" w:w="821"/>
          </w:tcPr>
          <w:p>
            <w:pPr>
              <w:pStyle w:val="null3"/>
              <w:jc w:val="left"/>
            </w:pPr>
            <w:r>
              <w:rPr>
                <w:rFonts w:ascii="仿宋_GB2312" w:hAnsi="仿宋_GB2312" w:cs="仿宋_GB2312" w:eastAsia="仿宋_GB2312"/>
              </w:rPr>
              <w:t>云桌面系统建设服务项目</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493,600.00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云桌面系统建设服务项目</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493,600.00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标的名称：云桌面系统建设服务项目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云桌面系统建设要求</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云桌面系统建设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、版权：桌面云软件须具备自主知识产权，非</w:t>
            </w:r>
            <w:r>
              <w:rPr>
                <w:rFonts w:ascii="仿宋_GB2312" w:hAnsi="仿宋_GB2312" w:cs="仿宋_GB2312" w:eastAsia="仿宋_GB2312"/>
                <w:sz w:val="24"/>
              </w:rPr>
              <w:t>OEM产品</w:t>
            </w:r>
            <w:r>
              <w:rPr>
                <w:rFonts w:ascii="仿宋_GB2312" w:hAnsi="仿宋_GB2312" w:cs="仿宋_GB2312" w:eastAsia="仿宋_GB2312"/>
                <w:sz w:val="24"/>
              </w:rPr>
              <w:t>。</w:t>
            </w:r>
            <w:r>
              <w:rPr>
                <w:rFonts w:ascii="仿宋_GB2312" w:hAnsi="仿宋_GB2312" w:cs="仿宋_GB2312" w:eastAsia="仿宋_GB2312"/>
                <w:sz w:val="24"/>
              </w:rPr>
              <w:t>（提供软件著作权证书（自有或授权使用均可）复印件）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、授权：本项目合计须提供</w:t>
            </w:r>
            <w:r>
              <w:rPr>
                <w:rFonts w:ascii="仿宋_GB2312" w:hAnsi="仿宋_GB2312" w:cs="仿宋_GB2312" w:eastAsia="仿宋_GB2312"/>
                <w:sz w:val="24"/>
              </w:rPr>
              <w:t>≥500个云桌面接入授权。云桌面授权要求可以按需在瘦终端授权、胖终端、第三方PC纳管授权之间转换，并支持瘦终端授权、胖终端、第三方PC在同一平台下通过一个镜像模板进行管理（提供承诺函并加盖投标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、支持采用</w:t>
            </w:r>
            <w:r>
              <w:rPr>
                <w:rFonts w:ascii="仿宋_GB2312" w:hAnsi="仿宋_GB2312" w:cs="仿宋_GB2312" w:eastAsia="仿宋_GB2312"/>
                <w:sz w:val="24"/>
              </w:rPr>
              <w:t>VDI、VOI/TCI、IDV三种融合桌面架构覆盖，交付五类桌面包括VDI桌面、VOI/TCI桌面、IDV桌面、漫游桌面、办公桌面池（</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截图需详细标注每一项功能说明</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、满足图形化集中展示</w:t>
            </w:r>
            <w:r>
              <w:rPr>
                <w:rFonts w:ascii="仿宋_GB2312" w:hAnsi="仿宋_GB2312" w:cs="仿宋_GB2312" w:eastAsia="仿宋_GB2312"/>
                <w:sz w:val="24"/>
              </w:rPr>
              <w:t>VDI、VOI/TCI、IDV三种融合桌面建设情况的概览功能，包括科室建设的终端总数、在线终端数，终端分布、模板数量，方便使用者快速查看；</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、支持基于</w:t>
            </w:r>
            <w:r>
              <w:rPr>
                <w:rFonts w:ascii="仿宋_GB2312" w:hAnsi="仿宋_GB2312" w:cs="仿宋_GB2312" w:eastAsia="仿宋_GB2312"/>
                <w:sz w:val="24"/>
              </w:rPr>
              <w:t>WEB平台编辑虚拟机模板，安装硬件驱动和应用程序；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、支持设置</w:t>
            </w:r>
            <w:r>
              <w:rPr>
                <w:rFonts w:ascii="仿宋_GB2312" w:hAnsi="仿宋_GB2312" w:cs="仿宋_GB2312" w:eastAsia="仿宋_GB2312"/>
                <w:sz w:val="24"/>
              </w:rPr>
              <w:t>USB黑白名单策略，可实现精准识别高拍仪、摄像头、USB光驱、认证key等不同类型的外设（</w:t>
            </w:r>
            <w:r>
              <w:rPr>
                <w:rFonts w:ascii="仿宋_GB2312" w:hAnsi="仿宋_GB2312" w:cs="仿宋_GB2312" w:eastAsia="仿宋_GB2312"/>
                <w:sz w:val="24"/>
                <w:color w:val="000000"/>
              </w:rPr>
              <w:t>提供功能截图或承诺函并加盖投标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、支持管理员将编辑模板的链接分享给其他管理员，在浏览器中输入链接地址即可对模板进行编辑，支持分享日期、分享链接的失效期设置（</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、支持模板更新、执行时间可自由设定，支持</w:t>
            </w:r>
            <w:r>
              <w:rPr>
                <w:rFonts w:ascii="仿宋_GB2312" w:hAnsi="仿宋_GB2312" w:cs="仿宋_GB2312" w:eastAsia="仿宋_GB2312"/>
                <w:sz w:val="24"/>
              </w:rPr>
              <w:t>BT和广播两种方式镜像下发；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、满足个性化数据保留功能，医生工作站更新后个人数据包括桌面、浏览器书签、输入法词库、文件夹、注册表、配置文件（</w:t>
            </w:r>
            <w:r>
              <w:rPr>
                <w:rFonts w:ascii="仿宋_GB2312" w:hAnsi="仿宋_GB2312" w:cs="仿宋_GB2312" w:eastAsia="仿宋_GB2312"/>
                <w:sz w:val="24"/>
              </w:rPr>
              <w:t>HIS系统与打印机的接口配置文件）等均可保留不被还原（</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截图需详细标注每一项功能说明</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、支持镜像批量下发，且可在管理平台恢复镜像到下发前的健康状态（</w:t>
            </w:r>
            <w:r>
              <w:rPr>
                <w:rFonts w:ascii="仿宋_GB2312" w:hAnsi="仿宋_GB2312" w:cs="仿宋_GB2312" w:eastAsia="仿宋_GB2312"/>
                <w:sz w:val="24"/>
              </w:rPr>
              <w:t>提供功能截图</w:t>
            </w:r>
            <w:r>
              <w:rPr>
                <w:rFonts w:ascii="仿宋_GB2312" w:hAnsi="仿宋_GB2312" w:cs="仿宋_GB2312" w:eastAsia="仿宋_GB2312"/>
                <w:sz w:val="24"/>
              </w:rPr>
              <w:t>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截图需详细标注每一项功能说明</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、支持管理员将应用安装包、补丁包通过云桌面平台下发给用户，文件以拖拽的形式上传到平台，可执行文件可选择下发后执行操作；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、支持终端设置定时关机计划，可按周期在固定时间关闭对应的公共桌面终端，日期精确到天、时间精确到分钟（</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、支持通过软件平台发起远程协助，获得用户许可后方可远程控制对方桌面；</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、满足可按需制定不同分盘还原策略，支持按次、日、周、月等周期还原或不还原（</w:t>
            </w:r>
            <w:r>
              <w:rPr>
                <w:rFonts w:ascii="仿宋_GB2312" w:hAnsi="仿宋_GB2312" w:cs="仿宋_GB2312" w:eastAsia="仿宋_GB2312"/>
                <w:sz w:val="24"/>
              </w:rPr>
              <w:t>提供功能截图</w:t>
            </w:r>
            <w:r>
              <w:rPr>
                <w:rFonts w:ascii="仿宋_GB2312" w:hAnsi="仿宋_GB2312" w:cs="仿宋_GB2312" w:eastAsia="仿宋_GB2312"/>
                <w:sz w:val="24"/>
              </w:rPr>
              <w:t>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截图需详细标注每一项功能说明</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、支持终端系统通过还原点快速恢复，还原点创建频率可选择每天、每周、每月自动执行，自动还原点总数最大可创建</w:t>
            </w:r>
            <w:r>
              <w:rPr>
                <w:rFonts w:ascii="仿宋_GB2312" w:hAnsi="仿宋_GB2312" w:cs="仿宋_GB2312" w:eastAsia="仿宋_GB2312"/>
                <w:sz w:val="24"/>
              </w:rPr>
              <w:t>≥7个，还原点的管理可进行编辑、恢复、删除操作，查看还原点实际占用存储占用空间；</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、满足</w:t>
            </w:r>
            <w:r>
              <w:rPr>
                <w:rFonts w:ascii="仿宋_GB2312" w:hAnsi="仿宋_GB2312" w:cs="仿宋_GB2312" w:eastAsia="仿宋_GB2312"/>
                <w:sz w:val="24"/>
              </w:rPr>
              <w:t>web平台的一键重置功能，可单独重置系统盘，重置系统和数据盘；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、支持各类外设兼容接入，包含扫描枪、</w:t>
            </w:r>
            <w:r>
              <w:rPr>
                <w:rFonts w:ascii="仿宋_GB2312" w:hAnsi="仿宋_GB2312" w:cs="仿宋_GB2312" w:eastAsia="仿宋_GB2312"/>
                <w:sz w:val="24"/>
              </w:rPr>
              <w:t>POS机、二维码扫描器、就诊卡社保卡读卡器、UKEY、分诊台音频接口、出院满意度调研屏等（提供承诺函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、支持医院发票、小票、条码、</w:t>
            </w:r>
            <w:r>
              <w:rPr>
                <w:rFonts w:ascii="仿宋_GB2312" w:hAnsi="仿宋_GB2312" w:cs="仿宋_GB2312" w:eastAsia="仿宋_GB2312"/>
                <w:sz w:val="24"/>
              </w:rPr>
              <w:t>A4、腕带、瓶贴等场景下网络打印机、本地打印机、共享打印机的打印机驱动及配置的统一管理，桌面更新或系统重置恢复后打印机驱动、配置自动获取无需重复安装配置，同型号打印机故障替换不产生副本，并且即插即用无需再次绑定（</w:t>
            </w:r>
            <w:r>
              <w:rPr>
                <w:rFonts w:ascii="仿宋_GB2312" w:hAnsi="仿宋_GB2312" w:cs="仿宋_GB2312" w:eastAsia="仿宋_GB2312"/>
                <w:sz w:val="24"/>
              </w:rPr>
              <w:t>提供功能截图</w:t>
            </w:r>
            <w:r>
              <w:rPr>
                <w:rFonts w:ascii="仿宋_GB2312" w:hAnsi="仿宋_GB2312" w:cs="仿宋_GB2312" w:eastAsia="仿宋_GB2312"/>
                <w:sz w:val="24"/>
              </w:rPr>
              <w:t>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截图需详细标注每一项功能说明</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、支持平台资源运行详细情况展示，包括服务器和虚拟桌面的</w:t>
            </w:r>
            <w:r>
              <w:rPr>
                <w:rFonts w:ascii="仿宋_GB2312" w:hAnsi="仿宋_GB2312" w:cs="仿宋_GB2312" w:eastAsia="仿宋_GB2312"/>
                <w:sz w:val="24"/>
              </w:rPr>
              <w:t>CPU占用率、内存占用率、磁盘读写速度、网络流量、进程资源占用率等（</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、支持平台监测告警项至少包括</w:t>
            </w:r>
            <w:r>
              <w:rPr>
                <w:rFonts w:ascii="仿宋_GB2312" w:hAnsi="仿宋_GB2312" w:cs="仿宋_GB2312" w:eastAsia="仿宋_GB2312"/>
                <w:sz w:val="24"/>
              </w:rPr>
              <w:t>CPU利用率、内存利用率、磁盘使用空间、桌面运行时间、授权时间等5项内容，设置触发阈值和持续时间，报警信息第一时间推送至管理员（包括且不限于邮箱、聊天软件、短信等）；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、满足管理平台多模式登陆认证功能：包括且不限于支持密码认证、密码或动态密令认证以及组合认证方式等其他方式（</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、支持平台防暴力破解的功能：当输入账号密码错误输入错误时，提示剩余尝试次数，当错误达到设置临界值时，管理账号锁定</w:t>
            </w:r>
            <w:r>
              <w:rPr>
                <w:rFonts w:ascii="仿宋_GB2312" w:hAnsi="仿宋_GB2312" w:cs="仿宋_GB2312" w:eastAsia="仿宋_GB2312"/>
                <w:sz w:val="24"/>
              </w:rPr>
              <w:t>≥半小时或管理员手动解锁；</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、满足自主设置操作系统桌面是否可截图功能；</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、满足桌面录屏审计可追溯功能，设置录屏文件的留档时间自定义设置如三天、一周、一个月），并支持下载（</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、满足平台应集成办公网盘功能，无需第三方组件，创建桌面账户时可同步生成网盘账号，支持将本地指定路径与网盘设定同步模式，支持将文档共享给指定的群组，并设置只读、可读写权限；</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w:t>
            </w:r>
            <w:r>
              <w:rPr>
                <w:rFonts w:ascii="仿宋_GB2312" w:hAnsi="仿宋_GB2312" w:cs="仿宋_GB2312" w:eastAsia="仿宋_GB2312"/>
                <w:sz w:val="24"/>
              </w:rPr>
              <w:t>VOI/TCI架构历旧，采用单模板集中部署、更新，降低模板维护工作量；</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Linux或Windows文件系统进行多点备份和实时保护的相关技术方法（提供相关技术证明证书或承诺函并加盖投标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、支持终端传输安全策略设置的服务，包含接入</w:t>
            </w:r>
            <w:r>
              <w:rPr>
                <w:rFonts w:ascii="仿宋_GB2312" w:hAnsi="仿宋_GB2312" w:cs="仿宋_GB2312" w:eastAsia="仿宋_GB2312"/>
                <w:sz w:val="24"/>
              </w:rPr>
              <w:t>IP策略、接入时间策略、开启H.264策略、双网络策略、剪切板策略、文件传输策略等，所有策略需可以单独应用到指定终端或终端组（</w:t>
            </w:r>
            <w:r>
              <w:rPr>
                <w:rFonts w:ascii="仿宋_GB2312" w:hAnsi="仿宋_GB2312" w:cs="仿宋_GB2312" w:eastAsia="仿宋_GB2312"/>
                <w:sz w:val="24"/>
              </w:rPr>
              <w:t>提供功能截图</w:t>
            </w:r>
            <w:r>
              <w:rPr>
                <w:rFonts w:ascii="仿宋_GB2312" w:hAnsi="仿宋_GB2312" w:cs="仿宋_GB2312" w:eastAsia="仿宋_GB2312"/>
                <w:sz w:val="24"/>
              </w:rPr>
              <w:t>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29</w:t>
            </w:r>
            <w:r>
              <w:rPr>
                <w:rFonts w:ascii="仿宋_GB2312" w:hAnsi="仿宋_GB2312" w:cs="仿宋_GB2312" w:eastAsia="仿宋_GB2312"/>
                <w:sz w:val="24"/>
              </w:rPr>
              <w:t>、支持医院现有老旧终端的上云统一管控，云平台应兼容各类型老旧</w:t>
            </w:r>
            <w:r>
              <w:rPr>
                <w:rFonts w:ascii="仿宋_GB2312" w:hAnsi="仿宋_GB2312" w:cs="仿宋_GB2312" w:eastAsia="仿宋_GB2312"/>
                <w:sz w:val="24"/>
              </w:rPr>
              <w:t>PC及新终端的快速环境部署，需具备对单个或多个客户端快速部署软件的相关技术方法（</w:t>
            </w:r>
            <w:r>
              <w:rPr>
                <w:rFonts w:ascii="仿宋_GB2312" w:hAnsi="仿宋_GB2312" w:cs="仿宋_GB2312" w:eastAsia="仿宋_GB2312"/>
                <w:sz w:val="24"/>
              </w:rPr>
              <w:t>提供相关技术证明证书</w:t>
            </w:r>
            <w:r>
              <w:rPr>
                <w:rFonts w:ascii="仿宋_GB2312" w:hAnsi="仿宋_GB2312" w:cs="仿宋_GB2312" w:eastAsia="仿宋_GB2312"/>
                <w:sz w:val="24"/>
              </w:rPr>
              <w:t>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、支持资源回收服务，可将已删除的桌面从回收站中恢复回收，可灵活配置回收站的保留天数（</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、支持以</w:t>
            </w:r>
            <w:r>
              <w:rPr>
                <w:rFonts w:ascii="仿宋_GB2312" w:hAnsi="仿宋_GB2312" w:cs="仿宋_GB2312" w:eastAsia="仿宋_GB2312"/>
                <w:sz w:val="24"/>
              </w:rPr>
              <w:t>VOI/TCI架构将国产化终端（如兆芯、海光芯片）做统一管理，支持批量下发国产操作系统和应用进行更新（</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（二）存储虚拟化系统建设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、存储虚拟化产品须具备自主知识产权，非</w:t>
            </w:r>
            <w:r>
              <w:rPr>
                <w:rFonts w:ascii="仿宋_GB2312" w:hAnsi="仿宋_GB2312" w:cs="仿宋_GB2312" w:eastAsia="仿宋_GB2312"/>
                <w:sz w:val="24"/>
              </w:rPr>
              <w:t>OEM产品；</w:t>
            </w:r>
            <w:r>
              <w:rPr>
                <w:rFonts w:ascii="仿宋_GB2312" w:hAnsi="仿宋_GB2312" w:cs="仿宋_GB2312" w:eastAsia="仿宋_GB2312"/>
                <w:sz w:val="24"/>
              </w:rPr>
              <w:t>（提供软件著作权证书（自有或授权使用均可）复印件）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、授权：提供</w:t>
            </w:r>
            <w:r>
              <w:rPr>
                <w:rFonts w:ascii="仿宋_GB2312" w:hAnsi="仿宋_GB2312" w:cs="仿宋_GB2312" w:eastAsia="仿宋_GB2312"/>
                <w:sz w:val="24"/>
              </w:rPr>
              <w:t>≥2台物理服务器节点的存储虚拟化授权，无容量限制；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KVM虚拟化技术架构，宿主机无需安装操作系统，直接在宿主机中安装，支持和云桌面系统进行融合部署，可直接在云桌面管理平台中进行配置；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、支持将每个资源服务器节点上的本地磁盘整合为可横向水平扩展的超融合分布式存储池，可创建</w:t>
            </w:r>
            <w:r>
              <w:rPr>
                <w:rFonts w:ascii="仿宋_GB2312" w:hAnsi="仿宋_GB2312" w:cs="仿宋_GB2312" w:eastAsia="仿宋_GB2312"/>
                <w:sz w:val="24"/>
              </w:rPr>
              <w:t>2副本或3副本，保证虚拟机数据的安全性和可靠性；支持系统推荐、手动配置磁盘组两种方式，其中系统推荐配置方式只需要填入卷组的大小和节点，系统自动选择最优化配置GFS，避免brike的不均衡分布导致的性能问题，提升操作的便捷性；</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、支持通过</w:t>
            </w:r>
            <w:r>
              <w:rPr>
                <w:rFonts w:ascii="仿宋_GB2312" w:hAnsi="仿宋_GB2312" w:cs="仿宋_GB2312" w:eastAsia="仿宋_GB2312"/>
                <w:sz w:val="24"/>
              </w:rPr>
              <w:t>iSCSI协议为虚拟机提供本地存储I/O能力；提供可视化的分布式存储管理视图；</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、在线变更</w:t>
            </w:r>
            <w:r>
              <w:rPr>
                <w:rFonts w:ascii="仿宋_GB2312" w:hAnsi="仿宋_GB2312" w:cs="仿宋_GB2312" w:eastAsia="仿宋_GB2312"/>
                <w:sz w:val="24"/>
              </w:rPr>
              <w:t>/扩容：支持对分布式存储卷进行在线添加磁盘、删除磁盘、替换磁盘；支持对卷组执行在线扩容；</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、支持对分布式存储数据进行数据平衡策略设置，包含按每天、每周、每月、自定义周期并设置执行时间；支持对分布式存储裂脑文件进行自动修复策略配置，支持手动开启或关闭该功能；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、支持对分布式存储相关操作的日志收集和统一存储；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、提供异构资源池迁移功能，产品需支持对非统一品牌、非统一型号的异构服务器进行超融合资源池的构建，并支持虚拟机在不同型号的</w:t>
            </w:r>
            <w:r>
              <w:rPr>
                <w:rFonts w:ascii="仿宋_GB2312" w:hAnsi="仿宋_GB2312" w:cs="仿宋_GB2312" w:eastAsia="仿宋_GB2312"/>
                <w:sz w:val="24"/>
              </w:rPr>
              <w:t>CPU、不同品牌的服务器上在线迁移，以上均需兼容国产设备（</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、支持分布式存储卷详情展示，包含存储卷总存储空间容量、已分配存储空间大小、副本数、存储用途、磁盘组信息（包含：节点</w:t>
            </w:r>
            <w:r>
              <w:rPr>
                <w:rFonts w:ascii="仿宋_GB2312" w:hAnsi="仿宋_GB2312" w:cs="仿宋_GB2312" w:eastAsia="仿宋_GB2312"/>
                <w:sz w:val="24"/>
              </w:rPr>
              <w:t>IP、磁盘名、磁盘类型、容量、用途、状态、卷可利用空间）、数据平衡策略、裂脑文件列表信息；</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、支持分布式存储桌面</w:t>
            </w:r>
            <w:r>
              <w:rPr>
                <w:rFonts w:ascii="仿宋_GB2312" w:hAnsi="仿宋_GB2312" w:cs="仿宋_GB2312" w:eastAsia="仿宋_GB2312"/>
                <w:sz w:val="24"/>
              </w:rPr>
              <w:t>HA策略配置，通过设置仲裁IP，监控桌面收发心跳；</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、水平扩展：支持将云桌面资源池节点上的本地磁盘整合为可横向扩展的超融合分布式存储池，存储容量和性能随节点的增加而增长；</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、数据均衡：支持对分布式存储自动执行数据均衡策略，减少各个云桌面资源池节点间的硬盘利用率不均衡（</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、性能监控：支持对分布式存储的使用趋势进行监控，包含</w:t>
            </w:r>
            <w:r>
              <w:rPr>
                <w:rFonts w:ascii="仿宋_GB2312" w:hAnsi="仿宋_GB2312" w:cs="仿宋_GB2312" w:eastAsia="仿宋_GB2312"/>
                <w:sz w:val="24"/>
              </w:rPr>
              <w:t>IO次数趋势、IO吞吐趋势、IO时延趋势、存储使用趋势等（</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、硬盘热备：除副本冗余机制外，还应支持热备盘（</w:t>
            </w:r>
            <w:r>
              <w:rPr>
                <w:rFonts w:ascii="仿宋_GB2312" w:hAnsi="仿宋_GB2312" w:cs="仿宋_GB2312" w:eastAsia="仿宋_GB2312"/>
                <w:sz w:val="24"/>
              </w:rPr>
              <w:t>提供功能截图或承诺函并加盖投标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云桌面资源池</w:t>
            </w:r>
            <w:r>
              <w:rPr>
                <w:rFonts w:ascii="仿宋_GB2312" w:hAnsi="仿宋_GB2312" w:cs="仿宋_GB2312" w:eastAsia="仿宋_GB2312"/>
                <w:sz w:val="24"/>
                <w:b/>
              </w:rPr>
              <w:t>服务（配套设备：</w:t>
            </w:r>
            <w:r>
              <w:rPr>
                <w:rFonts w:ascii="仿宋_GB2312" w:hAnsi="仿宋_GB2312" w:cs="仿宋_GB2312" w:eastAsia="仿宋_GB2312"/>
                <w:sz w:val="24"/>
                <w:b/>
              </w:rPr>
              <w:t>云桌面资源池</w:t>
            </w:r>
            <w:r>
              <w:rPr>
                <w:rFonts w:ascii="仿宋_GB2312" w:hAnsi="仿宋_GB2312" w:cs="仿宋_GB2312" w:eastAsia="仿宋_GB2312"/>
                <w:sz w:val="24"/>
                <w:b/>
              </w:rPr>
              <w:t>设备</w:t>
            </w:r>
            <w:r>
              <w:rPr>
                <w:rFonts w:ascii="仿宋_GB2312" w:hAnsi="仿宋_GB2312" w:cs="仿宋_GB2312" w:eastAsia="仿宋_GB2312"/>
                <w:sz w:val="24"/>
                <w:b/>
              </w:rPr>
              <w:t>2台）</w:t>
            </w:r>
          </w:p>
          <w:p>
            <w:pPr>
              <w:pStyle w:val="null3"/>
              <w:ind w:firstLine="241"/>
              <w:jc w:val="left"/>
            </w:pPr>
            <w:r>
              <w:rPr>
                <w:rFonts w:ascii="仿宋_GB2312" w:hAnsi="仿宋_GB2312" w:cs="仿宋_GB2312" w:eastAsia="仿宋_GB2312"/>
                <w:sz w:val="24"/>
                <w:b/>
                <w:color w:val="000000"/>
              </w:rPr>
              <w:t>软件部分：</w:t>
            </w:r>
          </w:p>
          <w:p>
            <w:pPr>
              <w:pStyle w:val="null3"/>
              <w:jc w:val="both"/>
            </w:pPr>
            <w:r>
              <w:rPr>
                <w:rFonts w:ascii="仿宋_GB2312" w:hAnsi="仿宋_GB2312" w:cs="仿宋_GB2312" w:eastAsia="仿宋_GB2312"/>
                <w:sz w:val="24"/>
              </w:rPr>
              <w:t>1、支持</w:t>
            </w:r>
            <w:r>
              <w:rPr>
                <w:rFonts w:ascii="仿宋_GB2312" w:hAnsi="仿宋_GB2312" w:cs="仿宋_GB2312" w:eastAsia="仿宋_GB2312"/>
                <w:sz w:val="24"/>
              </w:rPr>
              <w:t>内置虚拟化管理系统，为办公云系统提供云计算存储资源硬件资源调配和虚拟存储空间划分；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w:t>
            </w:r>
            <w:r>
              <w:rPr>
                <w:rFonts w:ascii="仿宋_GB2312" w:hAnsi="仿宋_GB2312" w:cs="仿宋_GB2312" w:eastAsia="仿宋_GB2312"/>
                <w:sz w:val="24"/>
              </w:rPr>
              <w:t>资源的统一管理以及对云桌面终端硬件的远程控制，保障资源和计算能力的灵活调度；</w:t>
            </w:r>
          </w:p>
          <w:p>
            <w:pPr>
              <w:pStyle w:val="null3"/>
              <w:jc w:val="both"/>
            </w:pPr>
            <w:r>
              <w:rPr>
                <w:rFonts w:ascii="仿宋_GB2312" w:hAnsi="仿宋_GB2312" w:cs="仿宋_GB2312" w:eastAsia="仿宋_GB2312"/>
                <w:sz w:val="24"/>
              </w:rPr>
              <w:t>3、满足</w:t>
            </w:r>
            <w:r>
              <w:rPr>
                <w:rFonts w:ascii="仿宋_GB2312" w:hAnsi="仿宋_GB2312" w:cs="仿宋_GB2312" w:eastAsia="仿宋_GB2312"/>
                <w:sz w:val="24"/>
              </w:rPr>
              <w:t>内置资源监测功能，实时监测设备的资源占用情况，</w:t>
            </w:r>
            <w:r>
              <w:rPr>
                <w:rFonts w:ascii="仿宋_GB2312" w:hAnsi="仿宋_GB2312" w:cs="仿宋_GB2312" w:eastAsia="仿宋_GB2312"/>
                <w:sz w:val="24"/>
              </w:rPr>
              <w:t>支持</w:t>
            </w:r>
            <w:r>
              <w:rPr>
                <w:rFonts w:ascii="仿宋_GB2312" w:hAnsi="仿宋_GB2312" w:cs="仿宋_GB2312" w:eastAsia="仿宋_GB2312"/>
                <w:sz w:val="24"/>
              </w:rPr>
              <w:t>Web管理平台图像化显示；</w:t>
            </w:r>
          </w:p>
          <w:p>
            <w:pPr>
              <w:pStyle w:val="null3"/>
              <w:jc w:val="both"/>
            </w:pPr>
            <w:r>
              <w:rPr>
                <w:rFonts w:ascii="仿宋_GB2312" w:hAnsi="仿宋_GB2312" w:cs="仿宋_GB2312" w:eastAsia="仿宋_GB2312"/>
                <w:sz w:val="24"/>
              </w:rPr>
              <w:t>4、支持</w:t>
            </w:r>
            <w:r>
              <w:rPr>
                <w:rFonts w:ascii="仿宋_GB2312" w:hAnsi="仿宋_GB2312" w:cs="仿宋_GB2312" w:eastAsia="仿宋_GB2312"/>
                <w:sz w:val="24"/>
              </w:rPr>
              <w:t>内置虚拟路由协议，实现虚拟资源之间的网络地址智能分配；</w:t>
            </w:r>
          </w:p>
          <w:p>
            <w:pPr>
              <w:pStyle w:val="null3"/>
              <w:jc w:val="both"/>
            </w:pPr>
            <w:r>
              <w:rPr>
                <w:rFonts w:ascii="仿宋_GB2312" w:hAnsi="仿宋_GB2312" w:cs="仿宋_GB2312" w:eastAsia="仿宋_GB2312"/>
                <w:sz w:val="24"/>
              </w:rPr>
              <w:t>5、满足</w:t>
            </w:r>
            <w:r>
              <w:rPr>
                <w:rFonts w:ascii="仿宋_GB2312" w:hAnsi="仿宋_GB2312" w:cs="仿宋_GB2312" w:eastAsia="仿宋_GB2312"/>
                <w:sz w:val="24"/>
              </w:rPr>
              <w:t>内置资源开放化使用，可弹性回收，自动释放资源；</w:t>
            </w:r>
          </w:p>
          <w:p>
            <w:pPr>
              <w:pStyle w:val="null3"/>
              <w:ind w:firstLine="241"/>
              <w:jc w:val="left"/>
            </w:pPr>
            <w:r>
              <w:rPr>
                <w:rFonts w:ascii="仿宋_GB2312" w:hAnsi="仿宋_GB2312" w:cs="仿宋_GB2312" w:eastAsia="仿宋_GB2312"/>
                <w:sz w:val="24"/>
                <w:b/>
                <w:color w:val="000000"/>
              </w:rPr>
              <w:t>硬件部分：</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节点类型：</w:t>
            </w:r>
            <w:r>
              <w:rPr>
                <w:rFonts w:ascii="仿宋_GB2312" w:hAnsi="仿宋_GB2312" w:cs="仿宋_GB2312" w:eastAsia="仿宋_GB2312"/>
                <w:sz w:val="24"/>
              </w:rPr>
              <w:t>≥2U机架设备；</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处理器：配置</w:t>
            </w:r>
            <w:r>
              <w:rPr>
                <w:rFonts w:ascii="仿宋_GB2312" w:hAnsi="仿宋_GB2312" w:cs="仿宋_GB2312" w:eastAsia="仿宋_GB2312"/>
                <w:sz w:val="24"/>
              </w:rPr>
              <w:t>≥2核，</w:t>
            </w:r>
            <w:r>
              <w:rPr>
                <w:rFonts w:ascii="仿宋_GB2312" w:hAnsi="仿宋_GB2312" w:cs="仿宋_GB2312" w:eastAsia="仿宋_GB2312"/>
                <w:sz w:val="24"/>
              </w:rPr>
              <w:t>主频</w:t>
            </w:r>
            <w:r>
              <w:rPr>
                <w:rFonts w:ascii="仿宋_GB2312" w:hAnsi="仿宋_GB2312" w:cs="仿宋_GB2312" w:eastAsia="仿宋_GB2312"/>
                <w:sz w:val="24"/>
              </w:rPr>
              <w:t>≥2.9GHz；</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盘位配置：配置</w:t>
            </w:r>
            <w:r>
              <w:rPr>
                <w:rFonts w:ascii="仿宋_GB2312" w:hAnsi="仿宋_GB2312" w:cs="仿宋_GB2312" w:eastAsia="仿宋_GB2312"/>
                <w:sz w:val="24"/>
              </w:rPr>
              <w:t>≥12个前置3.5英寸热插拔硬盘位；</w:t>
            </w:r>
          </w:p>
          <w:p>
            <w:pPr>
              <w:pStyle w:val="null3"/>
              <w:jc w:val="both"/>
            </w:pPr>
            <w:r>
              <w:rPr>
                <w:rFonts w:ascii="仿宋_GB2312" w:hAnsi="仿宋_GB2312" w:cs="仿宋_GB2312" w:eastAsia="仿宋_GB2312"/>
                <w:sz w:val="24"/>
              </w:rPr>
              <w:t>9、内存：配置≥512GB DDR4 3200MHz ECC内存；</w:t>
            </w:r>
          </w:p>
          <w:p>
            <w:pPr>
              <w:pStyle w:val="null3"/>
              <w:jc w:val="both"/>
            </w:pPr>
            <w:r>
              <w:rPr>
                <w:rFonts w:ascii="仿宋_GB2312" w:hAnsi="仿宋_GB2312" w:cs="仿宋_GB2312" w:eastAsia="仿宋_GB2312"/>
                <w:sz w:val="24"/>
              </w:rPr>
              <w:t>10、硬盘：≥2块480GB 企业级SSD，为避免单点故障，须配置为RAID1；≥2块1.6TB企业级NVMe SSD，擦写寿命须满足5年全盘每天擦写3次(DWPD≥3)；配置≥4块8TB 企业级硬盘；</w:t>
            </w:r>
          </w:p>
          <w:p>
            <w:pPr>
              <w:pStyle w:val="null3"/>
              <w:jc w:val="both"/>
            </w:pPr>
            <w:r>
              <w:rPr>
                <w:rFonts w:ascii="仿宋_GB2312" w:hAnsi="仿宋_GB2312" w:cs="仿宋_GB2312" w:eastAsia="仿宋_GB2312"/>
                <w:sz w:val="24"/>
              </w:rPr>
              <w:t>11、存储控制器：配置≥1个独立控制器，须支持RAID0/1/JBOD；</w:t>
            </w:r>
          </w:p>
          <w:p>
            <w:pPr>
              <w:pStyle w:val="null3"/>
              <w:jc w:val="both"/>
            </w:pPr>
            <w:r>
              <w:rPr>
                <w:rFonts w:ascii="仿宋_GB2312" w:hAnsi="仿宋_GB2312" w:cs="仿宋_GB2312" w:eastAsia="仿宋_GB2312"/>
                <w:sz w:val="24"/>
              </w:rPr>
              <w:t>网卡：配置</w:t>
            </w:r>
            <w:r>
              <w:rPr>
                <w:rFonts w:ascii="仿宋_GB2312" w:hAnsi="仿宋_GB2312" w:cs="仿宋_GB2312" w:eastAsia="仿宋_GB2312"/>
                <w:sz w:val="24"/>
              </w:rPr>
              <w:t>≥2个1GbE RJ45以太网端口；配置≥2个10GbE SFP+以太网光口(含2个万兆多模光模块)；</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供电冗余：电源功率</w:t>
            </w:r>
            <w:r>
              <w:rPr>
                <w:rFonts w:ascii="仿宋_GB2312" w:hAnsi="仿宋_GB2312" w:cs="仿宋_GB2312" w:eastAsia="仿宋_GB2312"/>
                <w:sz w:val="24"/>
              </w:rPr>
              <w:t>≥750W，电源数量≥2块，须支持热插拔更换；</w:t>
            </w:r>
          </w:p>
          <w:p>
            <w:pPr>
              <w:pStyle w:val="null3"/>
              <w:jc w:val="both"/>
            </w:pPr>
            <w:r>
              <w:rPr>
                <w:rFonts w:ascii="仿宋_GB2312" w:hAnsi="仿宋_GB2312" w:cs="仿宋_GB2312" w:eastAsia="仿宋_GB2312"/>
                <w:sz w:val="24"/>
              </w:rPr>
              <w:t>13、带外管理网络：须提供IPMI2.0专用带外管理网口，支持远程管理；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14、支持WEB管理台上的控制台直接进入服务器底层操作系统，实现底层系统编辑和维护</w:t>
            </w:r>
            <w:r>
              <w:rPr>
                <w:rFonts w:ascii="仿宋_GB2312" w:hAnsi="仿宋_GB2312" w:cs="仿宋_GB2312" w:eastAsia="仿宋_GB2312"/>
                <w:sz w:val="24"/>
              </w:rPr>
              <w:t>；</w:t>
            </w:r>
          </w:p>
          <w:p>
            <w:pPr>
              <w:pStyle w:val="null3"/>
              <w:ind w:firstLine="241"/>
              <w:jc w:val="left"/>
            </w:pPr>
            <w:r>
              <w:rPr>
                <w:rFonts w:ascii="仿宋_GB2312" w:hAnsi="仿宋_GB2312" w:cs="仿宋_GB2312" w:eastAsia="仿宋_GB2312"/>
                <w:sz w:val="24"/>
                <w:b/>
                <w:color w:val="000000"/>
              </w:rPr>
              <w:t>安全技术要求：</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支持扩展断电保护模块，当异常断电时，至少保证能够正常运行</w:t>
            </w:r>
            <w:r>
              <w:rPr>
                <w:rFonts w:ascii="仿宋_GB2312" w:hAnsi="仿宋_GB2312" w:cs="仿宋_GB2312" w:eastAsia="仿宋_GB2312"/>
                <w:sz w:val="24"/>
              </w:rPr>
              <w:t>3分钟，然后自动开启正常关机操作，当恢复供电后，可实现自动开机，放电和充电有指示灯提醒</w:t>
            </w:r>
            <w:r>
              <w:rPr>
                <w:rFonts w:ascii="仿宋_GB2312" w:hAnsi="仿宋_GB2312" w:cs="仿宋_GB2312" w:eastAsia="仿宋_GB2312"/>
                <w:sz w:val="24"/>
              </w:rPr>
              <w:t>（提供第三方检测机构出具的检测报告复印件</w:t>
            </w:r>
            <w:r>
              <w:rPr>
                <w:rFonts w:ascii="仿宋_GB2312" w:hAnsi="仿宋_GB2312" w:cs="仿宋_GB2312" w:eastAsia="仿宋_GB2312"/>
                <w:sz w:val="24"/>
              </w:rPr>
              <w:t>或承诺函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16、满足电压暂降和短时中断和电压变化抗扰度要求（符合国家相关标准）：电压降低30%、电压降低100%，在实验时间条件下，设备不出现画面质量降低，存储数据丢失，按键失灵现象</w:t>
            </w:r>
            <w:r>
              <w:rPr>
                <w:rFonts w:ascii="仿宋_GB2312" w:hAnsi="仿宋_GB2312" w:cs="仿宋_GB2312" w:eastAsia="仿宋_GB2312"/>
                <w:sz w:val="24"/>
              </w:rPr>
              <w:t>（提供第三方检测机构出具的检测报告复印件</w:t>
            </w:r>
            <w:r>
              <w:rPr>
                <w:rFonts w:ascii="仿宋_GB2312" w:hAnsi="仿宋_GB2312" w:cs="仿宋_GB2312" w:eastAsia="仿宋_GB2312"/>
                <w:sz w:val="24"/>
              </w:rPr>
              <w:t>或承诺函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承诺函的内</w:t>
            </w:r>
            <w:r>
              <w:rPr>
                <w:rFonts w:ascii="仿宋_GB2312" w:hAnsi="仿宋_GB2312" w:cs="仿宋_GB2312" w:eastAsia="仿宋_GB2312"/>
                <w:sz w:val="24"/>
              </w:rPr>
              <w:t>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满足</w:t>
            </w:r>
            <w:r>
              <w:rPr>
                <w:rFonts w:ascii="仿宋_GB2312" w:hAnsi="仿宋_GB2312" w:cs="仿宋_GB2312" w:eastAsia="仿宋_GB2312"/>
                <w:sz w:val="24"/>
              </w:rPr>
              <w:t>辐射骚扰抗扰度要求，在</w:t>
            </w:r>
            <w:r>
              <w:rPr>
                <w:rFonts w:ascii="仿宋_GB2312" w:hAnsi="仿宋_GB2312" w:cs="仿宋_GB2312" w:eastAsia="仿宋_GB2312"/>
                <w:sz w:val="24"/>
              </w:rPr>
              <w:t>80MHz-1000MHz和1000MHz-2700MHz范围内符合</w:t>
            </w:r>
            <w:r>
              <w:rPr>
                <w:rFonts w:ascii="仿宋_GB2312" w:hAnsi="仿宋_GB2312" w:cs="仿宋_GB2312" w:eastAsia="仿宋_GB2312"/>
                <w:sz w:val="24"/>
              </w:rPr>
              <w:t>国家</w:t>
            </w:r>
            <w:r>
              <w:rPr>
                <w:rFonts w:ascii="仿宋_GB2312" w:hAnsi="仿宋_GB2312" w:cs="仿宋_GB2312" w:eastAsia="仿宋_GB2312"/>
                <w:sz w:val="24"/>
              </w:rPr>
              <w:t>相关标准</w:t>
            </w:r>
            <w:r>
              <w:rPr>
                <w:rFonts w:ascii="仿宋_GB2312" w:hAnsi="仿宋_GB2312" w:cs="仿宋_GB2312" w:eastAsia="仿宋_GB2312"/>
                <w:sz w:val="24"/>
              </w:rPr>
              <w:t>（提供第三方检测机构出具的检测报告复印件</w:t>
            </w:r>
            <w:r>
              <w:rPr>
                <w:rFonts w:ascii="仿宋_GB2312" w:hAnsi="仿宋_GB2312" w:cs="仿宋_GB2312" w:eastAsia="仿宋_GB2312"/>
                <w:sz w:val="24"/>
              </w:rPr>
              <w:t>或承诺函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承诺函的内容须体现本条参数的全部内容</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（四）云桌面瘦终端</w:t>
            </w:r>
            <w:r>
              <w:rPr>
                <w:rFonts w:ascii="仿宋_GB2312" w:hAnsi="仿宋_GB2312" w:cs="仿宋_GB2312" w:eastAsia="仿宋_GB2312"/>
                <w:sz w:val="24"/>
                <w:b/>
                <w:shd w:fill="FFFFFF" w:val="clear"/>
              </w:rPr>
              <w:t>运算服务</w:t>
            </w:r>
            <w:r>
              <w:rPr>
                <w:rFonts w:ascii="仿宋_GB2312" w:hAnsi="仿宋_GB2312" w:cs="仿宋_GB2312" w:eastAsia="仿宋_GB2312"/>
                <w:sz w:val="24"/>
                <w:b/>
              </w:rPr>
              <w:t>（配套设备：云桌面瘦终端</w:t>
            </w:r>
            <w:r>
              <w:rPr>
                <w:rFonts w:ascii="仿宋_GB2312" w:hAnsi="仿宋_GB2312" w:cs="仿宋_GB2312" w:eastAsia="仿宋_GB2312"/>
                <w:sz w:val="24"/>
                <w:b/>
              </w:rPr>
              <w:t>50套）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终端类型：</w:t>
            </w:r>
            <w:r>
              <w:rPr>
                <w:rFonts w:ascii="仿宋_GB2312" w:hAnsi="仿宋_GB2312" w:cs="仿宋_GB2312" w:eastAsia="仿宋_GB2312"/>
                <w:sz w:val="24"/>
              </w:rPr>
              <w:t>ARM架构超低功耗被动散热嵌入式云终端；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处理器：配置</w:t>
            </w:r>
            <w:r>
              <w:rPr>
                <w:rFonts w:ascii="仿宋_GB2312" w:hAnsi="仿宋_GB2312" w:cs="仿宋_GB2312" w:eastAsia="仿宋_GB2312"/>
                <w:sz w:val="24"/>
              </w:rPr>
              <w:t>≥4</w:t>
            </w:r>
            <w:r>
              <w:rPr>
                <w:rFonts w:ascii="仿宋_GB2312" w:hAnsi="仿宋_GB2312" w:cs="仿宋_GB2312" w:eastAsia="仿宋_GB2312"/>
                <w:sz w:val="24"/>
              </w:rPr>
              <w:t>核，主频</w:t>
            </w:r>
            <w:r>
              <w:rPr>
                <w:rFonts w:ascii="仿宋_GB2312" w:hAnsi="仿宋_GB2312" w:cs="仿宋_GB2312" w:eastAsia="仿宋_GB2312"/>
                <w:sz w:val="24"/>
              </w:rPr>
              <w:t>≥2.0GHz的高性能图像解码芯片；</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内存：配置</w:t>
            </w:r>
            <w:r>
              <w:rPr>
                <w:rFonts w:ascii="仿宋_GB2312" w:hAnsi="仿宋_GB2312" w:cs="仿宋_GB2312" w:eastAsia="仿宋_GB2312"/>
                <w:sz w:val="24"/>
              </w:rPr>
              <w:t>≥2GB DDR4图像解码运行内存；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存储：配置</w:t>
            </w:r>
            <w:r>
              <w:rPr>
                <w:rFonts w:ascii="仿宋_GB2312" w:hAnsi="仿宋_GB2312" w:cs="仿宋_GB2312" w:eastAsia="仿宋_GB2312"/>
                <w:sz w:val="24"/>
              </w:rPr>
              <w:t>≥8GB eMMC图像缓存存储；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显示芯片：</w:t>
            </w:r>
            <w:r>
              <w:rPr>
                <w:rFonts w:ascii="仿宋_GB2312" w:hAnsi="仿宋_GB2312" w:cs="仿宋_GB2312" w:eastAsia="仿宋_GB2312"/>
                <w:sz w:val="24"/>
              </w:rPr>
              <w:t>≥2核心的图形处理单元；</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I/0端口：配置≥6个USB端口，其中≥2个USB3.0端口；</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网络端口：配置</w:t>
            </w:r>
            <w:r>
              <w:rPr>
                <w:rFonts w:ascii="仿宋_GB2312" w:hAnsi="仿宋_GB2312" w:cs="仿宋_GB2312" w:eastAsia="仿宋_GB2312"/>
                <w:sz w:val="24"/>
              </w:rPr>
              <w:t>≥1个10/100/1000Mbps自适应以太网端口；</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其他端口：配置</w:t>
            </w:r>
            <w:r>
              <w:rPr>
                <w:rFonts w:ascii="仿宋_GB2312" w:hAnsi="仿宋_GB2312" w:cs="仿宋_GB2312" w:eastAsia="仿宋_GB2312"/>
                <w:sz w:val="24"/>
              </w:rPr>
              <w:t>≥1个3.5mm音频输入输出二合一接口；</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解码能力：</w:t>
            </w:r>
            <w:r>
              <w:rPr>
                <w:rFonts w:ascii="仿宋_GB2312" w:hAnsi="仿宋_GB2312" w:cs="仿宋_GB2312" w:eastAsia="仿宋_GB2312"/>
                <w:sz w:val="24"/>
              </w:rPr>
              <w:t>≥3840*2160@60Hz图形解码能力；</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显示模式：须支持</w:t>
            </w:r>
            <w:r>
              <w:rPr>
                <w:rFonts w:ascii="仿宋_GB2312" w:hAnsi="仿宋_GB2312" w:cs="仿宋_GB2312" w:eastAsia="仿宋_GB2312"/>
                <w:sz w:val="24"/>
              </w:rPr>
              <w:t>2台显示器“扩展屏”显示；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显示接口：配置</w:t>
            </w:r>
            <w:r>
              <w:rPr>
                <w:rFonts w:ascii="仿宋_GB2312" w:hAnsi="仿宋_GB2312" w:cs="仿宋_GB2312" w:eastAsia="仿宋_GB2312"/>
                <w:sz w:val="24"/>
              </w:rPr>
              <w:t>≥1个HDMI2.0接口(支持4K@60Hz)及1个VGA接口；</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终端前置</w:t>
            </w:r>
            <w:r>
              <w:rPr>
                <w:rFonts w:ascii="仿宋_GB2312" w:hAnsi="仿宋_GB2312" w:cs="仿宋_GB2312" w:eastAsia="仿宋_GB2312"/>
                <w:sz w:val="24"/>
              </w:rPr>
              <w:t>≥1个开关按钮，具备≥1个硬盘指示灯；</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支持医院常用外设：鼠标、键盘、</w:t>
            </w:r>
            <w:r>
              <w:rPr>
                <w:rFonts w:ascii="仿宋_GB2312" w:hAnsi="仿宋_GB2312" w:cs="仿宋_GB2312" w:eastAsia="仿宋_GB2312"/>
                <w:sz w:val="24"/>
              </w:rPr>
              <w:t>POS机、USB打印机、串口打印机、网络打印机、扫描仪、医保/社保卡读卡器、密码小键盘、评价器、摄像头、高拍仪、手写签批屏、身份证识别仪、条码扫码器、二维码扫描器等（须提供</w:t>
            </w:r>
            <w:r>
              <w:rPr>
                <w:rFonts w:ascii="仿宋_GB2312" w:hAnsi="仿宋_GB2312" w:cs="仿宋_GB2312" w:eastAsia="仿宋_GB2312"/>
                <w:sz w:val="24"/>
              </w:rPr>
              <w:t>保</w:t>
            </w:r>
            <w:r>
              <w:rPr>
                <w:rFonts w:ascii="仿宋_GB2312" w:hAnsi="仿宋_GB2312" w:cs="仿宋_GB2312" w:eastAsia="仿宋_GB2312"/>
                <w:sz w:val="24"/>
              </w:rPr>
              <w:t>证外设兼容性承诺函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r>
              <w:rPr>
                <w:rFonts w:ascii="仿宋_GB2312" w:hAnsi="仿宋_GB2312" w:cs="仿宋_GB2312" w:eastAsia="仿宋_GB2312"/>
                <w:sz w:val="24"/>
              </w:rPr>
              <w:t>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配套输出设备：屏幕尺寸</w:t>
            </w:r>
            <w:r>
              <w:rPr>
                <w:rFonts w:ascii="仿宋_GB2312" w:hAnsi="仿宋_GB2312" w:cs="仿宋_GB2312" w:eastAsia="仿宋_GB2312"/>
                <w:sz w:val="24"/>
              </w:rPr>
              <w:t>≥24 寸，分辨率≥1920×1080；接口：VGA、HDMI；电源：≥12VDC 2A；消耗功率：正常工作≤20W 待机：≤0.5W；</w:t>
            </w:r>
            <w:r>
              <w:rPr>
                <w:rFonts w:ascii="仿宋_GB2312" w:hAnsi="仿宋_GB2312" w:cs="仿宋_GB2312" w:eastAsia="仿宋_GB2312"/>
                <w:sz w:val="24"/>
              </w:rPr>
              <w:t>配套输入设备：提供</w:t>
            </w:r>
            <w:r>
              <w:rPr>
                <w:rFonts w:ascii="仿宋_GB2312" w:hAnsi="仿宋_GB2312" w:cs="仿宋_GB2312" w:eastAsia="仿宋_GB2312"/>
                <w:sz w:val="24"/>
              </w:rPr>
              <w:t>USB接口键盘鼠标；键盘线长≥1.75M，工作电压：4.5—5.5V，工作电流：≤300mA。</w:t>
            </w:r>
          </w:p>
          <w:p>
            <w:pPr>
              <w:pStyle w:val="null3"/>
              <w:jc w:val="both"/>
            </w:pPr>
            <w:r>
              <w:rPr>
                <w:rFonts w:ascii="仿宋_GB2312" w:hAnsi="仿宋_GB2312" w:cs="仿宋_GB2312" w:eastAsia="仿宋_GB2312"/>
                <w:sz w:val="24"/>
                <w:b/>
              </w:rPr>
              <w:t>（五）云桌面胖终端</w:t>
            </w:r>
            <w:r>
              <w:rPr>
                <w:rFonts w:ascii="仿宋_GB2312" w:hAnsi="仿宋_GB2312" w:cs="仿宋_GB2312" w:eastAsia="仿宋_GB2312"/>
                <w:sz w:val="24"/>
                <w:b/>
                <w:shd w:fill="FFFFFF" w:val="clear"/>
              </w:rPr>
              <w:t>运算服务</w:t>
            </w:r>
            <w:r>
              <w:rPr>
                <w:rFonts w:ascii="仿宋_GB2312" w:hAnsi="仿宋_GB2312" w:cs="仿宋_GB2312" w:eastAsia="仿宋_GB2312"/>
                <w:sz w:val="24"/>
                <w:b/>
              </w:rPr>
              <w:t>（配套设备：云桌面胖终端</w:t>
            </w:r>
            <w:r>
              <w:rPr>
                <w:rFonts w:ascii="仿宋_GB2312" w:hAnsi="仿宋_GB2312" w:cs="仿宋_GB2312" w:eastAsia="仿宋_GB2312"/>
                <w:sz w:val="24"/>
                <w:b/>
              </w:rPr>
              <w:t>150套）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CPU：≥</w:t>
            </w:r>
            <w:r>
              <w:rPr>
                <w:rFonts w:ascii="仿宋_GB2312" w:hAnsi="仿宋_GB2312" w:cs="仿宋_GB2312" w:eastAsia="仿宋_GB2312"/>
                <w:sz w:val="24"/>
              </w:rPr>
              <w:t>十</w:t>
            </w:r>
            <w:r>
              <w:rPr>
                <w:rFonts w:ascii="仿宋_GB2312" w:hAnsi="仿宋_GB2312" w:cs="仿宋_GB2312" w:eastAsia="仿宋_GB2312"/>
                <w:sz w:val="24"/>
              </w:rPr>
              <w:t>核十</w:t>
            </w:r>
            <w:r>
              <w:rPr>
                <w:rFonts w:ascii="仿宋_GB2312" w:hAnsi="仿宋_GB2312" w:cs="仿宋_GB2312" w:eastAsia="仿宋_GB2312"/>
                <w:sz w:val="24"/>
              </w:rPr>
              <w:t>六</w:t>
            </w:r>
            <w:r>
              <w:rPr>
                <w:rFonts w:ascii="仿宋_GB2312" w:hAnsi="仿宋_GB2312" w:cs="仿宋_GB2312" w:eastAsia="仿宋_GB2312"/>
                <w:sz w:val="24"/>
              </w:rPr>
              <w:t>线程，</w:t>
            </w:r>
            <w:r>
              <w:rPr>
                <w:rFonts w:ascii="仿宋_GB2312" w:hAnsi="仿宋_GB2312" w:cs="仿宋_GB2312" w:eastAsia="仿宋_GB2312"/>
                <w:sz w:val="24"/>
              </w:rPr>
              <w:t>≥2.5GHZ基础主频；</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≥16G DDR4，支持DDR4双通道内存设计，</w:t>
            </w:r>
            <w:r>
              <w:rPr>
                <w:rFonts w:ascii="仿宋_GB2312" w:hAnsi="仿宋_GB2312" w:cs="仿宋_GB2312" w:eastAsia="仿宋_GB2312"/>
                <w:sz w:val="24"/>
              </w:rPr>
              <w:t>主频</w:t>
            </w:r>
            <w:r>
              <w:rPr>
                <w:rFonts w:ascii="仿宋_GB2312" w:hAnsi="仿宋_GB2312" w:cs="仿宋_GB2312" w:eastAsia="仿宋_GB2312"/>
                <w:sz w:val="24"/>
              </w:rPr>
              <w:t>≥3200MHz，</w:t>
            </w:r>
            <w:r>
              <w:rPr>
                <w:rFonts w:ascii="仿宋_GB2312" w:hAnsi="仿宋_GB2312" w:cs="仿宋_GB2312" w:eastAsia="仿宋_GB2312"/>
                <w:sz w:val="24"/>
              </w:rPr>
              <w:t>最大支持</w:t>
            </w:r>
            <w:r>
              <w:rPr>
                <w:rFonts w:ascii="仿宋_GB2312" w:hAnsi="仿宋_GB2312" w:cs="仿宋_GB2312" w:eastAsia="仿宋_GB2312"/>
                <w:sz w:val="24"/>
              </w:rPr>
              <w:t>32GB，后盖独立开盖设计，内存易拆易升级；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硬盘：</w:t>
            </w:r>
            <w:r>
              <w:rPr>
                <w:rFonts w:ascii="仿宋_GB2312" w:hAnsi="仿宋_GB2312" w:cs="仿宋_GB2312" w:eastAsia="仿宋_GB2312"/>
                <w:sz w:val="24"/>
              </w:rPr>
              <w:t>≥512G SSD; 支持M.2/mSATA多种存储方式；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显卡：集成高清显卡；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网口：</w:t>
            </w:r>
            <w:r>
              <w:rPr>
                <w:rFonts w:ascii="仿宋_GB2312" w:hAnsi="仿宋_GB2312" w:cs="仿宋_GB2312" w:eastAsia="仿宋_GB2312"/>
                <w:sz w:val="24"/>
              </w:rPr>
              <w:t>≥1个千兆网口；</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USB接口: ≥8个USB接口（至少含4个USB3.0接口）；</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音频接口：为保障便捷的音频设备接入，搭载</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对音频输入输出接口；</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其他接口：</w:t>
            </w:r>
            <w:r>
              <w:rPr>
                <w:rFonts w:ascii="仿宋_GB2312" w:hAnsi="仿宋_GB2312" w:cs="仿宋_GB2312" w:eastAsia="仿宋_GB2312"/>
                <w:sz w:val="24"/>
              </w:rPr>
              <w:t>≥1个VGA接口，≥1个HDMI视频接口，≥1个COM串口；</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电源：采用</w:t>
            </w:r>
            <w:r>
              <w:rPr>
                <w:rFonts w:ascii="仿宋_GB2312" w:hAnsi="仿宋_GB2312" w:cs="仿宋_GB2312" w:eastAsia="仿宋_GB2312"/>
                <w:sz w:val="24"/>
              </w:rPr>
              <w:t>1个DC_IN接口，12/19V电源输入，输入功率</w:t>
            </w:r>
            <w:r>
              <w:rPr>
                <w:rFonts w:ascii="仿宋_GB2312" w:hAnsi="仿宋_GB2312" w:cs="仿宋_GB2312" w:eastAsia="仿宋_GB2312"/>
                <w:sz w:val="24"/>
              </w:rPr>
              <w:t>≤</w:t>
            </w:r>
            <w:r>
              <w:rPr>
                <w:rFonts w:ascii="仿宋_GB2312" w:hAnsi="仿宋_GB2312" w:cs="仿宋_GB2312" w:eastAsia="仿宋_GB2312"/>
                <w:sz w:val="24"/>
              </w:rPr>
              <w:t>90W；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配置嵌入式上电自启动功能模块，具有远程唤醒功能；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终端支持</w:t>
            </w:r>
            <w:r>
              <w:rPr>
                <w:rFonts w:ascii="仿宋_GB2312" w:hAnsi="仿宋_GB2312" w:cs="仿宋_GB2312" w:eastAsia="仿宋_GB2312"/>
                <w:sz w:val="24"/>
              </w:rPr>
              <w:t>≥1个可拆卸式</w:t>
            </w:r>
            <w:r>
              <w:rPr>
                <w:rFonts w:ascii="仿宋_GB2312" w:hAnsi="仿宋_GB2312" w:cs="仿宋_GB2312" w:eastAsia="仿宋_GB2312"/>
                <w:sz w:val="24"/>
              </w:rPr>
              <w:t xml:space="preserve">5G </w:t>
            </w:r>
            <w:r>
              <w:rPr>
                <w:rFonts w:ascii="仿宋_GB2312" w:hAnsi="仿宋_GB2312" w:cs="仿宋_GB2312" w:eastAsia="仿宋_GB2312"/>
                <w:sz w:val="24"/>
              </w:rPr>
              <w:t>SIM卡插槽（</w:t>
            </w:r>
            <w:r>
              <w:rPr>
                <w:rFonts w:ascii="仿宋_GB2312" w:hAnsi="仿宋_GB2312" w:cs="仿宋_GB2312" w:eastAsia="仿宋_GB2312"/>
                <w:sz w:val="24"/>
              </w:rPr>
              <w:t>需支持</w:t>
            </w:r>
            <w:r>
              <w:rPr>
                <w:rFonts w:ascii="仿宋_GB2312" w:hAnsi="仿宋_GB2312" w:cs="仿宋_GB2312" w:eastAsia="仿宋_GB2312"/>
                <w:sz w:val="24"/>
              </w:rPr>
              <w:t>4大运营商5G网络</w:t>
            </w:r>
            <w:r>
              <w:rPr>
                <w:rFonts w:ascii="仿宋_GB2312" w:hAnsi="仿宋_GB2312" w:cs="仿宋_GB2312" w:eastAsia="仿宋_GB2312"/>
                <w:sz w:val="24"/>
              </w:rPr>
              <w:t>）及</w:t>
            </w:r>
            <w:r>
              <w:rPr>
                <w:rFonts w:ascii="仿宋_GB2312" w:hAnsi="仿宋_GB2312" w:cs="仿宋_GB2312" w:eastAsia="仿宋_GB2312"/>
                <w:sz w:val="24"/>
              </w:rPr>
              <w:t>1个可拆卸内存插槽；</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终端具备</w:t>
            </w:r>
            <w:r>
              <w:rPr>
                <w:rFonts w:ascii="仿宋_GB2312" w:hAnsi="仿宋_GB2312" w:cs="仿宋_GB2312" w:eastAsia="仿宋_GB2312"/>
                <w:sz w:val="24"/>
              </w:rPr>
              <w:t>≥1个开关按钮，具备≥1个硬盘指示灯，配置风扇和铜管侧出风散热；</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w:t>
            </w:r>
            <w:r>
              <w:rPr>
                <w:rFonts w:ascii="仿宋_GB2312" w:hAnsi="仿宋_GB2312" w:cs="仿宋_GB2312" w:eastAsia="仿宋_GB2312"/>
                <w:sz w:val="24"/>
              </w:rPr>
              <w:t>终端</w:t>
            </w:r>
            <w:r>
              <w:rPr>
                <w:rFonts w:ascii="仿宋_GB2312" w:hAnsi="仿宋_GB2312" w:cs="仿宋_GB2312" w:eastAsia="仿宋_GB2312"/>
                <w:sz w:val="24"/>
              </w:rPr>
              <w:t>开机自动或手动进入场景；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支持医院常用外设：鼠标、键盘、</w:t>
            </w:r>
            <w:r>
              <w:rPr>
                <w:rFonts w:ascii="仿宋_GB2312" w:hAnsi="仿宋_GB2312" w:cs="仿宋_GB2312" w:eastAsia="仿宋_GB2312"/>
                <w:sz w:val="24"/>
              </w:rPr>
              <w:t>POS机、USB打印机、串口打印机、网络打印机、扫描仪、医保/社保卡读卡器、密码小键盘、评价器、摄像头、高拍仪、手写签批屏、身份证识别仪、条码扫码器、二维码扫描器等（须提供</w:t>
            </w:r>
            <w:r>
              <w:rPr>
                <w:rFonts w:ascii="仿宋_GB2312" w:hAnsi="仿宋_GB2312" w:cs="仿宋_GB2312" w:eastAsia="仿宋_GB2312"/>
                <w:sz w:val="24"/>
              </w:rPr>
              <w:t>保</w:t>
            </w:r>
            <w:r>
              <w:rPr>
                <w:rFonts w:ascii="仿宋_GB2312" w:hAnsi="仿宋_GB2312" w:cs="仿宋_GB2312" w:eastAsia="仿宋_GB2312"/>
                <w:sz w:val="24"/>
              </w:rPr>
              <w:t>证外设兼容性承诺函</w:t>
            </w:r>
            <w:r>
              <w:rPr>
                <w:rFonts w:ascii="仿宋_GB2312" w:hAnsi="仿宋_GB2312" w:cs="仿宋_GB2312" w:eastAsia="仿宋_GB2312"/>
                <w:sz w:val="24"/>
              </w:rPr>
              <w:t>并加盖投标</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承诺函格式自拟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配套输出设备：屏幕尺寸</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寸，分辨率</w:t>
            </w:r>
            <w:r>
              <w:rPr>
                <w:rFonts w:ascii="仿宋_GB2312" w:hAnsi="仿宋_GB2312" w:cs="仿宋_GB2312" w:eastAsia="仿宋_GB2312"/>
                <w:sz w:val="24"/>
              </w:rPr>
              <w:t>≥1920×1080；接口：VGA、HDMI；电源：≥12VDC 2A；消耗功率：正常工作≤20W 待机：≤0.5W；</w:t>
            </w:r>
            <w:r>
              <w:rPr>
                <w:rFonts w:ascii="仿宋_GB2312" w:hAnsi="仿宋_GB2312" w:cs="仿宋_GB2312" w:eastAsia="仿宋_GB2312"/>
                <w:sz w:val="24"/>
              </w:rPr>
              <w:t>配套输入设备：</w:t>
            </w:r>
            <w:r>
              <w:rPr>
                <w:rFonts w:ascii="仿宋_GB2312" w:hAnsi="仿宋_GB2312" w:cs="仿宋_GB2312" w:eastAsia="仿宋_GB2312"/>
                <w:sz w:val="24"/>
              </w:rPr>
              <w:t>提供</w:t>
            </w:r>
            <w:r>
              <w:rPr>
                <w:rFonts w:ascii="仿宋_GB2312" w:hAnsi="仿宋_GB2312" w:cs="仿宋_GB2312" w:eastAsia="仿宋_GB2312"/>
                <w:sz w:val="24"/>
              </w:rPr>
              <w:t>USB接口</w:t>
            </w:r>
            <w:r>
              <w:rPr>
                <w:rFonts w:ascii="仿宋_GB2312" w:hAnsi="仿宋_GB2312" w:cs="仿宋_GB2312" w:eastAsia="仿宋_GB2312"/>
                <w:sz w:val="24"/>
              </w:rPr>
              <w:t>键盘鼠标；</w:t>
            </w:r>
            <w:r>
              <w:rPr>
                <w:rFonts w:ascii="仿宋_GB2312" w:hAnsi="仿宋_GB2312" w:cs="仿宋_GB2312" w:eastAsia="仿宋_GB2312"/>
                <w:sz w:val="24"/>
              </w:rPr>
              <w:t>键盘线长</w:t>
            </w:r>
            <w:r>
              <w:rPr>
                <w:rFonts w:ascii="仿宋_GB2312" w:hAnsi="仿宋_GB2312" w:cs="仿宋_GB2312" w:eastAsia="仿宋_GB2312"/>
                <w:sz w:val="24"/>
              </w:rPr>
              <w:t>≥</w:t>
            </w:r>
            <w:r>
              <w:rPr>
                <w:rFonts w:ascii="仿宋_GB2312" w:hAnsi="仿宋_GB2312" w:cs="仿宋_GB2312" w:eastAsia="仿宋_GB2312"/>
                <w:sz w:val="24"/>
              </w:rPr>
              <w:t>1.75M，工作电压：4.5—5.5V，工作电流：≤300mA。</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常态化管理监测服务</w:t>
            </w:r>
          </w:p>
        </w:tc>
        <w:tc>
          <w:tcPr>
            <w:tcW w:type="dxa" w:w="5814"/>
          </w:tcPr>
          <w:p>
            <w:pPr>
              <w:pStyle w:val="null3"/>
              <w:jc w:val="both"/>
            </w:pPr>
            <w:r>
              <w:rPr>
                <w:rFonts w:ascii="仿宋_GB2312" w:hAnsi="仿宋_GB2312" w:cs="仿宋_GB2312" w:eastAsia="仿宋_GB2312"/>
                <w:sz w:val="24"/>
              </w:rPr>
              <w:t>供应商为云数据分析管理服务系统、云桌面系统提供常态化管理监测服务：</w:t>
            </w:r>
          </w:p>
          <w:p>
            <w:pPr>
              <w:pStyle w:val="null3"/>
              <w:jc w:val="both"/>
            </w:pPr>
            <w:r>
              <w:rPr>
                <w:rFonts w:ascii="仿宋_GB2312" w:hAnsi="仿宋_GB2312" w:cs="仿宋_GB2312" w:eastAsia="仿宋_GB2312"/>
                <w:sz w:val="24"/>
              </w:rPr>
              <w:t>1、日常问题受理和一般问题处理：接收并处理采购人提出的使用过程中的各类问题。必须要确保当天的问题当天有回复，能解决的及时解决，不能及时解决的应回复原因并估计解决时间。</w:t>
            </w:r>
          </w:p>
          <w:p>
            <w:pPr>
              <w:pStyle w:val="null3"/>
              <w:jc w:val="both"/>
            </w:pPr>
            <w:r>
              <w:rPr>
                <w:rFonts w:ascii="仿宋_GB2312" w:hAnsi="仿宋_GB2312" w:cs="仿宋_GB2312" w:eastAsia="仿宋_GB2312"/>
                <w:sz w:val="24"/>
              </w:rPr>
              <w:t>2、专项问题分析：如国家、省、市有关政策发生变化，供应商应尽快了解有关政策及调整内容并结合本地实际业务等各种因素、情况，向采购人汇报，并共同确定调整方案；</w:t>
            </w:r>
          </w:p>
          <w:p>
            <w:pPr>
              <w:pStyle w:val="null3"/>
              <w:jc w:val="both"/>
            </w:pPr>
            <w:r>
              <w:rPr>
                <w:rFonts w:ascii="仿宋_GB2312" w:hAnsi="仿宋_GB2312" w:cs="仿宋_GB2312" w:eastAsia="仿宋_GB2312"/>
                <w:sz w:val="24"/>
              </w:rPr>
              <w:t>3、紧急问题处理：</w:t>
            </w:r>
            <w:r>
              <w:rPr>
                <w:rFonts w:ascii="仿宋_GB2312" w:hAnsi="仿宋_GB2312" w:cs="仿宋_GB2312" w:eastAsia="仿宋_GB2312"/>
                <w:sz w:val="24"/>
              </w:rPr>
              <w:t>出现使用问题，接到采购人的电话后须立即响应；可远程解决的问题，须在接到通知后1小时内解决；如需到现场服务的，须在接到通知后的24小时内赶到采购人指定地点解决问题；</w:t>
            </w:r>
            <w:r>
              <w:rPr>
                <w:rFonts w:ascii="仿宋_GB2312" w:hAnsi="仿宋_GB2312" w:cs="仿宋_GB2312" w:eastAsia="仿宋_GB2312"/>
                <w:sz w:val="24"/>
              </w:rPr>
              <w:t>因其他异常造成</w:t>
            </w:r>
            <w:r>
              <w:rPr>
                <w:rFonts w:ascii="仿宋_GB2312" w:hAnsi="仿宋_GB2312" w:cs="仿宋_GB2312" w:eastAsia="仿宋_GB2312"/>
                <w:sz w:val="24"/>
              </w:rPr>
              <w:t>业务中断需要技术人员能够随时响应、快速到位，尽可能短时间内恢复的问题按照紧急问题处理流程来进行处理。</w:t>
            </w:r>
          </w:p>
          <w:p>
            <w:pPr>
              <w:pStyle w:val="null3"/>
              <w:jc w:val="both"/>
            </w:pPr>
            <w:r>
              <w:rPr>
                <w:rFonts w:ascii="仿宋_GB2312" w:hAnsi="仿宋_GB2312" w:cs="仿宋_GB2312" w:eastAsia="仿宋_GB2312"/>
                <w:sz w:val="24"/>
              </w:rPr>
              <w:t>4、系统巡检和优化：提供每季度一次的系统巡检服务（包括但不限于：资源配置检查、设备检查等方面），并出具巡检报告。根据系统运行状况和巡检结果，针对发现的问题进行优化和调整，针对疑难问题应提出解决方案并负责实施调整；</w:t>
            </w:r>
          </w:p>
          <w:p>
            <w:pPr>
              <w:pStyle w:val="null3"/>
              <w:jc w:val="left"/>
            </w:pPr>
            <w:r>
              <w:rPr>
                <w:rFonts w:ascii="仿宋_GB2312" w:hAnsi="仿宋_GB2312" w:cs="仿宋_GB2312" w:eastAsia="仿宋_GB2312"/>
                <w:sz w:val="24"/>
              </w:rPr>
              <w:t>5、保障数据传输业务年均中断时间≤24小时，故障响应时间≤15分钟，故障修复时间≤2小时。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常态化管理监测服务考核</w:t>
            </w:r>
          </w:p>
        </w:tc>
        <w:tc>
          <w:tcPr>
            <w:tcW w:type="dxa" w:w="5814"/>
          </w:tcPr>
          <w:p>
            <w:pPr>
              <w:pStyle w:val="null3"/>
              <w:ind w:firstLine="480"/>
              <w:jc w:val="left"/>
            </w:pPr>
            <w:r>
              <w:rPr>
                <w:rFonts w:ascii="仿宋_GB2312" w:hAnsi="仿宋_GB2312" w:cs="仿宋_GB2312" w:eastAsia="仿宋_GB2312"/>
                <w:sz w:val="24"/>
              </w:rPr>
              <w:t>供应商提供</w:t>
            </w:r>
            <w:r>
              <w:rPr>
                <w:rFonts w:ascii="仿宋_GB2312" w:hAnsi="仿宋_GB2312" w:cs="仿宋_GB2312" w:eastAsia="仿宋_GB2312"/>
                <w:sz w:val="24"/>
              </w:rPr>
              <w:t>常态化管理监测服务</w:t>
            </w:r>
            <w:r>
              <w:rPr>
                <w:rFonts w:ascii="仿宋_GB2312" w:hAnsi="仿宋_GB2312" w:cs="仿宋_GB2312" w:eastAsia="仿宋_GB2312"/>
                <w:sz w:val="24"/>
              </w:rPr>
              <w:t>，</w:t>
            </w:r>
            <w:r>
              <w:rPr>
                <w:rFonts w:ascii="仿宋_GB2312" w:hAnsi="仿宋_GB2312" w:cs="仿宋_GB2312" w:eastAsia="仿宋_GB2312"/>
                <w:sz w:val="24"/>
                <w:color w:val="000000"/>
              </w:rPr>
              <w:t>每</w:t>
            </w:r>
            <w:r>
              <w:rPr>
                <w:rFonts w:ascii="仿宋_GB2312" w:hAnsi="仿宋_GB2312" w:cs="仿宋_GB2312" w:eastAsia="仿宋_GB2312"/>
                <w:sz w:val="24"/>
                <w:color w:val="000000"/>
              </w:rPr>
              <w:t>半年</w:t>
            </w:r>
            <w:r>
              <w:rPr>
                <w:rFonts w:ascii="仿宋_GB2312" w:hAnsi="仿宋_GB2312" w:cs="仿宋_GB2312" w:eastAsia="仿宋_GB2312"/>
                <w:sz w:val="24"/>
              </w:rPr>
              <w:t>结束</w:t>
            </w:r>
            <w:r>
              <w:rPr>
                <w:rFonts w:ascii="仿宋_GB2312" w:hAnsi="仿宋_GB2312" w:cs="仿宋_GB2312" w:eastAsia="仿宋_GB2312"/>
                <w:sz w:val="24"/>
              </w:rPr>
              <w:t>由采购人对成交</w:t>
            </w:r>
            <w:r>
              <w:rPr>
                <w:rFonts w:ascii="仿宋_GB2312" w:hAnsi="仿宋_GB2312" w:cs="仿宋_GB2312" w:eastAsia="仿宋_GB2312"/>
                <w:sz w:val="24"/>
              </w:rPr>
              <w:t>供</w:t>
            </w:r>
            <w:r>
              <w:rPr>
                <w:rFonts w:ascii="仿宋_GB2312" w:hAnsi="仿宋_GB2312" w:cs="仿宋_GB2312" w:eastAsia="仿宋_GB2312"/>
                <w:sz w:val="24"/>
              </w:rPr>
              <w:t>应商该时间段服务质量</w:t>
            </w:r>
            <w:r>
              <w:rPr>
                <w:rFonts w:ascii="仿宋_GB2312" w:hAnsi="仿宋_GB2312" w:cs="仿宋_GB2312" w:eastAsia="仿宋_GB2312"/>
                <w:sz w:val="24"/>
                <w:color w:val="000000"/>
              </w:rPr>
              <w:t>进行考核，总分100分，</w:t>
            </w:r>
            <w:r>
              <w:rPr>
                <w:rFonts w:ascii="仿宋_GB2312" w:hAnsi="仿宋_GB2312" w:cs="仿宋_GB2312" w:eastAsia="仿宋_GB2312"/>
                <w:sz w:val="24"/>
              </w:rPr>
              <w:t>考核得分在90分及</w:t>
            </w:r>
            <w:r>
              <w:rPr>
                <w:rFonts w:ascii="仿宋_GB2312" w:hAnsi="仿宋_GB2312" w:cs="仿宋_GB2312" w:eastAsia="仿宋_GB2312"/>
                <w:sz w:val="24"/>
              </w:rPr>
              <w:t>90分以上，视为</w:t>
            </w:r>
            <w:r>
              <w:rPr>
                <w:rFonts w:ascii="仿宋_GB2312" w:hAnsi="仿宋_GB2312" w:cs="仿宋_GB2312" w:eastAsia="仿宋_GB2312"/>
                <w:sz w:val="24"/>
              </w:rPr>
              <w:t>考核</w:t>
            </w:r>
            <w:r>
              <w:rPr>
                <w:rFonts w:ascii="仿宋_GB2312" w:hAnsi="仿宋_GB2312" w:cs="仿宋_GB2312" w:eastAsia="仿宋_GB2312"/>
                <w:sz w:val="24"/>
              </w:rPr>
              <w:t>合格</w:t>
            </w:r>
            <w:r>
              <w:rPr>
                <w:rFonts w:ascii="仿宋_GB2312" w:hAnsi="仿宋_GB2312" w:cs="仿宋_GB2312" w:eastAsia="仿宋_GB2312"/>
                <w:sz w:val="24"/>
              </w:rPr>
              <w:t>；考核得分在</w:t>
            </w:r>
            <w:r>
              <w:rPr>
                <w:rFonts w:ascii="仿宋_GB2312" w:hAnsi="仿宋_GB2312" w:cs="仿宋_GB2312" w:eastAsia="仿宋_GB2312"/>
                <w:sz w:val="24"/>
              </w:rPr>
              <w:t>90分以下，</w:t>
            </w:r>
            <w:r>
              <w:rPr>
                <w:rFonts w:ascii="仿宋_GB2312" w:hAnsi="仿宋_GB2312" w:cs="仿宋_GB2312" w:eastAsia="仿宋_GB2312"/>
                <w:sz w:val="24"/>
              </w:rPr>
              <w:t>视为</w:t>
            </w:r>
            <w:r>
              <w:rPr>
                <w:rFonts w:ascii="仿宋_GB2312" w:hAnsi="仿宋_GB2312" w:cs="仿宋_GB2312" w:eastAsia="仿宋_GB2312"/>
                <w:sz w:val="24"/>
              </w:rPr>
              <w:t>考核不合格，</w:t>
            </w:r>
            <w:r>
              <w:rPr>
                <w:rFonts w:ascii="仿宋_GB2312" w:hAnsi="仿宋_GB2312" w:cs="仿宋_GB2312" w:eastAsia="仿宋_GB2312"/>
                <w:sz w:val="24"/>
              </w:rPr>
              <w:t>成交供应商须提交整改报告并扣除当年总服务费</w:t>
            </w:r>
            <w:r>
              <w:rPr>
                <w:rFonts w:ascii="仿宋_GB2312" w:hAnsi="仿宋_GB2312" w:cs="仿宋_GB2312" w:eastAsia="仿宋_GB2312"/>
                <w:sz w:val="24"/>
              </w:rPr>
              <w:t>10%的服务费。</w:t>
            </w:r>
            <w:r>
              <w:rPr>
                <w:rFonts w:ascii="仿宋_GB2312" w:hAnsi="仿宋_GB2312" w:cs="仿宋_GB2312" w:eastAsia="仿宋_GB2312"/>
                <w:sz w:val="24"/>
              </w:rPr>
              <w:t>考核不合格，待成交供应商提交整改报告后，验收小组进行复核，若整改复核通过则继续服务；若连续</w:t>
            </w:r>
            <w:r>
              <w:rPr>
                <w:rFonts w:ascii="仿宋_GB2312" w:hAnsi="仿宋_GB2312" w:cs="仿宋_GB2312" w:eastAsia="仿宋_GB2312"/>
                <w:sz w:val="24"/>
              </w:rPr>
              <w:t>3次整改后依旧未通过考核，服务终止。</w:t>
            </w:r>
          </w:p>
          <w:p>
            <w:pPr>
              <w:pStyle w:val="null3"/>
              <w:ind w:firstLine="480"/>
              <w:jc w:val="left"/>
            </w:pPr>
            <w:r>
              <w:rPr>
                <w:rFonts w:ascii="仿宋_GB2312" w:hAnsi="仿宋_GB2312" w:cs="仿宋_GB2312" w:eastAsia="仿宋_GB2312"/>
                <w:sz w:val="24"/>
              </w:rPr>
              <w:t>当年两次</w:t>
            </w:r>
            <w:r>
              <w:rPr>
                <w:rFonts w:ascii="仿宋_GB2312" w:hAnsi="仿宋_GB2312" w:cs="仿宋_GB2312" w:eastAsia="仿宋_GB2312"/>
                <w:sz w:val="24"/>
              </w:rPr>
              <w:t>考核合格</w:t>
            </w:r>
            <w:r>
              <w:rPr>
                <w:rFonts w:ascii="仿宋_GB2312" w:hAnsi="仿宋_GB2312" w:cs="仿宋_GB2312" w:eastAsia="仿宋_GB2312"/>
                <w:sz w:val="24"/>
              </w:rPr>
              <w:t>的可续签</w:t>
            </w:r>
            <w:r>
              <w:rPr>
                <w:rFonts w:ascii="仿宋_GB2312" w:hAnsi="仿宋_GB2312" w:cs="仿宋_GB2312" w:eastAsia="仿宋_GB2312"/>
                <w:sz w:val="24"/>
              </w:rPr>
              <w:t>下一年度合同，</w:t>
            </w:r>
            <w:r>
              <w:rPr>
                <w:rFonts w:ascii="仿宋_GB2312" w:hAnsi="仿宋_GB2312" w:cs="仿宋_GB2312" w:eastAsia="仿宋_GB2312"/>
                <w:sz w:val="24"/>
              </w:rPr>
              <w:t>若连续</w:t>
            </w:r>
            <w:r>
              <w:rPr>
                <w:rFonts w:ascii="仿宋_GB2312" w:hAnsi="仿宋_GB2312" w:cs="仿宋_GB2312" w:eastAsia="仿宋_GB2312"/>
                <w:sz w:val="24"/>
              </w:rPr>
              <w:t>3次整改后依旧未通过考核</w:t>
            </w:r>
            <w:r>
              <w:rPr>
                <w:rFonts w:ascii="仿宋_GB2312" w:hAnsi="仿宋_GB2312" w:cs="仿宋_GB2312" w:eastAsia="仿宋_GB2312"/>
                <w:sz w:val="24"/>
              </w:rPr>
              <w:t>或年度预算发生重大调整或遇国家重大政策变化，采购人有权拒签下一年度合同，并重新开展采购活动，成交</w:t>
            </w:r>
            <w:r>
              <w:rPr>
                <w:rFonts w:ascii="仿宋_GB2312" w:hAnsi="仿宋_GB2312" w:cs="仿宋_GB2312" w:eastAsia="仿宋_GB2312"/>
                <w:sz w:val="24"/>
              </w:rPr>
              <w:t>供应商</w:t>
            </w:r>
            <w:r>
              <w:rPr>
                <w:rFonts w:ascii="仿宋_GB2312" w:hAnsi="仿宋_GB2312" w:cs="仿宋_GB2312" w:eastAsia="仿宋_GB2312"/>
                <w:sz w:val="24"/>
              </w:rPr>
              <w:t>自行承担风险。</w:t>
            </w:r>
          </w:p>
          <w:p>
            <w:pPr>
              <w:pStyle w:val="null3"/>
              <w:ind w:firstLine="480"/>
              <w:jc w:val="left"/>
            </w:pPr>
            <w:r>
              <w:rPr>
                <w:rFonts w:ascii="仿宋_GB2312" w:hAnsi="仿宋_GB2312" w:cs="仿宋_GB2312" w:eastAsia="仿宋_GB2312"/>
                <w:sz w:val="24"/>
              </w:rPr>
              <w:t>常态化管理监测服务考核</w:t>
            </w:r>
            <w:r>
              <w:rPr>
                <w:rFonts w:ascii="仿宋_GB2312" w:hAnsi="仿宋_GB2312" w:cs="仿宋_GB2312" w:eastAsia="仿宋_GB2312"/>
                <w:sz w:val="24"/>
              </w:rPr>
              <w:t>表</w:t>
            </w:r>
          </w:p>
          <w:tbl>
            <w:tblPr>
              <w:tblBorders>
                <w:top w:val="none" w:color="000000" w:sz="4"/>
                <w:left w:val="none" w:color="000000" w:sz="4"/>
                <w:bottom w:val="none" w:color="000000" w:sz="4"/>
                <w:right w:val="none" w:color="000000" w:sz="4"/>
                <w:insideH w:val="none"/>
                <w:insideV w:val="none"/>
              </w:tblBorders>
            </w:tblPr>
            <w:tblGrid>
              <w:gridCol w:w="606"/>
              <w:gridCol w:w="854"/>
              <w:gridCol w:w="2159"/>
              <w:gridCol w:w="1977"/>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考核项目</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考核内容及分值</w:t>
                  </w:r>
                </w:p>
              </w:tc>
              <w:tc>
                <w:tcPr>
                  <w:tcW w:type="dxa" w:w="1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考核标准</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人员配置（</w:t>
                  </w:r>
                  <w:r>
                    <w:rPr>
                      <w:rFonts w:ascii="仿宋_GB2312" w:hAnsi="仿宋_GB2312" w:cs="仿宋_GB2312" w:eastAsia="仿宋_GB2312"/>
                      <w:sz w:val="24"/>
                    </w:rPr>
                    <w:t>8分）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至少配置项目实施人员</w:t>
                  </w:r>
                  <w:r>
                    <w:rPr>
                      <w:rFonts w:ascii="仿宋_GB2312" w:hAnsi="仿宋_GB2312" w:cs="仿宋_GB2312" w:eastAsia="仿宋_GB2312"/>
                      <w:sz w:val="24"/>
                    </w:rPr>
                    <w:t>3人，专职运营维护人员1名；</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项目实施人员少一人扣</w:t>
                  </w:r>
                  <w:r>
                    <w:rPr>
                      <w:rFonts w:ascii="仿宋_GB2312" w:hAnsi="仿宋_GB2312" w:cs="仿宋_GB2312" w:eastAsia="仿宋_GB2312"/>
                      <w:sz w:val="24"/>
                    </w:rPr>
                    <w:t>2分，未安排专职运营维护人员扣6分；</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培训服务（</w:t>
                  </w:r>
                  <w:r>
                    <w:rPr>
                      <w:rFonts w:ascii="仿宋_GB2312" w:hAnsi="仿宋_GB2312" w:cs="仿宋_GB2312" w:eastAsia="仿宋_GB2312"/>
                      <w:sz w:val="24"/>
                    </w:rPr>
                    <w:t>10分）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按供应商投标文件中相关培训方案进行相关培训服务，从而满足采购人相关使用人员能熟练使用</w:t>
                  </w:r>
                  <w:r>
                    <w:rPr>
                      <w:rFonts w:ascii="仿宋_GB2312" w:hAnsi="仿宋_GB2312" w:cs="仿宋_GB2312" w:eastAsia="仿宋_GB2312"/>
                      <w:sz w:val="24"/>
                    </w:rPr>
                    <w:t>；</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因供应商未按照投标文件中相关培训方案进行培训的，少一项扣</w:t>
                  </w:r>
                  <w:r>
                    <w:rPr>
                      <w:rFonts w:ascii="仿宋_GB2312" w:hAnsi="仿宋_GB2312" w:cs="仿宋_GB2312" w:eastAsia="仿宋_GB2312"/>
                      <w:sz w:val="24"/>
                    </w:rPr>
                    <w:t>5分，扣完为止；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巡查服务（</w:t>
                  </w:r>
                  <w:r>
                    <w:rPr>
                      <w:rFonts w:ascii="仿宋_GB2312" w:hAnsi="仿宋_GB2312" w:cs="仿宋_GB2312" w:eastAsia="仿宋_GB2312"/>
                      <w:sz w:val="24"/>
                    </w:rPr>
                    <w:t>12分）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每月对项目系统和设备全面巡查</w:t>
                  </w:r>
                  <w:r>
                    <w:rPr>
                      <w:rFonts w:ascii="仿宋_GB2312" w:hAnsi="仿宋_GB2312" w:cs="仿宋_GB2312" w:eastAsia="仿宋_GB2312"/>
                      <w:sz w:val="24"/>
                    </w:rPr>
                    <w:t>1次并解决潜在的问题，避免发生系统性风险；</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巡查率应为</w:t>
                  </w:r>
                  <w:r>
                    <w:rPr>
                      <w:rFonts w:ascii="仿宋_GB2312" w:hAnsi="仿宋_GB2312" w:cs="仿宋_GB2312" w:eastAsia="仿宋_GB2312"/>
                      <w:sz w:val="24"/>
                    </w:rPr>
                    <w:t>100%，每少一 个百分点扣1分，扣完为止；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设备及平台维护（</w:t>
                  </w:r>
                  <w:r>
                    <w:rPr>
                      <w:rFonts w:ascii="仿宋_GB2312" w:hAnsi="仿宋_GB2312" w:cs="仿宋_GB2312" w:eastAsia="仿宋_GB2312"/>
                      <w:sz w:val="24"/>
                    </w:rPr>
                    <w:t>25分）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每月保证设备整体正常运行率不得低于</w:t>
                  </w:r>
                  <w:r>
                    <w:rPr>
                      <w:rFonts w:ascii="仿宋_GB2312" w:hAnsi="仿宋_GB2312" w:cs="仿宋_GB2312" w:eastAsia="仿宋_GB2312"/>
                      <w:sz w:val="24"/>
                    </w:rPr>
                    <w:t>95%。每月平台正常运行率不得低于98%；</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每少一个百分</w:t>
                  </w:r>
                  <w:r>
                    <w:rPr>
                      <w:rFonts w:ascii="仿宋_GB2312" w:hAnsi="仿宋_GB2312" w:cs="仿宋_GB2312" w:eastAsia="仿宋_GB2312"/>
                      <w:sz w:val="24"/>
                    </w:rPr>
                    <w:t>点扣</w:t>
                  </w:r>
                  <w:r>
                    <w:rPr>
                      <w:rFonts w:ascii="仿宋_GB2312" w:hAnsi="仿宋_GB2312" w:cs="仿宋_GB2312" w:eastAsia="仿宋_GB2312"/>
                      <w:sz w:val="24"/>
                    </w:rPr>
                    <w:t>2.5分，扣完为止；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系统运行情况月报（</w:t>
                  </w:r>
                  <w:r>
                    <w:rPr>
                      <w:rFonts w:ascii="仿宋_GB2312" w:hAnsi="仿宋_GB2312" w:cs="仿宋_GB2312" w:eastAsia="仿宋_GB2312"/>
                      <w:sz w:val="24"/>
                    </w:rPr>
                    <w:t>5分）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供应商每月</w:t>
                  </w:r>
                  <w:r>
                    <w:rPr>
                      <w:rFonts w:ascii="仿宋_GB2312" w:hAnsi="仿宋_GB2312" w:cs="仿宋_GB2312" w:eastAsia="仿宋_GB2312"/>
                      <w:sz w:val="24"/>
                    </w:rPr>
                    <w:t>5日前汇报上月系统运行情况，出具书面系统运行巡查、分析报告，统计数据表册；</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未按时提交报告报表的每次扣</w:t>
                  </w:r>
                  <w:r>
                    <w:rPr>
                      <w:rFonts w:ascii="仿宋_GB2312" w:hAnsi="仿宋_GB2312" w:cs="仿宋_GB2312" w:eastAsia="仿宋_GB2312"/>
                      <w:sz w:val="24"/>
                    </w:rPr>
                    <w:t>1分，扣完为止；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故障申报热线电话应答（</w:t>
                  </w:r>
                  <w:r>
                    <w:rPr>
                      <w:rFonts w:ascii="仿宋_GB2312" w:hAnsi="仿宋_GB2312" w:cs="仿宋_GB2312" w:eastAsia="仿宋_GB2312"/>
                      <w:sz w:val="24"/>
                    </w:rPr>
                    <w:t>10分）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7×24小时的故障响应：一般情况下，在15分钟以内响应；如电话连续3次以上拨打无人接听，视为无响应；</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无响应或超时响应每次扣</w:t>
                  </w:r>
                  <w:r>
                    <w:rPr>
                      <w:rFonts w:ascii="仿宋_GB2312" w:hAnsi="仿宋_GB2312" w:cs="仿宋_GB2312" w:eastAsia="仿宋_GB2312"/>
                      <w:sz w:val="24"/>
                    </w:rPr>
                    <w:t>2分，扣完为止；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故障处理时效（</w:t>
                  </w:r>
                  <w:r>
                    <w:rPr>
                      <w:rFonts w:ascii="仿宋_GB2312" w:hAnsi="仿宋_GB2312" w:cs="仿宋_GB2312" w:eastAsia="仿宋_GB2312"/>
                      <w:sz w:val="24"/>
                    </w:rPr>
                    <w:t>20分）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一般故障</w:t>
                  </w:r>
                  <w:r>
                    <w:rPr>
                      <w:rFonts w:ascii="仿宋_GB2312" w:hAnsi="仿宋_GB2312" w:cs="仿宋_GB2312" w:eastAsia="仿宋_GB2312"/>
                      <w:sz w:val="24"/>
                    </w:rPr>
                    <w:t>2小时内恢复，重大故障8小时内恢复；</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超出时效范围的，按照受影响的前端点位数进行扣分，</w:t>
                  </w:r>
                  <w:r>
                    <w:rPr>
                      <w:rFonts w:ascii="仿宋_GB2312" w:hAnsi="仿宋_GB2312" w:cs="仿宋_GB2312" w:eastAsia="仿宋_GB2312"/>
                      <w:sz w:val="24"/>
                    </w:rPr>
                    <w:t>2分/点位数，扣完为止；</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系统更新服务（</w:t>
                  </w:r>
                  <w:r>
                    <w:rPr>
                      <w:rFonts w:ascii="仿宋_GB2312" w:hAnsi="仿宋_GB2312" w:cs="仿宋_GB2312" w:eastAsia="仿宋_GB2312"/>
                      <w:sz w:val="24"/>
                    </w:rPr>
                    <w:t>10分）</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供应商必须及时给采购人提供和安装最新的系统升级包、补丁包；</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未及时更新，每次扣</w:t>
                  </w:r>
                  <w:r>
                    <w:rPr>
                      <w:rFonts w:ascii="仿宋_GB2312" w:hAnsi="仿宋_GB2312" w:cs="仿宋_GB2312" w:eastAsia="仿宋_GB2312"/>
                      <w:sz w:val="24"/>
                    </w:rPr>
                    <w:t>2分，扣完为止；</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本服务项目涉及的相关软、硬件设备所有权归医院所有。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本项目的报价是</w:t>
            </w:r>
            <w:r>
              <w:rPr>
                <w:rFonts w:ascii="仿宋_GB2312" w:hAnsi="仿宋_GB2312" w:cs="仿宋_GB2312" w:eastAsia="仿宋_GB2312"/>
                <w:sz w:val="24"/>
              </w:rPr>
              <w:t>供应商</w:t>
            </w:r>
            <w:r>
              <w:rPr>
                <w:rFonts w:ascii="仿宋_GB2312" w:hAnsi="仿宋_GB2312" w:cs="仿宋_GB2312" w:eastAsia="仿宋_GB2312"/>
                <w:sz w:val="24"/>
              </w:rPr>
              <w:t>响应采购项目要求的全部工作内容、最终用户验收合格后的总价体现，包括</w:t>
            </w:r>
            <w:r>
              <w:rPr>
                <w:rFonts w:ascii="仿宋_GB2312" w:hAnsi="仿宋_GB2312" w:cs="仿宋_GB2312" w:eastAsia="仿宋_GB2312"/>
                <w:sz w:val="24"/>
              </w:rPr>
              <w:t>但</w:t>
            </w:r>
            <w:r>
              <w:rPr>
                <w:rFonts w:ascii="仿宋_GB2312" w:hAnsi="仿宋_GB2312" w:cs="仿宋_GB2312" w:eastAsia="仿宋_GB2312"/>
                <w:sz w:val="24"/>
              </w:rPr>
              <w:t>不限于完成本项目所需的设备投入</w:t>
            </w:r>
            <w:r>
              <w:rPr>
                <w:rFonts w:ascii="仿宋_GB2312" w:hAnsi="仿宋_GB2312" w:cs="仿宋_GB2312" w:eastAsia="仿宋_GB2312"/>
                <w:sz w:val="24"/>
              </w:rPr>
              <w:t>、调试、管理费、</w:t>
            </w:r>
            <w:r>
              <w:rPr>
                <w:rFonts w:ascii="仿宋_GB2312" w:hAnsi="仿宋_GB2312" w:cs="仿宋_GB2312" w:eastAsia="仿宋_GB2312"/>
                <w:sz w:val="24"/>
              </w:rPr>
              <w:t>税费、人工费、运输费</w:t>
            </w:r>
            <w:r>
              <w:rPr>
                <w:rFonts w:ascii="仿宋_GB2312" w:hAnsi="仿宋_GB2312" w:cs="仿宋_GB2312" w:eastAsia="仿宋_GB2312"/>
                <w:sz w:val="24"/>
              </w:rPr>
              <w:t>等</w:t>
            </w:r>
            <w:r>
              <w:rPr>
                <w:rFonts w:ascii="仿宋_GB2312" w:hAnsi="仿宋_GB2312" w:cs="仿宋_GB2312" w:eastAsia="仿宋_GB2312"/>
                <w:sz w:val="24"/>
              </w:rPr>
              <w:t>一切费用。该项目成交后报价不做调整，并且在合同履行过程中是固定不变的</w:t>
            </w:r>
            <w:r>
              <w:rPr>
                <w:rFonts w:ascii="仿宋_GB2312" w:hAnsi="仿宋_GB2312" w:cs="仿宋_GB2312" w:eastAsia="仿宋_GB2312"/>
                <w:sz w:val="24"/>
              </w:rPr>
              <w:t>，</w:t>
            </w:r>
            <w:r>
              <w:rPr>
                <w:rFonts w:ascii="仿宋_GB2312" w:hAnsi="仿宋_GB2312" w:cs="仿宋_GB2312" w:eastAsia="仿宋_GB2312"/>
                <w:sz w:val="24"/>
              </w:rPr>
              <w:t>由供应商综合考虑各项费用风险后自主报价</w:t>
            </w:r>
            <w:r>
              <w:rPr>
                <w:rFonts w:ascii="仿宋_GB2312" w:hAnsi="仿宋_GB2312" w:cs="仿宋_GB2312" w:eastAsia="仿宋_GB2312"/>
                <w:sz w:val="24"/>
              </w:rPr>
              <w:t>，采购人不再支付其他任何费用。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应服从采购人的统一指挥、调配、指导及管理，遵守采购人各项管理及规则制度，做到文明、安全实施。采购人有权对成交供应商派出的素质不足的工作及业务人员提出更换，成交供应商应积极配合，并及时更换优质人员。成交供应商在本项目实施过程中的安全责任全部由成交供应商自行负责，采购人不承担任何责任。</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项目实施过程中</w:t>
            </w:r>
            <w:r>
              <w:rPr>
                <w:rFonts w:ascii="仿宋_GB2312" w:hAnsi="仿宋_GB2312" w:cs="仿宋_GB2312" w:eastAsia="仿宋_GB2312"/>
                <w:sz w:val="24"/>
              </w:rPr>
              <w:t>成交供应商</w:t>
            </w:r>
            <w:r>
              <w:rPr>
                <w:rFonts w:ascii="仿宋_GB2312" w:hAnsi="仿宋_GB2312" w:cs="仿宋_GB2312" w:eastAsia="仿宋_GB2312"/>
                <w:sz w:val="24"/>
              </w:rPr>
              <w:t>不得影响医院业务的正常开展，否则由此造成的一切后果均由</w:t>
            </w:r>
            <w:r>
              <w:rPr>
                <w:rFonts w:ascii="仿宋_GB2312" w:hAnsi="仿宋_GB2312" w:cs="仿宋_GB2312" w:eastAsia="仿宋_GB2312"/>
                <w:sz w:val="24"/>
              </w:rPr>
              <w:t>成交供应商</w:t>
            </w:r>
            <w:r>
              <w:rPr>
                <w:rFonts w:ascii="仿宋_GB2312" w:hAnsi="仿宋_GB2312" w:cs="仿宋_GB2312" w:eastAsia="仿宋_GB2312"/>
                <w:sz w:val="24"/>
              </w:rPr>
              <w:t>承担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在服务期中，所有的安全生产责任和法律风险均由</w:t>
            </w:r>
            <w:r>
              <w:rPr>
                <w:rFonts w:ascii="仿宋_GB2312" w:hAnsi="仿宋_GB2312" w:cs="仿宋_GB2312" w:eastAsia="仿宋_GB2312"/>
                <w:sz w:val="24"/>
              </w:rPr>
              <w:t>成交供应商</w:t>
            </w:r>
            <w:r>
              <w:rPr>
                <w:rFonts w:ascii="仿宋_GB2312" w:hAnsi="仿宋_GB2312" w:cs="仿宋_GB2312" w:eastAsia="仿宋_GB2312"/>
                <w:sz w:val="24"/>
              </w:rPr>
              <w:t>承担（</w:t>
            </w:r>
            <w:r>
              <w:rPr>
                <w:rFonts w:ascii="仿宋_GB2312" w:hAnsi="仿宋_GB2312" w:cs="仿宋_GB2312" w:eastAsia="仿宋_GB2312"/>
                <w:sz w:val="24"/>
              </w:rPr>
              <w:t>在响应文件中</w:t>
            </w:r>
            <w:r>
              <w:rPr>
                <w:rFonts w:ascii="仿宋_GB2312" w:hAnsi="仿宋_GB2312" w:cs="仿宋_GB2312" w:eastAsia="仿宋_GB2312"/>
                <w:sz w:val="24"/>
              </w:rPr>
              <w:t>提供承诺函</w:t>
            </w:r>
            <w:r>
              <w:rPr>
                <w:rFonts w:ascii="仿宋_GB2312" w:hAnsi="仿宋_GB2312" w:cs="仿宋_GB2312" w:eastAsia="仿宋_GB2312"/>
                <w:sz w:val="24"/>
              </w:rPr>
              <w:t>，格式自拟</w:t>
            </w:r>
            <w:r>
              <w:rPr>
                <w:rFonts w:ascii="仿宋_GB2312" w:hAnsi="仿宋_GB2312" w:cs="仿宋_GB2312" w:eastAsia="仿宋_GB2312"/>
                <w:sz w:val="24"/>
              </w:rPr>
              <w:t>并加盖公章）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供应商应保证本项目所提供的所有服务、成果不涉及侵犯任何第三方的专利权、商标权或著作权等（</w:t>
            </w:r>
            <w:r>
              <w:rPr>
                <w:rFonts w:ascii="仿宋_GB2312" w:hAnsi="仿宋_GB2312" w:cs="仿宋_GB2312" w:eastAsia="仿宋_GB2312"/>
                <w:sz w:val="24"/>
              </w:rPr>
              <w:t>在响应文件中</w:t>
            </w:r>
            <w:r>
              <w:rPr>
                <w:rFonts w:ascii="仿宋_GB2312" w:hAnsi="仿宋_GB2312" w:cs="仿宋_GB2312" w:eastAsia="仿宋_GB2312"/>
                <w:sz w:val="24"/>
              </w:rPr>
              <w:t>提供承诺函</w:t>
            </w:r>
            <w:r>
              <w:rPr>
                <w:rFonts w:ascii="仿宋_GB2312" w:hAnsi="仿宋_GB2312" w:cs="仿宋_GB2312" w:eastAsia="仿宋_GB2312"/>
                <w:sz w:val="24"/>
              </w:rPr>
              <w:t>，格式自拟</w:t>
            </w:r>
            <w:r>
              <w:rPr>
                <w:rFonts w:ascii="仿宋_GB2312" w:hAnsi="仿宋_GB2312" w:cs="仿宋_GB2312" w:eastAsia="仿宋_GB2312"/>
                <w:sz w:val="24"/>
              </w:rPr>
              <w:t>并加盖公章）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供应商</w:t>
            </w:r>
            <w:r>
              <w:rPr>
                <w:rFonts w:ascii="仿宋_GB2312" w:hAnsi="仿宋_GB2312" w:cs="仿宋_GB2312" w:eastAsia="仿宋_GB2312"/>
                <w:sz w:val="24"/>
              </w:rPr>
              <w:t>所供软件不得存在或因系统底层架构导致个人数据被盗取等相关漏洞隐患。若出现上述情况，</w:t>
            </w:r>
            <w:r>
              <w:rPr>
                <w:rFonts w:ascii="仿宋_GB2312" w:hAnsi="仿宋_GB2312" w:cs="仿宋_GB2312" w:eastAsia="仿宋_GB2312"/>
                <w:sz w:val="24"/>
              </w:rPr>
              <w:t>供应商</w:t>
            </w:r>
            <w:r>
              <w:rPr>
                <w:rFonts w:ascii="仿宋_GB2312" w:hAnsi="仿宋_GB2312" w:cs="仿宋_GB2312" w:eastAsia="仿宋_GB2312"/>
                <w:sz w:val="24"/>
              </w:rPr>
              <w:t>将承担一切法律责任和经济责任，同时采购人有权单方面终止合同（</w:t>
            </w:r>
            <w:r>
              <w:rPr>
                <w:rFonts w:ascii="仿宋_GB2312" w:hAnsi="仿宋_GB2312" w:cs="仿宋_GB2312" w:eastAsia="仿宋_GB2312"/>
                <w:sz w:val="24"/>
              </w:rPr>
              <w:t>在响应文件中</w:t>
            </w:r>
            <w:r>
              <w:rPr>
                <w:rFonts w:ascii="仿宋_GB2312" w:hAnsi="仿宋_GB2312" w:cs="仿宋_GB2312" w:eastAsia="仿宋_GB2312"/>
                <w:sz w:val="24"/>
              </w:rPr>
              <w:t>提供承诺函</w:t>
            </w:r>
            <w:r>
              <w:rPr>
                <w:rFonts w:ascii="仿宋_GB2312" w:hAnsi="仿宋_GB2312" w:cs="仿宋_GB2312" w:eastAsia="仿宋_GB2312"/>
                <w:sz w:val="24"/>
              </w:rPr>
              <w:t>，格式自拟</w:t>
            </w:r>
            <w:r>
              <w:rPr>
                <w:rFonts w:ascii="仿宋_GB2312" w:hAnsi="仿宋_GB2312" w:cs="仿宋_GB2312" w:eastAsia="仿宋_GB2312"/>
                <w:sz w:val="24"/>
              </w:rPr>
              <w:t>并加盖公章）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供应商应同采购人签订安全保密协议，对在本项目履约过程中获知的信息及履约后产生的成果附有保密责任</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9.其他未尽事宜由采购人与成交供应商在政府采购合同中进行约定（约定事项应符合法律法规要求且不违背采购文件实质性要求。所需费用包含在报价中）。</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与评审标准对应的项目要求</w:t>
            </w:r>
          </w:p>
        </w:tc>
        <w:tc>
          <w:tcPr>
            <w:tcW w:type="dxa" w:w="5814"/>
          </w:tcPr>
          <w:p>
            <w:pPr>
              <w:pStyle w:val="null3"/>
              <w:jc w:val="both"/>
            </w:pPr>
            <w:r>
              <w:rPr>
                <w:rFonts w:ascii="仿宋_GB2312" w:hAnsi="仿宋_GB2312" w:cs="仿宋_GB2312" w:eastAsia="仿宋_GB2312"/>
                <w:sz w:val="24"/>
              </w:rPr>
              <w:t>1、供应商应针对本项目提供项目实施方案，方</w:t>
            </w:r>
            <w:r>
              <w:rPr>
                <w:rFonts w:ascii="仿宋_GB2312" w:hAnsi="仿宋_GB2312" w:cs="仿宋_GB2312" w:eastAsia="仿宋_GB2312"/>
                <w:sz w:val="24"/>
              </w:rPr>
              <w:t>案包含：</w:t>
            </w:r>
            <w:r>
              <w:rPr>
                <w:rFonts w:ascii="仿宋_GB2312" w:hAnsi="仿宋_GB2312" w:cs="仿宋_GB2312" w:eastAsia="仿宋_GB2312"/>
                <w:sz w:val="24"/>
              </w:rPr>
              <w:t>①项目实施组织方案</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服务人员安排</w:t>
            </w:r>
            <w:r>
              <w:rPr>
                <w:rFonts w:ascii="仿宋_GB2312" w:hAnsi="仿宋_GB2312" w:cs="仿宋_GB2312" w:eastAsia="仿宋_GB2312"/>
                <w:sz w:val="24"/>
              </w:rPr>
              <w:t>；</w:t>
            </w:r>
            <w:r>
              <w:rPr>
                <w:rFonts w:ascii="仿宋_GB2312" w:hAnsi="仿宋_GB2312" w:cs="仿宋_GB2312" w:eastAsia="仿宋_GB2312"/>
                <w:sz w:val="24"/>
              </w:rPr>
              <w:t>③项目进度计划；④项目进度保障措施；⑤质量保证措施；⑥项目技术方案；⑦服务应急处理实施方案；⑧安装调试措施；⑨</w:t>
            </w:r>
            <w:r>
              <w:rPr>
                <w:rFonts w:ascii="仿宋_GB2312" w:hAnsi="仿宋_GB2312" w:cs="仿宋_GB2312" w:eastAsia="仿宋_GB2312"/>
                <w:sz w:val="24"/>
              </w:rPr>
              <w:t>安全保障措施；</w:t>
            </w:r>
            <w:r>
              <w:rPr>
                <w:rFonts w:ascii="仿宋_GB2312" w:hAnsi="仿宋_GB2312" w:cs="仿宋_GB2312" w:eastAsia="仿宋_GB2312"/>
                <w:sz w:val="24"/>
              </w:rPr>
              <w:t>⑩</w:t>
            </w:r>
            <w:r>
              <w:rPr>
                <w:rFonts w:ascii="仿宋_GB2312" w:hAnsi="仿宋_GB2312" w:cs="仿宋_GB2312" w:eastAsia="仿宋_GB2312"/>
                <w:sz w:val="24"/>
              </w:rPr>
              <w:t>数据保密措施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2、供应商应针对本项目提供培训方案，方案包含：</w:t>
            </w:r>
            <w:r>
              <w:rPr>
                <w:rFonts w:ascii="仿宋_GB2312" w:hAnsi="仿宋_GB2312" w:cs="仿宋_GB2312" w:eastAsia="仿宋_GB2312"/>
                <w:sz w:val="24"/>
              </w:rPr>
              <w:t>①</w:t>
            </w:r>
            <w:r>
              <w:rPr>
                <w:rFonts w:ascii="仿宋_GB2312" w:hAnsi="仿宋_GB2312" w:cs="仿宋_GB2312" w:eastAsia="仿宋_GB2312"/>
                <w:sz w:val="24"/>
              </w:rPr>
              <w:t>培训计划</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培训内容</w:t>
            </w:r>
            <w:r>
              <w:rPr>
                <w:rFonts w:ascii="仿宋_GB2312" w:hAnsi="仿宋_GB2312" w:cs="仿宋_GB2312" w:eastAsia="仿宋_GB2312"/>
                <w:sz w:val="24"/>
              </w:rPr>
              <w:t>及方式；</w:t>
            </w:r>
            <w:r>
              <w:rPr>
                <w:rFonts w:ascii="仿宋_GB2312" w:hAnsi="仿宋_GB2312" w:cs="仿宋_GB2312" w:eastAsia="仿宋_GB2312"/>
                <w:sz w:val="24"/>
              </w:rPr>
              <w:t>③</w:t>
            </w:r>
            <w:r>
              <w:rPr>
                <w:rFonts w:ascii="仿宋_GB2312" w:hAnsi="仿宋_GB2312" w:cs="仿宋_GB2312" w:eastAsia="仿宋_GB2312"/>
                <w:sz w:val="24"/>
              </w:rPr>
              <w:t>培训质量保障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供应商提供类似项目业绩。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设备上线时限：政府采购合同签订之日起，45个工作日内完成本项目所需软、硬件设备配套上线（含相关设备软件升级）。每半年服务期结束后进行《常态化管理监测服务考核》，当年两次考核合格后及在保证年度预算的前提下续签下一年服务合同。成交供应商对该项目的服务期限最长不超过三年（期间服务内容及金额均按照采购文件内容执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巴中市中医医院（巴中市巴州区人民医院）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的通知》（财库〔2016〕205号）、《财政部关于印发&lt;政府采购需求管理办法&gt;的通知》（财库〔2021〕22号）、《巴中市财政局关于进一步加强政府采购项目合同履约验收管理工作的通知》（巴财采〔2021〕21号）、磋商文件规定的要求和响应文件承诺及合同约定的标准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1、前6个月服务期结束，根据考核情况，供应商向采购人出具合法有效完整的完税发票及凭证资料，达到付款条件起7日内，支付合同总金额的50.00%</w:t>
            </w:r>
          </w:p>
          <w:p>
            <w:pPr>
              <w:pStyle w:val="null3"/>
              <w:jc w:val="left"/>
            </w:pPr>
            <w:r>
              <w:rPr>
                <w:rFonts w:ascii="仿宋_GB2312" w:hAnsi="仿宋_GB2312" w:cs="仿宋_GB2312" w:eastAsia="仿宋_GB2312"/>
              </w:rPr>
              <w:t>2、后6个月服务期结束，根据考核情况，供应商向采购人出具合法有效完整的完税发票及凭证资料，达到付款条件起7日内，支付合同总金额的50.00%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（一）成交供应商在政府采购合同履约期间，因自身原因造成政府采购合同终止的，因此产生的所有经济损失由成交供应商自行承担，如给采购人造成经济损失的，采购人将依法追究其法律责任； （二）采购人和成交供应商必须遵守本项目各项规定，保证本项目的正常履行。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（三）未经采购人书面同意，供应商擅自将本项目合同下权利或义务部分或全部转让任何第三方时，采购人有权单方面解除合同； （四）如供应商根据本项目合同约定应向采购人支付违约金或应赔偿采购人的损失的，采购人有权从其应向供应商支付的合同款中扣除，不足部分，供应商应予以补足。 争议解决： （一）供应商与采购人双方应通过友好协商，解决在执行本项目合同所发生的或与本项目合同有关的一切争议。如协商不能解决争议，任何一方均可将争议提交采购人所在地有管辖权的法院，通过诉讼解决争议； （二）在诉讼期间，除正在进行诉讼部分外，本项目合同其它部分应继续执行。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3.2技术要求、3.3服务要求中的内容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color w:val="000000"/>
        </w:rPr>
        <w:t>政府采购合同中的所有内容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复印件，未换证的提供“营业执照、税务登记证、组织机构代码证或三证合一的营业执照复印件；（2）若为事业法人：提供“统一社会信用代码法人登记证书”复印件；未换证的提供“事业法人登记证书、组织机构代码证”复印件。（3）若为其他组织：提供“对应主管部门 颁发的准许执业证明文件或营业执照”复印件。（4）若为自然人：提供其身份证明复印件。（5）供应商属于银行、保险、石油石化、电力、电信、 移动、联通、广电等有行业特殊情况的，可提供企业分支机构统一社会信 用代码的营业执照（复印件）及总公司授权的证明材料复印件。</w:t>
            </w:r>
          </w:p>
        </w:tc>
        <w:tc>
          <w:tcPr>
            <w:tcW w:type="dxa" w:w="1661"/>
          </w:tcPr>
          <w:p>
            <w:pPr>
              <w:pStyle w:val="null3"/>
              <w:jc w:val="left"/>
            </w:pPr>
            <w:r>
              <w:rPr>
                <w:rFonts w:ascii="仿宋_GB2312" w:hAnsi="仿宋_GB2312" w:cs="仿宋_GB2312" w:eastAsia="仿宋_GB2312"/>
              </w:rPr>
              <w:t>响应文件封面,具有独立承担民事责任的能力.docx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以下任选其一： a.可提供2024年或2025年任一年度经审计的财务报告（包含审计报告和审计报告中所涉及的财务报表和报表附注）扫描件，执行《小企业会计准则》的可不提供所有者权益变动表）； b.可提供2024年或2025年任一年度供应商内部财务报表（至少包括资产负债表、利润表、现金流量表）扫描件； c.可提供截至响应截止日一年内银行出具的资信证明扫描件； d.供应商注册时间截至响应截止日不足一年的，也可提供在工商管理部门备案的公司章程扫描件。e. 供应商为事业单位可提供内部财务报表(至少包括资产负债表)或提供财务管理文件（复印件）或提供承诺函。供应商需在使用投标(响应)客户端编制响应文件时，按要求上传相应证明材料并进行电子签章。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技术、服务及其他要求应答内容是否完全满足磋商文件的实质性要求</w:t>
            </w:r>
          </w:p>
        </w:tc>
        <w:tc>
          <w:tcPr>
            <w:tcW w:type="dxa" w:w="1661"/>
          </w:tcPr>
          <w:p>
            <w:pPr>
              <w:pStyle w:val="null3"/>
              <w:jc w:val="left"/>
            </w:pPr>
            <w:r>
              <w:rPr>
                <w:rFonts w:ascii="仿宋_GB2312" w:hAnsi="仿宋_GB2312" w:cs="仿宋_GB2312" w:eastAsia="仿宋_GB2312"/>
              </w:rPr>
              <w:t>供应商应提交的相关证明材料,服务应答表.docx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云桌面系统建设要求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云桌面系统建设要求</w:t>
            </w:r>
          </w:p>
        </w:tc>
        <w:tc>
          <w:tcPr>
            <w:tcW w:type="dxa" w:w="2575"/>
          </w:tcPr>
          <w:p>
            <w:pPr>
              <w:pStyle w:val="null3"/>
              <w:jc w:val="left"/>
            </w:pPr>
            <w:r>
              <w:rPr>
                <w:rFonts w:ascii="仿宋_GB2312" w:hAnsi="仿宋_GB2312" w:cs="仿宋_GB2312" w:eastAsia="仿宋_GB2312"/>
              </w:rPr>
              <w:t>完全满足磋商文件第三章3.2 技术要求 云桌面系统建设要求-技术参数与性能指标的得36.7分。其中标注“▲”条款为重要参数共计20条，共30分，每有一条负偏离扣1.5分；一般技术参数条款（指未标注“▲”“★”的条款）共计67条，共6.7分，每有一条负偏离扣0.1分。 注：①本磋商文件以一级序号数字（如“1、”“2、”“3、”…）为一条。②重要性条款（▲号条款）需提供佐证证明材料。技术要求中如有明确的佐证材料要求的以具体技术要求中的要求为准，未提供技术要求中相应佐证材料的视为负偏离。③投标供应商在制定参数偏离表时应尽可能标明相对应佐证资料出处、页码等。④★号条款为实质性条款，若不满足则做无效投标处理。</w:t>
            </w:r>
          </w:p>
        </w:tc>
        <w:tc>
          <w:tcPr>
            <w:tcW w:type="dxa" w:w="831"/>
          </w:tcPr>
          <w:p>
            <w:pPr>
              <w:pStyle w:val="null3"/>
              <w:jc w:val="center"/>
            </w:pPr>
            <w:r>
              <w:rPr>
                <w:rFonts w:ascii="仿宋_GB2312" w:hAnsi="仿宋_GB2312" w:cs="仿宋_GB2312" w:eastAsia="仿宋_GB2312"/>
              </w:rPr>
              <w:t>36.7000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方案内容包括：①项目实施组织方案；②服务人员安排；③项目进度计划；④项目进度保障措施；⑤质量保证措施；⑥项目技术方案；⑦服务应急处理实施方案；⑧安装调试措施；⑨安全保障措施；⑩数据保密措施。以上10项内容完全满足项目实际需求的得40分，方案每缺少一项扣4分，每有一项内容存在缺陷扣2分。 注：（1）满足项目实际需求是指：提供的文字、图片、表格等内容包含该项服务要求的全部内容，引用的规范、标准及法律法规等是现行正在使用的，无胡乱编造等任意一种情形；（2）缺陷是指：非专门针对本项目或内容与本项目需求无关、仅有框架或标题，方案标题及方案内容与实际内容不相符合、内容部分满足、套用其他项目方案、内容前后不一致、涉及的规范及标准错误、不能直接用于项目实施、实施地点区域错误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根据供应商提供的培训方案进行综合评审，方案内容包括：①培训计划；②培训内容及方式；③培训质量保障。以上3项内容完全满足项目实际需求的得9分，方案每缺少一项扣3分，每有一项内容存在缺陷扣1.5分。 注：（1）满足项目实际需求是指：提供的文字、图片、表格等内容包含该项服务要求的全部内容，引用的规范、标准及法律法规等是现行正在使用的，无胡乱编造等任意一种情形；（2）缺陷是指：非专门针对本项目或内容与本项目需求无关、仅有框架或标题，方案标题及方案内容与实际内容不相符合、内容部分满足、套用其他项目方案、内容前后不一致、涉及的规范及标准错误、不能直接用于项目实施、实施地点区域错误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培训方案.docx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供应商具有2023年1月1日（含）以来类似项目业绩，每具有1个类似项目业绩得2.15分，本项最多得4.3分（提供合同复印件或履约验收证明材料）。 注：类似业绩是指云服务类或集成服务类或信息化服务类。</w:t>
            </w:r>
          </w:p>
        </w:tc>
        <w:tc>
          <w:tcPr>
            <w:tcW w:type="dxa" w:w="831"/>
          </w:tcPr>
          <w:p>
            <w:pPr>
              <w:pStyle w:val="null3"/>
              <w:jc w:val="center"/>
            </w:pPr>
            <w:r>
              <w:rPr>
                <w:rFonts w:ascii="仿宋_GB2312" w:hAnsi="仿宋_GB2312" w:cs="仿宋_GB2312" w:eastAsia="仿宋_GB2312"/>
              </w:rPr>
              <w:t>4.3000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详见附件：培训方案.docx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