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48FD3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具有健全财务会计制度的证明材料</w:t>
      </w:r>
    </w:p>
    <w:p w14:paraId="0820FFEC">
      <w:pPr>
        <w:jc w:val="center"/>
        <w:rPr>
          <w:rFonts w:hint="eastAsia"/>
          <w:b/>
          <w:bCs/>
          <w:sz w:val="28"/>
          <w:szCs w:val="36"/>
        </w:rPr>
      </w:pPr>
    </w:p>
    <w:p w14:paraId="260D403E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以下任选其一： a.可提供2024年或2025年任一年度经审计的财务报告（包含审计报告和审计报告中所涉及的财务报表和报表附注）扫描件，执行《小企业会计准则》的可不提供所有者权益变动表）； b.可提供</w:t>
      </w:r>
      <w:bookmarkStart w:id="0" w:name="_GoBack"/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2024年或2025年任一年度供应商内部财务报表（至少包括资产负债表、利润表、现金流量表）扫描件； c.可提供截至响应截止日一年内银行出具的资信证明扫描件； d.供应商注册时间截至响应截止日不足一年的，也可提供在工商管理部门备案的公司章程扫描件。e. 供应商为事业单位可提供内部财务报表(至少包括资产负债表)或提供财务管理文件（复印件）或提供承诺函。供应商需在使用投标(响应)客户端编制响应文件时，按要求上传相应证明材料并进行电子签章。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3B5C219">
      <w:pPr>
        <w:jc w:val="left"/>
        <w:rPr>
          <w:rFonts w:hint="eastAsia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F0D7E"/>
    <w:rsid w:val="099A5368"/>
    <w:rsid w:val="0F6F0D7E"/>
    <w:rsid w:val="3E1030AD"/>
    <w:rsid w:val="53254CDC"/>
    <w:rsid w:val="5F5F5CFD"/>
    <w:rsid w:val="6EB70E5E"/>
    <w:rsid w:val="7CBA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339</Characters>
  <Lines>0</Lines>
  <Paragraphs>0</Paragraphs>
  <TotalTime>0</TotalTime>
  <ScaleCrop>false</ScaleCrop>
  <LinksUpToDate>false</LinksUpToDate>
  <CharactersWithSpaces>345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2025-03-20T06:47:00Z</dcterms:created>
  <dc:creator>二咩和榴莲</dc:creator>
  <cp:lastModifiedBy>二咩和榴莲</cp:lastModifiedBy>
  <dcterms:modified xsi:type="dcterms:W3CDTF">2026-05-13T03:29:20Z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753CB7FD1F7148AFA21BB5E97D7FDECA_11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