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B9614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具有独立承担民事责任的能力。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492AEBC0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0A82E5"/>
          <w:spacing w:val="0"/>
          <w:kern w:val="0"/>
          <w:sz w:val="24"/>
          <w:szCs w:val="24"/>
          <w:shd w:val="clear" w:fill="FFFFFF"/>
          <w:lang w:val="en-US" w:eastAsia="zh-CN" w:bidi="ar"/>
        </w:rPr>
        <w:t>（1）若为企业法人：提供“统一社会信用代码营业执照”复印件，未换证的提供“营业执照、税务登记证、组织机构代码证或三证合一的营业执照复印件；（2）若为事业法人：提供“统一社会信用代码法人登记证书”复印件；未换证的提供“事业法人登记证书、组织机构代码证”复印件。（3）若为其他组织：提供“对应主管部门 颁发的准许执业证明文件或营业执照”复印件。（4）若为自然人：提供其身份证明复印件。（5）供应商属于银行、保险、石油石化、电力、电信、 移动、联通、广电等有行业特殊情况的，可提供企业分支机构统一社会信 用代码的营业执照（复印件）及总公司授权的证明材料复印件。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7487A2E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9D01F7"/>
    <w:rsid w:val="15695D93"/>
    <w:rsid w:val="20C563CC"/>
    <w:rsid w:val="2C9D0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</Words>
  <Characters>14</Characters>
  <Lines>0</Lines>
  <Paragraphs>0</Paragraphs>
  <TotalTime>0</TotalTime>
  <ScaleCrop>false</ScaleCrop>
  <LinksUpToDate>false</LinksUpToDate>
  <CharactersWithSpaces>14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2025-05-27T08:12:00Z</dcterms:created>
  <dc:creator>二咩和榴莲</dc:creator>
  <cp:lastModifiedBy>二咩和榴莲</cp:lastModifiedBy>
  <dcterms:modified xsi:type="dcterms:W3CDTF">2025-12-16T06:47:07Z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3FA3640CEA934FD0BFBBBFA299D19DF7_11</vt:lpwstr>
  </property>
  <property fmtid="{D5CDD505-2E9C-101B-9397-08002B2CF9AE}" pid="4" name="KSOTemplateDocerSaveRecord">
    <vt:lpwstr>eyJoZGlkIjoiOGI3MmIyOGRkZjI5MDEyN2ZhMDc0MDYxMjQyMzFkZmEiLCJ1c2VySWQiOiI1NDkwNzU0OTcifQ==</vt:lpwstr>
  </property>
</Properties>
</file>