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版本号：N510901202600012020260608001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农学专业实训室教学用电脑采购项目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N5109012026000120</w:t>
      </w:r>
    </w:p>
    <w:p>
      <w:pPr>
        <w:pStyle w:val="null3"/>
        <w:jc w:val="left"/>
        <w:outlineLvl w:val="2"/>
      </w:pPr>
      <w:r>
        <w:rPr>
          <w:rFonts w:ascii="仿宋_GB2312" w:hAnsi="仿宋_GB2312" w:cs="仿宋_GB2312" w:eastAsia="仿宋_GB2312"/>
          <w:sz w:val="28"/>
          <w:b/>
        </w:rPr>
        <w:t>遂宁市职业技术学校</w:t>
      </w:r>
    </w:p>
    <w:p>
      <w:pPr>
        <w:pStyle w:val="null3"/>
        <w:jc w:val="center"/>
        <w:outlineLvl w:val="2"/>
      </w:pPr>
      <w:r>
        <w:rPr>
          <w:rFonts w:ascii="仿宋_GB2312" w:hAnsi="仿宋_GB2312" w:cs="仿宋_GB2312" w:eastAsia="仿宋_GB2312"/>
          <w:sz w:val="28"/>
          <w:b/>
        </w:rPr>
        <w:t>遂宁市政府采购中心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遂宁市政府采购中心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遂宁市职业技术学校</w:t>
      </w:r>
      <w:r>
        <w:rPr>
          <w:rFonts w:ascii="仿宋_GB2312" w:hAnsi="仿宋_GB2312" w:cs="仿宋_GB2312" w:eastAsia="仿宋_GB2312"/>
        </w:rPr>
        <w:t xml:space="preserve"> 委托，拟对 </w:t>
      </w:r>
      <w:r>
        <w:rPr>
          <w:rFonts w:ascii="仿宋_GB2312" w:hAnsi="仿宋_GB2312" w:cs="仿宋_GB2312" w:eastAsia="仿宋_GB2312"/>
        </w:rPr>
        <w:t>农学专业实训室教学用电脑采购项目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遂宁市市本级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N5109012026000120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农学专业实训室教学用电脑采购项目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拟采购实训室教学用电脑一批</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遂宁市职业技术学校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遂宁市船山区南津路175号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629000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0825-2632730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遂宁市政府采购中心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四川省遂宁市船山区东升路38号5号花瓣四楼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629000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政府采购服务科</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0825-2210159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采购包1：378,960.00元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遂宁市职业技术学校</w:t>
      </w:r>
      <w:r>
        <w:rPr>
          <w:rFonts w:ascii="仿宋_GB2312" w:hAnsi="仿宋_GB2312" w:cs="仿宋_GB2312" w:eastAsia="仿宋_GB2312"/>
        </w:rPr>
        <w:t xml:space="preserve"> 和 </w:t>
      </w:r>
      <w:r>
        <w:rPr>
          <w:rFonts w:ascii="仿宋_GB2312" w:hAnsi="仿宋_GB2312" w:cs="仿宋_GB2312" w:eastAsia="仿宋_GB2312"/>
        </w:rPr>
        <w:t>遂宁市政府采购中心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遂宁市职业技术学校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遂宁市政府采购中心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投标人提出验收申请之日起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在采购人与中标人订立合同时按明细约定或后续补充约定。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验收内容包括招标文件每一项技术要求的履约情况，中标人投标文件中的响应和承诺、合同约定内容。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验收内容包括招标文件每一项商务要求的履约情况，中标人投标文件中的响应和承诺、合同约定内容。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参照关于印发《政府采购需求管理办法》的通知（财库〔2021〕22号）和《财政部关于进一步加强政府采购需求和履约验收管理的指导意见》(财库〔2016〕205号)的要求以及招标文件、投标人的投标文件进行验收，以满足采购人的实际需求为准。</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在采购人与中标人订立合同时按明细约定或后续补充约定。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遂宁市职业技术学校</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遂宁市政府采购中心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遂宁市政府采购中心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联系人：何先生</w:t>
      </w:r>
    </w:p>
    <w:p>
      <w:pPr>
        <w:pStyle w:val="null3"/>
        <w:jc w:val="left"/>
      </w:pPr>
      <w:r>
        <w:rPr>
          <w:rFonts w:ascii="仿宋_GB2312" w:hAnsi="仿宋_GB2312" w:cs="仿宋_GB2312" w:eastAsia="仿宋_GB2312"/>
        </w:rPr>
        <w:t>联系电话：0825-2632730</w:t>
      </w:r>
    </w:p>
    <w:p>
      <w:pPr>
        <w:pStyle w:val="null3"/>
        <w:jc w:val="left"/>
      </w:pPr>
      <w:r>
        <w:rPr>
          <w:rFonts w:ascii="仿宋_GB2312" w:hAnsi="仿宋_GB2312" w:cs="仿宋_GB2312" w:eastAsia="仿宋_GB2312"/>
        </w:rPr>
        <w:t>地址：遂宁市船山区南津路175号</w:t>
      </w:r>
    </w:p>
    <w:p>
      <w:pPr>
        <w:pStyle w:val="null3"/>
        <w:jc w:val="left"/>
      </w:pPr>
      <w:r>
        <w:rPr>
          <w:rFonts w:ascii="仿宋_GB2312" w:hAnsi="仿宋_GB2312" w:cs="仿宋_GB2312" w:eastAsia="仿宋_GB2312"/>
        </w:rPr>
        <w:t>邮编：629000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联系人：邓老师</w:t>
      </w:r>
    </w:p>
    <w:p>
      <w:pPr>
        <w:pStyle w:val="null3"/>
        <w:jc w:val="left"/>
      </w:pPr>
      <w:r>
        <w:rPr>
          <w:rFonts w:ascii="仿宋_GB2312" w:hAnsi="仿宋_GB2312" w:cs="仿宋_GB2312" w:eastAsia="仿宋_GB2312"/>
        </w:rPr>
        <w:t>联系电话：0825-2217762</w:t>
      </w:r>
    </w:p>
    <w:p>
      <w:pPr>
        <w:pStyle w:val="null3"/>
        <w:jc w:val="left"/>
      </w:pPr>
      <w:r>
        <w:rPr>
          <w:rFonts w:ascii="仿宋_GB2312" w:hAnsi="仿宋_GB2312" w:cs="仿宋_GB2312" w:eastAsia="仿宋_GB2312"/>
        </w:rPr>
        <w:t>地址： 遂宁市河东新区市民中心5号花瓣4楼5415室</w:t>
      </w:r>
    </w:p>
    <w:p>
      <w:pPr>
        <w:pStyle w:val="null3"/>
        <w:jc w:val="left"/>
      </w:pPr>
      <w:r>
        <w:rPr>
          <w:rFonts w:ascii="仿宋_GB2312" w:hAnsi="仿宋_GB2312" w:cs="仿宋_GB2312" w:eastAsia="仿宋_GB2312"/>
        </w:rPr>
        <w:t>邮编：629000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378,960.00</w:t>
      </w:r>
    </w:p>
    <w:p>
      <w:pPr>
        <w:pStyle w:val="null3"/>
        <w:jc w:val="left"/>
      </w:pPr>
      <w:r>
        <w:rPr>
          <w:rFonts w:ascii="仿宋_GB2312" w:hAnsi="仿宋_GB2312" w:cs="仿宋_GB2312" w:eastAsia="仿宋_GB2312"/>
        </w:rPr>
        <w:t>采购包最高限价（元）: 378,960.00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教学用电脑</w:t>
            </w:r>
          </w:p>
        </w:tc>
        <w:tc>
          <w:tcPr>
            <w:tcW w:type="dxa" w:w="821"/>
          </w:tcPr>
          <w:p>
            <w:pPr>
              <w:pStyle w:val="null3"/>
              <w:jc w:val="right"/>
            </w:pPr>
            <w:r>
              <w:rPr>
                <w:rFonts w:ascii="仿宋_GB2312" w:hAnsi="仿宋_GB2312" w:cs="仿宋_GB2312" w:eastAsia="仿宋_GB2312"/>
              </w:rPr>
              <w:t>80.00（台）</w:t>
            </w:r>
          </w:p>
        </w:tc>
        <w:tc>
          <w:tcPr>
            <w:tcW w:type="dxa" w:w="821"/>
          </w:tcPr>
          <w:p>
            <w:pPr>
              <w:pStyle w:val="null3"/>
              <w:jc w:val="right"/>
            </w:pPr>
            <w:r>
              <w:rPr>
                <w:rFonts w:ascii="仿宋_GB2312" w:hAnsi="仿宋_GB2312" w:cs="仿宋_GB2312" w:eastAsia="仿宋_GB2312"/>
              </w:rPr>
              <w:t>378,960.00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教学用电脑</w:t>
            </w:r>
          </w:p>
        </w:tc>
        <w:tc>
          <w:tcPr>
            <w:tcW w:type="dxa" w:w="1138"/>
          </w:tcPr>
          <w:p>
            <w:pPr>
              <w:pStyle w:val="null3"/>
              <w:jc w:val="center"/>
            </w:pPr>
            <w:r>
              <w:rPr>
                <w:rFonts w:ascii="仿宋_GB2312" w:hAnsi="仿宋_GB2312" w:cs="仿宋_GB2312" w:eastAsia="仿宋_GB2312"/>
              </w:rPr>
              <w:t>80.00（台）</w:t>
            </w:r>
          </w:p>
        </w:tc>
        <w:tc>
          <w:tcPr>
            <w:tcW w:type="dxa" w:w="1365"/>
          </w:tcPr>
          <w:p>
            <w:pPr>
              <w:pStyle w:val="null3"/>
              <w:jc w:val="center"/>
            </w:pPr>
            <w:r>
              <w:rPr>
                <w:rFonts w:ascii="仿宋_GB2312" w:hAnsi="仿宋_GB2312" w:cs="仿宋_GB2312" w:eastAsia="仿宋_GB2312"/>
              </w:rPr>
              <w:t>378,960.00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教学用电脑</w:t>
            </w:r>
          </w:p>
        </w:tc>
        <w:tc>
          <w:tcPr>
            <w:tcW w:type="dxa" w:w="2492"/>
          </w:tcPr>
          <w:p>
            <w:pPr>
              <w:pStyle w:val="null3"/>
              <w:jc w:val="left"/>
            </w:pPr>
            <w:r>
              <w:rPr>
                <w:rFonts w:ascii="仿宋_GB2312" w:hAnsi="仿宋_GB2312" w:cs="仿宋_GB2312" w:eastAsia="仿宋_GB2312"/>
              </w:rPr>
              <w:t>教学用电脑</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教学用电脑</w:t>
            </w:r>
          </w:p>
        </w:tc>
        <w:tc>
          <w:tcPr>
            <w:tcW w:type="dxa" w:w="2492"/>
          </w:tcPr>
          <w:p>
            <w:pPr>
              <w:pStyle w:val="null3"/>
              <w:jc w:val="left"/>
            </w:pPr>
            <w:r>
              <w:rPr>
                <w:rFonts w:ascii="仿宋_GB2312" w:hAnsi="仿宋_GB2312" w:cs="仿宋_GB2312" w:eastAsia="仿宋_GB2312"/>
              </w:rPr>
              <w:t>教学用电脑</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教学用电脑</w:t>
            </w:r>
          </w:p>
        </w:tc>
        <w:tc>
          <w:tcPr>
            <w:tcW w:type="dxa" w:w="2492"/>
          </w:tcPr>
          <w:p>
            <w:pPr>
              <w:pStyle w:val="null3"/>
              <w:jc w:val="left"/>
            </w:pPr>
            <w:r>
              <w:rPr>
                <w:rFonts w:ascii="仿宋_GB2312" w:hAnsi="仿宋_GB2312" w:cs="仿宋_GB2312" w:eastAsia="仿宋_GB2312"/>
              </w:rPr>
              <w:t>教学用电脑</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标的名称：教学用电脑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教学用电脑</w:t>
            </w:r>
          </w:p>
        </w:tc>
        <w:tc>
          <w:tcPr>
            <w:tcW w:type="dxa" w:w="5814"/>
          </w:tcPr>
          <w:p>
            <w:pPr>
              <w:pStyle w:val="null3"/>
              <w:spacing w:before="195"/>
              <w:jc w:val="left"/>
            </w:pPr>
            <w:r>
              <w:rPr>
                <w:rFonts w:ascii="仿宋_GB2312" w:hAnsi="仿宋_GB2312" w:cs="仿宋_GB2312" w:eastAsia="仿宋_GB2312"/>
                <w:sz w:val="20"/>
              </w:rPr>
              <w:t>★</w:t>
            </w:r>
            <w:r>
              <w:rPr>
                <w:rFonts w:ascii="仿宋_GB2312" w:hAnsi="仿宋_GB2312" w:cs="仿宋_GB2312" w:eastAsia="仿宋_GB2312"/>
                <w:sz w:val="24"/>
                <w:color w:val="000000"/>
              </w:rPr>
              <w:t>1.处理器：≥14核心，≥20线程，三级缓存≥24MB,主频≥2.6GHz;</w:t>
            </w:r>
          </w:p>
          <w:p>
            <w:pPr>
              <w:pStyle w:val="null3"/>
              <w:spacing w:before="195"/>
              <w:jc w:val="left"/>
            </w:pPr>
            <w:r>
              <w:rPr>
                <w:rFonts w:ascii="仿宋_GB2312" w:hAnsi="仿宋_GB2312" w:cs="仿宋_GB2312" w:eastAsia="仿宋_GB2312"/>
                <w:sz w:val="20"/>
              </w:rPr>
              <w:t>★</w:t>
            </w:r>
            <w:r>
              <w:rPr>
                <w:rFonts w:ascii="仿宋_GB2312" w:hAnsi="仿宋_GB2312" w:cs="仿宋_GB2312" w:eastAsia="仿宋_GB2312"/>
                <w:sz w:val="24"/>
                <w:color w:val="000000"/>
              </w:rPr>
              <w:t>2.内存：≥16GB内存，最大支持128GB扩展；</w:t>
            </w:r>
          </w:p>
          <w:p>
            <w:pPr>
              <w:pStyle w:val="null3"/>
              <w:spacing w:before="195"/>
              <w:jc w:val="left"/>
            </w:pPr>
            <w:r>
              <w:rPr>
                <w:rFonts w:ascii="仿宋_GB2312" w:hAnsi="仿宋_GB2312" w:cs="仿宋_GB2312" w:eastAsia="仿宋_GB2312"/>
                <w:sz w:val="20"/>
              </w:rPr>
              <w:t>★</w:t>
            </w:r>
            <w:r>
              <w:rPr>
                <w:rFonts w:ascii="仿宋_GB2312" w:hAnsi="仿宋_GB2312" w:cs="仿宋_GB2312" w:eastAsia="仿宋_GB2312"/>
                <w:sz w:val="24"/>
                <w:color w:val="000000"/>
              </w:rPr>
              <w:t>3.硬盘：≥512GB固态硬盘；机械硬盘1TB;</w:t>
            </w:r>
          </w:p>
          <w:p>
            <w:pPr>
              <w:pStyle w:val="null3"/>
              <w:spacing w:before="195"/>
              <w:jc w:val="left"/>
            </w:pPr>
            <w:r>
              <w:rPr>
                <w:rFonts w:ascii="仿宋_GB2312" w:hAnsi="仿宋_GB2312" w:cs="仿宋_GB2312" w:eastAsia="仿宋_GB2312"/>
                <w:sz w:val="20"/>
              </w:rPr>
              <w:t>★</w:t>
            </w:r>
            <w:r>
              <w:rPr>
                <w:rFonts w:ascii="仿宋_GB2312" w:hAnsi="仿宋_GB2312" w:cs="仿宋_GB2312" w:eastAsia="仿宋_GB2312"/>
                <w:sz w:val="24"/>
                <w:color w:val="000000"/>
              </w:rPr>
              <w:t>4.显卡类型：独立显卡≥2G;</w:t>
            </w:r>
          </w:p>
          <w:p>
            <w:pPr>
              <w:pStyle w:val="null3"/>
              <w:spacing w:before="195"/>
              <w:jc w:val="left"/>
            </w:pPr>
            <w:r>
              <w:rPr>
                <w:rFonts w:ascii="仿宋_GB2312" w:hAnsi="仿宋_GB2312" w:cs="仿宋_GB2312" w:eastAsia="仿宋_GB2312"/>
                <w:sz w:val="20"/>
              </w:rPr>
              <w:t>★</w:t>
            </w:r>
            <w:r>
              <w:rPr>
                <w:rFonts w:ascii="仿宋_GB2312" w:hAnsi="仿宋_GB2312" w:cs="仿宋_GB2312" w:eastAsia="仿宋_GB2312"/>
                <w:sz w:val="24"/>
                <w:color w:val="000000"/>
              </w:rPr>
              <w:t>5.机箱外置接口：前置≥4个USB3.0;后置≥6个USB接口；≥1个VGA,</w:t>
            </w:r>
            <w:r>
              <w:rPr>
                <w:rFonts w:ascii="仿宋_GB2312" w:hAnsi="仿宋_GB2312" w:cs="仿宋_GB2312" w:eastAsia="仿宋_GB2312"/>
                <w:sz w:val="24"/>
              </w:rPr>
              <w:t xml:space="preserve"> </w:t>
            </w:r>
            <w:r>
              <w:rPr>
                <w:rFonts w:ascii="仿宋_GB2312" w:hAnsi="仿宋_GB2312" w:cs="仿宋_GB2312" w:eastAsia="仿宋_GB2312"/>
                <w:sz w:val="24"/>
                <w:color w:val="000000"/>
              </w:rPr>
              <w:t>≥1个HDMI,≥1个RJ45(网口)1000M网卡；</w:t>
            </w:r>
          </w:p>
          <w:p>
            <w:pPr>
              <w:pStyle w:val="null3"/>
              <w:spacing w:before="195"/>
              <w:jc w:val="left"/>
            </w:pPr>
            <w:r>
              <w:rPr>
                <w:rFonts w:ascii="仿宋_GB2312" w:hAnsi="仿宋_GB2312" w:cs="仿宋_GB2312" w:eastAsia="仿宋_GB2312"/>
                <w:sz w:val="20"/>
              </w:rPr>
              <w:t>★</w:t>
            </w:r>
            <w:r>
              <w:rPr>
                <w:rFonts w:ascii="仿宋_GB2312" w:hAnsi="仿宋_GB2312" w:cs="仿宋_GB2312" w:eastAsia="仿宋_GB2312"/>
                <w:sz w:val="24"/>
                <w:color w:val="000000"/>
              </w:rPr>
              <w:t>6.显示器：≥23.8英寸，分辨率≥1920x1080,刷新频率100HZ;(不采用超薄型显示器，显示器边框及支架需坚固耐用)</w:t>
            </w:r>
          </w:p>
          <w:p>
            <w:pPr>
              <w:pStyle w:val="null3"/>
              <w:spacing w:before="195"/>
              <w:jc w:val="left"/>
            </w:pPr>
            <w:r>
              <w:rPr>
                <w:rFonts w:ascii="仿宋_GB2312" w:hAnsi="仿宋_GB2312" w:cs="仿宋_GB2312" w:eastAsia="仿宋_GB2312"/>
                <w:sz w:val="24"/>
                <w:color w:val="000000"/>
              </w:rPr>
              <w:t>7.机箱电源：机箱体积≤14升，顶置框架式提手，节能防雷；</w:t>
            </w:r>
          </w:p>
          <w:p>
            <w:pPr>
              <w:pStyle w:val="null3"/>
              <w:spacing w:before="195"/>
              <w:jc w:val="left"/>
            </w:pPr>
            <w:r>
              <w:rPr>
                <w:rFonts w:ascii="仿宋_GB2312" w:hAnsi="仿宋_GB2312" w:cs="仿宋_GB2312" w:eastAsia="仿宋_GB2312"/>
                <w:sz w:val="20"/>
              </w:rPr>
              <w:t>★</w:t>
            </w:r>
            <w:r>
              <w:rPr>
                <w:rFonts w:ascii="仿宋_GB2312" w:hAnsi="仿宋_GB2312" w:cs="仿宋_GB2312" w:eastAsia="仿宋_GB2312"/>
                <w:sz w:val="24"/>
                <w:color w:val="000000"/>
              </w:rPr>
              <w:t>8.操作系统：预装正版专业版操作系统</w:t>
            </w:r>
            <w:r>
              <w:rPr>
                <w:rFonts w:ascii="仿宋_GB2312" w:hAnsi="仿宋_GB2312" w:cs="仿宋_GB2312" w:eastAsia="仿宋_GB2312"/>
                <w:sz w:val="24"/>
                <w:color w:val="000000"/>
              </w:rPr>
              <w:t>（</w:t>
            </w:r>
            <w:r>
              <w:rPr>
                <w:rFonts w:ascii="仿宋_GB2312" w:hAnsi="仿宋_GB2312" w:cs="仿宋_GB2312" w:eastAsia="仿宋_GB2312"/>
                <w:sz w:val="24"/>
                <w:color w:val="000000"/>
              </w:rPr>
              <w:t>OEM预装正版专业版系统，数字密钥固化写入主板，授权绑定本机硬件，在设备整机生命周期内永久合法使用</w:t>
            </w:r>
            <w:r>
              <w:rPr>
                <w:rFonts w:ascii="仿宋_GB2312" w:hAnsi="仿宋_GB2312" w:cs="仿宋_GB2312" w:eastAsia="仿宋_GB2312"/>
                <w:sz w:val="24"/>
                <w:color w:val="000000"/>
              </w:rPr>
              <w:t>）</w:t>
            </w:r>
            <w:r>
              <w:rPr>
                <w:rFonts w:ascii="仿宋_GB2312" w:hAnsi="仿宋_GB2312" w:cs="仿宋_GB2312" w:eastAsia="仿宋_GB2312"/>
                <w:sz w:val="24"/>
                <w:color w:val="000000"/>
              </w:rPr>
              <w:t>和办公软件</w:t>
            </w:r>
            <w:r>
              <w:rPr>
                <w:rFonts w:ascii="仿宋_GB2312" w:hAnsi="仿宋_GB2312" w:cs="仿宋_GB2312" w:eastAsia="仿宋_GB2312"/>
                <w:sz w:val="24"/>
                <w:color w:val="000000"/>
              </w:rPr>
              <w:t>（</w:t>
            </w:r>
            <w:r>
              <w:rPr>
                <w:rFonts w:ascii="仿宋_GB2312" w:hAnsi="仿宋_GB2312" w:cs="仿宋_GB2312" w:eastAsia="仿宋_GB2312"/>
                <w:sz w:val="24"/>
                <w:color w:val="000000"/>
              </w:rPr>
              <w:t>单台配套合法永久使用授权</w:t>
            </w:r>
            <w:r>
              <w:rPr>
                <w:rFonts w:ascii="仿宋_GB2312" w:hAnsi="仿宋_GB2312" w:cs="仿宋_GB2312" w:eastAsia="仿宋_GB2312"/>
                <w:sz w:val="24"/>
                <w:color w:val="000000"/>
              </w:rPr>
              <w:t>）</w:t>
            </w:r>
            <w:r>
              <w:rPr>
                <w:rFonts w:ascii="仿宋_GB2312" w:hAnsi="仿宋_GB2312" w:cs="仿宋_GB2312" w:eastAsia="仿宋_GB2312"/>
                <w:sz w:val="24"/>
                <w:color w:val="000000"/>
              </w:rPr>
              <w:t>教学控制软件系统支持教师机对学生机的屏幕广播、</w:t>
            </w:r>
            <w:r>
              <w:rPr>
                <w:rFonts w:ascii="仿宋_GB2312" w:hAnsi="仿宋_GB2312" w:cs="仿宋_GB2312" w:eastAsia="仿宋_GB2312"/>
                <w:sz w:val="24"/>
                <w:color w:val="000000"/>
              </w:rPr>
              <w:t>演示</w:t>
            </w:r>
            <w:r>
              <w:rPr>
                <w:rFonts w:ascii="仿宋_GB2312" w:hAnsi="仿宋_GB2312" w:cs="仿宋_GB2312" w:eastAsia="仿宋_GB2312"/>
                <w:sz w:val="24"/>
                <w:color w:val="000000"/>
              </w:rPr>
              <w:t>、监控、文件分发、远程</w:t>
            </w:r>
            <w:r>
              <w:rPr>
                <w:rFonts w:ascii="仿宋_GB2312" w:hAnsi="仿宋_GB2312" w:cs="仿宋_GB2312" w:eastAsia="仿宋_GB2312"/>
                <w:sz w:val="24"/>
                <w:color w:val="000000"/>
              </w:rPr>
              <w:t>协助等教学管理功能</w:t>
            </w:r>
            <w:r>
              <w:rPr>
                <w:rFonts w:ascii="仿宋_GB2312" w:hAnsi="仿宋_GB2312" w:cs="仿宋_GB2312" w:eastAsia="仿宋_GB2312"/>
                <w:sz w:val="24"/>
                <w:color w:val="000000"/>
              </w:rPr>
              <w:t>等同或优于极域</w:t>
            </w:r>
            <w:r>
              <w:rPr>
                <w:rFonts w:ascii="仿宋_GB2312" w:hAnsi="仿宋_GB2312" w:cs="仿宋_GB2312" w:eastAsia="仿宋_GB2312"/>
                <w:sz w:val="24"/>
                <w:color w:val="000000"/>
              </w:rPr>
              <w:t>/</w:t>
            </w:r>
            <w:r>
              <w:rPr>
                <w:rFonts w:ascii="仿宋_GB2312" w:hAnsi="仿宋_GB2312" w:cs="仿宋_GB2312" w:eastAsia="仿宋_GB2312"/>
                <w:sz w:val="24"/>
                <w:color w:val="000000"/>
              </w:rPr>
              <w:t>红蜘蛛产品性能</w:t>
            </w:r>
            <w:r>
              <w:rPr>
                <w:rFonts w:ascii="仿宋_GB2312" w:hAnsi="仿宋_GB2312" w:cs="仿宋_GB2312" w:eastAsia="仿宋_GB2312"/>
                <w:sz w:val="24"/>
                <w:color w:val="000000"/>
              </w:rPr>
              <w:t>；</w:t>
            </w:r>
          </w:p>
          <w:p>
            <w:pPr>
              <w:pStyle w:val="null3"/>
              <w:spacing w:before="195"/>
              <w:jc w:val="left"/>
            </w:pPr>
            <w:r>
              <w:rPr>
                <w:rFonts w:ascii="仿宋_GB2312" w:hAnsi="仿宋_GB2312" w:cs="仿宋_GB2312" w:eastAsia="仿宋_GB2312"/>
                <w:sz w:val="24"/>
                <w:color w:val="000000"/>
              </w:rPr>
              <w:t>9.具有网络同传功能并且支持安装多操作系统，可一键恢复操作系统，实现数据还原，批量系统网络同传，还原控制软件(支持网络同传/</w:t>
            </w:r>
            <w:r>
              <w:rPr>
                <w:rFonts w:ascii="仿宋_GB2312" w:hAnsi="仿宋_GB2312" w:cs="仿宋_GB2312" w:eastAsia="仿宋_GB2312"/>
                <w:sz w:val="21"/>
                <w:color w:val="333333"/>
              </w:rPr>
              <w:t xml:space="preserve"> </w:t>
            </w:r>
            <w:r>
              <w:rPr>
                <w:rFonts w:ascii="仿宋_GB2312" w:hAnsi="仿宋_GB2312" w:cs="仿宋_GB2312" w:eastAsia="仿宋_GB2312"/>
                <w:sz w:val="24"/>
                <w:color w:val="000000"/>
              </w:rPr>
              <w:t>增量拷贝功能，能快速部署和恢复系统。</w:t>
            </w:r>
            <w:r>
              <w:rPr>
                <w:rFonts w:ascii="仿宋_GB2312" w:hAnsi="仿宋_GB2312" w:cs="仿宋_GB2312" w:eastAsia="仿宋_GB2312"/>
                <w:sz w:val="24"/>
                <w:color w:val="000000"/>
              </w:rPr>
              <w:t>)。</w:t>
            </w:r>
          </w:p>
          <w:p>
            <w:pPr>
              <w:pStyle w:val="null3"/>
              <w:spacing w:before="195"/>
              <w:jc w:val="left"/>
            </w:pPr>
            <w:r>
              <w:rPr>
                <w:rFonts w:ascii="仿宋_GB2312" w:hAnsi="仿宋_GB2312" w:cs="仿宋_GB2312" w:eastAsia="仿宋_GB2312"/>
                <w:sz w:val="24"/>
                <w:color w:val="000000"/>
              </w:rPr>
              <w:t>10.系统至少应具有：在线状态监测、系统资源监测、软件安装使用情况监测、非授权外联监控、系统服务监控、进程监控、网络端口监控、</w:t>
            </w:r>
            <w:r>
              <w:rPr>
                <w:rFonts w:ascii="仿宋_GB2312" w:hAnsi="仿宋_GB2312" w:cs="仿宋_GB2312" w:eastAsia="仿宋_GB2312"/>
                <w:sz w:val="21"/>
                <w:color w:val="333333"/>
              </w:rPr>
              <w:t xml:space="preserve"> </w:t>
            </w:r>
            <w:r>
              <w:rPr>
                <w:rFonts w:ascii="仿宋_GB2312" w:hAnsi="仿宋_GB2312" w:cs="仿宋_GB2312" w:eastAsia="仿宋_GB2312"/>
                <w:sz w:val="24"/>
                <w:color w:val="000000"/>
              </w:rPr>
              <w:t>移动存储介质监控、外围接口监控、远程桌面监控功能，且符合内网主机监测产品安全技术要求。</w:t>
            </w:r>
            <w:r>
              <w:rPr>
                <w:rFonts w:ascii="仿宋_GB2312" w:hAnsi="仿宋_GB2312" w:cs="仿宋_GB2312" w:eastAsia="仿宋_GB2312"/>
                <w:sz w:val="24"/>
                <w:color w:val="000000"/>
              </w:rPr>
              <w:t>【</w:t>
            </w:r>
            <w:r>
              <w:rPr>
                <w:rFonts w:ascii="仿宋_GB2312" w:hAnsi="仿宋_GB2312" w:cs="仿宋_GB2312" w:eastAsia="仿宋_GB2312"/>
                <w:sz w:val="24"/>
                <w:b/>
                <w:color w:val="000000"/>
              </w:rPr>
              <w:t>提供功能截图或彩页资料复印件或技术白皮书复印件或第三方检测机构出具的检测报告复印件加盖供应商公章</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spacing w:before="195"/>
              <w:jc w:val="left"/>
            </w:pPr>
            <w:r>
              <w:rPr>
                <w:rFonts w:ascii="仿宋_GB2312" w:hAnsi="仿宋_GB2312" w:cs="仿宋_GB2312" w:eastAsia="仿宋_GB2312"/>
                <w:sz w:val="24"/>
                <w:color w:val="000000"/>
              </w:rPr>
              <w:t>11.本地查看：客户端程序提供本地信息查看功能，终端使用人可通过拖盘程序查看本地计算机健康状态、账户共享信息、补丁安装状态、软硬件资产信息、进程服务运行情况；</w:t>
            </w:r>
          </w:p>
          <w:p>
            <w:pPr>
              <w:pStyle w:val="null3"/>
              <w:spacing w:before="195"/>
              <w:jc w:val="left"/>
            </w:pPr>
            <w:r>
              <w:rPr>
                <w:rFonts w:ascii="仿宋_GB2312" w:hAnsi="仿宋_GB2312" w:cs="仿宋_GB2312" w:eastAsia="仿宋_GB2312"/>
                <w:sz w:val="24"/>
                <w:color w:val="000000"/>
              </w:rPr>
              <w:t>12.数据安全：支持对移动存储数据进行透明加密。经过系统格式化为多个分区并注册的U盘，至少包括启动区、交换区、加密区、日志区。</w:t>
            </w:r>
            <w:r>
              <w:rPr>
                <w:rFonts w:ascii="仿宋_GB2312" w:hAnsi="仿宋_GB2312" w:cs="仿宋_GB2312" w:eastAsia="仿宋_GB2312"/>
                <w:sz w:val="24"/>
                <w:color w:val="000000"/>
              </w:rPr>
              <w:t>【</w:t>
            </w:r>
            <w:r>
              <w:rPr>
                <w:rFonts w:ascii="仿宋_GB2312" w:hAnsi="仿宋_GB2312" w:cs="仿宋_GB2312" w:eastAsia="仿宋_GB2312"/>
                <w:sz w:val="24"/>
                <w:b/>
                <w:color w:val="000000"/>
              </w:rPr>
              <w:t>提供功能截图或彩页资料复印件或技术白皮书复印件或第三方检测机构出具的检测报告复印件加盖供应商公章</w:t>
            </w:r>
            <w:r>
              <w:rPr>
                <w:rFonts w:ascii="仿宋_GB2312" w:hAnsi="仿宋_GB2312" w:cs="仿宋_GB2312" w:eastAsia="仿宋_GB2312"/>
                <w:sz w:val="24"/>
                <w:color w:val="000000"/>
              </w:rPr>
              <w:t>】</w:t>
            </w:r>
          </w:p>
          <w:p>
            <w:pPr>
              <w:pStyle w:val="null3"/>
              <w:spacing w:before="195"/>
              <w:jc w:val="left"/>
            </w:pPr>
            <w:r>
              <w:rPr>
                <w:rFonts w:ascii="仿宋_GB2312" w:hAnsi="仿宋_GB2312" w:cs="仿宋_GB2312" w:eastAsia="仿宋_GB2312"/>
                <w:sz w:val="24"/>
                <w:color w:val="000000"/>
              </w:rPr>
              <w:t>13.安全网管：系统支持网管功能，能够自动发现可网管网络设备，</w:t>
            </w:r>
            <w:r>
              <w:rPr>
                <w:rFonts w:ascii="仿宋_GB2312" w:hAnsi="仿宋_GB2312" w:cs="仿宋_GB2312" w:eastAsia="仿宋_GB2312"/>
                <w:sz w:val="21"/>
                <w:color w:val="333333"/>
              </w:rPr>
              <w:t xml:space="preserve"> </w:t>
            </w:r>
            <w:r>
              <w:rPr>
                <w:rFonts w:ascii="仿宋_GB2312" w:hAnsi="仿宋_GB2312" w:cs="仿宋_GB2312" w:eastAsia="仿宋_GB2312"/>
                <w:sz w:val="24"/>
                <w:color w:val="000000"/>
              </w:rPr>
              <w:t>自动生成网络物理连接拓扑图，网络拓扑结构图可显示</w:t>
            </w:r>
            <w:r>
              <w:rPr>
                <w:rFonts w:ascii="仿宋_GB2312" w:hAnsi="仿宋_GB2312" w:cs="仿宋_GB2312" w:eastAsia="仿宋_GB2312"/>
                <w:sz w:val="24"/>
                <w:color w:val="000000"/>
              </w:rPr>
              <w:t>PC终端连接和</w:t>
            </w:r>
            <w:r>
              <w:rPr>
                <w:rFonts w:ascii="仿宋_GB2312" w:hAnsi="仿宋_GB2312" w:cs="仿宋_GB2312" w:eastAsia="仿宋_GB2312"/>
                <w:sz w:val="21"/>
                <w:color w:val="333333"/>
              </w:rPr>
              <w:t xml:space="preserve"> </w:t>
            </w:r>
            <w:r>
              <w:rPr>
                <w:rFonts w:ascii="仿宋_GB2312" w:hAnsi="仿宋_GB2312" w:cs="仿宋_GB2312" w:eastAsia="仿宋_GB2312"/>
                <w:sz w:val="24"/>
                <w:color w:val="000000"/>
              </w:rPr>
              <w:t>开机情况，显示终端</w:t>
            </w:r>
            <w:r>
              <w:rPr>
                <w:rFonts w:ascii="仿宋_GB2312" w:hAnsi="仿宋_GB2312" w:cs="仿宋_GB2312" w:eastAsia="仿宋_GB2312"/>
                <w:sz w:val="24"/>
                <w:color w:val="000000"/>
              </w:rPr>
              <w:t>IP地址。支持故障定位，依据IP地址或者MAC地址</w:t>
            </w:r>
            <w:r>
              <w:rPr>
                <w:rFonts w:ascii="仿宋_GB2312" w:hAnsi="仿宋_GB2312" w:cs="仿宋_GB2312" w:eastAsia="仿宋_GB2312"/>
                <w:sz w:val="21"/>
                <w:color w:val="333333"/>
              </w:rPr>
              <w:t xml:space="preserve"> </w:t>
            </w:r>
            <w:r>
              <w:rPr>
                <w:rFonts w:ascii="仿宋_GB2312" w:hAnsi="仿宋_GB2312" w:cs="仿宋_GB2312" w:eastAsia="仿宋_GB2312"/>
                <w:sz w:val="24"/>
                <w:color w:val="000000"/>
              </w:rPr>
              <w:t>进行故障主机的查询，并且在网络拓扑图中显示；</w:t>
            </w:r>
            <w:r>
              <w:rPr>
                <w:rFonts w:ascii="仿宋_GB2312" w:hAnsi="仿宋_GB2312" w:cs="仿宋_GB2312" w:eastAsia="仿宋_GB2312"/>
                <w:sz w:val="24"/>
                <w:color w:val="000000"/>
              </w:rPr>
              <w:t>【</w:t>
            </w:r>
            <w:r>
              <w:rPr>
                <w:rFonts w:ascii="仿宋_GB2312" w:hAnsi="仿宋_GB2312" w:cs="仿宋_GB2312" w:eastAsia="仿宋_GB2312"/>
                <w:sz w:val="24"/>
                <w:b/>
                <w:color w:val="000000"/>
              </w:rPr>
              <w:t>提供功能截图或彩</w:t>
            </w:r>
            <w:r>
              <w:rPr>
                <w:rFonts w:ascii="仿宋_GB2312" w:hAnsi="仿宋_GB2312" w:cs="仿宋_GB2312" w:eastAsia="仿宋_GB2312"/>
                <w:sz w:val="21"/>
                <w:b/>
                <w:color w:val="333333"/>
              </w:rPr>
              <w:t xml:space="preserve"> </w:t>
            </w:r>
            <w:r>
              <w:rPr>
                <w:rFonts w:ascii="仿宋_GB2312" w:hAnsi="仿宋_GB2312" w:cs="仿宋_GB2312" w:eastAsia="仿宋_GB2312"/>
                <w:sz w:val="24"/>
                <w:b/>
                <w:color w:val="000000"/>
              </w:rPr>
              <w:t>页资料复印件或技术白皮书复印件或第三方检测机构出具的检测报告</w:t>
            </w:r>
            <w:r>
              <w:rPr>
                <w:rFonts w:ascii="仿宋_GB2312" w:hAnsi="仿宋_GB2312" w:cs="仿宋_GB2312" w:eastAsia="仿宋_GB2312"/>
                <w:sz w:val="21"/>
                <w:b/>
                <w:color w:val="333333"/>
              </w:rPr>
              <w:t xml:space="preserve"> </w:t>
            </w:r>
            <w:r>
              <w:rPr>
                <w:rFonts w:ascii="仿宋_GB2312" w:hAnsi="仿宋_GB2312" w:cs="仿宋_GB2312" w:eastAsia="仿宋_GB2312"/>
                <w:sz w:val="24"/>
                <w:b/>
                <w:color w:val="000000"/>
              </w:rPr>
              <w:t>复印件加盖供应商公章</w:t>
            </w:r>
            <w:r>
              <w:rPr>
                <w:rFonts w:ascii="仿宋_GB2312" w:hAnsi="仿宋_GB2312" w:cs="仿宋_GB2312" w:eastAsia="仿宋_GB2312"/>
                <w:sz w:val="24"/>
                <w:color w:val="000000"/>
              </w:rPr>
              <w:t>】</w:t>
            </w:r>
          </w:p>
          <w:p>
            <w:pPr>
              <w:pStyle w:val="null3"/>
              <w:spacing w:before="195"/>
              <w:jc w:val="left"/>
            </w:pPr>
            <w:r>
              <w:rPr>
                <w:rFonts w:ascii="仿宋_GB2312" w:hAnsi="仿宋_GB2312" w:cs="仿宋_GB2312" w:eastAsia="仿宋_GB2312"/>
                <w:sz w:val="24"/>
                <w:color w:val="000000"/>
              </w:rPr>
              <w:t>14.应用程序管理：控制客户端本地环境上可使用的应用软件范围，</w:t>
            </w:r>
            <w:r>
              <w:rPr>
                <w:rFonts w:ascii="仿宋_GB2312" w:hAnsi="仿宋_GB2312" w:cs="仿宋_GB2312" w:eastAsia="仿宋_GB2312"/>
                <w:sz w:val="21"/>
                <w:color w:val="333333"/>
              </w:rPr>
              <w:t xml:space="preserve"> </w:t>
            </w:r>
            <w:r>
              <w:rPr>
                <w:rFonts w:ascii="仿宋_GB2312" w:hAnsi="仿宋_GB2312" w:cs="仿宋_GB2312" w:eastAsia="仿宋_GB2312"/>
                <w:sz w:val="24"/>
                <w:color w:val="000000"/>
              </w:rPr>
              <w:t>禁止非法软件程序的安装和使用，支持黑、白、红三种名单方式。</w:t>
            </w:r>
          </w:p>
          <w:p>
            <w:pPr>
              <w:pStyle w:val="null3"/>
              <w:spacing w:before="195"/>
              <w:jc w:val="left"/>
            </w:pPr>
            <w:r>
              <w:rPr>
                <w:rFonts w:ascii="仿宋_GB2312" w:hAnsi="仿宋_GB2312" w:cs="仿宋_GB2312" w:eastAsia="仿宋_GB2312"/>
                <w:sz w:val="24"/>
                <w:color w:val="000000"/>
              </w:rPr>
              <w:t>15.从系统底层开始接管主机，监控包括操作系统在内的所有运行轨</w:t>
            </w:r>
            <w:r>
              <w:rPr>
                <w:rFonts w:ascii="仿宋_GB2312" w:hAnsi="仿宋_GB2312" w:cs="仿宋_GB2312" w:eastAsia="仿宋_GB2312"/>
                <w:sz w:val="21"/>
                <w:color w:val="333333"/>
              </w:rPr>
              <w:t xml:space="preserve"> </w:t>
            </w:r>
            <w:r>
              <w:rPr>
                <w:rFonts w:ascii="仿宋_GB2312" w:hAnsi="仿宋_GB2312" w:cs="仿宋_GB2312" w:eastAsia="仿宋_GB2312"/>
                <w:sz w:val="24"/>
                <w:color w:val="000000"/>
              </w:rPr>
              <w:t>迹，可以追查任何文件</w:t>
            </w:r>
            <w:r>
              <w:rPr>
                <w:rFonts w:ascii="仿宋_GB2312" w:hAnsi="仿宋_GB2312" w:cs="仿宋_GB2312" w:eastAsia="仿宋_GB2312"/>
                <w:sz w:val="24"/>
                <w:color w:val="000000"/>
              </w:rPr>
              <w:t>/进程/线程的来源和运行细节，可以根据需要实</w:t>
            </w:r>
            <w:r>
              <w:rPr>
                <w:rFonts w:ascii="仿宋_GB2312" w:hAnsi="仿宋_GB2312" w:cs="仿宋_GB2312" w:eastAsia="仿宋_GB2312"/>
                <w:sz w:val="21"/>
                <w:color w:val="333333"/>
              </w:rPr>
              <w:t xml:space="preserve"> </w:t>
            </w:r>
            <w:r>
              <w:rPr>
                <w:rFonts w:ascii="仿宋_GB2312" w:hAnsi="仿宋_GB2312" w:cs="仿宋_GB2312" w:eastAsia="仿宋_GB2312"/>
                <w:sz w:val="24"/>
                <w:color w:val="000000"/>
              </w:rPr>
              <w:t>现及时预警、阻断和恢复等。</w:t>
            </w:r>
          </w:p>
          <w:p>
            <w:pPr>
              <w:pStyle w:val="null3"/>
              <w:spacing w:before="195"/>
              <w:jc w:val="left"/>
            </w:pPr>
            <w:r>
              <w:rPr>
                <w:rFonts w:ascii="仿宋_GB2312" w:hAnsi="仿宋_GB2312" w:cs="仿宋_GB2312" w:eastAsia="仿宋_GB2312"/>
                <w:sz w:val="24"/>
                <w:color w:val="000000"/>
              </w:rPr>
              <w:t>16.对办公操作系统进行向前时间点恢复、向后时间点恢复。</w:t>
            </w:r>
          </w:p>
          <w:p>
            <w:pPr>
              <w:pStyle w:val="null3"/>
              <w:spacing w:before="195"/>
              <w:jc w:val="left"/>
            </w:pPr>
            <w:r>
              <w:rPr>
                <w:rFonts w:ascii="仿宋_GB2312" w:hAnsi="仿宋_GB2312" w:cs="仿宋_GB2312" w:eastAsia="仿宋_GB2312"/>
                <w:sz w:val="24"/>
                <w:color w:val="000000"/>
              </w:rPr>
              <w:t>17.备份空间占用仅为传统设备的1/5,恢复无遗漏、恢复时间短(10</w:t>
            </w:r>
            <w:r>
              <w:rPr>
                <w:rFonts w:ascii="仿宋_GB2312" w:hAnsi="仿宋_GB2312" w:cs="仿宋_GB2312" w:eastAsia="仿宋_GB2312"/>
                <w:sz w:val="21"/>
                <w:color w:val="333333"/>
              </w:rPr>
              <w:t xml:space="preserve"> </w:t>
            </w:r>
            <w:r>
              <w:rPr>
                <w:rFonts w:ascii="仿宋_GB2312" w:hAnsi="仿宋_GB2312" w:cs="仿宋_GB2312" w:eastAsia="仿宋_GB2312"/>
                <w:sz w:val="24"/>
                <w:color w:val="000000"/>
              </w:rPr>
              <w:t>分钟以内</w:t>
            </w:r>
            <w:r>
              <w:rPr>
                <w:rFonts w:ascii="仿宋_GB2312" w:hAnsi="仿宋_GB2312" w:cs="仿宋_GB2312" w:eastAsia="仿宋_GB2312"/>
                <w:sz w:val="24"/>
                <w:color w:val="000000"/>
              </w:rPr>
              <w:t>),且无需进行备份管理。</w:t>
            </w:r>
          </w:p>
          <w:p>
            <w:pPr>
              <w:pStyle w:val="null3"/>
              <w:spacing w:before="195"/>
              <w:jc w:val="left"/>
            </w:pPr>
            <w:r>
              <w:rPr>
                <w:rFonts w:ascii="仿宋_GB2312" w:hAnsi="仿宋_GB2312" w:cs="仿宋_GB2312" w:eastAsia="仿宋_GB2312"/>
                <w:sz w:val="24"/>
                <w:color w:val="000000"/>
              </w:rPr>
              <w:t>18.在自定义时间段内，可以找回任何硬盘在任何时刻的数据，无论任何文件因为任何原因丢失、覆盖、数据篡改等，均可以找回(无需重启系统);</w:t>
            </w:r>
          </w:p>
          <w:p>
            <w:pPr>
              <w:pStyle w:val="null3"/>
              <w:spacing w:before="195"/>
              <w:jc w:val="left"/>
            </w:pPr>
            <w:r>
              <w:rPr>
                <w:rFonts w:ascii="仿宋_GB2312" w:hAnsi="仿宋_GB2312" w:cs="仿宋_GB2312" w:eastAsia="仿宋_GB2312"/>
                <w:sz w:val="24"/>
                <w:color w:val="000000"/>
              </w:rPr>
              <w:t>19.当计算机遭到木马破坏、勒索病毒、流氓软件强制安装劫持、系统崩溃、文件误删除、硬盘格式化、数据删除或覆盖等，都能使整个系统返回到过去系统正常的时刻。</w:t>
            </w:r>
          </w:p>
          <w:p>
            <w:pPr>
              <w:pStyle w:val="null3"/>
              <w:spacing w:before="195"/>
              <w:jc w:val="left"/>
            </w:pPr>
            <w:r>
              <w:rPr>
                <w:rFonts w:ascii="仿宋_GB2312" w:hAnsi="仿宋_GB2312" w:cs="仿宋_GB2312" w:eastAsia="仿宋_GB2312"/>
                <w:sz w:val="24"/>
                <w:color w:val="000000"/>
              </w:rPr>
              <w:t>20.安全态势检查：系统支持终端安全态势检查，能自定义周期对安全事件进行统计，并以图形化输出。对终端计算机安全状况的评分，可根据需要自定义安全评估项的分值。</w:t>
            </w:r>
          </w:p>
          <w:p>
            <w:pPr>
              <w:pStyle w:val="null3"/>
              <w:spacing w:before="195"/>
              <w:jc w:val="left"/>
            </w:pPr>
            <w:r>
              <w:rPr>
                <w:rFonts w:ascii="仿宋_GB2312" w:hAnsi="仿宋_GB2312" w:cs="仿宋_GB2312" w:eastAsia="仿宋_GB2312"/>
                <w:sz w:val="24"/>
                <w:color w:val="000000"/>
              </w:rPr>
              <w:t>21.违规外联管理，能够对终端计算机的违规外联行为进行控制，实时检测试图接入互联网的行为，一旦出现违规外联行为，系统自动报警并进行阻断；</w:t>
            </w:r>
            <w:r>
              <w:rPr>
                <w:rFonts w:ascii="仿宋_GB2312" w:hAnsi="仿宋_GB2312" w:cs="仿宋_GB2312" w:eastAsia="仿宋_GB2312"/>
                <w:sz w:val="24"/>
                <w:color w:val="000000"/>
              </w:rPr>
              <w:t>【</w:t>
            </w:r>
            <w:r>
              <w:rPr>
                <w:rFonts w:ascii="仿宋_GB2312" w:hAnsi="仿宋_GB2312" w:cs="仿宋_GB2312" w:eastAsia="仿宋_GB2312"/>
                <w:sz w:val="24"/>
                <w:b/>
                <w:color w:val="000000"/>
              </w:rPr>
              <w:t>提供功能截图或彩页资料复印件或技术白皮书复印件或第三方检测机构出具的检测报告复印件加盖供应商公章</w:t>
            </w:r>
            <w:r>
              <w:rPr>
                <w:rFonts w:ascii="仿宋_GB2312" w:hAnsi="仿宋_GB2312" w:cs="仿宋_GB2312" w:eastAsia="仿宋_GB2312"/>
                <w:sz w:val="21"/>
                <w:b/>
                <w:color w:val="333333"/>
              </w:rPr>
              <w:t xml:space="preserve"> </w:t>
            </w:r>
            <w:r>
              <w:rPr>
                <w:rFonts w:ascii="仿宋_GB2312" w:hAnsi="仿宋_GB2312" w:cs="仿宋_GB2312" w:eastAsia="仿宋_GB2312"/>
                <w:sz w:val="24"/>
                <w:color w:val="000000"/>
              </w:rPr>
              <w:t>】</w:t>
            </w:r>
          </w:p>
          <w:p>
            <w:pPr>
              <w:pStyle w:val="null3"/>
              <w:spacing w:before="195"/>
              <w:jc w:val="left"/>
            </w:pPr>
            <w:r>
              <w:rPr>
                <w:rFonts w:ascii="仿宋_GB2312" w:hAnsi="仿宋_GB2312" w:cs="仿宋_GB2312" w:eastAsia="仿宋_GB2312"/>
                <w:sz w:val="24"/>
                <w:color w:val="000000"/>
              </w:rPr>
              <w:t>22.提供的右键功能中，有文件来源分析，对选定的文件做来源去向分析，选择“文件来源分析”,系统自动分析并显示文件来自何处。</w:t>
            </w:r>
          </w:p>
          <w:p>
            <w:pPr>
              <w:pStyle w:val="null3"/>
              <w:spacing w:before="195"/>
              <w:jc w:val="left"/>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23.</w:t>
            </w:r>
            <w:r>
              <w:rPr>
                <w:rFonts w:ascii="仿宋_GB2312" w:hAnsi="仿宋_GB2312" w:cs="仿宋_GB2312" w:eastAsia="仿宋_GB2312"/>
                <w:sz w:val="24"/>
                <w:b/>
                <w:color w:val="000000"/>
              </w:rPr>
              <w:t>响应产品其他参数还须</w:t>
            </w:r>
            <w:r>
              <w:rPr>
                <w:rFonts w:ascii="仿宋_GB2312" w:hAnsi="仿宋_GB2312" w:cs="仿宋_GB2312" w:eastAsia="仿宋_GB2312"/>
                <w:sz w:val="24"/>
                <w:b/>
                <w:color w:val="000000"/>
              </w:rPr>
              <w:t>符合财政部、工业和信息化部《关于印发</w:t>
            </w:r>
            <w:r>
              <w:rPr>
                <w:rFonts w:ascii="仿宋_GB2312" w:hAnsi="仿宋_GB2312" w:cs="仿宋_GB2312" w:eastAsia="仿宋_GB2312"/>
                <w:sz w:val="24"/>
                <w:b/>
                <w:color w:val="000000"/>
              </w:rPr>
              <w:t>&lt;台式计算机政府采购需求标准(2023年版)&gt;的通知》(财库(2023)29号)要求。</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综合布线</w:t>
            </w:r>
          </w:p>
        </w:tc>
        <w:tc>
          <w:tcPr>
            <w:tcW w:type="dxa" w:w="5814"/>
          </w:tcPr>
          <w:p>
            <w:pPr>
              <w:pStyle w:val="null3"/>
              <w:spacing w:before="195"/>
              <w:jc w:val="left"/>
            </w:pPr>
            <w:r>
              <w:rPr>
                <w:rFonts w:ascii="仿宋_GB2312" w:hAnsi="仿宋_GB2312" w:cs="仿宋_GB2312" w:eastAsia="仿宋_GB2312"/>
                <w:sz w:val="24"/>
              </w:rPr>
              <w:t>1、网络线：≥2100米，六类非屏蔽双绞线的裸铜线径≥0.57mm；</w:t>
            </w:r>
          </w:p>
          <w:p>
            <w:pPr>
              <w:pStyle w:val="null3"/>
              <w:spacing w:before="195"/>
              <w:jc w:val="left"/>
            </w:pPr>
            <w:r>
              <w:rPr>
                <w:rFonts w:ascii="仿宋_GB2312" w:hAnsi="仿宋_GB2312" w:cs="仿宋_GB2312" w:eastAsia="仿宋_GB2312"/>
                <w:sz w:val="24"/>
              </w:rPr>
              <w:t>2、电源线：≥600米，≥4平方毫米，导体直径≥2.25mm；</w:t>
            </w:r>
          </w:p>
          <w:p>
            <w:pPr>
              <w:pStyle w:val="null3"/>
              <w:spacing w:before="195"/>
              <w:jc w:val="left"/>
            </w:pPr>
            <w:r>
              <w:rPr>
                <w:rFonts w:ascii="仿宋_GB2312" w:hAnsi="仿宋_GB2312" w:cs="仿宋_GB2312" w:eastAsia="仿宋_GB2312"/>
                <w:sz w:val="24"/>
              </w:rPr>
              <w:t>3、无线插座：≥82个，插孔≥3,支持单独开关；</w:t>
            </w:r>
          </w:p>
          <w:p>
            <w:pPr>
              <w:pStyle w:val="null3"/>
              <w:spacing w:before="195"/>
              <w:jc w:val="left"/>
            </w:pPr>
            <w:r>
              <w:rPr>
                <w:rFonts w:ascii="仿宋_GB2312" w:hAnsi="仿宋_GB2312" w:cs="仿宋_GB2312" w:eastAsia="仿宋_GB2312"/>
                <w:sz w:val="24"/>
              </w:rPr>
              <w:t>4、配电箱：≥2个，≥12位。明装配电箱。尺寸≥280mm*250mm*80mm；</w:t>
            </w:r>
          </w:p>
          <w:p>
            <w:pPr>
              <w:pStyle w:val="null3"/>
              <w:spacing w:before="195"/>
              <w:jc w:val="left"/>
            </w:pPr>
            <w:r>
              <w:rPr>
                <w:rFonts w:ascii="仿宋_GB2312" w:hAnsi="仿宋_GB2312" w:cs="仿宋_GB2312" w:eastAsia="仿宋_GB2312"/>
                <w:sz w:val="24"/>
              </w:rPr>
              <w:t>5、空气开关（100A）：≥2个，电压≥100A.支持漏电保护；</w:t>
            </w:r>
          </w:p>
          <w:p>
            <w:pPr>
              <w:pStyle w:val="null3"/>
              <w:spacing w:before="195"/>
              <w:jc w:val="left"/>
            </w:pPr>
            <w:r>
              <w:rPr>
                <w:rFonts w:ascii="仿宋_GB2312" w:hAnsi="仿宋_GB2312" w:cs="仿宋_GB2312" w:eastAsia="仿宋_GB2312"/>
                <w:sz w:val="24"/>
              </w:rPr>
              <w:t>6、空气开关（63A）：≥6个，电压≥</w:t>
            </w:r>
            <w:r>
              <w:rPr>
                <w:rFonts w:ascii="仿宋_GB2312" w:hAnsi="仿宋_GB2312" w:cs="仿宋_GB2312" w:eastAsia="仿宋_GB2312"/>
                <w:sz w:val="24"/>
              </w:rPr>
              <w:t>63</w:t>
            </w:r>
            <w:r>
              <w:rPr>
                <w:rFonts w:ascii="仿宋_GB2312" w:hAnsi="仿宋_GB2312" w:cs="仿宋_GB2312" w:eastAsia="仿宋_GB2312"/>
                <w:sz w:val="24"/>
              </w:rPr>
              <w:t>A</w:t>
            </w:r>
            <w:r>
              <w:rPr>
                <w:rFonts w:ascii="仿宋_GB2312" w:hAnsi="仿宋_GB2312" w:cs="仿宋_GB2312" w:eastAsia="仿宋_GB2312"/>
                <w:sz w:val="24"/>
              </w:rPr>
              <w:t>；</w:t>
            </w:r>
          </w:p>
          <w:p>
            <w:pPr>
              <w:pStyle w:val="null3"/>
              <w:spacing w:before="195"/>
              <w:jc w:val="left"/>
            </w:pPr>
            <w:r>
              <w:rPr>
                <w:rFonts w:ascii="仿宋_GB2312" w:hAnsi="仿宋_GB2312" w:cs="仿宋_GB2312" w:eastAsia="仿宋_GB2312"/>
                <w:sz w:val="24"/>
              </w:rPr>
              <w:t>7</w:t>
            </w:r>
            <w:r>
              <w:rPr>
                <w:rFonts w:ascii="仿宋_GB2312" w:hAnsi="仿宋_GB2312" w:cs="仿宋_GB2312" w:eastAsia="仿宋_GB2312"/>
                <w:sz w:val="24"/>
              </w:rPr>
              <w:t>、水晶头：</w:t>
            </w:r>
            <w:r>
              <w:rPr>
                <w:rFonts w:ascii="仿宋_GB2312" w:hAnsi="仿宋_GB2312" w:cs="仿宋_GB2312" w:eastAsia="仿宋_GB2312"/>
                <w:sz w:val="24"/>
              </w:rPr>
              <w:t>≥200个，六类网络水晶头。</w:t>
            </w:r>
          </w:p>
          <w:p>
            <w:pPr>
              <w:pStyle w:val="null3"/>
              <w:spacing w:before="195"/>
              <w:jc w:val="left"/>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自合同签订之日起15日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遂宁市职业技术学校</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1、签订合同后，达到付款条件起10日内，支付合同总金额的40.00%</w:t>
            </w:r>
          </w:p>
          <w:p>
            <w:pPr>
              <w:pStyle w:val="null3"/>
              <w:jc w:val="left"/>
            </w:pPr>
            <w:r>
              <w:rPr>
                <w:rFonts w:ascii="仿宋_GB2312" w:hAnsi="仿宋_GB2312" w:cs="仿宋_GB2312" w:eastAsia="仿宋_GB2312"/>
              </w:rPr>
              <w:t>2、待采购人验收合格后，达到付款条件起10日内，支付合同总金额的60.00%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参照关于印发《政府采购需求管理办法》的通知（财库〔2021〕22号）和《财政部关于进一步加强政府采购需求和履约验收管理的指导意见》(财库〔2016〕205号)的要求以及招标文件、投标人的投标文件进行验收，以满足采购人的实际需求为准。</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期为验收合格后3年。（2）质保期内质量出现问题时，中标人负责“三包”，中标人在接到通知后1小时内电话沟通解决问题。如电话沟通后无法解决的，6小时内安排专业技术人员到达维修现场进行维修，24小时内未能修复设备，应在12小时内给予更换产品，并承担修理调换的费用。在质保期外，中标人提供设备更换、维修只收取成本费用，不收取人工技术和上门费用。在设备的设计使用寿命期内，中标人保证使用方便，且更换到原厂正宗的零部件，确保设备的正常使用。如有特殊要求的货物，需按照项目清单及技术要求表内售后服务要求进行。货到现场后由于招标人保管不当造成的问题，中标人亦应负责修复。</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双方必须遵守本合同并执行合同中的各项规定，保证本合同的正常履行。 如因成交供应商工作人员在履行职务过程中的的疏忽、失职、过错等故意或者过失原因给出采购人造 成损失或侵害，包括但不限于采购人本身的财产损失、由此而导致的采购人对任何第三方的法律责任等，成交供应商对此均应承担全部的赔偿责任。在执行本合同中发生的或与本合同有关的争端，双方应通过友好协商解，经协商在60天内不能达成协议时，应提交遂宁市仲裁委员会仲裁。仲裁裁决应为最终决定，并对双方具有约束力。除另有裁决外，仲裁费应由败诉方负担。在仲裁期间，除正在进行仲裁部分外，合同其他部分继续执行。解决合同纠纷的方式：在执行本合同中发生的或与本合同有关的争端，双方应通过友好协商解决，经协商在30天内不能达成协议时，应提交采购人所在地人民法院管辖。</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技术、服务、商务及其他要求</w:t>
            </w:r>
          </w:p>
        </w:tc>
        <w:tc>
          <w:tcPr>
            <w:tcW w:type="dxa" w:w="3322"/>
          </w:tcPr>
          <w:p>
            <w:pPr>
              <w:pStyle w:val="null3"/>
              <w:jc w:val="left"/>
            </w:pPr>
            <w:r>
              <w:rPr>
                <w:rFonts w:ascii="仿宋_GB2312" w:hAnsi="仿宋_GB2312" w:cs="仿宋_GB2312" w:eastAsia="仿宋_GB2312"/>
              </w:rPr>
              <w:t>根据采购文件中项目技术、服务、商务及其他要求结合响应文件进行评审</w:t>
            </w:r>
          </w:p>
        </w:tc>
        <w:tc>
          <w:tcPr>
            <w:tcW w:type="dxa" w:w="1661"/>
          </w:tcPr>
          <w:p>
            <w:pPr>
              <w:pStyle w:val="null3"/>
              <w:jc w:val="left"/>
            </w:pPr>
            <w:r>
              <w:rPr>
                <w:rFonts w:ascii="仿宋_GB2312" w:hAnsi="仿宋_GB2312" w:cs="仿宋_GB2312" w:eastAsia="仿宋_GB2312"/>
              </w:rPr>
              <w:t>投标人应提交的相关证明材料,产品技术参数响应表,技术、服务、商务及其他要求应答表.docx,报价表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技术参数与性能指标</w:t>
            </w:r>
          </w:p>
        </w:tc>
        <w:tc>
          <w:tcPr>
            <w:tcW w:type="dxa" w:w="2575"/>
          </w:tcPr>
          <w:p>
            <w:pPr>
              <w:pStyle w:val="null3"/>
              <w:jc w:val="left"/>
            </w:pPr>
            <w:r>
              <w:rPr>
                <w:rFonts w:ascii="仿宋_GB2312" w:hAnsi="仿宋_GB2312" w:cs="仿宋_GB2312" w:eastAsia="仿宋_GB2312"/>
              </w:rPr>
              <w:t>投标产品技术参数与性能指标完全符合招标文件要求没有负偏离的得33分。其中每有一条非“★”参数（共22条）不满足要求的扣1.5分，本项共计33分，最多扣33分。</w:t>
            </w:r>
          </w:p>
        </w:tc>
        <w:tc>
          <w:tcPr>
            <w:tcW w:type="dxa" w:w="831"/>
          </w:tcPr>
          <w:p>
            <w:pPr>
              <w:pStyle w:val="null3"/>
              <w:jc w:val="center"/>
            </w:pPr>
            <w:r>
              <w:rPr>
                <w:rFonts w:ascii="仿宋_GB2312" w:hAnsi="仿宋_GB2312" w:cs="仿宋_GB2312" w:eastAsia="仿宋_GB2312"/>
              </w:rPr>
              <w:t>33.0000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根据投标人针对本项目提供的项目实施方案进行综合评审，内容包括：①项目组织方案、②项目进度计划（进度节点时间、进度内容）、③质量控制与措施、④应急预案、⑤验收方案。以上内容齐全且完全满足项目需求的得15分，每缺少一项内容扣3分，每有一项内容存在缺陷的扣1.5分，本项分值扣完为止。 注：“缺陷”是指套用其他项目方案；或引用科学原理错误；或项目名称错误；或实施地点错误；或引用的法律法规、标准（方法）或其他规范性文件错误；或前后逻辑错误；或存在与本项目无关内容的任一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根据投标人针对本项目提供的售后服务方案进行综合评审，内容包括：①维修响应时间，②售后服务电话，③人员配备及培训计划，④售后服务保障措施，⑤供应商紧急故障处理方案。以上内容齐全且完全满足项目需求的得15分，每缺少一项内容扣3分，每有一项内容存在缺陷的扣1.5分，本项分值扣完为止。 注：“缺陷”是指套用其他项目方案；或引用科学原理错误；或项目名称错误；或实施地点错误；或引用的法律法规、标准（方法）或其他规范性文件错误；或前后逻辑错误；或存在与本项目无关内容的任一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投标人具有类似项目业绩的，每有1个得3.5分，本项最高得7分。 注：提供合同或中标（成交）通知书复印件并加盖投标供应商公章。</w:t>
            </w:r>
          </w:p>
        </w:tc>
        <w:tc>
          <w:tcPr>
            <w:tcW w:type="dxa" w:w="831"/>
          </w:tcPr>
          <w:p>
            <w:pPr>
              <w:pStyle w:val="null3"/>
              <w:jc w:val="center"/>
            </w:pPr>
            <w:r>
              <w:rPr>
                <w:rFonts w:ascii="仿宋_GB2312" w:hAnsi="仿宋_GB2312" w:cs="仿宋_GB2312" w:eastAsia="仿宋_GB2312"/>
              </w:rPr>
              <w:t>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投标人应提交的相关证明材料</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详见附件：技术、服务、商务及其他要求应答表.docx</w:t>
      </w:r>
    </w:p>
    <w:p>
      <w:pPr>
        <w:pStyle w:val="null3"/>
        <w:ind w:firstLine="960"/>
        <w:jc w:val="left"/>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