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版本号：N511921202600007720260713001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办公电脑采购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N5119212026000077</w:t>
      </w:r>
    </w:p>
    <w:p>
      <w:pPr>
        <w:pStyle w:val="null3"/>
        <w:jc w:val="left"/>
        <w:outlineLvl w:val="2"/>
      </w:pPr>
      <w:r>
        <w:rPr>
          <w:rFonts w:ascii="仿宋_GB2312" w:hAnsi="仿宋_GB2312" w:cs="仿宋_GB2312" w:eastAsia="仿宋_GB2312"/>
          <w:sz w:val="28"/>
          <w:b/>
        </w:rPr>
        <w:t>通江县人民医院</w:t>
      </w:r>
    </w:p>
    <w:p>
      <w:pPr>
        <w:pStyle w:val="null3"/>
        <w:jc w:val="center"/>
        <w:outlineLvl w:val="2"/>
      </w:pPr>
      <w:r>
        <w:rPr>
          <w:rFonts w:ascii="仿宋_GB2312" w:hAnsi="仿宋_GB2312" w:cs="仿宋_GB2312" w:eastAsia="仿宋_GB2312"/>
          <w:sz w:val="28"/>
          <w:b/>
        </w:rPr>
        <w:t>通江县集中采购中心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通江县集中采购中心</w:t>
      </w:r>
      <w:r>
        <w:rPr>
          <w:rFonts w:ascii="仿宋_GB2312" w:hAnsi="仿宋_GB2312" w:cs="仿宋_GB2312" w:eastAsia="仿宋_GB2312"/>
        </w:rPr>
        <w:t xml:space="preserve"> （以下简称“代理机构”）受 </w:t>
      </w:r>
      <w:r>
        <w:rPr>
          <w:rFonts w:ascii="仿宋_GB2312" w:hAnsi="仿宋_GB2312" w:cs="仿宋_GB2312" w:eastAsia="仿宋_GB2312"/>
        </w:rPr>
        <w:t>通江县人民医院</w:t>
      </w:r>
      <w:r>
        <w:rPr>
          <w:rFonts w:ascii="仿宋_GB2312" w:hAnsi="仿宋_GB2312" w:cs="仿宋_GB2312" w:eastAsia="仿宋_GB2312"/>
        </w:rPr>
        <w:t xml:space="preserve"> 委托，拟对 </w:t>
      </w:r>
      <w:r>
        <w:rPr>
          <w:rFonts w:ascii="仿宋_GB2312" w:hAnsi="仿宋_GB2312" w:cs="仿宋_GB2312" w:eastAsia="仿宋_GB2312"/>
        </w:rPr>
        <w:t>办公电脑采购</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巴中市通江县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N5119212026000077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办公电脑采购</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本项目为通江县人民医院办公电脑采购项目，拟采购台式电脑60台，采购预算金额30万元。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通江县人民医院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四川省巴中市通江县壁州街道西华路55号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0827-7239127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通江县集中采购中心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四川省巴中市通江县壁州街道石牛大道403号红峰大厦后17楼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樊女士（受理和组织股）、金先生（评审股）</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0827-7230175（受理和组织股）、0827-7111961（评审股）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通江县人民医院</w:t>
      </w:r>
      <w:r>
        <w:rPr>
          <w:rFonts w:ascii="仿宋_GB2312" w:hAnsi="仿宋_GB2312" w:cs="仿宋_GB2312" w:eastAsia="仿宋_GB2312"/>
        </w:rPr>
        <w:t xml:space="preserve"> 和 </w:t>
      </w:r>
      <w:r>
        <w:rPr>
          <w:rFonts w:ascii="仿宋_GB2312" w:hAnsi="仿宋_GB2312" w:cs="仿宋_GB2312" w:eastAsia="仿宋_GB2312"/>
        </w:rPr>
        <w:t>通江县集中采购中心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通江县人民医院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通江县集中采购中心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供应商完成全部货物的供货、安装调试（若有），且货物质量及服务符合采购文件、响应文件及合同约定的合格标准后，向采购人提交书面验收申请及完整验收资料</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通江县人民医院</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通江县集中采购中心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通江县集中采购中心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联系人：张先生（技术参数）</w:t>
      </w:r>
    </w:p>
    <w:p>
      <w:pPr>
        <w:pStyle w:val="null3"/>
        <w:jc w:val="left"/>
      </w:pPr>
      <w:r>
        <w:rPr>
          <w:rFonts w:ascii="仿宋_GB2312" w:hAnsi="仿宋_GB2312" w:cs="仿宋_GB2312" w:eastAsia="仿宋_GB2312"/>
        </w:rPr>
        <w:t>联系电话：0827-7239127</w:t>
      </w:r>
    </w:p>
    <w:p>
      <w:pPr>
        <w:pStyle w:val="null3"/>
        <w:jc w:val="left"/>
      </w:pPr>
      <w:r>
        <w:rPr>
          <w:rFonts w:ascii="仿宋_GB2312" w:hAnsi="仿宋_GB2312" w:cs="仿宋_GB2312" w:eastAsia="仿宋_GB2312"/>
        </w:rPr>
        <w:t>地址： 四川省巴中市通江县壁州街道西华路55号</w:t>
      </w:r>
    </w:p>
    <w:p>
      <w:pPr>
        <w:pStyle w:val="null3"/>
        <w:jc w:val="left"/>
      </w:pPr>
      <w:r>
        <w:rPr>
          <w:rFonts w:ascii="仿宋_GB2312" w:hAnsi="仿宋_GB2312" w:cs="仿宋_GB2312" w:eastAsia="仿宋_GB2312"/>
        </w:rPr>
        <w:t>邮编：636700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联系人：张女士（除技术参数）</w:t>
      </w:r>
    </w:p>
    <w:p>
      <w:pPr>
        <w:pStyle w:val="null3"/>
        <w:jc w:val="left"/>
      </w:pPr>
      <w:r>
        <w:rPr>
          <w:rFonts w:ascii="仿宋_GB2312" w:hAnsi="仿宋_GB2312" w:cs="仿宋_GB2312" w:eastAsia="仿宋_GB2312"/>
        </w:rPr>
        <w:t>联系电话：0827-7111961</w:t>
      </w:r>
    </w:p>
    <w:p>
      <w:pPr>
        <w:pStyle w:val="null3"/>
        <w:jc w:val="left"/>
      </w:pPr>
      <w:r>
        <w:rPr>
          <w:rFonts w:ascii="仿宋_GB2312" w:hAnsi="仿宋_GB2312" w:cs="仿宋_GB2312" w:eastAsia="仿宋_GB2312"/>
        </w:rPr>
        <w:t>地址：四川省巴中市通江县壁州街道石牛大道403号红峰大厦后17楼</w:t>
      </w:r>
    </w:p>
    <w:p>
      <w:pPr>
        <w:pStyle w:val="null3"/>
        <w:jc w:val="left"/>
      </w:pPr>
      <w:r>
        <w:rPr>
          <w:rFonts w:ascii="仿宋_GB2312" w:hAnsi="仿宋_GB2312" w:cs="仿宋_GB2312" w:eastAsia="仿宋_GB2312"/>
        </w:rPr>
        <w:t>邮编：636700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right"/>
            </w:pPr>
            <w:r>
              <w:rPr>
                <w:rFonts w:ascii="仿宋_GB2312" w:hAnsi="仿宋_GB2312" w:cs="仿宋_GB2312" w:eastAsia="仿宋_GB2312"/>
              </w:rPr>
              <w:t>60.00（台）</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w:t>
            </w:r>
          </w:p>
        </w:tc>
        <w:tc>
          <w:tcPr>
            <w:tcW w:type="dxa" w:w="1138"/>
          </w:tcPr>
          <w:p>
            <w:pPr>
              <w:pStyle w:val="null3"/>
              <w:jc w:val="center"/>
            </w:pPr>
            <w:r>
              <w:rPr>
                <w:rFonts w:ascii="仿宋_GB2312" w:hAnsi="仿宋_GB2312" w:cs="仿宋_GB2312" w:eastAsia="仿宋_GB2312"/>
              </w:rPr>
              <w:t>60.00（台）</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台式计算机（主机）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台式计算机（显示器）</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台式计算机（主机）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台式计算机（显示器）</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台式计算机</w:t>
            </w:r>
          </w:p>
        </w:tc>
        <w:tc>
          <w:tcPr>
            <w:tcW w:type="dxa" w:w="5814"/>
          </w:tcPr>
          <w:p>
            <w:pPr>
              <w:pStyle w:val="null3"/>
              <w:jc w:val="left"/>
            </w:pPr>
            <w:r>
              <w:rPr>
                <w:rFonts w:ascii="仿宋_GB2312" w:hAnsi="仿宋_GB2312" w:cs="仿宋_GB2312" w:eastAsia="仿宋_GB2312"/>
                <w:sz w:val="24"/>
              </w:rPr>
              <w:t>1.中央处理器（CPU）：</w:t>
            </w:r>
            <w:r>
              <w:br/>
            </w:r>
            <w:r>
              <w:rPr>
                <w:rFonts w:ascii="仿宋_GB2312" w:hAnsi="仿宋_GB2312" w:cs="仿宋_GB2312" w:eastAsia="仿宋_GB2312"/>
                <w:sz w:val="24"/>
              </w:rPr>
              <w:t xml:space="preserve"> 1)CPU物理核数：≥4；</w:t>
            </w:r>
            <w:r>
              <w:br/>
            </w:r>
            <w:r>
              <w:rPr>
                <w:rFonts w:ascii="仿宋_GB2312" w:hAnsi="仿宋_GB2312" w:cs="仿宋_GB2312" w:eastAsia="仿宋_GB2312"/>
                <w:sz w:val="24"/>
              </w:rPr>
              <w:t xml:space="preserve"> 2)CPU主频：≥3.4GHz；</w:t>
            </w:r>
            <w:r>
              <w:br/>
            </w:r>
            <w:r>
              <w:rPr>
                <w:rFonts w:ascii="仿宋_GB2312" w:hAnsi="仿宋_GB2312" w:cs="仿宋_GB2312" w:eastAsia="仿宋_GB2312"/>
                <w:sz w:val="24"/>
              </w:rPr>
              <w:t xml:space="preserve"> 3)CPU最高频率：≥4.5GHz；</w:t>
            </w:r>
            <w:r>
              <w:br/>
            </w:r>
            <w:r>
              <w:rPr>
                <w:rFonts w:ascii="仿宋_GB2312" w:hAnsi="仿宋_GB2312" w:cs="仿宋_GB2312" w:eastAsia="仿宋_GB2312"/>
                <w:sz w:val="24"/>
              </w:rPr>
              <w:t xml:space="preserve"> 4)CPU末级缓存容量：≥12MB；</w:t>
            </w:r>
            <w:r>
              <w:br/>
            </w:r>
            <w:r>
              <w:rPr>
                <w:rFonts w:ascii="仿宋_GB2312" w:hAnsi="仿宋_GB2312" w:cs="仿宋_GB2312" w:eastAsia="仿宋_GB2312"/>
                <w:sz w:val="24"/>
              </w:rPr>
              <w:t xml:space="preserve"> 5)线程数：≥8线程；</w:t>
            </w:r>
            <w:r>
              <w:br/>
            </w:r>
            <w:r>
              <w:rPr>
                <w:rFonts w:ascii="仿宋_GB2312" w:hAnsi="仿宋_GB2312" w:cs="仿宋_GB2312" w:eastAsia="仿宋_GB2312"/>
                <w:sz w:val="24"/>
              </w:rPr>
              <w:t xml:space="preserve"> 6)热设计功耗：≤60W；</w:t>
            </w:r>
            <w:r>
              <w:br/>
            </w:r>
            <w:r>
              <w:rPr>
                <w:rFonts w:ascii="仿宋_GB2312" w:hAnsi="仿宋_GB2312" w:cs="仿宋_GB2312" w:eastAsia="仿宋_GB2312"/>
                <w:sz w:val="24"/>
              </w:rPr>
              <w:t xml:space="preserve"> 7)CPU支持的内存最高速率：≥3200MT/s；</w:t>
            </w:r>
            <w:r>
              <w:br/>
            </w:r>
            <w:r>
              <w:rPr>
                <w:rFonts w:ascii="仿宋_GB2312" w:hAnsi="仿宋_GB2312" w:cs="仿宋_GB2312" w:eastAsia="仿宋_GB2312"/>
                <w:sz w:val="24"/>
              </w:rPr>
              <w:t xml:space="preserve"> 8)CPU支持双通道内存，内存位宽：≥128bit。</w:t>
            </w:r>
            <w:r>
              <w:br/>
            </w:r>
            <w:r>
              <w:rPr>
                <w:rFonts w:ascii="仿宋_GB2312" w:hAnsi="仿宋_GB2312" w:cs="仿宋_GB2312" w:eastAsia="仿宋_GB2312"/>
                <w:sz w:val="24"/>
              </w:rPr>
              <w:t xml:space="preserve"> 2.内存：</w:t>
            </w:r>
            <w:r>
              <w:br/>
            </w:r>
            <w:r>
              <w:rPr>
                <w:rFonts w:ascii="仿宋_GB2312" w:hAnsi="仿宋_GB2312" w:cs="仿宋_GB2312" w:eastAsia="仿宋_GB2312"/>
                <w:sz w:val="24"/>
              </w:rPr>
              <w:t xml:space="preserve"> 1)内存配置容量：≥16GB；</w:t>
            </w:r>
            <w:r>
              <w:br/>
            </w:r>
            <w:r>
              <w:rPr>
                <w:rFonts w:ascii="仿宋_GB2312" w:hAnsi="仿宋_GB2312" w:cs="仿宋_GB2312" w:eastAsia="仿宋_GB2312"/>
                <w:sz w:val="24"/>
              </w:rPr>
              <w:t xml:space="preserve"> 2)内存类型：支持不低于 DDR4；</w:t>
            </w:r>
            <w:r>
              <w:br/>
            </w:r>
            <w:r>
              <w:rPr>
                <w:rFonts w:ascii="仿宋_GB2312" w:hAnsi="仿宋_GB2312" w:cs="仿宋_GB2312" w:eastAsia="仿宋_GB2312"/>
                <w:sz w:val="24"/>
              </w:rPr>
              <w:t xml:space="preserve"> 3)内存条配置数量:≥1；</w:t>
            </w:r>
            <w:r>
              <w:br/>
            </w:r>
            <w:r>
              <w:rPr>
                <w:rFonts w:ascii="仿宋_GB2312" w:hAnsi="仿宋_GB2312" w:cs="仿宋_GB2312" w:eastAsia="仿宋_GB2312"/>
                <w:sz w:val="24"/>
              </w:rPr>
              <w:t xml:space="preserve"> 4)内存读写速率：≥3200MT/s。</w:t>
            </w:r>
            <w:r>
              <w:br/>
            </w:r>
            <w:r>
              <w:rPr>
                <w:rFonts w:ascii="仿宋_GB2312" w:hAnsi="仿宋_GB2312" w:cs="仿宋_GB2312" w:eastAsia="仿宋_GB2312"/>
                <w:sz w:val="24"/>
              </w:rPr>
              <w:t xml:space="preserve"> 3.主板：</w:t>
            </w:r>
            <w:r>
              <w:br/>
            </w:r>
            <w:r>
              <w:rPr>
                <w:rFonts w:ascii="仿宋_GB2312" w:hAnsi="仿宋_GB2312" w:cs="仿宋_GB2312" w:eastAsia="仿宋_GB2312"/>
                <w:sz w:val="24"/>
              </w:rPr>
              <w:t xml:space="preserve"> 1)主板集成模块：集成资源扩展模块、计算处理模块、音频扩展模块等，主板的互联拓扑可通过处理器或交换电路实现；</w:t>
            </w:r>
            <w:r>
              <w:br/>
            </w:r>
            <w:r>
              <w:rPr>
                <w:rFonts w:ascii="仿宋_GB2312" w:hAnsi="仿宋_GB2312" w:cs="仿宋_GB2312" w:eastAsia="仿宋_GB2312"/>
                <w:sz w:val="24"/>
              </w:rPr>
              <w:t xml:space="preserve"> 2)主板支持的CPU和内存情况：主板支持满足本项目要求的CPU和内存；</w:t>
            </w:r>
            <w:r>
              <w:br/>
            </w:r>
            <w:r>
              <w:rPr>
                <w:rFonts w:ascii="仿宋_GB2312" w:hAnsi="仿宋_GB2312" w:cs="仿宋_GB2312" w:eastAsia="仿宋_GB2312"/>
                <w:sz w:val="24"/>
              </w:rPr>
              <w:t xml:space="preserve"> 3)主板内置PCIe插槽数量：内置2个以上PCIe槽位（至少包含1个PCIe x16 Gen5）；</w:t>
            </w:r>
            <w:r>
              <w:br/>
            </w:r>
            <w:r>
              <w:rPr>
                <w:rFonts w:ascii="仿宋_GB2312" w:hAnsi="仿宋_GB2312" w:cs="仿宋_GB2312" w:eastAsia="仿宋_GB2312"/>
                <w:sz w:val="24"/>
              </w:rPr>
              <w:t xml:space="preserve"> 4)主板其他内置接口：≥3个M.2 接口、≥3个SATA 接口；</w:t>
            </w:r>
            <w:r>
              <w:br/>
            </w:r>
            <w:r>
              <w:rPr>
                <w:rFonts w:ascii="仿宋_GB2312" w:hAnsi="仿宋_GB2312" w:cs="仿宋_GB2312" w:eastAsia="仿宋_GB2312"/>
                <w:sz w:val="24"/>
              </w:rPr>
              <w:t xml:space="preserve"> 5)单内存插槽最大可支持：≥32GB；</w:t>
            </w:r>
            <w:r>
              <w:br/>
            </w:r>
            <w:r>
              <w:rPr>
                <w:rFonts w:ascii="仿宋_GB2312" w:hAnsi="仿宋_GB2312" w:cs="仿宋_GB2312" w:eastAsia="仿宋_GB2312"/>
                <w:sz w:val="24"/>
              </w:rPr>
              <w:t xml:space="preserve"> 6)内存插槽配满时提供的最高内存总容量：≥64GB；</w:t>
            </w:r>
            <w:r>
              <w:br/>
            </w:r>
            <w:r>
              <w:rPr>
                <w:rFonts w:ascii="仿宋_GB2312" w:hAnsi="仿宋_GB2312" w:cs="仿宋_GB2312" w:eastAsia="仿宋_GB2312"/>
                <w:sz w:val="24"/>
              </w:rPr>
              <w:t xml:space="preserve"> 7)内存扩展接口：≥2个。</w:t>
            </w:r>
            <w:r>
              <w:br/>
            </w:r>
            <w:r>
              <w:rPr>
                <w:rFonts w:ascii="仿宋_GB2312" w:hAnsi="仿宋_GB2312" w:cs="仿宋_GB2312" w:eastAsia="仿宋_GB2312"/>
                <w:sz w:val="24"/>
              </w:rPr>
              <w:t xml:space="preserve"> 4.存储设备：</w:t>
            </w:r>
            <w:r>
              <w:br/>
            </w:r>
            <w:r>
              <w:rPr>
                <w:rFonts w:ascii="仿宋_GB2312" w:hAnsi="仿宋_GB2312" w:cs="仿宋_GB2312" w:eastAsia="仿宋_GB2312"/>
                <w:sz w:val="24"/>
              </w:rPr>
              <w:t xml:space="preserve"> 1)固态硬盘数量：≥1个；</w:t>
            </w:r>
            <w:r>
              <w:br/>
            </w:r>
            <w:r>
              <w:rPr>
                <w:rFonts w:ascii="仿宋_GB2312" w:hAnsi="仿宋_GB2312" w:cs="仿宋_GB2312" w:eastAsia="仿宋_GB2312"/>
                <w:sz w:val="24"/>
              </w:rPr>
              <w:t xml:space="preserve"> 2)固态硬盘容量：≥256GB；</w:t>
            </w:r>
            <w:r>
              <w:br/>
            </w:r>
            <w:r>
              <w:rPr>
                <w:rFonts w:ascii="仿宋_GB2312" w:hAnsi="仿宋_GB2312" w:cs="仿宋_GB2312" w:eastAsia="仿宋_GB2312"/>
                <w:sz w:val="24"/>
              </w:rPr>
              <w:t xml:space="preserve"> 3)固态存储形态：M.2 PCIe NVME；</w:t>
            </w:r>
            <w:r>
              <w:br/>
            </w:r>
            <w:r>
              <w:rPr>
                <w:rFonts w:ascii="仿宋_GB2312" w:hAnsi="仿宋_GB2312" w:cs="仿宋_GB2312" w:eastAsia="仿宋_GB2312"/>
                <w:sz w:val="24"/>
              </w:rPr>
              <w:t xml:space="preserve"> 5.显卡：</w:t>
            </w:r>
            <w:r>
              <w:br/>
            </w:r>
            <w:r>
              <w:rPr>
                <w:rFonts w:ascii="仿宋_GB2312" w:hAnsi="仿宋_GB2312" w:cs="仿宋_GB2312" w:eastAsia="仿宋_GB2312"/>
                <w:sz w:val="24"/>
              </w:rPr>
              <w:t xml:space="preserve"> 1)显卡类型：集成显卡；</w:t>
            </w:r>
            <w:r>
              <w:br/>
            </w:r>
            <w:r>
              <w:rPr>
                <w:rFonts w:ascii="仿宋_GB2312" w:hAnsi="仿宋_GB2312" w:cs="仿宋_GB2312" w:eastAsia="仿宋_GB2312"/>
                <w:sz w:val="24"/>
              </w:rPr>
              <w:t xml:space="preserve"> 2)显卡可支持多屏同时显示数量：显卡支持2块屏幕同时显示，分辨率应不低于1920×1080。</w:t>
            </w:r>
            <w:r>
              <w:br/>
            </w:r>
            <w:r>
              <w:rPr>
                <w:rFonts w:ascii="仿宋_GB2312" w:hAnsi="仿宋_GB2312" w:cs="仿宋_GB2312" w:eastAsia="仿宋_GB2312"/>
                <w:sz w:val="24"/>
              </w:rPr>
              <w:t xml:space="preserve"> 6.显示设备：</w:t>
            </w:r>
            <w:r>
              <w:br/>
            </w:r>
            <w:r>
              <w:rPr>
                <w:rFonts w:ascii="仿宋_GB2312" w:hAnsi="仿宋_GB2312" w:cs="仿宋_GB2312" w:eastAsia="仿宋_GB2312"/>
                <w:sz w:val="24"/>
              </w:rPr>
              <w:t xml:space="preserve"> 1)显示屏屏占比：≥91%；</w:t>
            </w:r>
            <w:r>
              <w:br/>
            </w:r>
            <w:r>
              <w:rPr>
                <w:rFonts w:ascii="仿宋_GB2312" w:hAnsi="仿宋_GB2312" w:cs="仿宋_GB2312" w:eastAsia="仿宋_GB2312"/>
                <w:sz w:val="24"/>
              </w:rPr>
              <w:t xml:space="preserve"> 2)显示屏分辨率：≥1920x1080；</w:t>
            </w:r>
            <w:r>
              <w:br/>
            </w:r>
            <w:r>
              <w:rPr>
                <w:rFonts w:ascii="仿宋_GB2312" w:hAnsi="仿宋_GB2312" w:cs="仿宋_GB2312" w:eastAsia="仿宋_GB2312"/>
                <w:sz w:val="24"/>
              </w:rPr>
              <w:t xml:space="preserve"> 3)显示屏尺寸：≥23.8英寸；</w:t>
            </w:r>
            <w:r>
              <w:br/>
            </w:r>
            <w:r>
              <w:rPr>
                <w:rFonts w:ascii="仿宋_GB2312" w:hAnsi="仿宋_GB2312" w:cs="仿宋_GB2312" w:eastAsia="仿宋_GB2312"/>
                <w:sz w:val="24"/>
              </w:rPr>
              <w:t xml:space="preserve"> 4)显示屏刷新率：≥100Hz；</w:t>
            </w:r>
            <w:r>
              <w:br/>
            </w:r>
            <w:r>
              <w:rPr>
                <w:rFonts w:ascii="仿宋_GB2312" w:hAnsi="仿宋_GB2312" w:cs="仿宋_GB2312" w:eastAsia="仿宋_GB2312"/>
                <w:sz w:val="24"/>
              </w:rPr>
              <w:t xml:space="preserve"> 5)显示器接口：VGA+HDMI双接口和100x100标准VESA接口；</w:t>
            </w:r>
            <w:r>
              <w:br/>
            </w:r>
            <w:r>
              <w:rPr>
                <w:rFonts w:ascii="仿宋_GB2312" w:hAnsi="仿宋_GB2312" w:cs="仿宋_GB2312" w:eastAsia="仿宋_GB2312"/>
                <w:sz w:val="24"/>
              </w:rPr>
              <w:t xml:space="preserve"> 6)显示器支架：支持俯仰-5°~15°调节。</w:t>
            </w:r>
            <w:r>
              <w:br/>
            </w:r>
            <w:r>
              <w:rPr>
                <w:rFonts w:ascii="仿宋_GB2312" w:hAnsi="仿宋_GB2312" w:cs="仿宋_GB2312" w:eastAsia="仿宋_GB2312"/>
                <w:sz w:val="24"/>
              </w:rPr>
              <w:t xml:space="preserve"> 7.外设：</w:t>
            </w:r>
            <w:r>
              <w:br/>
            </w:r>
            <w:r>
              <w:rPr>
                <w:rFonts w:ascii="仿宋_GB2312" w:hAnsi="仿宋_GB2312" w:cs="仿宋_GB2312" w:eastAsia="仿宋_GB2312"/>
                <w:sz w:val="24"/>
              </w:rPr>
              <w:t xml:space="preserve"> 1)鼠标数量：≥1个；</w:t>
            </w:r>
            <w:r>
              <w:br/>
            </w:r>
            <w:r>
              <w:rPr>
                <w:rFonts w:ascii="仿宋_GB2312" w:hAnsi="仿宋_GB2312" w:cs="仿宋_GB2312" w:eastAsia="仿宋_GB2312"/>
                <w:sz w:val="24"/>
              </w:rPr>
              <w:t xml:space="preserve"> 2)键盘数量：≥1个；</w:t>
            </w:r>
            <w:r>
              <w:br/>
            </w:r>
            <w:r>
              <w:rPr>
                <w:rFonts w:ascii="仿宋_GB2312" w:hAnsi="仿宋_GB2312" w:cs="仿宋_GB2312" w:eastAsia="仿宋_GB2312"/>
                <w:sz w:val="24"/>
              </w:rPr>
              <w:t xml:space="preserve"> 3)键盘按键数目：104键；</w:t>
            </w:r>
            <w:r>
              <w:br/>
            </w:r>
            <w:r>
              <w:rPr>
                <w:rFonts w:ascii="仿宋_GB2312" w:hAnsi="仿宋_GB2312" w:cs="仿宋_GB2312" w:eastAsia="仿宋_GB2312"/>
                <w:sz w:val="24"/>
              </w:rPr>
              <w:t xml:space="preserve"> 4)键盘连接方式：有线；</w:t>
            </w:r>
            <w:r>
              <w:br/>
            </w:r>
            <w:r>
              <w:rPr>
                <w:rFonts w:ascii="仿宋_GB2312" w:hAnsi="仿宋_GB2312" w:cs="仿宋_GB2312" w:eastAsia="仿宋_GB2312"/>
                <w:sz w:val="24"/>
              </w:rPr>
              <w:t xml:space="preserve"> 5)键盘键程：2.3mm~4.0mm；</w:t>
            </w:r>
            <w:r>
              <w:br/>
            </w:r>
            <w:r>
              <w:rPr>
                <w:rFonts w:ascii="仿宋_GB2312" w:hAnsi="仿宋_GB2312" w:cs="仿宋_GB2312" w:eastAsia="仿宋_GB2312"/>
                <w:sz w:val="24"/>
              </w:rPr>
              <w:t xml:space="preserve"> 6)键盘按键压力：按键压力在0.54N±0.14N；</w:t>
            </w:r>
            <w:r>
              <w:br/>
            </w:r>
            <w:r>
              <w:rPr>
                <w:rFonts w:ascii="仿宋_GB2312" w:hAnsi="仿宋_GB2312" w:cs="仿宋_GB2312" w:eastAsia="仿宋_GB2312"/>
                <w:sz w:val="24"/>
              </w:rPr>
              <w:t xml:space="preserve"> 7）有线键盘连接线：≥1.5米；</w:t>
            </w:r>
            <w:r>
              <w:br/>
            </w:r>
            <w:r>
              <w:rPr>
                <w:rFonts w:ascii="仿宋_GB2312" w:hAnsi="仿宋_GB2312" w:cs="仿宋_GB2312" w:eastAsia="仿宋_GB2312"/>
                <w:sz w:val="24"/>
              </w:rPr>
              <w:t xml:space="preserve"> 8）键盘颜色：黑色；</w:t>
            </w:r>
            <w:r>
              <w:br/>
            </w:r>
            <w:r>
              <w:rPr>
                <w:rFonts w:ascii="仿宋_GB2312" w:hAnsi="仿宋_GB2312" w:cs="仿宋_GB2312" w:eastAsia="仿宋_GB2312"/>
                <w:sz w:val="24"/>
              </w:rPr>
              <w:t xml:space="preserve"> 9）鼠标连接方式：有线；</w:t>
            </w:r>
            <w:r>
              <w:br/>
            </w:r>
            <w:r>
              <w:rPr>
                <w:rFonts w:ascii="仿宋_GB2312" w:hAnsi="仿宋_GB2312" w:cs="仿宋_GB2312" w:eastAsia="仿宋_GB2312"/>
                <w:sz w:val="24"/>
              </w:rPr>
              <w:t xml:space="preserve"> 10）有线鼠标连接线：≥1.5米；</w:t>
            </w:r>
            <w:r>
              <w:br/>
            </w:r>
            <w:r>
              <w:rPr>
                <w:rFonts w:ascii="仿宋_GB2312" w:hAnsi="仿宋_GB2312" w:cs="仿宋_GB2312" w:eastAsia="仿宋_GB2312"/>
                <w:sz w:val="24"/>
              </w:rPr>
              <w:t xml:space="preserve"> 11）鼠标DPI分辨率：800～1600（含）；</w:t>
            </w:r>
            <w:r>
              <w:br/>
            </w:r>
            <w:r>
              <w:rPr>
                <w:rFonts w:ascii="仿宋_GB2312" w:hAnsi="仿宋_GB2312" w:cs="仿宋_GB2312" w:eastAsia="仿宋_GB2312"/>
                <w:sz w:val="24"/>
              </w:rPr>
              <w:t xml:space="preserve"> 8.网络设备：</w:t>
            </w:r>
            <w:r>
              <w:br/>
            </w:r>
            <w:r>
              <w:rPr>
                <w:rFonts w:ascii="仿宋_GB2312" w:hAnsi="仿宋_GB2312" w:cs="仿宋_GB2312" w:eastAsia="仿宋_GB2312"/>
                <w:sz w:val="24"/>
              </w:rPr>
              <w:t xml:space="preserve"> 1）有线网卡数量：≥1个；</w:t>
            </w:r>
            <w:r>
              <w:br/>
            </w:r>
            <w:r>
              <w:rPr>
                <w:rFonts w:ascii="仿宋_GB2312" w:hAnsi="仿宋_GB2312" w:cs="仿宋_GB2312" w:eastAsia="仿宋_GB2312"/>
                <w:sz w:val="24"/>
              </w:rPr>
              <w:t xml:space="preserve"> 2）有线网卡接口类型：支持RJ45接口；</w:t>
            </w:r>
            <w:r>
              <w:br/>
            </w:r>
            <w:r>
              <w:rPr>
                <w:rFonts w:ascii="仿宋_GB2312" w:hAnsi="仿宋_GB2312" w:cs="仿宋_GB2312" w:eastAsia="仿宋_GB2312"/>
                <w:sz w:val="24"/>
              </w:rPr>
              <w:t xml:space="preserve"> 3）有线网卡速率：最高速率应不低于1000Mbps，应支持10Mbps、100Mbps、1000Mbps速率自适应；</w:t>
            </w:r>
            <w:r>
              <w:br/>
            </w:r>
            <w:r>
              <w:rPr>
                <w:rFonts w:ascii="仿宋_GB2312" w:hAnsi="仿宋_GB2312" w:cs="仿宋_GB2312" w:eastAsia="仿宋_GB2312"/>
                <w:sz w:val="24"/>
              </w:rPr>
              <w:t xml:space="preserve"> 4）网络设备拆装：网络设备支持物理拆装，包括无线网 卡和蓝牙模块等。</w:t>
            </w:r>
            <w:r>
              <w:br/>
            </w:r>
            <w:r>
              <w:rPr>
                <w:rFonts w:ascii="仿宋_GB2312" w:hAnsi="仿宋_GB2312" w:cs="仿宋_GB2312" w:eastAsia="仿宋_GB2312"/>
                <w:sz w:val="24"/>
              </w:rPr>
              <w:t xml:space="preserve"> 9.外部接口：</w:t>
            </w:r>
            <w:r>
              <w:br/>
            </w:r>
            <w:r>
              <w:rPr>
                <w:rFonts w:ascii="仿宋_GB2312" w:hAnsi="仿宋_GB2312" w:cs="仿宋_GB2312" w:eastAsia="仿宋_GB2312"/>
                <w:sz w:val="24"/>
              </w:rPr>
              <w:t xml:space="preserve"> 1）USB接口数量：主板原生USB接口不少于11个（USB3.2 Gen1接口不少于9个，Type-C接口不少于1个)；</w:t>
            </w:r>
            <w:r>
              <w:br/>
            </w:r>
            <w:r>
              <w:rPr>
                <w:rFonts w:ascii="仿宋_GB2312" w:hAnsi="仿宋_GB2312" w:cs="仿宋_GB2312" w:eastAsia="仿宋_GB2312"/>
                <w:sz w:val="24"/>
              </w:rPr>
              <w:t xml:space="preserve"> 2）视频接口数量：≥2个；</w:t>
            </w:r>
            <w:r>
              <w:br/>
            </w:r>
            <w:r>
              <w:rPr>
                <w:rFonts w:ascii="仿宋_GB2312" w:hAnsi="仿宋_GB2312" w:cs="仿宋_GB2312" w:eastAsia="仿宋_GB2312"/>
                <w:sz w:val="24"/>
              </w:rPr>
              <w:t xml:space="preserve"> 3）视频接口类型：至少支持 HDMI、DVI、DP、Type-C 中 2种高清显示接口；</w:t>
            </w:r>
            <w:r>
              <w:br/>
            </w:r>
            <w:r>
              <w:rPr>
                <w:rFonts w:ascii="仿宋_GB2312" w:hAnsi="仿宋_GB2312" w:cs="仿宋_GB2312" w:eastAsia="仿宋_GB2312"/>
                <w:sz w:val="24"/>
              </w:rPr>
              <w:t xml:space="preserve"> 4）音频接口数量：配置5.1声道(至少包含1个2合1接口)；</w:t>
            </w:r>
            <w:r>
              <w:br/>
            </w:r>
            <w:r>
              <w:rPr>
                <w:rFonts w:ascii="仿宋_GB2312" w:hAnsi="仿宋_GB2312" w:cs="仿宋_GB2312" w:eastAsia="仿宋_GB2312"/>
                <w:sz w:val="24"/>
              </w:rPr>
              <w:t xml:space="preserve"> 5）HDMI、DP、Type-C 显示接口要求：支持音频和视频同步输出。</w:t>
            </w:r>
            <w:r>
              <w:br/>
            </w:r>
            <w:r>
              <w:rPr>
                <w:rFonts w:ascii="仿宋_GB2312" w:hAnsi="仿宋_GB2312" w:cs="仿宋_GB2312" w:eastAsia="仿宋_GB2312"/>
                <w:sz w:val="24"/>
              </w:rPr>
              <w:t xml:space="preserve"> 10.整机：</w:t>
            </w:r>
            <w:r>
              <w:br/>
            </w:r>
            <w:r>
              <w:rPr>
                <w:rFonts w:ascii="仿宋_GB2312" w:hAnsi="仿宋_GB2312" w:cs="仿宋_GB2312" w:eastAsia="仿宋_GB2312"/>
                <w:sz w:val="24"/>
              </w:rPr>
              <w:t xml:space="preserve"> 1）机箱防护要求：机箱应符合GB 4943.1-2022《音视频、信息技术和通信技术设备 第1部分：安全要求》；</w:t>
            </w:r>
            <w:r>
              <w:br/>
            </w:r>
            <w:r>
              <w:rPr>
                <w:rFonts w:ascii="仿宋_GB2312" w:hAnsi="仿宋_GB2312" w:cs="仿宋_GB2312" w:eastAsia="仿宋_GB2312"/>
                <w:sz w:val="24"/>
              </w:rPr>
              <w:t xml:space="preserve"> 2）整机噪音：产品工作在空闲状态下，产品的声功率级应不超过2.0Bel；</w:t>
            </w:r>
            <w:r>
              <w:br/>
            </w:r>
            <w:r>
              <w:rPr>
                <w:rFonts w:ascii="仿宋_GB2312" w:hAnsi="仿宋_GB2312" w:cs="仿宋_GB2312" w:eastAsia="仿宋_GB2312"/>
                <w:sz w:val="24"/>
              </w:rPr>
              <w:t xml:space="preserve"> 3）机箱尺寸容量：机箱体积应不大于20L；</w:t>
            </w:r>
            <w:r>
              <w:br/>
            </w:r>
            <w:r>
              <w:rPr>
                <w:rFonts w:ascii="仿宋_GB2312" w:hAnsi="仿宋_GB2312" w:cs="仿宋_GB2312" w:eastAsia="仿宋_GB2312"/>
                <w:sz w:val="24"/>
              </w:rPr>
              <w:t xml:space="preserve"> 4）内置可拆洗防尘网罩，配置有效去除空气中的甲醛等有害气体（净化空气）风扇。</w:t>
            </w:r>
            <w:r>
              <w:br/>
            </w:r>
            <w:r>
              <w:rPr>
                <w:rFonts w:ascii="仿宋_GB2312" w:hAnsi="仿宋_GB2312" w:cs="仿宋_GB2312" w:eastAsia="仿宋_GB2312"/>
                <w:sz w:val="24"/>
              </w:rPr>
              <w:t xml:space="preserve"> 11.电源：≥200W以上节能电源，能源转化效率≥92%。</w:t>
            </w:r>
            <w:r>
              <w:br/>
            </w:r>
            <w:r>
              <w:rPr>
                <w:rFonts w:ascii="仿宋_GB2312" w:hAnsi="仿宋_GB2312" w:cs="仿宋_GB2312" w:eastAsia="仿宋_GB2312"/>
                <w:sz w:val="24"/>
              </w:rPr>
              <w:t xml:space="preserve"> 12.操作系统及软件功能：</w:t>
            </w:r>
            <w:r>
              <w:br/>
            </w:r>
            <w:r>
              <w:rPr>
                <w:rFonts w:ascii="仿宋_GB2312" w:hAnsi="仿宋_GB2312" w:cs="仿宋_GB2312" w:eastAsia="仿宋_GB2312"/>
                <w:sz w:val="24"/>
              </w:rPr>
              <w:t xml:space="preserve"> 1)出厂预装正版操作系统；</w:t>
            </w:r>
            <w:r>
              <w:br/>
            </w:r>
            <w:r>
              <w:rPr>
                <w:rFonts w:ascii="仿宋_GB2312" w:hAnsi="仿宋_GB2312" w:cs="仿宋_GB2312" w:eastAsia="仿宋_GB2312"/>
                <w:sz w:val="24"/>
              </w:rPr>
              <w:t xml:space="preserve"> 2)安装AI模块，具备AI操控、AI翻译、AI服务、AI写作、AI文件等功能。</w:t>
            </w:r>
            <w:r>
              <w:br/>
            </w:r>
            <w:r>
              <w:rPr>
                <w:rFonts w:ascii="仿宋_GB2312" w:hAnsi="仿宋_GB2312" w:cs="仿宋_GB2312" w:eastAsia="仿宋_GB2312"/>
                <w:sz w:val="24"/>
              </w:rPr>
              <w:t xml:space="preserve"> 3）安装正版杀毒软件，支持病毒查杀，提供病毒主动防御手动查杀，提供弹窗隔离记录。</w:t>
            </w:r>
            <w:r>
              <w:br/>
            </w:r>
            <w:r>
              <w:rPr>
                <w:rFonts w:ascii="仿宋_GB2312" w:hAnsi="仿宋_GB2312" w:cs="仿宋_GB2312" w:eastAsia="仿宋_GB2312"/>
                <w:sz w:val="24"/>
              </w:rPr>
              <w:t xml:space="preserve"> 13.其他要求：所投台式计算机其他参数需满足《台式计算机政府采购需求标准(2023年版)》中加*指标要求（CPU、操作系统符合安全可靠测评除外）。</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培训要求</w:t>
            </w:r>
          </w:p>
        </w:tc>
        <w:tc>
          <w:tcPr>
            <w:tcW w:type="dxa" w:w="5814"/>
          </w:tcPr>
          <w:p>
            <w:pPr>
              <w:pStyle w:val="null3"/>
              <w:jc w:val="left"/>
            </w:pPr>
            <w:r>
              <w:rPr>
                <w:rFonts w:ascii="仿宋_GB2312" w:hAnsi="仿宋_GB2312" w:cs="仿宋_GB2312" w:eastAsia="仿宋_GB2312"/>
                <w:sz w:val="24"/>
              </w:rPr>
              <w:t>1.现场培训：供应商须在采购人指定地点，为采购人相关工作人员开展设备操作、运行及日常维护的现场培训。培训内容至少包括使用方法、操作流程、日常维护要点、常见故障排查等，确保受训人员能独立操作设备。</w:t>
            </w:r>
            <w:r>
              <w:br/>
            </w:r>
            <w:r>
              <w:rPr>
                <w:rFonts w:ascii="仿宋_GB2312" w:hAnsi="仿宋_GB2312" w:cs="仿宋_GB2312" w:eastAsia="仿宋_GB2312"/>
                <w:sz w:val="24"/>
              </w:rPr>
              <w:t xml:space="preserve"> 2.培训安排：培训时间、地点及参训人员由 采购人指定。若采购人操作人员在质保期内发生变动，供应商须对变动后的人员免费提供同等标 准的培训。</w:t>
            </w:r>
            <w:r>
              <w:br/>
            </w:r>
            <w:r>
              <w:rPr>
                <w:rFonts w:ascii="仿宋_GB2312" w:hAnsi="仿宋_GB2312" w:cs="仿宋_GB2312" w:eastAsia="仿宋_GB2312"/>
                <w:sz w:val="24"/>
              </w:rPr>
              <w:t xml:space="preserve"> 3.培训资料：供应商须提供培训材料、产品手册、操作指南等完整资料，电子版与纸质版各提供1套，所有资料须为中文简体版本。</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spacing w:before="360"/>
              <w:jc w:val="left"/>
            </w:pPr>
            <w:r>
              <w:rPr>
                <w:rFonts w:ascii="仿宋_GB2312" w:hAnsi="仿宋_GB2312" w:cs="仿宋_GB2312" w:eastAsia="仿宋_GB2312"/>
                <w:sz w:val="24"/>
              </w:rPr>
              <w:t>一、质保服务</w:t>
            </w:r>
            <w:r>
              <w:br/>
            </w:r>
            <w:r>
              <w:rPr>
                <w:rFonts w:ascii="仿宋_GB2312" w:hAnsi="仿宋_GB2312" w:cs="仿宋_GB2312" w:eastAsia="仿宋_GB2312"/>
                <w:sz w:val="24"/>
              </w:rPr>
              <w:t xml:space="preserve"> 1.自验收合格之日起，供应商须提供不少于3年的免费上门质保服务(因人为违规操作、不可抗力或采购人非正常使用造成的故障除外)。服务范围包括但不限于安装调试、故障维修、零配件更换、技术咨询等。</w:t>
            </w:r>
            <w:r>
              <w:br/>
            </w:r>
            <w:r>
              <w:rPr>
                <w:rFonts w:ascii="仿宋_GB2312" w:hAnsi="仿宋_GB2312" w:cs="仿宋_GB2312" w:eastAsia="仿宋_GB2312"/>
                <w:sz w:val="24"/>
              </w:rPr>
              <w:t xml:space="preserve"> 2.质保期内严格执行“三包”原则(包修、包换、包退),相关费用由供应商承担：(1)同一故障经2次维修仍无法正常使用的，供应商须在5个工作日内免费更换合格产品；(2)无法修复且无同型号产品可更换的，供应商须在15个工作日内按合同约定的设备单价进行等价赔偿。</w:t>
            </w:r>
            <w:r>
              <w:br/>
            </w:r>
            <w:r>
              <w:rPr>
                <w:rFonts w:ascii="仿宋_GB2312" w:hAnsi="仿宋_GB2312" w:cs="仿宋_GB2312" w:eastAsia="仿宋_GB2312"/>
                <w:sz w:val="24"/>
              </w:rPr>
              <w:t xml:space="preserve"> 二、响应机制</w:t>
            </w:r>
            <w:r>
              <w:br/>
            </w:r>
            <w:r>
              <w:rPr>
                <w:rFonts w:ascii="仿宋_GB2312" w:hAnsi="仿宋_GB2312" w:cs="仿宋_GB2312" w:eastAsia="仿宋_GB2312"/>
                <w:sz w:val="24"/>
              </w:rPr>
              <w:t xml:space="preserve"> 提供7×24小时技术支持：1.电话响应时间≤1小时；2.远程协助启动时间≤30分钟(自接到电话后起算):3.确需现场服务的，工作人员须在24小时内到达采购人指定地点(通江县境内)。 </w:t>
            </w:r>
            <w:r>
              <w:br/>
            </w:r>
            <w:r>
              <w:rPr>
                <w:rFonts w:ascii="仿宋_GB2312" w:hAnsi="仿宋_GB2312" w:cs="仿宋_GB2312" w:eastAsia="仿宋_GB2312"/>
                <w:sz w:val="24"/>
              </w:rPr>
              <w:t xml:space="preserve"> 三、故障处理</w:t>
            </w:r>
            <w:r>
              <w:br/>
            </w:r>
            <w:r>
              <w:rPr>
                <w:rFonts w:ascii="仿宋_GB2312" w:hAnsi="仿宋_GB2312" w:cs="仿宋_GB2312" w:eastAsia="仿宋_GB2312"/>
                <w:sz w:val="24"/>
              </w:rPr>
              <w:t xml:space="preserve"> 1.一般故障(不影响核心功能，可短时修复的故障):24小时内排除；</w:t>
            </w:r>
            <w:r>
              <w:br/>
            </w:r>
            <w:r>
              <w:rPr>
                <w:rFonts w:ascii="仿宋_GB2312" w:hAnsi="仿宋_GB2312" w:cs="仿宋_GB2312" w:eastAsia="仿宋_GB2312"/>
                <w:sz w:val="24"/>
              </w:rPr>
              <w:t xml:space="preserve"> 2.重大故障(导致设备完全无法运行或核心功能丧失且无法快速修复的故障):48小时内修复；</w:t>
            </w:r>
            <w:r>
              <w:br/>
            </w:r>
            <w:r>
              <w:rPr>
                <w:rFonts w:ascii="仿宋_GB2312" w:hAnsi="仿宋_GB2312" w:cs="仿宋_GB2312" w:eastAsia="仿宋_GB2312"/>
                <w:sz w:val="24"/>
              </w:rPr>
              <w:t xml:space="preserve"> 3.同一重大故障在48小时内无法修复的，供应商须无偿提供同功能备用设备，确保采购人业务不中断；</w:t>
            </w:r>
            <w:r>
              <w:br/>
            </w:r>
            <w:r>
              <w:rPr>
                <w:rFonts w:ascii="仿宋_GB2312" w:hAnsi="仿宋_GB2312" w:cs="仿宋_GB2312" w:eastAsia="仿宋_GB2312"/>
                <w:sz w:val="24"/>
              </w:rPr>
              <w:t xml:space="preserve"> 4.确需延期处理的，供应商须提交书面说明并经采购人书面确认，同时提供临时保障方案。</w:t>
            </w:r>
            <w:r>
              <w:br/>
            </w:r>
            <w:r>
              <w:rPr>
                <w:rFonts w:ascii="仿宋_GB2312" w:hAnsi="仿宋_GB2312" w:cs="仿宋_GB2312" w:eastAsia="仿宋_GB2312"/>
                <w:sz w:val="24"/>
              </w:rPr>
              <w:t xml:space="preserve"> 四、定期巡检</w:t>
            </w:r>
            <w:r>
              <w:br/>
            </w:r>
            <w:r>
              <w:rPr>
                <w:rFonts w:ascii="仿宋_GB2312" w:hAnsi="仿宋_GB2312" w:cs="仿宋_GB2312" w:eastAsia="仿宋_GB2312"/>
                <w:sz w:val="24"/>
              </w:rPr>
              <w:t xml:space="preserve"> 质保期内每半年至少上门全面巡检1次，出具书面巡检报告并建立维保档案。</w:t>
            </w:r>
            <w:r>
              <w:br/>
            </w:r>
            <w:r>
              <w:rPr>
                <w:rFonts w:ascii="仿宋_GB2312" w:hAnsi="仿宋_GB2312" w:cs="仿宋_GB2312" w:eastAsia="仿宋_GB2312"/>
                <w:sz w:val="24"/>
              </w:rPr>
              <w:t xml:space="preserve"> 五、专属服务团队</w:t>
            </w:r>
            <w:r>
              <w:br/>
            </w:r>
            <w:r>
              <w:rPr>
                <w:rFonts w:ascii="仿宋_GB2312" w:hAnsi="仿宋_GB2312" w:cs="仿宋_GB2312" w:eastAsia="仿宋_GB2312"/>
                <w:sz w:val="24"/>
              </w:rPr>
              <w:t xml:space="preserve"> 配备固定专属服务团队，人员变动须提前5个工作日书面报备并经采购人同意，新任人员资质不低于原标准。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产品完整性要求</w:t>
            </w:r>
          </w:p>
        </w:tc>
        <w:tc>
          <w:tcPr>
            <w:tcW w:type="dxa" w:w="5814"/>
          </w:tcPr>
          <w:p>
            <w:pPr>
              <w:pStyle w:val="null3"/>
              <w:jc w:val="left"/>
            </w:pPr>
            <w:r>
              <w:rPr>
                <w:rFonts w:ascii="仿宋_GB2312" w:hAnsi="仿宋_GB2312" w:cs="仿宋_GB2312" w:eastAsia="仿宋_GB2312"/>
                <w:sz w:val="24"/>
              </w:rPr>
              <w:t>1.供应商所提供的产品须完整成套。凡技术要求中明确列出的，或产品正常运行所必需的附件、配件及配套资料(包括但不限于使用说明书、产品合格证等),均须一并提供。</w:t>
            </w:r>
            <w:r>
              <w:br/>
            </w:r>
            <w:r>
              <w:rPr>
                <w:rFonts w:ascii="仿宋_GB2312" w:hAnsi="仿宋_GB2312" w:cs="仿宋_GB2312" w:eastAsia="仿宋_GB2312"/>
                <w:sz w:val="24"/>
              </w:rPr>
              <w:t xml:space="preserve"> 2.供应商须提供全新货物，货物表面应无划伤、无碰撞痕迹，权属清晰，且不得侵犯任何第三方知识产权。</w:t>
            </w:r>
            <w:r>
              <w:br/>
            </w:r>
            <w:r>
              <w:rPr>
                <w:rFonts w:ascii="仿宋_GB2312" w:hAnsi="仿宋_GB2312" w:cs="仿宋_GB2312" w:eastAsia="仿宋_GB2312"/>
                <w:sz w:val="24"/>
              </w:rPr>
              <w:t xml:space="preserve"> 3.若验收或使用过程中发现缺项、漏项，且该缺失部分为保障产品正常运行所必需的，供应商须在收到采购人通知后5个工作日内无条件补齐，相关费用由供应商自行承担。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质量标准要求</w:t>
            </w:r>
          </w:p>
        </w:tc>
        <w:tc>
          <w:tcPr>
            <w:tcW w:type="dxa" w:w="5814"/>
          </w:tcPr>
          <w:p>
            <w:pPr>
              <w:pStyle w:val="null3"/>
              <w:jc w:val="left"/>
            </w:pPr>
            <w:r>
              <w:rPr>
                <w:rFonts w:ascii="仿宋_GB2312" w:hAnsi="仿宋_GB2312" w:cs="仿宋_GB2312" w:eastAsia="仿宋_GB2312"/>
                <w:sz w:val="24"/>
              </w:rPr>
              <w:t>1.产品须符合国家、行业现行有效的标准及 强制性规范。采购需求引用的标准如有更新，评审阶段以采购文件约定为准，履约阶段按最新有效标准执行。</w:t>
            </w:r>
            <w:r>
              <w:br/>
            </w:r>
            <w:r>
              <w:rPr>
                <w:rFonts w:ascii="仿宋_GB2312" w:hAnsi="仿宋_GB2312" w:cs="仿宋_GB2312" w:eastAsia="仿宋_GB2312"/>
                <w:sz w:val="24"/>
              </w:rPr>
              <w:t xml:space="preserve"> 2.涉及国家强制性认证(CCC)或行政许可的产品，供应商须符合相应要求，并随货提供有效期内(或供货时仍有效)的认证证书或许可文件证明材料(原件扫描件或官方网站验证截图), 且证明材料信息须与所供产品一致。</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合同签订之日起30日内。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通江县人民医院（采购人指定地点）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r>
              <w:br/>
            </w:r>
            <w:r>
              <w:rPr>
                <w:rFonts w:ascii="仿宋_GB2312" w:hAnsi="仿宋_GB2312" w:cs="仿宋_GB2312" w:eastAsia="仿宋_GB2312"/>
              </w:rPr>
              <w:t>2、</w:t>
            </w:r>
            <w:r>
              <w:rPr>
                <w:rFonts w:ascii="仿宋_GB2312" w:hAnsi="仿宋_GB2312" w:cs="仿宋_GB2312" w:eastAsia="仿宋_GB2312"/>
              </w:rPr>
              <w:t>进度款，全部货物供货、安装调试完成并经采购人验收合格，签署《质量验收报告》后，达到付款条件起10个工作日内，支付合同总金额的50.0%</w:t>
            </w:r>
            <w:r>
              <w:br/>
            </w:r>
            <w:r>
              <w:rPr>
                <w:rFonts w:ascii="仿宋_GB2312" w:hAnsi="仿宋_GB2312" w:cs="仿宋_GB2312" w:eastAsia="仿宋_GB2312"/>
              </w:rPr>
              <w:t>3、</w:t>
            </w:r>
            <w:r>
              <w:rPr>
                <w:rFonts w:ascii="仿宋_GB2312" w:hAnsi="仿宋_GB2312" w:cs="仿宋_GB2312" w:eastAsia="仿宋_GB2312"/>
              </w:rPr>
              <w:t>尾款，质量保修期1年届满，且所有设备无未解决的质量问题、供应商已完成全部售后服务履约义务后，达到付款条件起10个工作日内，支付合同总金额的10.0%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由采购人组织，供应商全程配合。验收依据《财政部关于进一步加强政府采购需求和履约验收管理的指导意见》（财库〔2016〕205号）、《政府采购需求管理办法》（财库〔2021〕22号）及国家、行业现行有效标准，按照采购文件、响应文件及合同约定执行。 2.货物送达并安装调试完成后，供应商应提交书面验收申请及完整验收资料。采购人在收到申请后10个工作日内组织验收。验收合格的，双方签署《质量验收报告》，货物正式交付使用。 3.首次验收不合格的，供应商须在5个工作日内完成整改并重新申请验收，整改产生的全部费用由供应商自行承担。逾期未整改或整改后仍不合格的，采购人有权解除合同，并要求供应商赔偿因此造成的全部损失。 4.若采购人在验收过程中发现供应商提供的证明材料（含承诺函）及应答内容与实际情况不符，视为《中华人民共和国政府采购法》第七十七条规定的“提供虚假材料谋取中标/成交”的情形，采购人有权取消其中标/成交资格或终止合同，并按相关规定追究法律责任。</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1.保修范围：除人为损坏、不可抗力及非正常使用造成的故障外，所有货物本身质量问题及配套服务均在保修范围内。 2.保修期：本项目整体质保期为3年，自验收合格、签署《质量验收报告》之日起计算。国家或行业标准规定的质保期高于3年的，从其规定；生产厂家承诺的质保期长于3年的，按厂家承诺执行。 3.保修责任：质保期内产品出现质量问题的，供应商须依据“三包”原则（包修、包换、包退）承担全部责任及相关费用。具体维修、换货及赔偿细则详见“售后服务要求”相关条款。</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甲方（采购人）与乙方（成交供应商）签订本合同时，依据《中华人民共和国民法典》《中华人民共和国政府采购法》等法律法规，结合本项目采购文件、乙方投标（响应）文件及中标（成交）通知书相关约定，明确双方具体违约责任，违约方需依法承担相应赔偿责任。 2.争议解决：合同履行期间，双方应严格遵守合同约定，履行各项义务。因履行本合同发生任何争议的，双方应本着友好合作的精神协商解决；如协商不能达成一致，可提交有关行业主管部门进行调解；若调解仍然无法解决争议，任何一方均有权向项目所在地有管辖权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若投标（响应）供应商所响应产品主机、显示器均由小微企业制造，则填写的《中小企业声明函》应同时对主机和显示器的制造商相应数据进行填报，对符合《政府采购促进中小企业发展管理办法》（财库[2020]46号）第四条（一）规定及小微企业划型标准的产品报价予以价格扣除；★2、报价表中须同时填报主机、显示器的相关信息，填写方式分别为主机产地/显示器产地；主机品牌/显示器品牌；主机规格/显示器规格；主机生产厂家/显示器生产厂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具有独立承担民事责任能力的证明材料注: 供应商若为企业法人：提供“统一社会信用代码营业执照” 扫描件；若为事业法人：提供“统一社会信用代码法人登记证书” 扫描件；若为其他组织：提供“对应主管部门颁发的准许执业证明文件或营业执照” 扫描件；若为自然人：提供“身份证明材料” 扫描件。(特别说明：根据《中华人民共和国政府采购法实施条例》 释义第十七条“银行、保险、石油石化、电力、电信等有行业特殊情况的，采购人、采购代理机构可按照其特点在采购文件中作出专门规定”的解释，本项目允许非法人机构（分支机构）参与本项目的询价（但同一法人机构的不同分支机构参与询价的，仅按1个有效供应商计算，其询价响应文件中法定代表人相关事项可由负责人代替，法人机构承担法律责任。)</w:t>
            </w:r>
          </w:p>
        </w:tc>
        <w:tc>
          <w:tcPr>
            <w:tcW w:type="dxa" w:w="1661"/>
          </w:tcPr>
          <w:p>
            <w:pPr>
              <w:pStyle w:val="null3"/>
              <w:jc w:val="left"/>
            </w:pPr>
            <w:r>
              <w:rPr>
                <w:rFonts w:ascii="仿宋_GB2312" w:hAnsi="仿宋_GB2312" w:cs="仿宋_GB2312" w:eastAsia="仿宋_GB2312"/>
              </w:rPr>
              <w:t>响应文件封面,供应商应提交的相关证明材料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提供财务状况报告（以下四者任选其一）： （1）可提供2024年度或2025年度经审计的财务报告（包含审计报告和审计报告中所涉及的财务报表和报表附注）； （2）可提供2025年度未经审计的供应商内部财务报表（至少包括：资产负债表、利润表、现金流量表）； （3）可提供截至提交投标文件截止之日一年内银行出具的资信证明； （4）投标人注册时间截至提交投标文件截止之日前不足一年的，也可提供在相关主管部门备案的公司章程等证明材料。</w:t>
            </w:r>
          </w:p>
        </w:tc>
        <w:tc>
          <w:tcPr>
            <w:tcW w:type="dxa" w:w="1661"/>
          </w:tcPr>
          <w:p>
            <w:pPr>
              <w:pStyle w:val="null3"/>
              <w:jc w:val="left"/>
            </w:pPr>
            <w:r>
              <w:rPr>
                <w:rFonts w:ascii="仿宋_GB2312" w:hAnsi="仿宋_GB2312" w:cs="仿宋_GB2312" w:eastAsia="仿宋_GB2312"/>
              </w:rPr>
              <w:t>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技术、服务应答情况</w:t>
            </w:r>
          </w:p>
        </w:tc>
        <w:tc>
          <w:tcPr>
            <w:tcW w:type="dxa" w:w="3322"/>
          </w:tcPr>
          <w:p>
            <w:pPr>
              <w:pStyle w:val="null3"/>
              <w:jc w:val="left"/>
            </w:pPr>
            <w:r>
              <w:rPr>
                <w:rFonts w:ascii="仿宋_GB2312" w:hAnsi="仿宋_GB2312" w:cs="仿宋_GB2312" w:eastAsia="仿宋_GB2312"/>
              </w:rPr>
              <w:t>是否响应《询价 通知书》“第三章 技术、服务要求“中“3.2技术要求”、“3.3服务要求”的全部实质性要求内容。</w:t>
            </w:r>
          </w:p>
        </w:tc>
        <w:tc>
          <w:tcPr>
            <w:tcW w:type="dxa" w:w="1661"/>
          </w:tcPr>
          <w:p>
            <w:pPr>
              <w:pStyle w:val="null3"/>
              <w:jc w:val="left"/>
            </w:pPr>
            <w:r>
              <w:rPr>
                <w:rFonts w:ascii="仿宋_GB2312" w:hAnsi="仿宋_GB2312" w:cs="仿宋_GB2312" w:eastAsia="仿宋_GB2312"/>
              </w:rPr>
              <w:t>产品技术参数响应表,服务应答表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优先采购环境标志产品佐证资料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详见附件：优先采购环境标志产品佐证资料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