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441901-2026-04031</w:t>
      </w:r>
    </w:p>
    <w:p>
      <w:pPr>
        <w:pStyle w:val="null3"/>
        <w:jc w:val="center"/>
        <w:outlineLvl w:val="3"/>
      </w:pPr>
      <w:r>
        <w:rPr>
          <w:sz w:val="24"/>
          <w:b/>
        </w:rPr>
        <w:t>采购项目编号：</w:t>
      </w:r>
      <w:r>
        <w:rPr>
          <w:sz w:val="24"/>
          <w:b/>
        </w:rPr>
        <w:t>GDYW2026008</w:t>
      </w:r>
    </w:p>
    <w:p>
      <w:pPr>
        <w:pStyle w:val="null3"/>
        <w:jc w:val="center"/>
        <w:outlineLvl w:val="3"/>
      </w:pPr>
      <w:r>
        <w:rPr>
          <w:sz w:val="24"/>
          <w:b/>
        </w:rPr>
        <w:t>项目名称：</w:t>
      </w:r>
      <w:r>
        <w:rPr>
          <w:sz w:val="24"/>
          <w:b/>
        </w:rPr>
        <w:t>单光子发射及X射线计算机断层成像系统（SPECT/CT）设备采购项目</w:t>
      </w:r>
    </w:p>
    <w:p>
      <w:pPr>
        <w:pStyle w:val="null3"/>
        <w:jc w:val="center"/>
        <w:outlineLvl w:val="3"/>
      </w:pPr>
      <w:r>
        <w:rPr>
          <w:sz w:val="24"/>
          <w:b/>
        </w:rPr>
        <w:t>采购人：</w:t>
      </w:r>
      <w:r>
        <w:rPr>
          <w:sz w:val="24"/>
          <w:b/>
        </w:rPr>
        <w:t>东莞市东南部中心医院</w:t>
      </w:r>
    </w:p>
    <w:p>
      <w:pPr>
        <w:pStyle w:val="null3"/>
        <w:jc w:val="center"/>
        <w:outlineLvl w:val="3"/>
      </w:pPr>
      <w:r>
        <w:rPr>
          <w:sz w:val="24"/>
          <w:b/>
        </w:rPr>
        <w:t>采购代理机构：</w:t>
      </w:r>
      <w:r>
        <w:rPr>
          <w:sz w:val="24"/>
          <w:b/>
        </w:rPr>
        <w:t>中新工程咨询（广东）有限公司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中新工程咨询（广东）有限公司</w:t>
      </w:r>
      <w:r>
        <w:rPr/>
        <w:t>受</w:t>
      </w:r>
      <w:r>
        <w:rPr/>
        <w:t>东莞市东南部中心医院</w:t>
      </w:r>
      <w:r>
        <w:rPr/>
        <w:t>的委托，采用</w:t>
      </w:r>
      <w:r>
        <w:rPr/>
        <w:t>公开招标</w:t>
      </w:r>
      <w:r>
        <w:rPr/>
        <w:t>方式组织采购</w:t>
      </w:r>
      <w:r>
        <w:rPr/>
        <w:t>单光子发射及X射线计算机断层成像系统（SPECT/CT）设备采购项目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单光子发射及X射线计算机断层成像系统（SPECT/CT）设备采购项目</w:t>
      </w:r>
    </w:p>
    <w:p>
      <w:pPr>
        <w:pStyle w:val="null3"/>
        <w:ind w:firstLine="480"/>
      </w:pPr>
      <w:r>
        <w:rPr/>
        <w:t>采购计划编号：</w:t>
      </w:r>
      <w:r>
        <w:rPr/>
        <w:t>441901-2026-04031</w:t>
      </w:r>
    </w:p>
    <w:p>
      <w:pPr>
        <w:pStyle w:val="null3"/>
        <w:ind w:firstLine="480"/>
      </w:pPr>
      <w:r>
        <w:rPr/>
        <w:t>采购项目编号：</w:t>
      </w:r>
      <w:r>
        <w:rPr/>
        <w:t>GDYW2026008</w:t>
      </w:r>
    </w:p>
    <w:p>
      <w:pPr>
        <w:pStyle w:val="null3"/>
        <w:ind w:firstLine="480"/>
      </w:pPr>
      <w:r>
        <w:rPr/>
        <w:t>采购方式：</w:t>
      </w:r>
      <w:r>
        <w:rPr/>
        <w:t>公开招标</w:t>
      </w:r>
    </w:p>
    <w:p>
      <w:pPr>
        <w:pStyle w:val="null3"/>
        <w:ind w:firstLine="480"/>
      </w:pPr>
      <w:r>
        <w:rPr/>
        <w:t>预算金额：</w:t>
      </w:r>
      <w:r>
        <w:rPr/>
        <w:t>9,680,000.00</w:t>
      </w:r>
      <w:r>
        <w:rPr/>
        <w:t>元</w:t>
      </w:r>
    </w:p>
    <w:p>
      <w:pPr>
        <w:pStyle w:val="null3"/>
        <w:outlineLvl w:val="3"/>
      </w:pPr>
      <w:r>
        <w:rPr>
          <w:sz w:val="24"/>
          <w:b/>
        </w:rPr>
        <w:t>2.项目内容及需求情况（采购项目技术规格、参数及要求）</w:t>
      </w:r>
    </w:p>
    <w:p>
      <w:pPr>
        <w:pStyle w:val="null3"/>
      </w:pPr>
      <w:r>
        <w:rPr/>
        <w:t>采购包1(单光子发射及X射线计算机断层成像系统（SPECT CT）设备采购项目):</w:t>
      </w:r>
    </w:p>
    <w:p>
      <w:pPr>
        <w:pStyle w:val="null3"/>
      </w:pPr>
      <w:r>
        <w:rPr/>
        <w:t>采购包预算金额：9,680,000.00元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核医学诊断设备</w:t>
            </w:r>
          </w:p>
        </w:tc>
        <w:tc>
          <w:tcPr>
            <w:tcW w:type="dxa" w:w="2136"/>
          </w:tcPr>
          <w:p>
            <w:pPr>
              <w:pStyle w:val="null3"/>
            </w:pPr>
            <w:r>
              <w:rPr/>
              <w:t>单光子发射及X射线计算机断层成像系统（SPECT CT）</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合同履行期限：详见“标的提供的时间”。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投标时提交有效的营业执照（或事业法人登记证或身份证等相关证明）复印件。分支机构投标的，须提供总公司和分公司营业执照复印件，总公司出具给分支机构的授权书。</w:t>
      </w:r>
    </w:p>
    <w:p>
      <w:pPr>
        <w:pStyle w:val="null3"/>
      </w:pPr>
      <w:r>
        <w:rPr/>
        <w:t>2）有依法缴纳税收和社会保障资金的良好记录：提供投标截止日前6个月内任意1个月依法缴纳税收和社会保障资金的相关材料。或提供《资格条件承诺函》。如依法免税或不需要缴纳社会保障资金的，须提供相应证明材料。</w:t>
      </w:r>
    </w:p>
    <w:p>
      <w:pPr>
        <w:pStyle w:val="null3"/>
      </w:pPr>
      <w:r>
        <w:rPr/>
        <w:t>3）具有良好的商业信誉和健全的财务会计制度：提供投标截止日前3年内任意1年的财务状况报告或提供基本开户行出具的资信证明。或提供《资格条件承诺函》。</w:t>
      </w:r>
    </w:p>
    <w:p>
      <w:pPr>
        <w:pStyle w:val="null3"/>
      </w:pPr>
      <w:r>
        <w:rPr/>
        <w:t>4）履行合同所必需的设备和专业技术能力：按投标文件格式填报设备及专业技术能力情况。或提供《资格条件承诺函》。</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采购包1（单光子发射及X射线计算机断层成像系统（SPECT CT）设备采购项目）：</w:t>
      </w:r>
      <w:r>
        <w:rPr/>
        <w:t>本项目不属于专门面向中小企业采购的项目，本项目的企业划分标准所属行业为：工业。</w:t>
      </w:r>
    </w:p>
    <w:p>
      <w:pPr>
        <w:pStyle w:val="null3"/>
        <w:outlineLvl w:val="3"/>
      </w:pPr>
      <w:r>
        <w:rPr>
          <w:sz w:val="24"/>
          <w:b/>
        </w:rPr>
        <w:t>3.本项目特定的资格要求：</w:t>
      </w:r>
    </w:p>
    <w:p>
      <w:pPr>
        <w:pStyle w:val="null3"/>
      </w:pPr>
      <w:r>
        <w:rPr/>
        <w:t>采购包1（单光子发射及X射线计算机断层成像系统（SPECT CT）设备采购项目）：</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 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管理关系的不同供应商，不得同时参加本采购项目（或采购包）投标。为本项目提供整体设计、规范编制或者项目管理、监理、检测等服务的供应商，不得再参与本项目投标。投标函相关承诺要求内容。</w:t>
      </w:r>
    </w:p>
    <w:p>
      <w:pPr>
        <w:pStyle w:val="null3"/>
      </w:pPr>
      <w:r>
        <w:rPr/>
        <w:t>3)①投标人为经营企业的，从事第三类医疗器械经营的应取得《医疗器械经营许可证》（具备相应经营范围）。②投标人为生产厂商的，从事第二类或第三类医疗器械生产的厂商，应取得《医疗器械生产许可证》（具备相应生产范围）。③投标产品若属于中国医疗器械注册管理范围内的，则应取得监督管理部门颁发的相应的《中华人民共和国医疗器械注册证》。</w:t>
      </w:r>
    </w:p>
    <w:p>
      <w:pPr>
        <w:pStyle w:val="null3"/>
      </w:pPr>
      <w:r>
        <w:rPr/>
        <w:t>4)根据《放射性同位素与射线装置安全和防护条例》，单光子发射及X射线计算机断层成像系统（SPECT/CT）属于Ⅲ类射线装置，其生产与经营应获得相应的许可，具备监督管理部门签发的处于有效期的《辐射安全许可证》。 所投产品经营企业的《辐射安全许可证》，获得许可的种类和范围包括但不限于：销售Ⅲ类射线装置，提供证书复印件；所投产品生产企业的《辐射安全许可证》，获得许可的种类和范围包括但不限于：生产Ⅲ类射线装置，提供证书复印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东莞市东南部中心医院</w:t>
      </w:r>
    </w:p>
    <w:p>
      <w:pPr>
        <w:pStyle w:val="null3"/>
        <w:ind w:firstLine="480"/>
      </w:pPr>
      <w:r>
        <w:rPr/>
        <w:t xml:space="preserve"> 地址：</w:t>
      </w:r>
      <w:r>
        <w:rPr/>
        <w:t>东莞市塘厦镇蛟坪路42号</w:t>
      </w:r>
    </w:p>
    <w:p>
      <w:pPr>
        <w:pStyle w:val="null3"/>
        <w:ind w:firstLine="480"/>
      </w:pPr>
      <w:r>
        <w:rPr/>
        <w:t xml:space="preserve"> 联系方式：</w:t>
      </w:r>
      <w:r>
        <w:rPr/>
        <w:t>0769-89190573</w:t>
      </w:r>
    </w:p>
    <w:p>
      <w:pPr>
        <w:pStyle w:val="null3"/>
        <w:outlineLvl w:val="3"/>
      </w:pPr>
      <w:r>
        <w:rPr>
          <w:sz w:val="24"/>
          <w:b/>
        </w:rPr>
        <w:t xml:space="preserve"> 2.采购代理机构信息</w:t>
      </w:r>
    </w:p>
    <w:p>
      <w:pPr>
        <w:pStyle w:val="null3"/>
        <w:ind w:firstLine="480"/>
      </w:pPr>
      <w:r>
        <w:rPr/>
        <w:t xml:space="preserve"> 名称：</w:t>
      </w:r>
      <w:r>
        <w:rPr/>
        <w:t>中新工程咨询（广东）有限公司</w:t>
      </w:r>
    </w:p>
    <w:p>
      <w:pPr>
        <w:pStyle w:val="null3"/>
        <w:ind w:firstLine="480"/>
      </w:pPr>
      <w:r>
        <w:rPr/>
        <w:t xml:space="preserve"> 地址：</w:t>
      </w:r>
      <w:r>
        <w:rPr/>
        <w:t>广东省东莞市南城街道元美东路6号楼3楼306号</w:t>
      </w:r>
    </w:p>
    <w:p>
      <w:pPr>
        <w:pStyle w:val="null3"/>
        <w:ind w:firstLine="480"/>
      </w:pPr>
      <w:r>
        <w:rPr/>
        <w:t xml:space="preserve"> 联系方式：</w:t>
      </w:r>
      <w:r>
        <w:rPr/>
        <w:t>0769-22331910</w:t>
      </w:r>
    </w:p>
    <w:p>
      <w:pPr>
        <w:pStyle w:val="null3"/>
        <w:outlineLvl w:val="3"/>
      </w:pPr>
      <w:r>
        <w:rPr>
          <w:sz w:val="24"/>
          <w:b/>
        </w:rPr>
        <w:t xml:space="preserve"> 3.项目联系方式</w:t>
      </w:r>
    </w:p>
    <w:p>
      <w:pPr>
        <w:pStyle w:val="null3"/>
        <w:ind w:firstLine="480"/>
      </w:pPr>
      <w:r>
        <w:rPr/>
        <w:t xml:space="preserve"> 项目联系人：</w:t>
      </w:r>
      <w:r>
        <w:rPr/>
        <w:t>陈先生</w:t>
      </w:r>
    </w:p>
    <w:p>
      <w:pPr>
        <w:pStyle w:val="null3"/>
        <w:ind w:firstLine="480"/>
      </w:pPr>
      <w:r>
        <w:rPr/>
        <w:t xml:space="preserve"> 电话：</w:t>
      </w:r>
      <w:r>
        <w:rPr/>
        <w:t>0769-22331910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中新工程咨询（广东）有限公司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705"/>
        <w:gridCol w:w="2550"/>
        <w:gridCol w:w="765"/>
        <w:gridCol w:w="780"/>
        <w:gridCol w:w="2190"/>
        <w:gridCol w:w="855"/>
      </w:tblGrid>
      <w:tr>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名称</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2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预算单价（万元）</w:t>
            </w:r>
          </w:p>
        </w:tc>
        <w:tc>
          <w:tcPr>
            <w:tcW w:type="dxa" w:w="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质保</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单光子发射及</w:t>
            </w:r>
            <w:r>
              <w:rPr>
                <w:sz w:val="24"/>
              </w:rPr>
              <w:t>X射线计算机断层成像系统（SPECT/CT）</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968</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≥5年</w:t>
            </w:r>
          </w:p>
        </w:tc>
      </w:tr>
    </w:tbl>
    <w:p>
      <w:pPr>
        <w:pStyle w:val="null3"/>
        <w:ind w:firstLine="480"/>
        <w:jc w:val="both"/>
      </w:pPr>
      <w:r>
        <w:rPr>
          <w:sz w:val="28"/>
          <w:b/>
        </w:rPr>
        <w:t>附：资格条件承诺函模板</w:t>
      </w:r>
      <w:r>
        <w:rPr>
          <w:sz w:val="28"/>
          <w:b/>
        </w:rPr>
        <w:t>（</w:t>
      </w:r>
      <w:r>
        <w:rPr>
          <w:sz w:val="28"/>
          <w:b/>
        </w:rPr>
        <w:t>投标人须如实填写，否则视为按无效投标处理</w:t>
      </w:r>
      <w:r>
        <w:rPr>
          <w:sz w:val="28"/>
          <w:b/>
        </w:rPr>
        <w:t>）</w:t>
      </w:r>
    </w:p>
    <w:p>
      <w:pPr>
        <w:pStyle w:val="null3"/>
        <w:jc w:val="center"/>
      </w:pPr>
      <w:r>
        <w:rPr>
          <w:sz w:val="24"/>
          <w:b/>
        </w:rPr>
        <w:t>资格条件承诺函</w:t>
      </w:r>
      <w:r>
        <w:rPr>
          <w:sz w:val="24"/>
          <w:b/>
        </w:rPr>
        <w:t>（</w:t>
      </w:r>
      <w:r>
        <w:rPr>
          <w:sz w:val="24"/>
          <w:b/>
        </w:rPr>
        <w:t>一</w:t>
      </w:r>
      <w:r>
        <w:rPr>
          <w:sz w:val="24"/>
          <w:b/>
        </w:rPr>
        <w:t>）</w:t>
      </w:r>
    </w:p>
    <w:p>
      <w:pPr>
        <w:pStyle w:val="null3"/>
        <w:ind w:firstLine="480"/>
        <w:jc w:val="both"/>
      </w:pPr>
      <w:r>
        <w:rPr>
          <w:sz w:val="24"/>
        </w:rPr>
        <w:t>我方</w:t>
      </w:r>
      <w:r>
        <w:rPr>
          <w:sz w:val="24"/>
          <w:u w:val="single"/>
        </w:rPr>
        <w:t>（供应商名称）</w:t>
      </w:r>
      <w:r>
        <w:rPr>
          <w:sz w:val="24"/>
        </w:rPr>
        <w:t>符合《中华人民共和国政府采购法》第二十二条第一款第（二）项、第（三）项、第（四）项、第（五）项规定条件，具体包括：</w:t>
      </w:r>
    </w:p>
    <w:p>
      <w:pPr>
        <w:pStyle w:val="null3"/>
        <w:ind w:firstLine="480"/>
        <w:jc w:val="both"/>
      </w:pPr>
      <w:r>
        <w:rPr>
          <w:sz w:val="24"/>
        </w:rPr>
        <w:t>1.具有良好的商业信誉和健全的财务会计制度；</w:t>
      </w:r>
    </w:p>
    <w:p>
      <w:pPr>
        <w:pStyle w:val="null3"/>
        <w:ind w:firstLine="480"/>
        <w:jc w:val="both"/>
      </w:pPr>
      <w:r>
        <w:rPr>
          <w:sz w:val="24"/>
        </w:rPr>
        <w:t>2.具有履行合同所必需的设备和专业技术能力；</w:t>
      </w:r>
    </w:p>
    <w:p>
      <w:pPr>
        <w:pStyle w:val="null3"/>
        <w:ind w:firstLine="480"/>
        <w:jc w:val="both"/>
      </w:pPr>
      <w:r>
        <w:rPr>
          <w:sz w:val="24"/>
        </w:rPr>
        <w:t>3.具有依法缴纳税收和社会保障资金的良好记录；</w:t>
      </w:r>
    </w:p>
    <w:p>
      <w:pPr>
        <w:pStyle w:val="null3"/>
        <w:ind w:firstLine="480"/>
        <w:jc w:val="both"/>
      </w:pPr>
      <w:r>
        <w:rPr>
          <w:sz w:val="24"/>
        </w:rPr>
        <w:t>4.参加政府采购活动前三年内，在经营活动中没有重大违法记录。</w:t>
      </w:r>
    </w:p>
    <w:p>
      <w:pPr>
        <w:pStyle w:val="null3"/>
        <w:ind w:firstLine="480"/>
        <w:jc w:val="both"/>
      </w:pPr>
      <w:r>
        <w:rPr>
          <w:sz w:val="24"/>
        </w:rPr>
        <w:t>我方对上述承诺的真实性负责，在评审环节结束后，自愿接受采购单位（</w:t>
      </w:r>
      <w:r>
        <w:rPr>
          <w:sz w:val="24"/>
        </w:rPr>
        <w:t>采购代理机构</w:t>
      </w:r>
      <w:r>
        <w:rPr>
          <w:sz w:val="24"/>
        </w:rPr>
        <w:t>）的检查核验，配合提供相关证明材料，证明符合《中华人民共和国政府采购法》规定的供应商基本资格条件。如有虚假，将依法承担相应法律责任。</w:t>
      </w:r>
    </w:p>
    <w:p>
      <w:pPr>
        <w:pStyle w:val="null3"/>
        <w:ind w:firstLine="480"/>
        <w:jc w:val="both"/>
      </w:pPr>
      <w:r>
        <w:rPr>
          <w:sz w:val="24"/>
        </w:rPr>
        <w:t>特此承诺。</w:t>
      </w:r>
    </w:p>
    <w:p>
      <w:pPr>
        <w:pStyle w:val="null3"/>
        <w:ind w:firstLine="480"/>
        <w:jc w:val="both"/>
      </w:pPr>
      <w:r>
        <w:rPr>
          <w:sz w:val="24"/>
        </w:rPr>
        <w:t>供应商名称（公章）：</w:t>
      </w:r>
      <w:r>
        <w:rPr>
          <w:sz w:val="21"/>
          <w:u w:val="single"/>
        </w:rPr>
        <w:t xml:space="preserve">                 </w:t>
      </w:r>
    </w:p>
    <w:p>
      <w:pPr>
        <w:pStyle w:val="null3"/>
        <w:ind w:firstLine="480"/>
        <w:jc w:val="right"/>
      </w:pPr>
      <w:r>
        <w:rPr>
          <w:sz w:val="24"/>
        </w:rPr>
        <w:t>日期：</w:t>
      </w:r>
      <w:r>
        <w:rPr>
          <w:sz w:val="21"/>
          <w:u w:val="single"/>
        </w:rPr>
        <w:t xml:space="preserve">                 </w:t>
      </w:r>
    </w:p>
    <w:p>
      <w:pPr>
        <w:pStyle w:val="null3"/>
        <w:jc w:val="left"/>
      </w:pPr>
      <w:r>
        <w:rPr/>
        <w:t xml:space="preserve"> </w:t>
      </w:r>
    </w:p>
    <w:p>
      <w:pPr>
        <w:pStyle w:val="null3"/>
        <w:jc w:val="center"/>
      </w:pPr>
      <w:r>
        <w:rPr>
          <w:sz w:val="24"/>
          <w:b/>
        </w:rPr>
        <w:t>资格条件承诺函</w:t>
      </w:r>
      <w:r>
        <w:rPr>
          <w:sz w:val="24"/>
          <w:b/>
        </w:rPr>
        <w:t>（</w:t>
      </w:r>
      <w:r>
        <w:rPr>
          <w:sz w:val="24"/>
          <w:b/>
        </w:rPr>
        <w:t>二</w:t>
      </w:r>
      <w:r>
        <w:rPr>
          <w:sz w:val="24"/>
          <w:b/>
        </w:rPr>
        <w:t>）</w:t>
      </w:r>
    </w:p>
    <w:p>
      <w:pPr>
        <w:pStyle w:val="null3"/>
        <w:ind w:firstLine="480"/>
        <w:jc w:val="both"/>
      </w:pPr>
      <w:r>
        <w:rPr>
          <w:sz w:val="24"/>
        </w:rPr>
        <w:t>我方</w:t>
      </w:r>
      <w:r>
        <w:rPr>
          <w:sz w:val="24"/>
          <w:u w:val="single"/>
        </w:rPr>
        <w:t xml:space="preserve">                 </w:t>
      </w:r>
      <w:r>
        <w:rPr>
          <w:sz w:val="24"/>
          <w:u w:val="single"/>
        </w:rPr>
        <w:t>（</w:t>
      </w:r>
      <w:r>
        <w:rPr>
          <w:sz w:val="24"/>
          <w:u w:val="single"/>
        </w:rPr>
        <w:t>供应商名称）</w:t>
      </w:r>
      <w:r>
        <w:rPr>
          <w:sz w:val="24"/>
        </w:rPr>
        <w:t>严格遵守</w:t>
      </w:r>
      <w:r>
        <w:rPr>
          <w:sz w:val="24"/>
        </w:rPr>
        <w:t>《中华人民共和国政府采购法》</w:t>
      </w:r>
      <w:r>
        <w:rPr>
          <w:sz w:val="24"/>
        </w:rPr>
        <w:t>、</w:t>
      </w:r>
      <w:r>
        <w:rPr>
          <w:sz w:val="24"/>
        </w:rPr>
        <w:t>《中华人民共和国政府采购法实施条例》</w:t>
      </w:r>
      <w:r>
        <w:rPr>
          <w:sz w:val="24"/>
        </w:rPr>
        <w:t>、《政府采购货物和服务招标投标管理办法》</w:t>
      </w:r>
      <w:r>
        <w:rPr>
          <w:sz w:val="24"/>
        </w:rPr>
        <w:t>（财政部令第</w:t>
      </w:r>
      <w:r>
        <w:rPr>
          <w:sz w:val="24"/>
        </w:rPr>
        <w:t>87号）等法律法规的要求，</w:t>
      </w:r>
      <w:r>
        <w:rPr>
          <w:sz w:val="24"/>
        </w:rPr>
        <w:t>符合《中华人民共和国政府采购法》规定的供应商基本资格条件。</w:t>
      </w:r>
      <w:r>
        <w:rPr>
          <w:sz w:val="24"/>
        </w:rPr>
        <w:t>不存在《中华人民共和国政府采购法实施条例》第十八条关于不得参加同一合同项下的政府采购活动情形，不存在《中华人民共和国政府采购法实施条例》第七十四条关于恶意串通的情形及《政府采购货物和服务招标投标管理办法》（财政部令第</w:t>
      </w:r>
      <w:r>
        <w:rPr>
          <w:sz w:val="24"/>
        </w:rPr>
        <w:t>87号）第三十七条关于串通投标的情形。</w:t>
      </w:r>
    </w:p>
    <w:p>
      <w:pPr>
        <w:pStyle w:val="null3"/>
        <w:ind w:firstLine="480"/>
        <w:jc w:val="both"/>
      </w:pPr>
      <w:r>
        <w:rPr>
          <w:sz w:val="24"/>
        </w:rPr>
        <w:t>我方对上述</w:t>
      </w:r>
      <w:r>
        <w:rPr>
          <w:sz w:val="24"/>
        </w:rPr>
        <w:t>承诺</w:t>
      </w:r>
      <w:r>
        <w:rPr>
          <w:sz w:val="24"/>
        </w:rPr>
        <w:t>的真实性负责</w:t>
      </w:r>
      <w:r>
        <w:rPr>
          <w:sz w:val="24"/>
        </w:rPr>
        <w:t>，自愿接受采购单位（</w:t>
      </w:r>
      <w:r>
        <w:rPr>
          <w:sz w:val="24"/>
        </w:rPr>
        <w:t>或</w:t>
      </w:r>
      <w:r>
        <w:rPr>
          <w:sz w:val="24"/>
        </w:rPr>
        <w:t>采购代理机构）的检查核验</w:t>
      </w:r>
      <w:r>
        <w:rPr>
          <w:sz w:val="24"/>
        </w:rPr>
        <w:t>。如有虚假，将依法承担相应</w:t>
      </w:r>
      <w:r>
        <w:rPr>
          <w:sz w:val="24"/>
        </w:rPr>
        <w:t>法律</w:t>
      </w:r>
      <w:r>
        <w:rPr>
          <w:sz w:val="24"/>
        </w:rPr>
        <w:t>责任。</w:t>
      </w:r>
    </w:p>
    <w:p>
      <w:pPr>
        <w:pStyle w:val="null3"/>
        <w:ind w:firstLine="480"/>
        <w:jc w:val="both"/>
      </w:pPr>
      <w:r>
        <w:rPr>
          <w:sz w:val="24"/>
        </w:rPr>
        <w:t>特此</w:t>
      </w:r>
      <w:r>
        <w:rPr>
          <w:sz w:val="24"/>
        </w:rPr>
        <w:t>承诺</w:t>
      </w:r>
      <w:r>
        <w:rPr>
          <w:sz w:val="24"/>
        </w:rPr>
        <w:t>。</w:t>
      </w:r>
    </w:p>
    <w:p>
      <w:pPr>
        <w:pStyle w:val="null3"/>
        <w:ind w:firstLine="480"/>
        <w:jc w:val="both"/>
      </w:pPr>
      <w:r>
        <w:rPr>
          <w:sz w:val="24"/>
        </w:rPr>
        <w:t>供应商名称（公章）：</w:t>
      </w:r>
      <w:r>
        <w:rPr>
          <w:sz w:val="21"/>
          <w:u w:val="single"/>
        </w:rPr>
        <w:t xml:space="preserve">                 </w:t>
      </w:r>
    </w:p>
    <w:p>
      <w:pPr>
        <w:pStyle w:val="null3"/>
        <w:ind w:firstLine="480"/>
        <w:jc w:val="right"/>
      </w:pPr>
      <w:r>
        <w:rPr>
          <w:sz w:val="24"/>
        </w:rPr>
        <w:t>日期：</w:t>
      </w:r>
      <w:r>
        <w:rPr>
          <w:sz w:val="21"/>
          <w:u w:val="single"/>
        </w:rPr>
        <w:t xml:space="preserve">                 </w:t>
      </w:r>
    </w:p>
    <w:p>
      <w:pPr>
        <w:pStyle w:val="null3"/>
        <w:jc w:val="both"/>
      </w:pPr>
      <w:r>
        <w:rPr/>
        <w:t xml:space="preserve"> </w:t>
      </w:r>
    </w:p>
    <w:p>
      <w:pPr>
        <w:pStyle w:val="null3"/>
        <w:jc w:val="both"/>
      </w:pPr>
      <w:r>
        <w:rPr>
          <w:sz w:val="24"/>
        </w:rPr>
        <w:t>附件：</w:t>
      </w:r>
    </w:p>
    <w:p>
      <w:pPr>
        <w:pStyle w:val="null3"/>
        <w:jc w:val="both"/>
      </w:pPr>
      <w:r>
        <w:rPr>
          <w:sz w:val="24"/>
        </w:rPr>
        <w:t>《中华人民共和国政府采购法实施条例》</w:t>
      </w:r>
    </w:p>
    <w:p>
      <w:pPr>
        <w:pStyle w:val="null3"/>
        <w:jc w:val="both"/>
      </w:pPr>
      <w:r>
        <w:rPr>
          <w:sz w:val="24"/>
        </w:rPr>
        <w:t>第十八条</w:t>
      </w:r>
      <w:r>
        <w:rPr>
          <w:sz w:val="24"/>
        </w:rPr>
        <w:t xml:space="preserve"> </w:t>
      </w:r>
      <w:r>
        <w:rPr>
          <w:sz w:val="24"/>
        </w:rPr>
        <w:t>单位负责人为同一人或者存在直接控股、管理关系的不同供应商，不得参加同一合同项下的政府采购活动。</w:t>
      </w:r>
    </w:p>
    <w:p>
      <w:pPr>
        <w:pStyle w:val="null3"/>
        <w:jc w:val="both"/>
      </w:pPr>
      <w:r>
        <w:rPr>
          <w:sz w:val="24"/>
        </w:rPr>
        <w:t>除单一来源采购项目外，为采购项目提供整体设计、规范编制或者项目管理、监理、检测等服务的供应商，不得再参加该采购项目的其他采购活动。</w:t>
      </w:r>
    </w:p>
    <w:p>
      <w:pPr>
        <w:pStyle w:val="null3"/>
        <w:jc w:val="both"/>
      </w:pPr>
      <w:r>
        <w:rPr>
          <w:sz w:val="24"/>
        </w:rPr>
        <w:t>第七十四条</w:t>
      </w:r>
      <w:r>
        <w:rPr>
          <w:sz w:val="24"/>
        </w:rPr>
        <w:t>有下列情形之一的，属于恶意串通，对供应商依照政府采购法第七十七条第一款的规定追究法律责任，对采购人、采购代理机构及其工作人员依照政府采购法第七十二条的规定追究法律责任：</w:t>
      </w:r>
    </w:p>
    <w:p>
      <w:pPr>
        <w:pStyle w:val="null3"/>
        <w:jc w:val="both"/>
      </w:pPr>
      <w:r>
        <w:rPr>
          <w:sz w:val="24"/>
        </w:rPr>
        <w:t>（一）供应商直接或者间接从采购人或者采购代理机构处获得其他供应商的相关情况并修改其投标文件或者响应文件；</w:t>
      </w:r>
    </w:p>
    <w:p>
      <w:pPr>
        <w:pStyle w:val="null3"/>
        <w:jc w:val="both"/>
      </w:pPr>
      <w:r>
        <w:rPr>
          <w:sz w:val="24"/>
        </w:rPr>
        <w:t>（二）供应商按照采购人或者采购代理机构的授意撤换、修改投标文件或者响应文件；</w:t>
      </w:r>
    </w:p>
    <w:p>
      <w:pPr>
        <w:pStyle w:val="null3"/>
        <w:jc w:val="both"/>
      </w:pPr>
      <w:r>
        <w:rPr>
          <w:sz w:val="24"/>
        </w:rPr>
        <w:t>（三）供应商之间协商报价、技术方案等投标文件或者响应文件的实质性内容；</w:t>
      </w:r>
    </w:p>
    <w:p>
      <w:pPr>
        <w:pStyle w:val="null3"/>
        <w:jc w:val="both"/>
      </w:pPr>
      <w:r>
        <w:rPr>
          <w:sz w:val="24"/>
        </w:rPr>
        <w:t>（四）属于同一集团、协会、商会等组织成员的供应商按照该组织要求协同参加政府采购活动；</w:t>
      </w:r>
    </w:p>
    <w:p>
      <w:pPr>
        <w:pStyle w:val="null3"/>
        <w:jc w:val="both"/>
      </w:pPr>
      <w:r>
        <w:rPr>
          <w:sz w:val="24"/>
        </w:rPr>
        <w:t>（五）供应商之间事先约定由某一特定供应商中标、成交；</w:t>
      </w:r>
    </w:p>
    <w:p>
      <w:pPr>
        <w:pStyle w:val="null3"/>
        <w:jc w:val="both"/>
      </w:pPr>
      <w:r>
        <w:rPr>
          <w:sz w:val="24"/>
        </w:rPr>
        <w:t>（六）供应商之间商定部分供应商放弃参加政府采购活动或者放弃中标、成交；</w:t>
      </w:r>
    </w:p>
    <w:p>
      <w:pPr>
        <w:pStyle w:val="null3"/>
        <w:jc w:val="both"/>
      </w:pPr>
      <w:r>
        <w:rPr>
          <w:sz w:val="24"/>
        </w:rPr>
        <w:t>（七）供应商与采购人或者采购代理机构之间、供应商相互之间，为谋求特定供应商中标、成交或者排斥其他供应商的其他串通行为。</w:t>
      </w:r>
    </w:p>
    <w:p>
      <w:pPr>
        <w:pStyle w:val="null3"/>
        <w:jc w:val="both"/>
      </w:pPr>
      <w:r>
        <w:rPr>
          <w:sz w:val="24"/>
        </w:rPr>
        <w:t>《政府采购货物和服务招标投标管理办法》第三十七条</w:t>
      </w:r>
      <w:r>
        <w:rPr>
          <w:sz w:val="24"/>
        </w:rPr>
        <w:t>有下列情形之一的，视为投标人串通投标，其投标无效：</w:t>
      </w:r>
    </w:p>
    <w:p>
      <w:pPr>
        <w:pStyle w:val="null3"/>
        <w:jc w:val="both"/>
      </w:pPr>
      <w:r>
        <w:rPr>
          <w:sz w:val="24"/>
        </w:rPr>
        <w:t>（一）不同投标人的投标文件由同一单位或者个人编制；</w:t>
      </w:r>
    </w:p>
    <w:p>
      <w:pPr>
        <w:pStyle w:val="null3"/>
        <w:jc w:val="left"/>
      </w:pPr>
      <w:r>
        <w:rPr>
          <w:sz w:val="24"/>
        </w:rPr>
        <w:t>（二）不同投标人委托同一单位或者个人办理投标事宜；</w:t>
      </w:r>
    </w:p>
    <w:p>
      <w:pPr>
        <w:pStyle w:val="null3"/>
        <w:jc w:val="left"/>
      </w:pPr>
      <w:r>
        <w:rPr>
          <w:sz w:val="24"/>
        </w:rPr>
        <w:t>（三）不同投标人的投标文件载明的项目管理成员或者联系人员为同一人；</w:t>
      </w:r>
    </w:p>
    <w:p>
      <w:pPr>
        <w:pStyle w:val="null3"/>
        <w:jc w:val="left"/>
      </w:pPr>
      <w:r>
        <w:rPr>
          <w:sz w:val="24"/>
        </w:rPr>
        <w:t>（四）不同投标人的投标文件异常一致或者投标报价呈规律性差异；</w:t>
      </w:r>
    </w:p>
    <w:p>
      <w:pPr>
        <w:pStyle w:val="null3"/>
        <w:jc w:val="left"/>
      </w:pPr>
      <w:r>
        <w:rPr>
          <w:sz w:val="24"/>
        </w:rPr>
        <w:t>（五）不同投标人的投标文件相互混装；</w:t>
      </w:r>
    </w:p>
    <w:p>
      <w:pPr>
        <w:pStyle w:val="null3"/>
        <w:jc w:val="left"/>
      </w:pPr>
      <w:r>
        <w:rPr>
          <w:sz w:val="24"/>
        </w:rPr>
        <w:t>（六）不同投标人的投标保证金从同一单位或者个人的账户转出。</w:t>
      </w:r>
    </w:p>
    <w:p>
      <w:pPr>
        <w:pStyle w:val="null3"/>
        <w:jc w:val="both"/>
      </w:pPr>
      <w:r>
        <w:rPr/>
        <w:t xml:space="preserve"> </w:t>
      </w:r>
    </w:p>
    <w:p>
      <w:pPr>
        <w:pStyle w:val="null3"/>
      </w:pPr>
      <w:r>
        <w:rPr/>
        <w:t>采购包1（单光子发射及X射线计算机断层成像系统（SPECT CT）设备采购项目）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要求接到采购人入场通知后30日内完成场地项目，场地完工后30日内完成设备的安装、调试。</w:t>
            </w:r>
          </w:p>
        </w:tc>
      </w:tr>
      <w:tr>
        <w:tc>
          <w:tcPr>
            <w:tcW w:type="dxa" w:w="4153"/>
          </w:tcPr>
          <w:p>
            <w:pPr>
              <w:pStyle w:val="null3"/>
            </w:pPr>
            <w:r>
              <w:rPr/>
              <w:t>标的提供的地点</w:t>
            </w:r>
          </w:p>
        </w:tc>
        <w:tc>
          <w:tcPr>
            <w:tcW w:type="dxa" w:w="4153"/>
          </w:tcPr>
          <w:p>
            <w:pPr>
              <w:pStyle w:val="null3"/>
            </w:pPr>
            <w:r>
              <w:rPr/>
              <w:t>东莞市塘厦镇蛟坪大道42号。</w:t>
            </w:r>
          </w:p>
        </w:tc>
      </w:tr>
      <w:tr>
        <w:tc>
          <w:tcPr>
            <w:tcW w:type="dxa" w:w="4153"/>
          </w:tcPr>
          <w:p>
            <w:pPr>
              <w:pStyle w:val="null3"/>
            </w:pPr>
            <w:r>
              <w:rPr/>
              <w:t>付款方式</w:t>
            </w:r>
          </w:p>
        </w:tc>
        <w:tc>
          <w:tcPr>
            <w:tcW w:type="dxa" w:w="4153"/>
          </w:tcPr>
          <w:p>
            <w:pPr>
              <w:pStyle w:val="null3"/>
            </w:pPr>
            <w:r>
              <w:rPr/>
              <w:t>1期：支付比例30%,合同签订生效且中标人提供以下资料后，采购人在30天内向中标人预付合同总价的30%：（1）合同；（2）中标通知书；（3）履约保证金缴纳凭证。</w:t>
            </w:r>
          </w:p>
          <w:p>
            <w:pPr>
              <w:pStyle w:val="null3"/>
            </w:pPr>
            <w:r>
              <w:rPr/>
              <w:t>2期：支付比例20%,合同货物到采购人指定地点交付并安装、调试后，中标人凭下列资料申请付款，资料交齐后，采购人在30天内向中标人支付合同总价的20%：（1）合同；（2）原厂保修凭证材料。</w:t>
            </w:r>
          </w:p>
          <w:p>
            <w:pPr>
              <w:pStyle w:val="null3"/>
            </w:pPr>
            <w:r>
              <w:rPr/>
              <w:t>3期：支付比例50%,合同货物试运行正常，经采购人书面验收后通知中标人，中标人凭下列资料申请付款，资料交齐后，采购人在2027年6月30日之前向中标人支付合同总价的50%：（1）合同；（2）中标人开具的正式全额发票；（3）建设项目竣工卫生验收认可书；（4）经采购人书面确认的验收报告。 如因中标人原因导致项目无法通过验收或无法顺利付款，则第3期付款时间顺延。</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1期：（1）设备安装调试完成且试运行期间一切正常，则试运行期结束后3个工作日内进行使用验收。试运行期为30日。验收应在采购人和中标人双方共同参加下进行。 （2）按照技术、服务、安全标准组织对中标人履约情况进行验收。验收时如发现所交付的货物有短装、次品、损坏或其他不符合本合同规定之情形者，采购人应做出详尽的现场记录，或由采购人和中标人双方签署备忘录。此现场记录或备忘录可用作补充、缺失和更换损坏部件的有效证据。由此产生的有关费用由中标人承担。 （3）如果合同货物运输和安装调试过程中因事故造成货物短缺、损坏，中标人应及时安排换货，以保证合同货物成功完整交付。换货的相关费用由中标人承担。 （4）交货时须将使用说明书、质量检验证明书、保修单据、随配附件和工具以及清单一并附于货物内。 （5）因物品的质量问题发生争议，由广东省或东莞市质量技术监督部门进行质量鉴定。货物符合质量技术标准的，鉴定费由采购人承担，否则鉴定费由中标人承担。并且中标人负责重新提供符合合同要求的货物给采购人，由此造成延期供货的，中标人承担延期供货的违约责任。</w:t>
            </w:r>
          </w:p>
        </w:tc>
      </w:tr>
      <w:tr>
        <w:tc>
          <w:tcPr>
            <w:tcW w:type="dxa" w:w="4153"/>
          </w:tcPr>
          <w:p>
            <w:pPr>
              <w:pStyle w:val="null3"/>
            </w:pPr>
            <w:r>
              <w:rPr/>
              <w:t>履约保证金</w:t>
            </w:r>
          </w:p>
        </w:tc>
        <w:tc>
          <w:tcPr>
            <w:tcW w:type="dxa" w:w="4153"/>
          </w:tcPr>
          <w:p>
            <w:pPr>
              <w:pStyle w:val="null3"/>
            </w:pPr>
            <w:r>
              <w:rPr/>
              <w:t>交纳比例：3%</w:t>
            </w:r>
          </w:p>
          <w:p>
            <w:pPr>
              <w:pStyle w:val="null3"/>
            </w:pPr>
            <w:r>
              <w:rPr/>
              <w:t>缴费渠道：</w:t>
            </w:r>
            <w:r>
              <w:rPr/>
              <w:t>电子保函（保险）</w:t>
            </w:r>
            <w:r>
              <w:rPr/>
              <w:t>、其他</w:t>
            </w:r>
          </w:p>
          <w:p>
            <w:pPr>
              <w:pStyle w:val="null3"/>
            </w:pPr>
            <w:r>
              <w:rPr/>
              <w:t>账号：中标后提供</w:t>
            </w:r>
          </w:p>
          <w:p>
            <w:pPr>
              <w:pStyle w:val="null3"/>
            </w:pPr>
            <w:r>
              <w:rPr/>
              <w:t>户名：中标后提供</w:t>
            </w:r>
          </w:p>
          <w:p>
            <w:pPr>
              <w:pStyle w:val="null3"/>
            </w:pPr>
            <w:r>
              <w:rPr/>
              <w:t>开户行：中标后提供</w:t>
            </w:r>
          </w:p>
          <w:p>
            <w:pPr>
              <w:pStyle w:val="null3"/>
            </w:pPr>
            <w:r>
              <w:rPr/>
              <w:t>说明：（1）中标人在本项目合同签订之前5日内向采购人提交履约保证金，金额为中标金额的3%，履约保证金采用银行转账、电汇、银行履约保函、信用担保等形式缴交。若中标人不按规定提交履约保证金，采购人将有充分的理由解除合同，给采购人造成的损失，还应当予以赔偿。 （2）保修期间无质量问题等违约违法行为、无售后服务纠纷、以及其他经济法律纠纷等情况，采购人将履约保证金无息退还给中标人。 （3）中标人在保修期满后向采购人书面申请退还履约保证金，待采购人书面确认后，采购人在30天内将履约保证金无息退还给中标人。</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说明，1、为保证产品来源的合法性，经销商或代理商作为中标人的，须在中标结果公示后五个工作日内向采购人提供产品来源渠道合法的证明文件（如销售协议、代理协议或原厂授权等证明材料），产品来源合法性证明作为签订合同的条件之一，中标人在签订合同前拒绝提供产品来源合法性证明视为中标人拒绝与采购人签订合同，按照《中华人民共和国政府采购法实施条例》第四十九条规定，采购人可以按照评审报告推荐的中标或者成交候选人名单排序，确定下一候选人为中标或者成交供应商，也可以重新开展政府采购活动。 2、采购人向供应商提供的有关资料和数据，是采购人现有的能使供应商利用的资料，采购人对供应商由此而做出的推论、理解和结论概不负责。因法律法规、标准和政策等相关规定动态变化，不能保证项目正式开始实施时与现有情况完全一致，如有变动将以最终签约为准。如实际情况为非根本性的重大实质影响，采购人将不对此承担任何责任和费用。 3、项目执行过程中，如需采购人配合办理相关手续，或提供相关服务条件，均须在投标文件中详细说明，以便于采购人决定是否接受或提前准备，所涉及的费用均由中标人承担。 4、本项目执行过程中将遵循国家、省、市有关法律、法规、标准、技术规范和规范性文件的最新规定。 5、投标人应具有履行合同所需的医疗设备同类项目业绩。 6、为保障本项目实施的顺利以及质量，投标人须根据本项目的服务要求结合投标人自身的情况制定相关方案：货物总体要求方案、包装、保险及运输、保管方案、安装、培训方案以及售后服务方案。 7、注意事项： （1）采购需求中所有列出的相关货物技术要求均不是唯一指定，即投标人可就货物提出替代标准，只要相当于（或优于）规定的货物品质和性能等技术参数要求，并提供满足采购需求要求的证明材料，则视为合格。 （2）带★号为实质性响应条款，投标文件不满足将做无效投标处理。 （3）如上述★条款没有要求提供承诺函等具体证明材料的，则在《商务条件响应表》和《技术和服务要求响应表》对应表格逐条填写响应情况即可。 （4）带▲号参数响应条款，投标人应在《技术和服务要求响应表》中的“证明文件所在位置”一栏清晰标明证明材料所在页码，在对应的页码上用“□”框出对应内容。 8、特别说明：对于所购设备数据类的参数，无论是否标记≥或≤，供应商均应采用不低于招标文件所提供技术参数的产品参与投标。供应商须在分项报价表中报出所投产品的品牌型号。</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1）投标报价应包含：按招标文件的要求全部货物及服务内容所需的所有费用，包括但不限于：设备全保不少于5年、项目的全部产品价格、服务价格、应向中华人民共和国政府缴纳的增值税和其他税等全部税费、运输、保险、安装服务、标准附件价、备品备件及专用工具价(如有)、软件更新费用、SPECT机房交钥匙工程费用、控评、环保验收、办理相关放射诊疗和辐射安全手续所需费用以及履行合同所需的费用、所有风险、责任等其他一切隐含及不可预见的费用。 （2）投标报价应包括所有应支付的对专利权和版权、设计或其他知识产权而需要向其他方支付的版税。</w:t>
            </w:r>
          </w:p>
        </w:tc>
        <w:tc>
          <w:tcPr>
            <w:tcW w:type="dxa" w:w="2076"/>
          </w:tcPr>
          <w:p>
            <w:pPr>
              <w:pStyle w:val="null3"/>
              <w:jc w:val="left"/>
            </w:pPr>
            <w:r>
              <w:rPr/>
              <w:t>报价要求</w:t>
            </w:r>
          </w:p>
        </w:tc>
      </w:tr>
      <w:tr>
        <w:tc>
          <w:tcPr>
            <w:tcW w:type="dxa" w:w="2076"/>
          </w:tcPr>
          <w:p/>
        </w:tc>
        <w:tc>
          <w:tcPr>
            <w:tcW w:type="dxa" w:w="2076"/>
          </w:tcPr>
          <w:p>
            <w:pPr>
              <w:pStyle w:val="null3"/>
              <w:jc w:val="center"/>
            </w:pPr>
            <w:r>
              <w:rPr/>
              <w:t>2</w:t>
            </w:r>
          </w:p>
        </w:tc>
        <w:tc>
          <w:tcPr>
            <w:tcW w:type="dxa" w:w="2076"/>
          </w:tcPr>
          <w:p>
            <w:pPr>
              <w:pStyle w:val="null3"/>
              <w:jc w:val="left"/>
            </w:pPr>
            <w:r>
              <w:rPr/>
              <w:t>（1）保修期自货物验收合格之日起开始计算，保修期：≥全保5年（含软件升级费用且在保修期内无条件将所有软件及时更新至最新版本）。保修期内中标人对所供货物实行包修、包换、包退、包维护保养，所有服务及费用由中标人负责，不得收取任何费用。 （2）保修期内，如设备或零部件因非人为因素出现故障而造成停用超过10天，中标人需提供合格的备用机供采购人使用，保修期相应顺延。 （3）对采购人的服务通知，中标人在接报后1小时内响应，24小时内到达现场，48小时内提供解决方案。直至故障设备修复，中标人负责所有因设备质量问题而产生的费用（如技术部分另有要求的，以技术需求为准）。中标人不能在规定时间内提供维修服务或处理完毕的，采购人有权委托第三方代为履行，发生的费用及损失由中标人承担。</w:t>
            </w:r>
          </w:p>
        </w:tc>
        <w:tc>
          <w:tcPr>
            <w:tcW w:type="dxa" w:w="2076"/>
          </w:tcPr>
          <w:p>
            <w:pPr>
              <w:pStyle w:val="null3"/>
              <w:jc w:val="left"/>
            </w:pPr>
            <w:r>
              <w:rPr/>
              <w:t>售后服务要求</w:t>
            </w:r>
          </w:p>
        </w:tc>
      </w:tr>
      <w:tr>
        <w:tc>
          <w:tcPr>
            <w:tcW w:type="dxa" w:w="2076"/>
          </w:tcPr>
          <w:p/>
        </w:tc>
        <w:tc>
          <w:tcPr>
            <w:tcW w:type="dxa" w:w="2076"/>
          </w:tcPr>
          <w:p>
            <w:pPr>
              <w:pStyle w:val="null3"/>
              <w:jc w:val="center"/>
            </w:pPr>
            <w:r>
              <w:rPr/>
              <w:t>3</w:t>
            </w:r>
          </w:p>
        </w:tc>
        <w:tc>
          <w:tcPr>
            <w:tcW w:type="dxa" w:w="2076"/>
          </w:tcPr>
          <w:p>
            <w:pPr>
              <w:pStyle w:val="null3"/>
              <w:jc w:val="left"/>
            </w:pPr>
            <w:r>
              <w:rPr/>
              <w:t>（1）投标人所投货物必须是原装、全新的产品，符合国家以及该产品的出厂标准。 （2）投标人所投货物必须符合国家安全质量标准、环保标准或行业标准的全新、未使用过的货物（包括所有零配件、随机工具等），表面无划伤，无碰撞，无任何缺陷隐患，无污染，无侵权行为，在中国境内可依常规安全合法使用。 （3）投标人所投货物必须符合国家环保要求及标准，提供的设备（或服务）均应当符合《中华人民共和国产品质量法》和《中华人民共和国医疗器械监督管理条例》等相关法律法规之强制性规定。 （4）投标人应保证仪器设备在不需要增配未列出配件（特别指出的除外）的前提下货物功能、技术标准能够达到招标文件的要求，而无须再增配未列出的配件；如投标人所提供的产品需要增配配件才能达到要求的，所增配的配件须由投标人提供，其费用包含在投标报价内。 ★（5）投标人提供的设备生产日期距到货日期不能超过6个月。（须作响应或提供承诺函加盖投标人公章，格式自拟） ★（6）投标人须承诺SPECT由设备原厂提供质保服务，直至保修期结束。（须作响应或提供承诺函加盖投标人公章，格式自拟）</w:t>
            </w:r>
          </w:p>
        </w:tc>
        <w:tc>
          <w:tcPr>
            <w:tcW w:type="dxa" w:w="2076"/>
          </w:tcPr>
          <w:p>
            <w:pPr>
              <w:pStyle w:val="null3"/>
              <w:jc w:val="left"/>
            </w:pPr>
            <w:r>
              <w:rPr/>
              <w:t>货物总体要求</w:t>
            </w:r>
          </w:p>
        </w:tc>
      </w:tr>
      <w:tr>
        <w:tc>
          <w:tcPr>
            <w:tcW w:type="dxa" w:w="2076"/>
          </w:tcPr>
          <w:p/>
        </w:tc>
        <w:tc>
          <w:tcPr>
            <w:tcW w:type="dxa" w:w="2076"/>
          </w:tcPr>
          <w:p>
            <w:pPr>
              <w:pStyle w:val="null3"/>
              <w:jc w:val="center"/>
            </w:pPr>
            <w:r>
              <w:rPr/>
              <w:t>4</w:t>
            </w:r>
          </w:p>
        </w:tc>
        <w:tc>
          <w:tcPr>
            <w:tcW w:type="dxa" w:w="2076"/>
          </w:tcPr>
          <w:p>
            <w:pPr>
              <w:pStyle w:val="null3"/>
              <w:jc w:val="left"/>
            </w:pPr>
            <w:r>
              <w:rPr/>
              <w:t>（1）中标人负责送货至采购人指定地点。 （2）设备材料的包装应当是制造商原厂包装，其包装均应有良好的防湿、防锈、防潮、防雨、防腐及防碰撞的措施。凡由于包装不良造成的损失和由此产生的费用均由中标人承担。 （3）中标人所供货物应为制造商原装出厂，包装箱号与设备出厂批号一致。 （4）中标人负责将设备材料送到现场的全部运输，包括装卸车、货物现场的搬运。 （5）各种货物提供装箱清单，按装箱清单验收货物。 （6）货物在现场的保管由中标人负责，直至项目安装、验收完毕。 （7）货物在安装调试验收合格前的保险由中标人负责，中标人负责其派出的现场服务人员的人身意外保险。 （8）设备送至采购人指定的使用现场的包装、保险及发运等环节和费用均由中标人负责。</w:t>
            </w:r>
          </w:p>
        </w:tc>
        <w:tc>
          <w:tcPr>
            <w:tcW w:type="dxa" w:w="2076"/>
          </w:tcPr>
          <w:p>
            <w:pPr>
              <w:pStyle w:val="null3"/>
              <w:jc w:val="left"/>
            </w:pPr>
            <w:r>
              <w:rPr/>
              <w:t>包装、保险及运输、保管要求</w:t>
            </w:r>
          </w:p>
        </w:tc>
      </w:tr>
      <w:tr>
        <w:tc>
          <w:tcPr>
            <w:tcW w:type="dxa" w:w="2076"/>
          </w:tcPr>
          <w:p/>
        </w:tc>
        <w:tc>
          <w:tcPr>
            <w:tcW w:type="dxa" w:w="2076"/>
          </w:tcPr>
          <w:p>
            <w:pPr>
              <w:pStyle w:val="null3"/>
              <w:jc w:val="center"/>
            </w:pPr>
            <w:r>
              <w:rPr/>
              <w:t>5</w:t>
            </w:r>
          </w:p>
        </w:tc>
        <w:tc>
          <w:tcPr>
            <w:tcW w:type="dxa" w:w="2076"/>
          </w:tcPr>
          <w:p>
            <w:pPr>
              <w:pStyle w:val="null3"/>
              <w:jc w:val="left"/>
            </w:pPr>
            <w:r>
              <w:rPr/>
              <w:t>（1）仪器设备均应配有《产品使用说明书》或《操作手册》、《合格证》和装箱清单等基本资料。 （2）中标人必须依照招标文件的要求和投标文件的承诺，将设备、系统安装并调试至正常运行的最佳状态。中标人负责送货上门、安装、调试，并试运行。 （3）在货物到达指定地点后，中标人应在7天内派工程技术人员到达现场，在采购人验收小组、技术人员在场的情况下开箱清点货物，组织安装、调试，并承担因此发生的一切费用。 （4）中标人须向采购人提供设备的运行、安装、使用环境要求，必要时要派技术人员参与装修现场技术指导。 （5）中标人负责安装时须对各安装场地内的其他设备、设施有良好保护措施。</w:t>
            </w:r>
          </w:p>
        </w:tc>
        <w:tc>
          <w:tcPr>
            <w:tcW w:type="dxa" w:w="2076"/>
          </w:tcPr>
          <w:p>
            <w:pPr>
              <w:pStyle w:val="null3"/>
              <w:jc w:val="left"/>
            </w:pPr>
            <w:r>
              <w:rPr/>
              <w:t>安装调试要求</w:t>
            </w:r>
          </w:p>
        </w:tc>
      </w:tr>
      <w:tr>
        <w:tc>
          <w:tcPr>
            <w:tcW w:type="dxa" w:w="2076"/>
          </w:tcPr>
          <w:p/>
        </w:tc>
        <w:tc>
          <w:tcPr>
            <w:tcW w:type="dxa" w:w="2076"/>
          </w:tcPr>
          <w:p>
            <w:pPr>
              <w:pStyle w:val="null3"/>
              <w:jc w:val="center"/>
            </w:pPr>
            <w:r>
              <w:rPr/>
              <w:t>6</w:t>
            </w:r>
          </w:p>
        </w:tc>
        <w:tc>
          <w:tcPr>
            <w:tcW w:type="dxa" w:w="2076"/>
          </w:tcPr>
          <w:p>
            <w:pPr>
              <w:pStyle w:val="null3"/>
              <w:jc w:val="left"/>
            </w:pPr>
            <w:r>
              <w:rPr/>
              <w:t>（1）现场培训：中标人在设备的安装、调试、验收完毕后即进行现场培训，直至采购人基本掌握使用操作、维护保养技术。 （2）专门培训：中标人就设备的安装、检验、调试、使用和维护等培训采购人3名技术人员，直到采购人受训人员全部掌握运用操作、维护保养技术，并能达到正确检修、维护、排除一般故障为止。 （3）培训方式：技术培训、操作培训。 （4）培训人员、地点和时间：受训人员由采购人确定，培训地点和时间由双方商定，费用由中标人承担。</w:t>
            </w:r>
          </w:p>
        </w:tc>
        <w:tc>
          <w:tcPr>
            <w:tcW w:type="dxa" w:w="2076"/>
          </w:tcPr>
          <w:p>
            <w:pPr>
              <w:pStyle w:val="null3"/>
              <w:jc w:val="left"/>
            </w:pPr>
            <w:r>
              <w:rPr/>
              <w:t>培训要求</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自货物验收合格之日起开始计算不少于5年。中标人须确保采购人所购设备的配套软件能够获得持续的后续更新支持，为采购人提供该软件的终身免费更新服务。（须作响应或提供承诺函加盖投标人公章，格式自拟）</w:t>
            </w:r>
          </w:p>
        </w:tc>
        <w:tc>
          <w:tcPr>
            <w:tcW w:type="dxa" w:w="2076"/>
          </w:tcPr>
          <w:p>
            <w:pPr>
              <w:pStyle w:val="null3"/>
              <w:jc w:val="left"/>
            </w:pPr>
            <w:r>
              <w:rPr/>
              <w:t>质保期 （保修期）</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1）中标人负责包括但不限于以下工作内容：机房部分内容拆改或增配（含空调系统、消防系统、信息工程项目、监控系统、门禁系统等）、机房效果设计、电缆及配电建设等所有工作，并对本项目的质量、安全等全面负责，确保通过职业病危害卫生评价。以上费用均应包含在投标总价中，由中标人承担。中标人在施工前须向采购人提供机房设计的效果图、施工图、施工材料清单等进行审核，经采购人审核确认后方可施工，中标人承诺工程质量需达到国家或行业质量检验评定的合格标准，施工人员要有相关施工资质。 （2）本合同SPECT机房交钥匙工程部分允许分包给有相应资质的单位实施，其他部分不得分包、转包。接受分包的单位应当具备相应资格及资质条件，且不得转包或再次分包。中标人应当就分包项目向采购人负责，接受分包的单位就分包项目与中标人承担连带责任。中标人须于合同签订前提交分包单位的资质证明文件给采购人备案。（须提供承诺函加盖投标人公章，格式自拟）</w:t>
            </w:r>
          </w:p>
        </w:tc>
        <w:tc>
          <w:tcPr>
            <w:tcW w:type="dxa" w:w="2076"/>
          </w:tcPr>
          <w:p>
            <w:pPr>
              <w:pStyle w:val="null3"/>
              <w:jc w:val="left"/>
            </w:pPr>
            <w:r>
              <w:rPr/>
              <w:t>SPECT机房交钥匙工程</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根据《放射诊疗管理规定》等相关规定，中标人主要完成以下工作： ①需要对SPECT机房进行职业病危害放射防护控制效果评价、项目验收及放射诊疗许可办理工作(包括组织专家评审工作)（如需）； ②核技术利用建设项目环境影响评价、项目验收及辐射安全许可证办理及备案手续(包括组织专家评审工作)（如需）。</w:t>
            </w:r>
          </w:p>
        </w:tc>
        <w:tc>
          <w:tcPr>
            <w:tcW w:type="dxa" w:w="2076"/>
          </w:tcPr>
          <w:p>
            <w:pPr>
              <w:pStyle w:val="null3"/>
              <w:jc w:val="left"/>
            </w:pPr>
            <w:r>
              <w:rPr/>
              <w:t>其他要求</w:t>
            </w:r>
          </w:p>
        </w:tc>
      </w:tr>
      <w:tr>
        <w:tc>
          <w:tcPr>
            <w:tcW w:type="dxa" w:w="2076"/>
          </w:tcPr>
          <w:p/>
        </w:tc>
        <w:tc>
          <w:tcPr>
            <w:tcW w:type="dxa" w:w="2076"/>
          </w:tcPr>
          <w:p>
            <w:pPr>
              <w:pStyle w:val="null3"/>
              <w:jc w:val="center"/>
            </w:pPr>
            <w:r>
              <w:rPr/>
              <w:t>10</w:t>
            </w:r>
          </w:p>
        </w:tc>
        <w:tc>
          <w:tcPr>
            <w:tcW w:type="dxa" w:w="2076"/>
          </w:tcPr>
          <w:p>
            <w:pPr>
              <w:pStyle w:val="null3"/>
              <w:jc w:val="left"/>
            </w:pPr>
            <w:r>
              <w:rPr/>
              <w:t>投标人响应合同各条款。</w:t>
            </w:r>
          </w:p>
        </w:tc>
        <w:tc>
          <w:tcPr>
            <w:tcW w:type="dxa" w:w="2076"/>
          </w:tcPr>
          <w:p>
            <w:pPr>
              <w:pStyle w:val="null3"/>
              <w:jc w:val="left"/>
            </w:pPr>
            <w:r>
              <w:rPr/>
              <w:t>合同条款</w:t>
            </w:r>
          </w:p>
        </w:tc>
      </w:tr>
      <w:tr>
        <w:tc>
          <w:tcPr>
            <w:tcW w:type="dxa" w:w="2076"/>
          </w:tcPr>
          <w:p/>
        </w:tc>
        <w:tc>
          <w:tcPr>
            <w:tcW w:type="dxa" w:w="2076"/>
          </w:tcPr>
          <w:p>
            <w:pPr>
              <w:pStyle w:val="null3"/>
              <w:jc w:val="center"/>
            </w:pPr>
            <w:r>
              <w:rPr/>
              <w:t>11</w:t>
            </w:r>
          </w:p>
        </w:tc>
        <w:tc>
          <w:tcPr>
            <w:tcW w:type="dxa" w:w="2076"/>
          </w:tcPr>
          <w:p>
            <w:pPr>
              <w:pStyle w:val="null3"/>
              <w:jc w:val="left"/>
            </w:pPr>
            <w:r>
              <w:rPr/>
              <w:t>质保期满后，采购人另行采购设备维护保养服务，投标人需对设备维护保养服务费用价格进行报价，所报价格将作为设备维护保养服务采购项目的定价依据。要求如下： 出保后每年维护保养（全保）服务费用不得高于（即≤）投标总价的6%（不含第三方设备和系统）；出保后每年维护保养（全保）服务费用不得高于（即≤）投标总价的6.5%（含第三方设备和系统）。</w:t>
            </w:r>
          </w:p>
        </w:tc>
        <w:tc>
          <w:tcPr>
            <w:tcW w:type="dxa" w:w="2076"/>
          </w:tcPr>
          <w:p>
            <w:pPr>
              <w:pStyle w:val="null3"/>
              <w:jc w:val="left"/>
            </w:pPr>
            <w:r>
              <w:rPr/>
              <w:t>质保期满后保养服务费用要求</w:t>
            </w:r>
          </w:p>
        </w:tc>
      </w:tr>
      <w:tr>
        <w:tc>
          <w:tcPr>
            <w:tcW w:type="dxa" w:w="2076"/>
          </w:tcPr>
          <w:p/>
        </w:tc>
        <w:tc>
          <w:tcPr>
            <w:tcW w:type="dxa" w:w="2076"/>
          </w:tcPr>
          <w:p>
            <w:pPr>
              <w:pStyle w:val="null3"/>
              <w:jc w:val="center"/>
            </w:pPr>
            <w:r>
              <w:rPr/>
              <w:t>12</w:t>
            </w:r>
          </w:p>
        </w:tc>
        <w:tc>
          <w:tcPr>
            <w:tcW w:type="dxa" w:w="2076"/>
          </w:tcPr>
          <w:p>
            <w:pPr>
              <w:pStyle w:val="null3"/>
              <w:jc w:val="left"/>
            </w:pPr>
            <w:r>
              <w:rPr/>
              <w:t>（1）采购需求中提及的所有“免费”字眼的需求内容均属于与本项目采购有关的货物或服务，不等同于投标人对采购人的赠送行为，相关费用应包含在投标人的投标报价中。 （2）投标人所投货物如涉及商品包装和快递包装，均应符合《商品包装政府采购需求标准（试行）》《快递包装政府采购需求标准（试行）》财办库〔2020〕123号的要求。</w:t>
            </w:r>
          </w:p>
        </w:tc>
        <w:tc>
          <w:tcPr>
            <w:tcW w:type="dxa" w:w="2076"/>
          </w:tcPr>
          <w:p>
            <w:pPr>
              <w:pStyle w:val="null3"/>
              <w:jc w:val="left"/>
            </w:pPr>
            <w:r>
              <w:rPr/>
              <w:t>说明</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核医学诊断设备</w:t>
            </w:r>
          </w:p>
        </w:tc>
        <w:tc>
          <w:tcPr>
            <w:tcW w:type="dxa" w:w="831"/>
          </w:tcPr>
          <w:p>
            <w:pPr>
              <w:pStyle w:val="null3"/>
              <w:jc w:val="left"/>
            </w:pPr>
            <w:r>
              <w:rPr/>
              <w:t>单光子发射及X射线计算机断层成像系统（SPECT CT）</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9,680,000.00</w:t>
            </w:r>
          </w:p>
        </w:tc>
        <w:tc>
          <w:tcPr>
            <w:tcW w:type="dxa" w:w="831"/>
          </w:tcPr>
          <w:p>
            <w:pPr>
              <w:pStyle w:val="null3"/>
              <w:jc w:val="right"/>
            </w:pPr>
            <w:r>
              <w:rPr/>
              <w:t>9,680,000.00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单光子发射及X射线计算机断层成像系统（SPECT CT）</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42"/>
              <w:jc w:val="both"/>
            </w:pPr>
            <w:r>
              <w:rPr>
                <w:sz w:val="22"/>
                <w:b/>
              </w:rPr>
              <w:t>（一）配置清单</w:t>
            </w:r>
          </w:p>
          <w:tbl>
            <w:tblPr>
              <w:tblBorders>
                <w:top w:val="none" w:color="000000" w:sz="4"/>
                <w:left w:val="none" w:color="000000" w:sz="4"/>
                <w:bottom w:val="none" w:color="000000" w:sz="4"/>
                <w:right w:val="none" w:color="000000" w:sz="4"/>
                <w:insideH w:val="none"/>
                <w:insideV w:val="none"/>
              </w:tblBorders>
            </w:tblPr>
            <w:tblGrid>
              <w:gridCol w:w="594"/>
              <w:gridCol w:w="4381"/>
              <w:gridCol w:w="623"/>
            </w:tblGrid>
            <w:tr>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b/>
                    </w:rPr>
                    <w:t>序号</w:t>
                  </w:r>
                </w:p>
              </w:tc>
              <w:tc>
                <w:tcPr>
                  <w:tcW w:type="dxa" w:w="4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b/>
                    </w:rPr>
                    <w:t>清单内容</w:t>
                  </w:r>
                </w:p>
              </w:tc>
              <w:tc>
                <w:tcPr>
                  <w:tcW w:type="dxa" w:w="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b/>
                    </w:rPr>
                    <w:t>数量</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SPECT/CT主机系统 （含球管、晶体、探测器）</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低能准直器一对及推车</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高能准直器一对及推车</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中能准直器一对及推车</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采集工作站</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后处理工作站</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头托</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个</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身体绑带套装</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R波触发器</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个</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扫描延长板</w:t>
                  </w:r>
                  <w:r>
                    <w:rPr>
                      <w:sz w:val="22"/>
                    </w:rPr>
                    <w:t xml:space="preserve">   </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扫描床自动记忆辅助定位标尺</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心肌显像定量分析软件系统</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心肌血流灌注分析软件包</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心肌灌注高级相位分析软件</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肺通气和灌注分析软件包</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甲状腺摄取分数计算工具</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甲状旁腺成像分析工具</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高级心脏重建及分析软件</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肾脏灌注和功能分析软件包</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肾动态采集和处理</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全身骨骼（或局部）分析软件包</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胃排空指数分析工具</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食道运动分析工具</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胆囊排泄分数计算工具</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智能造影剂跟踪工具</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SPECT/CT三维图像显示功能</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高清骨显像技术</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高级心脏成像技术</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SPECT/CT SUV定量系统（包括软硬件）</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精准衰减校正质控系统</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SPECT质控软件包</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CT校正模型套件</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CT校正软件包</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旋转中心质控源支架</w:t>
                  </w:r>
                  <w:r>
                    <w:rPr>
                      <w:sz w:val="22"/>
                    </w:rPr>
                    <w:t xml:space="preserve">  </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SPECT-CT配准/质控软件包</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医院影像网络联结系统</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脑血流节段分析软件包</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容积断层软件包</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CT 三维容积重建功能</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医生办公室、值班室语音视频交互系统</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医生诊断报告工作站（含</w:t>
                  </w:r>
                  <w:r>
                    <w:rPr>
                      <w:sz w:val="22"/>
                    </w:rPr>
                    <w:t>6台医用显示器：5台6M，1台12M）</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6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放射性废物防护箱（</w:t>
                  </w:r>
                  <w:r>
                    <w:rPr>
                      <w:sz w:val="22"/>
                    </w:rPr>
                    <w:t>20mmPb） （尺寸500mm×500mm×600mm）</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3 个</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通风橱（</w:t>
                  </w:r>
                  <w:r>
                    <w:rPr>
                      <w:sz w:val="22"/>
                    </w:rPr>
                    <w:t>50mmPb）  定制</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台</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活度计</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1台</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个人剂量报警仪</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4 台</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46</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X/γ射线探测仪</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个</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47</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铅衣、铅围裙、铅围脖、铅帽子、铅眼镜</w:t>
                  </w:r>
                  <w:r>
                    <w:rPr>
                      <w:sz w:val="22"/>
                    </w:rPr>
                    <w:t>0.5mmpb</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5套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48</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铅衣架</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2个</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49</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注射器运送防护筒（</w:t>
                  </w:r>
                  <w:r>
                    <w:rPr>
                      <w:sz w:val="22"/>
                    </w:rPr>
                    <w:t>6mmPb） （2ml）</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2 个</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紧急泄漏除污工具组</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51</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I-131分装柜、服药窗改造</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1项</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52</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机房辐射防护交钥匙（含场地卫评、环评验收等）</w:t>
                  </w:r>
                  <w:r>
                    <w:rPr>
                      <w:sz w:val="22"/>
                    </w:rPr>
                    <w:t>，</w:t>
                  </w:r>
                  <w:r>
                    <w:rPr>
                      <w:sz w:val="22"/>
                    </w:rPr>
                    <w:t>确保机房达到装机所要求的一切条件</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1项</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53</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心肌负荷显像运动单车</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54</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碘</w:t>
                  </w:r>
                  <w:r>
                    <w:rPr>
                      <w:sz w:val="22"/>
                    </w:rPr>
                    <w:t>-131口杯专用四通道废物桶（20mmPb）</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个</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55</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呼叫可视对讲系统</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 套</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56</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会议室</w:t>
                  </w:r>
                  <w:r>
                    <w:rPr>
                      <w:sz w:val="22"/>
                    </w:rPr>
                    <w:t>100寸平板/电视</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1台</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57</w:t>
                  </w:r>
                </w:p>
              </w:tc>
              <w:tc>
                <w:tcPr>
                  <w:tcW w:type="dxa" w:w="4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2"/>
                    </w:rPr>
                    <w:t>个性化内照射剂量学评估平台</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2"/>
                    </w:rPr>
                    <w:t>1项</w:t>
                  </w:r>
                </w:p>
              </w:tc>
            </w:tr>
          </w:tbl>
          <w:p>
            <w:pPr>
              <w:pStyle w:val="null3"/>
            </w:pPr>
            <w:r>
              <w:rPr/>
              <w:t xml:space="preserve"> </w:t>
            </w:r>
          </w:p>
          <w:p>
            <w:pPr>
              <w:pStyle w:val="null3"/>
            </w:pPr>
            <w:r>
              <w:rPr/>
              <w:t xml:space="preserve"> </w:t>
            </w:r>
          </w:p>
        </w:tc>
      </w:tr>
      <w:tr>
        <w:tc>
          <w:tcPr>
            <w:tcW w:type="dxa" w:w="2076"/>
          </w:tcPr>
          <w:p/>
        </w:tc>
        <w:tc>
          <w:tcPr>
            <w:tcW w:type="dxa" w:w="415"/>
          </w:tcPr>
          <w:p>
            <w:pPr>
              <w:pStyle w:val="null3"/>
            </w:pPr>
            <w:r>
              <w:rPr/>
              <w:t>2</w:t>
            </w:r>
          </w:p>
        </w:tc>
        <w:tc>
          <w:tcPr>
            <w:tcW w:type="dxa" w:w="5814"/>
          </w:tcPr>
          <w:p>
            <w:pPr>
              <w:pStyle w:val="null3"/>
              <w:ind w:firstLine="442"/>
              <w:jc w:val="both"/>
            </w:pPr>
            <w:r>
              <w:rPr>
                <w:sz w:val="22"/>
                <w:b/>
              </w:rPr>
              <w:t>（二）技术参数</w:t>
            </w:r>
          </w:p>
          <w:tbl>
            <w:tblPr>
              <w:tblBorders>
                <w:top w:val="none" w:color="000000" w:sz="4"/>
                <w:left w:val="none" w:color="000000" w:sz="4"/>
                <w:bottom w:val="none" w:color="000000" w:sz="4"/>
                <w:right w:val="none" w:color="000000" w:sz="4"/>
                <w:insideH w:val="none"/>
                <w:insideV w:val="none"/>
              </w:tblBorders>
            </w:tblPr>
            <w:tblGrid>
              <w:gridCol w:w="833"/>
              <w:gridCol w:w="4765"/>
            </w:tblGrid>
            <w:tr>
              <w:tc>
                <w:tcPr>
                  <w:tcW w:type="dxa" w:w="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4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参数要求</w:t>
                  </w:r>
                </w:p>
              </w:tc>
            </w:tr>
            <w:tr>
              <w:tc>
                <w:tcPr>
                  <w:tcW w:type="dxa" w:w="8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总体要求</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★该产品CFDA注册时间距今≤5年</w:t>
                  </w:r>
                </w:p>
              </w:tc>
            </w:tr>
            <w:tr>
              <w:tc>
                <w:tcPr>
                  <w:tcW w:type="dxa" w:w="833"/>
                  <w:vMerge/>
                  <w:tcBorders>
                    <w:top w:val="none" w:color="000000" w:sz="4"/>
                    <w:left w:val="single" w:color="000000" w:sz="4"/>
                    <w:bottom w:val="single" w:color="000000" w:sz="4"/>
                    <w:right w:val="single" w:color="000000" w:sz="4"/>
                  </w:tcBorders>
                </w:tcP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▲该产品具备SPECT和CT的独立功能，允许SPECT和CT单独成像。（需要提供NMPA注册证信息证明）</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探头</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探头规格：两个探头，矩形，可变角</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▲探头视野≥533×387mm</w:t>
                  </w:r>
                  <w:r>
                    <w:rPr>
                      <w:sz w:val="22"/>
                    </w:rPr>
                    <w:t>（投标时需提供所投产品技术白皮书或说明书扫描件，注：对应参数在证明材料中进行标注。）</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▲晶体类型：碘化钠晶体</w:t>
                  </w:r>
                  <w:r>
                    <w:rPr>
                      <w:sz w:val="22"/>
                    </w:rPr>
                    <w:t>（投标时需提供所投产品技术白皮书或说明书扫描件，注：对应参数在证明材料中进行标注。）</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能量范围：</w:t>
                  </w:r>
                  <w:r>
                    <w:rPr>
                      <w:sz w:val="22"/>
                    </w:rPr>
                    <w:t>40-620keV</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光电倍增管</w:t>
                  </w:r>
                  <w:r>
                    <w:rPr>
                      <w:sz w:val="22"/>
                    </w:rPr>
                    <w:t>≥59个</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▲固有能量分辨率≤9.5%</w:t>
                  </w:r>
                  <w:r>
                    <w:rPr>
                      <w:sz w:val="22"/>
                    </w:rPr>
                    <w:t>（投标时需提供所投产品技术白皮书或说明书扫描件，注：对应参数在证明材料中进行标注。）</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固有空间分辨率</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1.7.1</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固有空间分辨率（</w:t>
                  </w:r>
                  <w:r>
                    <w:rPr>
                      <w:sz w:val="22"/>
                    </w:rPr>
                    <w:t>FWHM，中心视野）≤3.7mm</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1.7.2</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固有空间分辨率（</w:t>
                  </w:r>
                  <w:r>
                    <w:rPr>
                      <w:sz w:val="22"/>
                    </w:rPr>
                    <w:t>FWTM，中心视野）≤6.8mm</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1.7.3</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固有空间分辨率（</w:t>
                  </w:r>
                  <w:r>
                    <w:rPr>
                      <w:sz w:val="22"/>
                    </w:rPr>
                    <w:t>FWHM，有效视野）≤3.8mm</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1.7.4</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固有空间分辨率（</w:t>
                  </w:r>
                  <w:r>
                    <w:rPr>
                      <w:sz w:val="22"/>
                    </w:rPr>
                    <w:t>FWTM，有效视野）≤6.9mm</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固有均匀性</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1.8.1</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固有均匀性（中心视野，微分）</w:t>
                  </w:r>
                  <w:r>
                    <w:rPr>
                      <w:sz w:val="22"/>
                    </w:rPr>
                    <w:t>≤2.1%</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1.8.2</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固有均匀性（中心视野，积分）</w:t>
                  </w:r>
                  <w:r>
                    <w:rPr>
                      <w:sz w:val="22"/>
                    </w:rPr>
                    <w:t>≤3.0%</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1.8.3</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固有均匀性（有效视野，微分）</w:t>
                  </w:r>
                  <w:r>
                    <w:rPr>
                      <w:sz w:val="22"/>
                    </w:rPr>
                    <w:t>≤2.3%</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1.8.4</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固有均匀性（有效视野，积分）</w:t>
                  </w:r>
                  <w:r>
                    <w:rPr>
                      <w:sz w:val="22"/>
                    </w:rPr>
                    <w:t>≤3.6%</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固有线性</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1.9.1</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固有线性（微分线性，有效视野）</w:t>
                  </w:r>
                  <w:r>
                    <w:rPr>
                      <w:sz w:val="22"/>
                    </w:rPr>
                    <w:t>≤0.2mm</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1.9.2</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固有线性（绝对线性，有效视野）</w:t>
                  </w:r>
                  <w:r>
                    <w:rPr>
                      <w:sz w:val="22"/>
                    </w:rPr>
                    <w:t>≤0.4mm</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1.9.3</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固有线性（微分线性，中心视野）</w:t>
                  </w:r>
                  <w:r>
                    <w:rPr>
                      <w:sz w:val="22"/>
                    </w:rPr>
                    <w:t>≤0.2mm</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1.9.4</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固有线性（绝对线性，中心视野）</w:t>
                  </w:r>
                  <w:r>
                    <w:rPr>
                      <w:sz w:val="22"/>
                    </w:rPr>
                    <w:t>≤0.4mm</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1.10</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单探头最大计数率</w:t>
                  </w:r>
                  <w:r>
                    <w:rPr>
                      <w:sz w:val="22"/>
                    </w:rPr>
                    <w:t>≥460 kcps</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1.11</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2"/>
                    </w:rPr>
                    <w:t>系统空间分辨率（</w:t>
                  </w:r>
                  <w:r>
                    <w:rPr>
                      <w:sz w:val="22"/>
                    </w:rPr>
                    <w:t>LEHR@10cm，FWHM）≤7.5mm（投标时需提供所投产品技术白皮书或说明书扫描件，注：对应参数在证明材料中进行标注。）</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1.12</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2"/>
                    </w:rPr>
                    <w:t>系统灵敏度（</w:t>
                  </w:r>
                  <w:r>
                    <w:rPr>
                      <w:sz w:val="22"/>
                    </w:rPr>
                    <w:t>LEHR或LEHRS @10cm）≥202cpm/μCi</w:t>
                  </w:r>
                  <w:r>
                    <w:rPr>
                      <w:sz w:val="22"/>
                    </w:rPr>
                    <w:t>（</w:t>
                  </w:r>
                  <w:r>
                    <w:rPr>
                      <w:sz w:val="22"/>
                    </w:rPr>
                    <w:t>投标时需提供所投产品技术白皮书或说明书扫描件，注：对应参数在证明材料中进行标注。）</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1.13</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SPECT重建空间分辨率（NEMA，LEHR或LEHRS，FBP算法，带散射）</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1.13.1</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SPECT重建空间分辨率≤7.0mm（NEMA，LEHR或LEHRS，带散射）（Central，中心）</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1.13.2</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▲SPECT重建空间分辨率≤4.1mm（NEMA，LEHR或LEHRS，带散射）（Radial，径向）</w:t>
                  </w:r>
                  <w:r>
                    <w:rPr>
                      <w:sz w:val="22"/>
                    </w:rPr>
                    <w:t>（投标时需提供所投产品技术白皮书或说明书扫描件，注：对应参数在证明材料中进行标注。）</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1.13.3</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SPECT重建空间分辨率≤4.1mm （NEMA，LEHR或LEHRS，带散射）（Radial，切向）</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机架</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配备机架控制显示装置</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配备摆位监视器</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配备病人安全保护装置（准直器表面压力敏感装置、多处紧急停止按钮等）</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配备实时人体轮廓跟踪功能：红外线方式</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▲机架孔径（SPECT/CT）≤70cm</w:t>
                  </w:r>
                  <w:r>
                    <w:rPr>
                      <w:sz w:val="22"/>
                    </w:rPr>
                    <w:t>（投标时需提供所投产品技术白皮书或说明书扫描件，注：对应参数在证明材料中进行标注。）</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▲机架宽度≤250cm</w:t>
                  </w:r>
                  <w:r>
                    <w:rPr>
                      <w:sz w:val="22"/>
                    </w:rPr>
                    <w:t>（投标时需提供所投产品技术白皮书或说明书扫描件，注：对应参数在证明材料中进行标注。）</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▲机架长度≤230cm</w:t>
                  </w:r>
                  <w:r>
                    <w:rPr>
                      <w:sz w:val="22"/>
                    </w:rPr>
                    <w:t>（投标时需提供所投产品技术白皮书或说明书扫描件，注：对应参数在证明材料中进行标注。）</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机架采集角度：</w:t>
                  </w:r>
                  <w:r>
                    <w:rPr>
                      <w:sz w:val="22"/>
                    </w:rPr>
                    <w:t>0度，90度，180度，反向180度</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探头旋转角度</w:t>
                  </w:r>
                  <w:r>
                    <w:rPr>
                      <w:sz w:val="22"/>
                    </w:rPr>
                    <w:t>≥540度</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2.10</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除步进断层采集模式和连续断层采集模式外，需提供螺旋断层采集模式，可实现探头运动和静止时同时采集信号，允许使用第三方配置。（投标时需提供所投产品技术白皮书或说明书扫描件或第三方配置技术白皮书或说明书扫描件，注：对应参数在证明材料中进行标注。）</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检查床</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检查床材料：碳化纤维</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检查床衰减率</w:t>
                  </w:r>
                  <w:r>
                    <w:rPr>
                      <w:sz w:val="22"/>
                    </w:rPr>
                    <w:t>&lt;10%</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检查床承重</w:t>
                  </w:r>
                  <w:r>
                    <w:rPr>
                      <w:sz w:val="22"/>
                    </w:rPr>
                    <w:t>≥227kg</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全身扫描范围</w:t>
                  </w:r>
                  <w:r>
                    <w:rPr>
                      <w:sz w:val="22"/>
                    </w:rPr>
                    <w:t>≥2000mm</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床面定位精度误差</w:t>
                  </w:r>
                  <w:r>
                    <w:rPr>
                      <w:sz w:val="22"/>
                    </w:rPr>
                    <w:t>&lt;1 mm</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准直器</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低能高分辨型准直器</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高能通用型准直器</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准直器更换方式：自动或手动</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CT部分</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5.1</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▲CT物理排数≥24排</w:t>
                  </w:r>
                  <w:r>
                    <w:rPr>
                      <w:sz w:val="22"/>
                    </w:rPr>
                    <w:t>（投标时需提供所投产品技术白皮书或说明书扫描件，注：对应参数在证明材料中进行标注。）</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5.2</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CT层数≥16层</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5.3</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CT扫描视野≥50cm</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5.4</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CT 探测器</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5.4.1</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▲CT有效探测器宽度≥20mm</w:t>
                  </w:r>
                  <w:r>
                    <w:rPr>
                      <w:sz w:val="22"/>
                    </w:rPr>
                    <w:t>（投标时需提供所投产品技术白皮书或说明书扫描件，注：对应参数在证明材料中进行标注。）</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5.4.2</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探测器材料：稀土陶瓷</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5.5</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球管</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5.5.1</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 CT球管物理热容量（非等效热容量）≥5.3MHu</w:t>
                  </w:r>
                  <w:r>
                    <w:rPr>
                      <w:sz w:val="22"/>
                    </w:rPr>
                    <w:t>（投标时需提供所投产品技术白皮书或说明书扫描件，注：对应参数在证明材料中进行标注。）</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5.5.2</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CT螺旋连续扫描能力≥120s</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5.5.3</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▲CT最大管电压≥140 KV</w:t>
                  </w:r>
                  <w:r>
                    <w:rPr>
                      <w:sz w:val="22"/>
                    </w:rPr>
                    <w:t>（投标时需提供所投产品技术白皮书或说明书扫描件，注：对应参数在证明材料中进行标注。）</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5.5.4</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CT最大管电流≥200 mA</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5.5.5</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CT高压发生器最大功率≥53kW</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5.6</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CT密度分辨率5mm @0.3% at ≤13.3mGy</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5.7</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 xml:space="preserve">  </w:t>
                  </w:r>
                  <w:r>
                    <w:rPr>
                      <w:sz w:val="22"/>
                    </w:rPr>
                    <w:t>CT空间分辨率1P/CM≥15.4</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5.8</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▲CT扫描时间（一圈）≤0.54s</w:t>
                  </w:r>
                  <w:r>
                    <w:rPr>
                      <w:sz w:val="22"/>
                    </w:rPr>
                    <w:t>（投标时需提供所投产品技术白皮书或说明书扫描件，注：对应参数在证明材料中进行标注。）</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5.9</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▲CT大焦点尺寸（可按面积计算）≤0.9x0.9mm</w:t>
                  </w:r>
                  <w:r>
                    <w:rPr>
                      <w:sz w:val="22"/>
                    </w:rPr>
                    <w:t>（投标时需提供所投产品技术白皮书或说明书扫描件，注：对应参数在证明材料中进行标注。）</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5.10</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▲CT小焦点尺寸（可按面积计算）≤0.7x0.6 mm</w:t>
                  </w:r>
                  <w:r>
                    <w:rPr>
                      <w:sz w:val="22"/>
                    </w:rPr>
                    <w:t>（投标时需提供所投产品技术白皮书或说明书扫描件，注：对应参数在证明材料中进行标注。）</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▲配置独立影像工作站：原厂独立影像工作站，可以同时完成SPECT及CT的后处理功能，可在远离主机的房间独立工作，不与主机共享硬盘</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数据接口与网络集成要求：可与</w:t>
                  </w:r>
                  <w:r>
                    <w:rPr>
                      <w:sz w:val="22"/>
                    </w:rPr>
                    <w:t>DICOM兼容，能与PACS连接。</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软件功能</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8.1</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心肌显像定量分析软件系统</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8.2</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心肌血流灌注分析软件包</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8.3</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心肌灌注高级相位分析软件</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8.4</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相位最晚靶区自动分析功能，可实现</w:t>
                  </w:r>
                  <w:r>
                    <w:rPr>
                      <w:sz w:val="22"/>
                    </w:rPr>
                    <w:t>CRT心脏再同步化治疗指导</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8.5</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肾脏灌注和功能分析软件包</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8.6</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肾动态采集和处理</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8.7</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全身骨骼（或局部）分析软件包</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8.8</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肺通气和灌注分析软件包</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8.9</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甲状腺摄取分数计算工具</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8.10</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甲状旁腺成像分析工具</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8.11</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胃排空指数分析工具</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8.12</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食道运动分析工具</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8.13</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胆囊排泄分数计算工具</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8.14</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脑血流断层分析软件包</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8.15</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容积断层软件包</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8.16</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直接二维多平面重建工具</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8.17</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直接三维重建工具</w:t>
                  </w:r>
                  <w:r>
                    <w:rPr>
                      <w:sz w:val="22"/>
                    </w:rPr>
                    <w:t xml:space="preserve">  </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8.18</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CT 三维容积重建功能</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8.19</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智能造影剂跟踪工具</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8.20</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SPECT/CT三维图像显示功能</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8.21</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CT内窥镜功能</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8.22</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CT骨骼内固定支架透视技术</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8.23</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CT骨科畸形矫正评估</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8.24</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CT急症创伤快速诊断工具</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8.25</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CT肝脏三期诊断模式</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8.26</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CT彩色透视解剖图谱</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8.27</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CT肺功能评估工具</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8.28</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CT肝体积测量工具</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8.29</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CT腹腔内脂肪测量工具</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8.30</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X-光智能脏器射线球管管理系统</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8.31</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CT辐射剂量控制功能</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8.32</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动态运动伪影校准纠正软件</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8.33</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提供原厂</w:t>
                  </w:r>
                  <w:r>
                    <w:rPr>
                      <w:sz w:val="22"/>
                    </w:rPr>
                    <w:t>SPECT骨成像技术（提供Evolution for Bone或xSPECT Bone刻骨高清骨显像技术）</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8.34</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提供原厂</w:t>
                  </w:r>
                  <w:r>
                    <w:rPr>
                      <w:sz w:val="22"/>
                    </w:rPr>
                    <w:t>SPECT心脏成像技术（提供Evolution for Cardiac或IQ SPECT高级心脏成像技术）</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8.35</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精准衰减校正质控系统</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8.36</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SPECT/CT SUV定量系统（包括软硬件）</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8.37</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个性化内照射剂量学评估系统</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其他硬件</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9.1</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头托</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9.2</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R波触发器</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9.3</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红外线自动人体轮廓装置</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9.4</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X/γ射线探测仪</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9.4.1</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最小脉冲时间：</w:t>
                  </w:r>
                  <w:r>
                    <w:rPr>
                      <w:sz w:val="22"/>
                    </w:rPr>
                    <w:t>10ns</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9.4.2</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能量范围</w:t>
                  </w:r>
                  <w:r>
                    <w:rPr>
                      <w:sz w:val="22"/>
                    </w:rPr>
                    <w:t>：</w:t>
                  </w:r>
                  <w:r>
                    <w:rPr>
                      <w:sz w:val="22"/>
                    </w:rPr>
                    <w:t>15keV –10MeV</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9.4.3</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90Sr+90Yβ辐射的灵敏度： ≥3·10⁻⁷μSv/h·Bq-1</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9.4.4</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测量过程中可以使用重滤过保护帽屏蔽可能存在的伴生</w:t>
                  </w:r>
                  <w:r>
                    <w:rPr>
                      <w:sz w:val="22"/>
                    </w:rPr>
                    <w:t>β射线源。</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9.5</w:t>
                  </w:r>
                  <w:r>
                    <w:rPr>
                      <w:sz w:val="28"/>
                    </w:rPr>
                    <w:t xml:space="preserve"> </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医生办公室、值班室语音视频交互系统：可实现三楼病房与医生办公室、值班室间可视对讲功能</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9.6</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医生诊断报告工作站（含医用显示器）</w:t>
                  </w:r>
                </w:p>
              </w:tc>
            </w:tr>
            <w:tr>
              <w:tc>
                <w:tcPr>
                  <w:tcW w:type="dxa" w:w="8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9.6.1</w:t>
                  </w:r>
                  <w:r>
                    <w:rPr>
                      <w:sz w:val="28"/>
                    </w:rPr>
                    <w:t xml:space="preserve"> </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6M显示器</w:t>
                  </w:r>
                </w:p>
              </w:tc>
            </w:tr>
            <w:tr>
              <w:tc>
                <w:tcPr>
                  <w:tcW w:type="dxa" w:w="833"/>
                  <w:vMerge/>
                  <w:tcBorders>
                    <w:top w:val="none" w:color="000000" w:sz="4"/>
                    <w:left w:val="single" w:color="000000" w:sz="4"/>
                    <w:bottom w:val="single" w:color="000000" w:sz="4"/>
                    <w:right w:val="single" w:color="000000" w:sz="4"/>
                  </w:tcBorders>
                </w:tcP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①亮度≥1300cd/㎡</w:t>
                  </w:r>
                </w:p>
                <w:p>
                  <w:pPr>
                    <w:pStyle w:val="null3"/>
                    <w:jc w:val="both"/>
                  </w:pPr>
                  <w:r>
                    <w:rPr>
                      <w:sz w:val="22"/>
                    </w:rPr>
                    <w:t>②对比度≥2000:1</w:t>
                  </w:r>
                </w:p>
                <w:p>
                  <w:pPr>
                    <w:pStyle w:val="null3"/>
                    <w:jc w:val="both"/>
                  </w:pPr>
                  <w:r>
                    <w:rPr>
                      <w:sz w:val="22"/>
                    </w:rPr>
                    <w:t>③色彩≥ 4.398 Trillion（42Bit）</w:t>
                  </w:r>
                </w:p>
                <w:p>
                  <w:pPr>
                    <w:pStyle w:val="null3"/>
                    <w:jc w:val="both"/>
                  </w:pPr>
                  <w:r>
                    <w:rPr>
                      <w:sz w:val="22"/>
                    </w:rPr>
                    <w:t>④一键增亮技术，可低亮阅片，高亮看细节</w:t>
                  </w:r>
                </w:p>
              </w:tc>
            </w:tr>
            <w:tr>
              <w:tc>
                <w:tcPr>
                  <w:tcW w:type="dxa" w:w="8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9.6.2</w:t>
                  </w:r>
                  <w:r>
                    <w:rPr>
                      <w:sz w:val="28"/>
                    </w:rPr>
                    <w:t xml:space="preserve"> </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12M显示器</w:t>
                  </w:r>
                </w:p>
              </w:tc>
            </w:tr>
            <w:tr>
              <w:tc>
                <w:tcPr>
                  <w:tcW w:type="dxa" w:w="833"/>
                  <w:vMerge/>
                  <w:tcBorders>
                    <w:top w:val="none" w:color="000000" w:sz="4"/>
                    <w:left w:val="single" w:color="000000" w:sz="4"/>
                    <w:bottom w:val="single" w:color="000000" w:sz="4"/>
                    <w:right w:val="single" w:color="000000" w:sz="4"/>
                  </w:tcBorders>
                </w:tcP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①亮度≥1200cd/㎡</w:t>
                  </w:r>
                </w:p>
                <w:p>
                  <w:pPr>
                    <w:pStyle w:val="null3"/>
                    <w:jc w:val="both"/>
                  </w:pPr>
                  <w:r>
                    <w:rPr>
                      <w:sz w:val="22"/>
                    </w:rPr>
                    <w:t>②对比度≥1500:1</w:t>
                  </w:r>
                </w:p>
                <w:p>
                  <w:pPr>
                    <w:pStyle w:val="null3"/>
                    <w:jc w:val="both"/>
                  </w:pPr>
                  <w:r>
                    <w:rPr>
                      <w:sz w:val="22"/>
                    </w:rPr>
                    <w:t>③色彩≥281.47Trillion Colors（16Bit）</w:t>
                  </w:r>
                </w:p>
                <w:p>
                  <w:pPr>
                    <w:pStyle w:val="null3"/>
                    <w:jc w:val="both"/>
                  </w:pPr>
                  <w:r>
                    <w:rPr>
                      <w:sz w:val="22"/>
                    </w:rPr>
                    <w:t>④具备快速截图功能</w:t>
                  </w:r>
                </w:p>
              </w:tc>
            </w:tr>
            <w:tr>
              <w:tc>
                <w:tcPr>
                  <w:tcW w:type="dxa" w:w="8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9.7</w:t>
                  </w:r>
                  <w:r>
                    <w:rPr>
                      <w:sz w:val="28"/>
                    </w:rPr>
                    <w:t xml:space="preserve"> </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放射性废物防护箱</w:t>
                  </w:r>
                </w:p>
              </w:tc>
            </w:tr>
            <w:tr>
              <w:tc>
                <w:tcPr>
                  <w:tcW w:type="dxa" w:w="833"/>
                  <w:vMerge/>
                  <w:tcBorders>
                    <w:top w:val="none" w:color="000000" w:sz="4"/>
                    <w:left w:val="single" w:color="000000" w:sz="4"/>
                    <w:bottom w:val="single" w:color="000000" w:sz="4"/>
                    <w:right w:val="single" w:color="000000" w:sz="4"/>
                  </w:tcBorders>
                </w:tcP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屏蔽：</w:t>
                  </w:r>
                  <w:r>
                    <w:rPr>
                      <w:sz w:val="22"/>
                    </w:rPr>
                    <w:t>20mmPb</w:t>
                  </w:r>
                </w:p>
                <w:p>
                  <w:pPr>
                    <w:pStyle w:val="null3"/>
                    <w:jc w:val="both"/>
                  </w:pPr>
                  <w:r>
                    <w:rPr>
                      <w:sz w:val="22"/>
                    </w:rPr>
                    <w:t>尺寸</w:t>
                  </w:r>
                  <w:r>
                    <w:rPr>
                      <w:sz w:val="22"/>
                    </w:rPr>
                    <w:t>：</w:t>
                  </w:r>
                  <w:r>
                    <w:rPr>
                      <w:sz w:val="22"/>
                    </w:rPr>
                    <w:t>≥</w:t>
                  </w:r>
                  <w:r>
                    <w:rPr>
                      <w:sz w:val="22"/>
                    </w:rPr>
                    <w:t>500mm×500mm×600mm</w:t>
                  </w:r>
                </w:p>
              </w:tc>
            </w:tr>
            <w:tr>
              <w:tc>
                <w:tcPr>
                  <w:tcW w:type="dxa" w:w="8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9.8</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通风橱</w:t>
                  </w:r>
                </w:p>
              </w:tc>
            </w:tr>
            <w:tr>
              <w:tc>
                <w:tcPr>
                  <w:tcW w:type="dxa" w:w="833"/>
                  <w:vMerge/>
                  <w:tcBorders>
                    <w:top w:val="none" w:color="000000" w:sz="4"/>
                    <w:left w:val="single" w:color="000000" w:sz="4"/>
                    <w:bottom w:val="single" w:color="000000" w:sz="4"/>
                    <w:right w:val="single" w:color="000000" w:sz="4"/>
                  </w:tcBorders>
                </w:tcP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主体屏蔽：</w:t>
                  </w:r>
                  <w:r>
                    <w:rPr>
                      <w:sz w:val="22"/>
                    </w:rPr>
                    <w:t>50mm Pb；手孔门屏蔽：50 mm Pb</w:t>
                  </w:r>
                </w:p>
                <w:p>
                  <w:pPr>
                    <w:pStyle w:val="null3"/>
                    <w:jc w:val="both"/>
                  </w:pPr>
                  <w:r>
                    <w:rPr>
                      <w:sz w:val="22"/>
                    </w:rPr>
                    <w:t>尺寸：</w:t>
                  </w:r>
                  <w:r>
                    <w:rPr>
                      <w:sz w:val="22"/>
                    </w:rPr>
                    <w:t>1080(w) * 750(d) * 2200 (h) mm；780(w) * 490(d) * 560(h) mm</w:t>
                  </w:r>
                </w:p>
                <w:p>
                  <w:pPr>
                    <w:pStyle w:val="null3"/>
                    <w:jc w:val="both"/>
                  </w:pPr>
                  <w:r>
                    <w:rPr>
                      <w:sz w:val="22"/>
                    </w:rPr>
                    <w:t>过滤：进风口</w:t>
                  </w:r>
                  <w:r>
                    <w:rPr>
                      <w:sz w:val="22"/>
                    </w:rPr>
                    <w:t>HEPA高效过滤，排风口活性炭过滤</w:t>
                  </w:r>
                </w:p>
              </w:tc>
            </w:tr>
            <w:tr>
              <w:tc>
                <w:tcPr>
                  <w:tcW w:type="dxa" w:w="8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9.9</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活度计</w:t>
                  </w:r>
                </w:p>
              </w:tc>
            </w:tr>
            <w:tr>
              <w:tc>
                <w:tcPr>
                  <w:tcW w:type="dxa" w:w="833"/>
                  <w:vMerge/>
                  <w:tcBorders>
                    <w:top w:val="none" w:color="000000" w:sz="4"/>
                    <w:left w:val="single" w:color="000000" w:sz="4"/>
                    <w:bottom w:val="single" w:color="000000" w:sz="4"/>
                    <w:right w:val="single" w:color="000000" w:sz="4"/>
                  </w:tcBorders>
                </w:tcP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能量范围</w:t>
                  </w:r>
                  <w:r>
                    <w:rPr>
                      <w:sz w:val="22"/>
                    </w:rPr>
                    <w:t>：</w:t>
                  </w:r>
                  <w:r>
                    <w:rPr>
                      <w:sz w:val="22"/>
                    </w:rPr>
                    <w:t>25Kev以上的Χ、γ及其1Mev以上的β核素</w:t>
                  </w:r>
                </w:p>
                <w:p>
                  <w:pPr>
                    <w:pStyle w:val="null3"/>
                    <w:jc w:val="both"/>
                  </w:pPr>
                  <w:r>
                    <w:rPr>
                      <w:sz w:val="22"/>
                    </w:rPr>
                    <w:t>量程范围</w:t>
                  </w:r>
                  <w:r>
                    <w:rPr>
                      <w:sz w:val="22"/>
                    </w:rPr>
                    <w:t>：</w:t>
                  </w:r>
                  <w:r>
                    <w:rPr>
                      <w:sz w:val="22"/>
                    </w:rPr>
                    <w:t>1 μCi—10Ci（99mTc）</w:t>
                  </w:r>
                </w:p>
                <w:p>
                  <w:pPr>
                    <w:pStyle w:val="null3"/>
                    <w:jc w:val="both"/>
                  </w:pPr>
                  <w:r>
                    <w:rPr>
                      <w:sz w:val="22"/>
                    </w:rPr>
                    <w:t>触屏一体机，</w:t>
                  </w:r>
                  <w:r>
                    <w:rPr>
                      <w:sz w:val="22"/>
                    </w:rPr>
                    <w:t>≥12寸</w:t>
                  </w:r>
                </w:p>
              </w:tc>
            </w:tr>
            <w:tr>
              <w:tc>
                <w:tcPr>
                  <w:tcW w:type="dxa" w:w="8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9.10</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个人剂量报警仪</w:t>
                  </w:r>
                </w:p>
              </w:tc>
            </w:tr>
            <w:tr>
              <w:tc>
                <w:tcPr>
                  <w:tcW w:type="dxa" w:w="833"/>
                  <w:vMerge/>
                  <w:tcBorders>
                    <w:top w:val="none" w:color="000000" w:sz="4"/>
                    <w:left w:val="single" w:color="000000" w:sz="4"/>
                    <w:bottom w:val="single" w:color="000000" w:sz="4"/>
                    <w:right w:val="single" w:color="000000" w:sz="4"/>
                  </w:tcBorders>
                </w:tcP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探测器：能量补偿的</w:t>
                  </w:r>
                  <w:r>
                    <w:rPr>
                      <w:sz w:val="22"/>
                    </w:rPr>
                    <w:t>GM 管探测器</w:t>
                  </w:r>
                </w:p>
                <w:p>
                  <w:pPr>
                    <w:pStyle w:val="null3"/>
                    <w:jc w:val="both"/>
                  </w:pPr>
                  <w:r>
                    <w:rPr>
                      <w:sz w:val="22"/>
                    </w:rPr>
                    <w:t>能量响应：</w:t>
                  </w:r>
                  <w:r>
                    <w:rPr>
                      <w:sz w:val="22"/>
                    </w:rPr>
                    <w:t>40keV-3MeV</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9.11</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铅衣、铅围裙、铅围脖、铅帽子、铅眼镜：铅当量要求：</w:t>
                  </w:r>
                  <w:r>
                    <w:rPr>
                      <w:sz w:val="22"/>
                    </w:rPr>
                    <w:t>0.5mmpb</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9.12</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铅衣架</w:t>
                  </w:r>
                  <w:r>
                    <w:rPr>
                      <w:sz w:val="22"/>
                    </w:rPr>
                    <w:t>：采用</w:t>
                  </w:r>
                  <w:r>
                    <w:rPr>
                      <w:sz w:val="22"/>
                    </w:rPr>
                    <w:t>SUS304不锈钢</w:t>
                  </w:r>
                  <w:r>
                    <w:rPr>
                      <w:sz w:val="22"/>
                    </w:rPr>
                    <w:t>，</w:t>
                  </w:r>
                  <w:r>
                    <w:rPr>
                      <w:sz w:val="22"/>
                    </w:rPr>
                    <w:t>≥</w:t>
                  </w:r>
                  <w:r>
                    <w:rPr>
                      <w:sz w:val="22"/>
                    </w:rPr>
                    <w:t>长</w:t>
                  </w:r>
                  <w:r>
                    <w:rPr>
                      <w:sz w:val="22"/>
                    </w:rPr>
                    <w:t>750</w:t>
                  </w:r>
                  <w:r>
                    <w:rPr>
                      <w:sz w:val="22"/>
                    </w:rPr>
                    <w:t>mm</w:t>
                  </w:r>
                  <w:r>
                    <w:rPr>
                      <w:sz w:val="22"/>
                    </w:rPr>
                    <w:t>*宽650</w:t>
                  </w:r>
                  <w:r>
                    <w:rPr>
                      <w:sz w:val="22"/>
                    </w:rPr>
                    <w:t>mm</w:t>
                  </w:r>
                  <w:r>
                    <w:rPr>
                      <w:sz w:val="22"/>
                    </w:rPr>
                    <w:t>*高1300</w:t>
                  </w:r>
                  <w:r>
                    <w:rPr>
                      <w:sz w:val="22"/>
                    </w:rPr>
                    <w:t>mm</w:t>
                  </w:r>
                  <w:r>
                    <w:rPr>
                      <w:sz w:val="22"/>
                    </w:rPr>
                    <w:t>；</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9.13</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注射器运送防护筒：</w:t>
                  </w:r>
                  <w:r>
                    <w:rPr>
                      <w:sz w:val="22"/>
                    </w:rPr>
                    <w:t>材质：铅、</w:t>
                  </w:r>
                  <w:r>
                    <w:rPr>
                      <w:sz w:val="22"/>
                    </w:rPr>
                    <w:t>PVC</w:t>
                  </w:r>
                  <w:r>
                    <w:rPr>
                      <w:sz w:val="22"/>
                    </w:rPr>
                    <w:t>；</w:t>
                  </w:r>
                  <w:r>
                    <w:rPr>
                      <w:sz w:val="22"/>
                    </w:rPr>
                    <w:t>屏蔽：</w:t>
                  </w:r>
                  <w:r>
                    <w:rPr>
                      <w:sz w:val="22"/>
                    </w:rPr>
                    <w:t>6mmPb</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9.14</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紧急泄漏除污工具组：</w:t>
                  </w:r>
                  <w:r>
                    <w:rPr>
                      <w:sz w:val="22"/>
                    </w:rPr>
                    <w:t>含存储桶</w:t>
                  </w:r>
                  <w:r>
                    <w:rPr>
                      <w:sz w:val="22"/>
                    </w:rPr>
                    <w:t>/过滤口罩/除污液/防护衣等</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9.15</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I-131分装柜、服药窗改造：I-131分装柜给药口与服药窗口对接：</w:t>
                  </w:r>
                </w:p>
              </w:tc>
            </w:tr>
            <w:tr>
              <w:tc>
                <w:tcPr>
                  <w:tcW w:type="dxa" w:w="8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9.16</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心肌负荷显像运动单车</w:t>
                  </w:r>
                </w:p>
              </w:tc>
            </w:tr>
            <w:tr>
              <w:tc>
                <w:tcPr>
                  <w:tcW w:type="dxa" w:w="833"/>
                  <w:vMerge/>
                  <w:tcBorders>
                    <w:top w:val="none" w:color="000000" w:sz="4"/>
                    <w:left w:val="single" w:color="000000" w:sz="4"/>
                    <w:bottom w:val="single" w:color="000000" w:sz="4"/>
                    <w:right w:val="single" w:color="000000" w:sz="4"/>
                  </w:tcBorders>
                </w:tcP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负荷范围：</w:t>
                  </w:r>
                  <w:r>
                    <w:rPr>
                      <w:sz w:val="22"/>
                    </w:rPr>
                    <w:t>要求</w:t>
                  </w:r>
                  <w:r>
                    <w:rPr>
                      <w:sz w:val="22"/>
                    </w:rPr>
                    <w:t xml:space="preserve">≥ 800W  </w:t>
                  </w:r>
                </w:p>
                <w:p>
                  <w:pPr>
                    <w:pStyle w:val="null3"/>
                    <w:jc w:val="both"/>
                  </w:pPr>
                  <w:r>
                    <w:rPr>
                      <w:sz w:val="22"/>
                    </w:rPr>
                    <w:t>患者承重：</w:t>
                  </w:r>
                  <w:r>
                    <w:rPr>
                      <w:sz w:val="22"/>
                    </w:rPr>
                    <w:t>≥ 160 kg</w:t>
                  </w:r>
                </w:p>
                <w:p>
                  <w:pPr>
                    <w:pStyle w:val="null3"/>
                    <w:jc w:val="both"/>
                  </w:pPr>
                  <w:r>
                    <w:rPr>
                      <w:sz w:val="22"/>
                    </w:rPr>
                    <w:t>身高适配：</w:t>
                  </w:r>
                  <w:r>
                    <w:rPr>
                      <w:sz w:val="22"/>
                    </w:rPr>
                    <w:t>适应</w:t>
                  </w:r>
                  <w:r>
                    <w:rPr>
                      <w:sz w:val="22"/>
                    </w:rPr>
                    <w:t>1.2米至2.1米身高患者</w:t>
                  </w:r>
                </w:p>
                <w:p>
                  <w:pPr>
                    <w:pStyle w:val="null3"/>
                    <w:jc w:val="both"/>
                  </w:pPr>
                  <w:r>
                    <w:rPr>
                      <w:sz w:val="22"/>
                    </w:rPr>
                    <w:t>制动技术：</w:t>
                  </w:r>
                  <w:r>
                    <w:rPr>
                      <w:sz w:val="22"/>
                    </w:rPr>
                    <w:t>电脑控制的涡流制动器，负荷独立于转速</w:t>
                  </w:r>
                </w:p>
                <w:p>
                  <w:pPr>
                    <w:pStyle w:val="null3"/>
                    <w:jc w:val="both"/>
                  </w:pPr>
                  <w:r>
                    <w:rPr>
                      <w:sz w:val="22"/>
                    </w:rPr>
                    <w:t>负荷精度：</w:t>
                  </w:r>
                  <w:r>
                    <w:rPr>
                      <w:sz w:val="22"/>
                    </w:rPr>
                    <w:t>符合</w:t>
                  </w:r>
                  <w:r>
                    <w:rPr>
                      <w:sz w:val="22"/>
                    </w:rPr>
                    <w:t>DIN VDE 0750-238标准</w:t>
                  </w:r>
                </w:p>
                <w:p>
                  <w:pPr>
                    <w:pStyle w:val="null3"/>
                    <w:jc w:val="both"/>
                  </w:pPr>
                  <w:r>
                    <w:rPr>
                      <w:sz w:val="22"/>
                    </w:rPr>
                    <w:t>数据接口</w:t>
                  </w:r>
                  <w:r>
                    <w:rPr>
                      <w:sz w:val="22"/>
                    </w:rPr>
                    <w:t>：标配</w:t>
                  </w:r>
                  <w:r>
                    <w:rPr>
                      <w:sz w:val="22"/>
                    </w:rPr>
                    <w:t>RS-232及USB接口</w:t>
                  </w:r>
                </w:p>
                <w:p>
                  <w:pPr>
                    <w:pStyle w:val="null3"/>
                    <w:jc w:val="both"/>
                  </w:pPr>
                  <w:r>
                    <w:rPr>
                      <w:sz w:val="22"/>
                    </w:rPr>
                    <w:t>系统集成：</w:t>
                  </w:r>
                  <w:r>
                    <w:rPr>
                      <w:sz w:val="22"/>
                    </w:rPr>
                    <w:t>能与院内</w:t>
                  </w:r>
                  <w:r>
                    <w:rPr>
                      <w:sz w:val="22"/>
                    </w:rPr>
                    <w:t>HIS/EMR及运动心电/心肺功能测试系统无缝对接</w:t>
                  </w:r>
                </w:p>
                <w:p>
                  <w:pPr>
                    <w:pStyle w:val="null3"/>
                    <w:jc w:val="both"/>
                  </w:pPr>
                  <w:r>
                    <w:rPr>
                      <w:sz w:val="22"/>
                    </w:rPr>
                    <w:t>座椅</w:t>
                  </w:r>
                  <w:r>
                    <w:rPr>
                      <w:sz w:val="22"/>
                    </w:rPr>
                    <w:t>/车把：</w:t>
                  </w:r>
                  <w:r>
                    <w:rPr>
                      <w:sz w:val="22"/>
                    </w:rPr>
                    <w:t>可调节，具备快速调节功能</w:t>
                  </w:r>
                </w:p>
                <w:p>
                  <w:pPr>
                    <w:pStyle w:val="null3"/>
                    <w:jc w:val="both"/>
                  </w:pPr>
                  <w:r>
                    <w:rPr>
                      <w:sz w:val="22"/>
                    </w:rPr>
                    <w:t>NMPA医疗器械注册证</w:t>
                  </w:r>
                </w:p>
                <w:p>
                  <w:pPr>
                    <w:pStyle w:val="null3"/>
                    <w:jc w:val="both"/>
                  </w:pPr>
                  <w:r>
                    <w:rPr>
                      <w:sz w:val="22"/>
                    </w:rPr>
                    <w:t>整机免费保修期：</w:t>
                  </w:r>
                  <w:r>
                    <w:rPr>
                      <w:sz w:val="22"/>
                    </w:rPr>
                    <w:t>5年；</w:t>
                  </w:r>
                  <w:r>
                    <w:rPr>
                      <w:sz w:val="22"/>
                    </w:rPr>
                    <w:t>响应时间：</w:t>
                  </w:r>
                  <w:r>
                    <w:rPr>
                      <w:sz w:val="22"/>
                    </w:rPr>
                    <w:t>明确售后响应、到场时限；</w:t>
                  </w:r>
                  <w:r>
                    <w:rPr>
                      <w:sz w:val="22"/>
                    </w:rPr>
                    <w:t>软件升级</w:t>
                  </w:r>
                </w:p>
              </w:tc>
            </w:tr>
            <w:tr>
              <w:tc>
                <w:tcPr>
                  <w:tcW w:type="dxa" w:w="8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9.17</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碘</w:t>
                  </w:r>
                  <w:r>
                    <w:rPr>
                      <w:sz w:val="22"/>
                    </w:rPr>
                    <w:t>-131口杯专用四通道废物桶</w:t>
                  </w:r>
                </w:p>
              </w:tc>
            </w:tr>
            <w:tr>
              <w:tc>
                <w:tcPr>
                  <w:tcW w:type="dxa" w:w="833"/>
                  <w:vMerge/>
                  <w:tcBorders>
                    <w:top w:val="none" w:color="000000" w:sz="4"/>
                    <w:left w:val="single" w:color="000000" w:sz="4"/>
                    <w:bottom w:val="single" w:color="000000" w:sz="4"/>
                    <w:right w:val="single" w:color="000000" w:sz="4"/>
                  </w:tcBorders>
                </w:tcP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屏蔽：</w:t>
                  </w:r>
                  <w:r>
                    <w:rPr>
                      <w:sz w:val="22"/>
                    </w:rPr>
                    <w:t>20mmPb；</w:t>
                  </w:r>
                </w:p>
                <w:p>
                  <w:pPr>
                    <w:pStyle w:val="null3"/>
                    <w:jc w:val="both"/>
                  </w:pPr>
                  <w:r>
                    <w:rPr>
                      <w:sz w:val="22"/>
                    </w:rPr>
                    <w:t>设置</w:t>
                  </w:r>
                  <w:r>
                    <w:rPr>
                      <w:sz w:val="22"/>
                    </w:rPr>
                    <w:t>4路通道，独立收集口杯并衰变；</w:t>
                  </w:r>
                </w:p>
                <w:p>
                  <w:pPr>
                    <w:pStyle w:val="null3"/>
                    <w:jc w:val="both"/>
                  </w:pPr>
                  <w:r>
                    <w:rPr>
                      <w:sz w:val="22"/>
                    </w:rPr>
                    <w:t>每个通道可单独取出</w:t>
                  </w:r>
                  <w:r>
                    <w:rPr>
                      <w:sz w:val="22"/>
                    </w:rPr>
                    <w:t>，</w:t>
                  </w:r>
                  <w:r>
                    <w:rPr>
                      <w:sz w:val="22"/>
                    </w:rPr>
                    <w:t>每个通道设计独立的防护盖；</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9.18</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呼叫可视对讲系统：可实现三楼病房与医生办公室、值班室间可视对讲功能</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9.19</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会议室平板</w:t>
                  </w:r>
                  <w:r>
                    <w:rPr>
                      <w:sz w:val="22"/>
                    </w:rPr>
                    <w:t>/电视≥100寸（满足平时会议、讲课等，高清）</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9.20</w:t>
                  </w:r>
                </w:p>
              </w:tc>
              <w:tc>
                <w:tcPr>
                  <w:tcW w:type="dxa" w:w="4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个性化内照射剂量学评估平台</w:t>
                  </w:r>
                </w:p>
              </w:tc>
            </w:tr>
          </w:tbl>
          <w:p>
            <w:pPr>
              <w:pStyle w:val="null3"/>
              <w:ind w:firstLine="442"/>
              <w:jc w:val="both"/>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1.采购代理机构：本项目是指中新工程咨询（广东）有限公司，负责整个采购活动的组织，依法负责编制和发布招标文件，对招标文件拥有最终的解释权，不以任何身份出任评标委员会成员。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东莞市东南部中心医院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采购机构代理服务收费标准：中标服务费参照国家计委[计价格[2002]1980号]文和国家发改委[发改价格[2011]534号]文及相关规定下浮10%收取，按差额定率累进法计算，以中标金额作为收费的计算依据。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本项目中小企业划型标准所属行业为：工业，详见《关于印发中小企业划型标准规定的通知（工信部联企业〔2011〕300号）》。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解密时限为主持人开启远程解密起30分钟内完成，投标人不按要求进行解密，视为无效投标。因技术问题导致在规定的时间内无法解密的，可以通过特殊通道上传备用的电子投标文件，投标人需保证上传的备用电子投标文件与加密的电子投标文件版本一致（即两份文件为投标客户端同时生成）。</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中新工程咨询（广东）有限公司</w:t>
      </w:r>
      <w:r>
        <w:rPr/>
        <w:t>代收。具体操作要求详见</w:t>
      </w:r>
      <w:r>
        <w:rPr/>
        <w:t>中新工程咨询（广东）有限公司</w:t>
      </w:r>
      <w:r>
        <w:rPr/>
        <w:t>有关指引，递交事宜请自行咨询</w:t>
      </w:r>
      <w:r>
        <w:rPr/>
        <w:t>中新工程咨询（广东）有限公司</w:t>
      </w:r>
      <w:r>
        <w:rPr/>
        <w:t>；请各投标人在投标文件递交截止时间前按须知前附表规定的金额递交至</w:t>
      </w:r>
      <w:r>
        <w:rPr/>
        <w:t>中新工程咨询（广东）有限公司</w:t>
      </w:r>
      <w:r>
        <w:rPr/>
        <w:t>，到账情况以开标时</w:t>
      </w:r>
      <w:r>
        <w:rPr/>
        <w:t>中新工程咨询（广东）有限公司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陈先生</w:t>
      </w:r>
    </w:p>
    <w:p>
      <w:pPr>
        <w:pStyle w:val="null3"/>
        <w:ind w:firstLine="480"/>
      </w:pPr>
      <w:r>
        <w:rPr/>
        <w:t>电话：</w:t>
      </w:r>
      <w:r>
        <w:rPr/>
        <w:t>0769-22331910</w:t>
      </w:r>
    </w:p>
    <w:p>
      <w:pPr>
        <w:pStyle w:val="null3"/>
        <w:ind w:firstLine="480"/>
      </w:pPr>
      <w:r>
        <w:rPr/>
        <w:t>传真：</w:t>
      </w:r>
      <w:r>
        <w:rPr/>
        <w:t>/</w:t>
      </w:r>
    </w:p>
    <w:p>
      <w:pPr>
        <w:pStyle w:val="null3"/>
        <w:ind w:firstLine="480"/>
      </w:pPr>
      <w:r>
        <w:rPr/>
        <w:t>邮箱：</w:t>
      </w:r>
      <w:r>
        <w:rPr/>
        <w:t>gdzk66@163.com</w:t>
      </w:r>
    </w:p>
    <w:p>
      <w:pPr>
        <w:pStyle w:val="null3"/>
        <w:ind w:firstLine="480"/>
      </w:pPr>
      <w:r>
        <w:rPr/>
        <w:t>地址：</w:t>
      </w:r>
      <w:r>
        <w:rPr/>
        <w:t>广东省东莞市南城街道元美东路6号楼3楼306号</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采购包1(单光子发射及X射线计算机断层成像系统（SPECT CT）设备采购项目)：综合评分法,是指投标文件满足招标文件全部实质性要求，且按照评审因素的量化指标评审得分最高的投标人为中标候选人的评标方法。（最低报价不是中标的唯一依据。）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中新工程咨询（广东）有限公司</w:t>
      </w:r>
      <w:r>
        <w:rPr/>
        <w:t>统一对外发布。</w:t>
      </w:r>
    </w:p>
    <w:p>
      <w:pPr>
        <w:pStyle w:val="null3"/>
        <w:ind w:firstLine="480"/>
      </w:pPr>
      <w:r>
        <w:rPr/>
        <w:t>（2）对</w:t>
      </w:r>
      <w:r>
        <w:rPr/>
        <w:t>中新工程咨询（广东）有限公司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采购包1（单光子发射及X射线计算机断层成像系统（SPECT CT）设备采购项目）：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采购包1（单光子发射及X射线计算机断层成像系统（SPECT CT）设备采购项目）：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投标时提交有效的营业执照（或事业法人登记证或身份证等相关证明）复印件。分支机构投标的，须提供总公司和分公司营业执照复印件，总公司出具给分支机构的授权书。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提供投标截止日前6个月内任意1个月依法缴纳税收和社会保障资金的相关材料。或提供《资格条件承诺函》。如依法免税或不需要缴纳社会保障资金的，须提供相应证明材料。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提供投标截止日前3年内任意1年的财务状况报告或提供基本开户行出具的资信证明。或提供《资格条件承诺函》。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 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管理关系的不同供应商，不得同时参加本采购项目（或采购包）投标。为本项目提供整体设计、规范编制或者项目管理、监理、检测等服务的供应商，不得再参与本项目投标。投标函相关承诺要求内容。</w:t>
            </w:r>
          </w:p>
        </w:tc>
      </w:tr>
      <w:tr>
        <w:tc>
          <w:tcPr>
            <w:tcW w:type="dxa" w:w="890"/>
          </w:tcPr>
          <w:p>
            <w:pPr>
              <w:pStyle w:val="null3"/>
            </w:pPr>
            <w:r>
              <w:rPr/>
              <w:t>8</w:t>
            </w:r>
          </w:p>
        </w:tc>
        <w:tc>
          <w:tcPr>
            <w:tcW w:type="dxa" w:w="3178"/>
          </w:tcPr>
          <w:p>
            <w:pPr>
              <w:pStyle w:val="null3"/>
            </w:pPr>
            <w:r>
              <w:rPr/>
              <w:t>特定的资格要求1</w:t>
            </w:r>
          </w:p>
        </w:tc>
        <w:tc>
          <w:tcPr>
            <w:tcW w:type="dxa" w:w="4238"/>
          </w:tcPr>
          <w:p>
            <w:pPr>
              <w:pStyle w:val="null3"/>
            </w:pPr>
            <w:r>
              <w:rPr/>
              <w:t>①投标人为经营企业的，从事第三类医疗器械经营的应取得《医疗器械经营许可证》（具备相应经营范围）。②投标人为生产厂商的，从事第二类或第三类医疗器械生产的厂商，应取得《医疗器械生产许可证》（具备相应生产范围）。③投标产品若属于中国医疗器械注册管理范围内的，则应取得监督管理部门颁发的相应的《中华人民共和国医疗器械注册证》。</w:t>
            </w:r>
          </w:p>
        </w:tc>
      </w:tr>
      <w:tr>
        <w:tc>
          <w:tcPr>
            <w:tcW w:type="dxa" w:w="890"/>
          </w:tcPr>
          <w:p>
            <w:pPr>
              <w:pStyle w:val="null3"/>
            </w:pPr>
            <w:r>
              <w:rPr/>
              <w:t>9</w:t>
            </w:r>
          </w:p>
        </w:tc>
        <w:tc>
          <w:tcPr>
            <w:tcW w:type="dxa" w:w="3178"/>
          </w:tcPr>
          <w:p>
            <w:pPr>
              <w:pStyle w:val="null3"/>
            </w:pPr>
            <w:r>
              <w:rPr/>
              <w:t>特定的资格要求2</w:t>
            </w:r>
          </w:p>
        </w:tc>
        <w:tc>
          <w:tcPr>
            <w:tcW w:type="dxa" w:w="4238"/>
          </w:tcPr>
          <w:p>
            <w:pPr>
              <w:pStyle w:val="null3"/>
            </w:pPr>
            <w:r>
              <w:rPr/>
              <w:t>根据《放射性同位素与射线装置安全和防护条例》，单光子发射及X射线计算机断层成像系统（SPECT/CT）属于Ⅲ类射线装置，其生产与经营应获得相应的许可，具备监督管理部门签发的处于有效期的《辐射安全许可证》。 所投产品经营企业的《辐射安全许可证》，获得许可的种类和范围包括但不限于：销售Ⅲ类射线装置，提供证书复印件；所投产品生产企业的《辐射安全许可证》，获得许可的种类和范围包括但不限于：生产Ⅲ类射线装置，提供证书复印件。</w:t>
            </w:r>
          </w:p>
        </w:tc>
      </w:tr>
      <w:tr>
        <w:tc>
          <w:tcPr>
            <w:tcW w:type="dxa" w:w="890"/>
          </w:tcPr>
          <w:p>
            <w:pPr>
              <w:pStyle w:val="null3"/>
            </w:pPr>
            <w:r>
              <w:rPr/>
              <w:t>10</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本项目不属于专门面向中小企业采购的项目，本项目的企业划分标准所属行业为：工业。</w:t>
            </w:r>
          </w:p>
        </w:tc>
      </w:tr>
    </w:tbl>
    <w:p>
      <w:pPr>
        <w:pStyle w:val="null3"/>
        <w:ind w:firstLine="480"/>
      </w:pPr>
      <w:r>
        <w:rPr/>
        <w:t>表二符合性审查表：</w:t>
      </w:r>
    </w:p>
    <w:p>
      <w:pPr>
        <w:pStyle w:val="null3"/>
      </w:pPr>
      <w:r>
        <w:rPr/>
        <w:t>采购包1（单光子发射及X射线计算机断层成像系统（SPECT CT）设备采购项目）：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报价要求</w:t>
            </w:r>
          </w:p>
        </w:tc>
        <w:tc>
          <w:tcPr>
            <w:tcW w:type="dxa" w:w="4238"/>
          </w:tcPr>
          <w:p>
            <w:pPr>
              <w:pStyle w:val="null3"/>
            </w:pPr>
            <w:r>
              <w:rPr/>
              <w:t>报价未按招标文件要求报价、超过项目预算或超过项目限价的，为投标无效情况</w:t>
            </w:r>
          </w:p>
        </w:tc>
      </w:tr>
      <w:tr>
        <w:tc>
          <w:tcPr>
            <w:tcW w:type="dxa" w:w="890"/>
          </w:tcPr>
          <w:p>
            <w:pPr>
              <w:pStyle w:val="null3"/>
            </w:pPr>
            <w:r>
              <w:rPr/>
              <w:t>2</w:t>
            </w:r>
          </w:p>
        </w:tc>
        <w:tc>
          <w:tcPr>
            <w:tcW w:type="dxa" w:w="3178"/>
          </w:tcPr>
          <w:p>
            <w:pPr>
              <w:pStyle w:val="null3"/>
            </w:pPr>
            <w:r>
              <w:rPr/>
              <w:t>制作、签署及盖章</w:t>
            </w:r>
          </w:p>
        </w:tc>
        <w:tc>
          <w:tcPr>
            <w:tcW w:type="dxa" w:w="4238"/>
          </w:tcPr>
          <w:p>
            <w:pPr>
              <w:pStyle w:val="null3"/>
            </w:pPr>
            <w:r>
              <w:rPr/>
              <w:t>未按照招标文件规定要求制作、签署、盖章的，为投标无效情况</w:t>
            </w:r>
          </w:p>
        </w:tc>
      </w:tr>
      <w:tr>
        <w:tc>
          <w:tcPr>
            <w:tcW w:type="dxa" w:w="890"/>
          </w:tcPr>
          <w:p>
            <w:pPr>
              <w:pStyle w:val="null3"/>
            </w:pPr>
            <w:r>
              <w:rPr/>
              <w:t>3</w:t>
            </w:r>
          </w:p>
        </w:tc>
        <w:tc>
          <w:tcPr>
            <w:tcW w:type="dxa" w:w="3178"/>
          </w:tcPr>
          <w:p>
            <w:pPr>
              <w:pStyle w:val="null3"/>
            </w:pPr>
            <w:r>
              <w:rPr/>
              <w:t>投标有效期及标的提供的时间</w:t>
            </w:r>
          </w:p>
        </w:tc>
        <w:tc>
          <w:tcPr>
            <w:tcW w:type="dxa" w:w="4238"/>
          </w:tcPr>
          <w:p>
            <w:pPr>
              <w:pStyle w:val="null3"/>
            </w:pPr>
            <w:r>
              <w:rPr/>
              <w:t>投标有效期及标的提供的时间不符合要求的，为投标无效情况</w:t>
            </w:r>
          </w:p>
        </w:tc>
      </w:tr>
      <w:tr>
        <w:tc>
          <w:tcPr>
            <w:tcW w:type="dxa" w:w="890"/>
          </w:tcPr>
          <w:p>
            <w:pPr>
              <w:pStyle w:val="null3"/>
            </w:pPr>
            <w:r>
              <w:rPr/>
              <w:t>4</w:t>
            </w:r>
          </w:p>
        </w:tc>
        <w:tc>
          <w:tcPr>
            <w:tcW w:type="dxa" w:w="3178"/>
          </w:tcPr>
          <w:p>
            <w:pPr>
              <w:pStyle w:val="null3"/>
            </w:pPr>
            <w:r>
              <w:rPr/>
              <w:t>实质性响应条款</w:t>
            </w:r>
          </w:p>
        </w:tc>
        <w:tc>
          <w:tcPr>
            <w:tcW w:type="dxa" w:w="4238"/>
          </w:tcPr>
          <w:p>
            <w:pPr>
              <w:pStyle w:val="null3"/>
            </w:pPr>
            <w:r>
              <w:rPr/>
              <w:t>不满足招标文件用户需求中带“★”要求的，为投标无效情况</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投标文件含有采购人不能接受的附加条件的，为投标无效情况</w:t>
            </w:r>
          </w:p>
        </w:tc>
      </w:tr>
      <w:tr>
        <w:tc>
          <w:tcPr>
            <w:tcW w:type="dxa" w:w="890"/>
          </w:tcPr>
          <w:p>
            <w:pPr>
              <w:pStyle w:val="null3"/>
            </w:pPr>
            <w:r>
              <w:rPr/>
              <w:t>6</w:t>
            </w:r>
          </w:p>
        </w:tc>
        <w:tc>
          <w:tcPr>
            <w:tcW w:type="dxa" w:w="3178"/>
          </w:tcPr>
          <w:p>
            <w:pPr>
              <w:pStyle w:val="null3"/>
            </w:pPr>
            <w:r>
              <w:rPr/>
              <w:t>异常低价审查</w:t>
            </w:r>
          </w:p>
        </w:tc>
        <w:tc>
          <w:tcPr>
            <w:tcW w:type="dxa" w:w="4238"/>
          </w:tcPr>
          <w:p>
            <w:pPr>
              <w:pStyle w:val="null3"/>
            </w:pPr>
            <w:r>
              <w:rPr/>
              <w:t>（一）在评审中出现下列情形之一的，评审委员会应当启动异常低价投标审查程序：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4.评审委员会基于专业判断，认为供应商报价过低，有可能影响产品质量或者不能诚信履约的其他情形。 （二）评审委员会启动异常低价投标审查后，应当要求相关供应商在评审现场合理的时间内（30分钟内）提供书面说明及必要的证明材料，对投标价格作出解释。其中，属于第3项情形，供应商已随投标文件一并提交相关书面说明及必要的证明材料的，在评审现场可不再重复提交。 提供项目具体成本测算等与报价合理性相关的书面说明及必要的证明材料，包括但不限于原材料成本、人工成本、制造费用等。投标供应商不能提供书面说明、证明材料，或者提供的书面说明、证明材料不能证明其报价合理性的，评审委员会应当将其作为无效投标处理。 如果投标供应商提供的书面说明、证明材料能证明其报价合理性的，评审结果为通过。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属于法律、法规及招标文件规定的其他无效情形的，为投标无效情况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采购包1(单光子发射及X射线计算机断层成像系统（SPECT CT）设备采购项目):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商务部分12.0分</w:t>
            </w:r>
          </w:p>
          <w:p>
            <w:pPr>
              <w:pStyle w:val="null3"/>
            </w:pPr>
            <w:r>
              <w:rPr/>
              <w:t>技术部分58.0分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对采购需求书的▲参数响应程度 (19.0分)</w:t>
            </w:r>
          </w:p>
        </w:tc>
        <w:tc>
          <w:tcPr>
            <w:tcW w:type="dxa" w:w="5076"/>
          </w:tcPr>
          <w:p>
            <w:pPr>
              <w:pStyle w:val="null3"/>
              <w:jc w:val="left"/>
            </w:pPr>
            <w:r>
              <w:rPr/>
              <w:t>根据投标人所投产品对《采购需求》的“▲”号重要参数响应情况进行评审：每满足或优于一项的得1分，满分19分。 【特别注意：（1）对采购需求书带“▲”号的条款，采购需求要求提供相关证明资料的，则投标文件中须提供对应产品技术参数的证明资料。 （2）对采购需求带“▲”号的条款，采购需求未要求提供相关证明资料的，则投标文件中须提供所投设备的彩页或技术白皮书或说明书或官网截图及链接或原厂商所作的技术参数说明作为证明材料。（3）投标人须对提交的资料真实性负责，如发现投标人提供虚假材料谋取中标，将严肃处理。】</w:t>
            </w:r>
          </w:p>
        </w:tc>
      </w:tr>
      <w:tr>
        <w:tc>
          <w:tcPr>
            <w:tcW w:type="dxa" w:w="922"/>
            <w:gridSpan w:val="2"/>
            <w:vMerge/>
          </w:tcPr>
          <w:p/>
        </w:tc>
        <w:tc>
          <w:tcPr>
            <w:tcW w:type="dxa" w:w="2307"/>
          </w:tcPr>
          <w:p>
            <w:pPr>
              <w:pStyle w:val="null3"/>
              <w:jc w:val="left"/>
            </w:pPr>
            <w:r>
              <w:rPr/>
              <w:t>货物总体要求方案 (10.0分)</w:t>
            </w:r>
          </w:p>
        </w:tc>
        <w:tc>
          <w:tcPr>
            <w:tcW w:type="dxa" w:w="5076"/>
          </w:tcPr>
          <w:p>
            <w:pPr>
              <w:pStyle w:val="null3"/>
              <w:jc w:val="left"/>
            </w:pPr>
            <w:r>
              <w:rPr/>
              <w:t>针对采购需求中的货物总体要求，根据投标人提供的货物总体要求方案进行评审： （1）方案内容非常齐全，针对本项目有明确具体的计划安排，有利于项目实施，非常明确项目实施所需资源，完全满足且优于采购需求的，得10分； （2）方案内容较齐全，针对本项目有较明确的计划安排，较有利于项目实施，较明确项目实施所需资源，完全满足采购需求的，得7分； （3）方案内容基本齐全，针对本项目有基本明确的计划安排，基本明确项目实施所需资源，能基本满足采购需求的，得4分； （4）方案内容不够齐全，针对本项目有简单的计划安排，不能明确项目实施所需资源，不能完全满足采购需求的，得1分； （5）未提供对应方案或内容的不得分。</w:t>
            </w:r>
          </w:p>
        </w:tc>
      </w:tr>
      <w:tr>
        <w:tc>
          <w:tcPr>
            <w:tcW w:type="dxa" w:w="922"/>
            <w:gridSpan w:val="2"/>
            <w:vMerge/>
          </w:tcPr>
          <w:p/>
        </w:tc>
        <w:tc>
          <w:tcPr>
            <w:tcW w:type="dxa" w:w="2307"/>
          </w:tcPr>
          <w:p>
            <w:pPr>
              <w:pStyle w:val="null3"/>
              <w:jc w:val="left"/>
            </w:pPr>
            <w:r>
              <w:rPr/>
              <w:t>包装、保险及运输、保管方案 (8.0分)</w:t>
            </w:r>
          </w:p>
        </w:tc>
        <w:tc>
          <w:tcPr>
            <w:tcW w:type="dxa" w:w="5076"/>
          </w:tcPr>
          <w:p>
            <w:pPr>
              <w:pStyle w:val="null3"/>
              <w:jc w:val="left"/>
            </w:pPr>
            <w:r>
              <w:rPr/>
              <w:t>针对采购需求中的包装、保险及运输、保管要求，根据投标人提供的包装、保险及运输、保管方案进行评审： （1）方案内容非常齐全，包装、保险措施非常完善，运输能力稳定安全，具有科学合理的保管制度，有利于项目实施，包装、保险及运输、保管方案可行性强，完全满足且优于采购需求的，得8分； （2）方案内容较齐全，包装、保险措施较完善，运输能力较稳定安全，具有较科学合理的保管制度，较有利于项目实施，包装、保险及运输、保管方案可行性较强，完全满足采购需求的，得4分； （3）方案内容基本齐全，包装、保险措施基本完整，运输能力基本稳定安全，具有基本合理的保管制度，包装、保险及运输、保管方案可行性一般，能基本满足采购需求的，得2分； （4）方案内容不够齐全，包装、保险措施不完整，运输能力和稳定和安全性一般，不具有保管制度，包装、保险及运输、保管方案差，不能完全满足采购需求的，得1分； （5）未提供对应方案或内容的不得分。</w:t>
            </w:r>
          </w:p>
        </w:tc>
      </w:tr>
      <w:tr>
        <w:tc>
          <w:tcPr>
            <w:tcW w:type="dxa" w:w="922"/>
            <w:gridSpan w:val="2"/>
            <w:vMerge/>
          </w:tcPr>
          <w:p/>
        </w:tc>
        <w:tc>
          <w:tcPr>
            <w:tcW w:type="dxa" w:w="2307"/>
          </w:tcPr>
          <w:p>
            <w:pPr>
              <w:pStyle w:val="null3"/>
              <w:jc w:val="left"/>
            </w:pPr>
            <w:r>
              <w:rPr/>
              <w:t>安装、培训方案 (9.0分)</w:t>
            </w:r>
          </w:p>
        </w:tc>
        <w:tc>
          <w:tcPr>
            <w:tcW w:type="dxa" w:w="5076"/>
          </w:tcPr>
          <w:p>
            <w:pPr>
              <w:pStyle w:val="null3"/>
              <w:jc w:val="left"/>
            </w:pPr>
            <w:r>
              <w:rPr/>
              <w:t>针对采购需求中的安装、培训要求，根据投标人提供的安装、培训方案进行评审： （1）方案内容非常齐全，安装程序完全符合规定要求，提供专人指导和有明确的设备操作培训课程及完整的培训内容安排，对设备的安装和操作过程中注意事项有详细指引，有利于项目实施，完全满足且优于采购需求的，得9分； （2）方案内容较齐全，安装程序较符合规定要求，提供专人指导和有较明确的设备操作培训课程及较完整的培训内容安排，对设备的安装和操作过程中注意事项有较详细的指引，较有利于项目实施，完全满足采购需求的，得4分； （3）方案内容基本齐全，安装程序基本符合规定要求，提供有专人指导和有基本的设备操作培训课程及简单的培训内容安排，对设备的安装和操作过程中注意事项有基本操作指引，能基本满足采购需求的，得2分； （4）方案内容不够齐全，安装程序基本不规定要求，提供指导和培训课程安排简单含糊，无设备操作培训课程及培训内容安排，对设备的安装和操作过程没有注意事项或只有非常简单的操作指引，不能完全满足采购需求的，得1分； （5）未提供对应方案或内容的不得分。</w:t>
            </w:r>
          </w:p>
        </w:tc>
      </w:tr>
      <w:tr>
        <w:tc>
          <w:tcPr>
            <w:tcW w:type="dxa" w:w="922"/>
            <w:gridSpan w:val="2"/>
            <w:vMerge/>
          </w:tcPr>
          <w:p/>
        </w:tc>
        <w:tc>
          <w:tcPr>
            <w:tcW w:type="dxa" w:w="2307"/>
          </w:tcPr>
          <w:p>
            <w:pPr>
              <w:pStyle w:val="null3"/>
              <w:jc w:val="left"/>
            </w:pPr>
            <w:r>
              <w:rPr/>
              <w:t>售后服务方案 (12.0分)</w:t>
            </w:r>
          </w:p>
        </w:tc>
        <w:tc>
          <w:tcPr>
            <w:tcW w:type="dxa" w:w="5076"/>
          </w:tcPr>
          <w:p>
            <w:pPr>
              <w:pStyle w:val="null3"/>
              <w:jc w:val="left"/>
            </w:pPr>
            <w:r>
              <w:rPr/>
              <w:t>针对采购需求中的售后服务要求，根据投标人提供的售后服务方案（包括但不限于保修方案及措施、售后服务机构设备配置、备品备件、故障响应时间、维护承诺服务人员培训计划、服务人员配置计划、应急服务方案等）的完整性、规范性、合理性等进行评审： （1）售后服务计划清晰明确、详细具体，售后服务人员组织架构完善、专业技术力量投入充足、技术人员组织安排及跟进处理流程详细具体合理，针对设备故障维修有详细的应对措施及相应的解决方案，应急预案考虑深入严谨、应急措施科学合理可行，售后服务方案各项内容均具备，并能根据项目性质或采购需求提出合理可行的建议的，得12分； （2）售后服务计划明确具体，售后服务人员组织架构完善、专业技术力量投入充足、技术人员组织安排及跟进处理流程合理，针对设备故障维修有相应的应对措施及解决方案，应急预案考虑深入、应急措施科学合理可行，售后服务方案各项内容均具备的，得8分； （3）售后服务计划基本明确，售后服务人员组织架构基本具备、专业技术力量有投入、技术人员组织安排及跟进处理流程一般，针对设备故障维修有相应的应对措施及解决方案，应急预案、应急措施一般可行，售后服务方案各项内容均具备的，得4分； （4）售后服务计划基本明确，但售后服务人员组织架构不完善、技术人员组织安排及跟进处理流程不合理，对设备故障维修的应对措施及解决方案不合理不可行、应急措施不合理不可行，售后服务方案部分内容有缺漏的，得2分； （5）未提供对应方案或内容的不得分。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 (8.0分)</w:t>
            </w:r>
          </w:p>
        </w:tc>
        <w:tc>
          <w:tcPr>
            <w:tcW w:type="dxa" w:w="5076"/>
          </w:tcPr>
          <w:p>
            <w:pPr>
              <w:pStyle w:val="null3"/>
              <w:jc w:val="left"/>
            </w:pPr>
            <w:r>
              <w:rPr/>
              <w:t>根据投标人自成立以来承接的【医疗设备采购】类业绩进行评审：每提供一项有效业绩得2分，满分8分。 【须提供合同/协议复印件，加盖投标人公章】</w:t>
            </w:r>
          </w:p>
        </w:tc>
      </w:tr>
      <w:tr>
        <w:tc>
          <w:tcPr>
            <w:tcW w:type="dxa" w:w="922"/>
            <w:gridSpan w:val="2"/>
            <w:vMerge/>
          </w:tcPr>
          <w:p/>
        </w:tc>
        <w:tc>
          <w:tcPr>
            <w:tcW w:type="dxa" w:w="2307"/>
          </w:tcPr>
          <w:p>
            <w:pPr>
              <w:pStyle w:val="null3"/>
              <w:jc w:val="left"/>
            </w:pPr>
            <w:r>
              <w:rPr/>
              <w:t>质保期满后的收费标准 （不含第三方设备和系统） (2.0分)</w:t>
            </w:r>
          </w:p>
        </w:tc>
        <w:tc>
          <w:tcPr>
            <w:tcW w:type="dxa" w:w="5076"/>
          </w:tcPr>
          <w:p>
            <w:pPr>
              <w:pStyle w:val="null3"/>
              <w:jc w:val="left"/>
            </w:pPr>
            <w:r>
              <w:rPr/>
              <w:t>招标文件采购需求规定：质保期满后，采购人另行采购设备维护保养服务，投标人需对设备维护保养服务费用价格进行报价，所报价格将作为设备维护保养服务采购项目的定价依据。要求每年维护保养服务费用不得高于（即≤）投标总价的6.0%（不含第三方设备和系统）。请各投标人报出自身在质保期满后的收费标准： （1）收费标准为投标总价的5.5%/年（不含）-6.0%/年（含）的，得0.5分； （2）收费标准为投标总价的5.0%/年（不含）-5.5%/年（含）的，得1分； （3）收费标准为投标总价的3.0%/年（不含）-5.0%/年（含）的，得1.5分； （4）收费标准为不高于投标总价的3.0%/年（含）的，得2分； （5）未按规定报价的，本项不得分。 【须提供独立报价承诺函（格式自拟），加盖投标人公章】</w:t>
            </w:r>
          </w:p>
        </w:tc>
      </w:tr>
      <w:tr>
        <w:tc>
          <w:tcPr>
            <w:tcW w:type="dxa" w:w="922"/>
            <w:gridSpan w:val="2"/>
            <w:vMerge/>
          </w:tcPr>
          <w:p/>
        </w:tc>
        <w:tc>
          <w:tcPr>
            <w:tcW w:type="dxa" w:w="2307"/>
          </w:tcPr>
          <w:p>
            <w:pPr>
              <w:pStyle w:val="null3"/>
              <w:jc w:val="left"/>
            </w:pPr>
            <w:r>
              <w:rPr/>
              <w:t>质保期满后的收费标准（含第三方设备和系统） (2.0分)</w:t>
            </w:r>
          </w:p>
        </w:tc>
        <w:tc>
          <w:tcPr>
            <w:tcW w:type="dxa" w:w="5076"/>
          </w:tcPr>
          <w:p>
            <w:pPr>
              <w:pStyle w:val="null3"/>
              <w:jc w:val="left"/>
            </w:pPr>
            <w:r>
              <w:rPr/>
              <w:t>招标文件采购需求规定：质保期满后，采购人另行采购设备维护保养服务，投标人需对设备维护保养服务费用价格进行报价，所报价格将作为设备维护保养服务采购项目的定价依据。要求每年维护保养服务费用不得高于（即≤）投标总价的6.5%（含第三方设备和系统）。请各投标人报出自身在质保期满后的收费标准： （1）收费标准为投标总价的6.0%/年（不含）-6.5%/年（含）的，得0.5分； （2）收费标准为投标总价的5.0%/年（不含）-6.0%/年（含）的，得1分； （3）收费标准为投标总价的3.0%/年（不含）-5.0%/年（含）的，得1.5分； （4）收费标准为不高于投标总价的3.0%/年（含）的，得2分； （5）未按规定报价的，本项不得分。 【须提供独立报价承诺函（格式自拟），加盖投标人公章】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0"/>
        </w:rPr>
        <w:t>广东省政府采购</w:t>
      </w:r>
    </w:p>
    <w:p>
      <w:pPr>
        <w:pStyle w:val="null3"/>
        <w:jc w:val="center"/>
      </w:pPr>
      <w:r>
        <w:rPr>
          <w:sz w:val="100"/>
        </w:rPr>
        <w:t>合同书</w:t>
      </w:r>
    </w:p>
    <w:p>
      <w:pPr>
        <w:pStyle w:val="null3"/>
        <w:jc w:val="both"/>
      </w:pPr>
      <w:r>
        <w:rPr/>
        <w:t xml:space="preserve"> </w:t>
      </w:r>
    </w:p>
    <w:p>
      <w:pPr>
        <w:pStyle w:val="null3"/>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628"/>
        <w:gridCol w:w="5678"/>
      </w:tblGrid>
      <w:tr>
        <w:tc>
          <w:tcPr>
            <w:tcW w:type="dxa" w:w="26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项目编号：</w:t>
            </w:r>
          </w:p>
        </w:tc>
        <w:tc>
          <w:tcPr>
            <w:tcW w:type="dxa" w:w="56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u w:val="single"/>
              </w:rPr>
              <w:t xml:space="preserve"> </w:t>
            </w:r>
            <w:r>
              <w:rPr>
                <w:sz w:val="28"/>
                <w:u w:val="single"/>
              </w:rPr>
              <w:t>GDYW2026008</w:t>
            </w:r>
            <w:r>
              <w:rPr>
                <w:sz w:val="19"/>
                <w:u w:val="single"/>
              </w:rPr>
              <w:t xml:space="preserve"> </w:t>
            </w:r>
          </w:p>
        </w:tc>
      </w:tr>
      <w:tr>
        <w:tc>
          <w:tcPr>
            <w:tcW w:type="dxa" w:w="26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项目名称：</w:t>
            </w:r>
          </w:p>
        </w:tc>
        <w:tc>
          <w:tcPr>
            <w:tcW w:type="dxa" w:w="56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u w:val="single"/>
              </w:rPr>
              <w:t>单光子发射及</w:t>
            </w:r>
            <w:r>
              <w:rPr>
                <w:sz w:val="28"/>
                <w:u w:val="single"/>
              </w:rPr>
              <w:t>X</w:t>
            </w:r>
            <w:r>
              <w:rPr>
                <w:sz w:val="28"/>
                <w:u w:val="single"/>
              </w:rPr>
              <w:t>射线计算机断层成像系统（</w:t>
            </w:r>
            <w:r>
              <w:rPr>
                <w:sz w:val="28"/>
                <w:u w:val="single"/>
              </w:rPr>
              <w:t>SPECT/CT</w:t>
            </w:r>
            <w:r>
              <w:rPr>
                <w:sz w:val="28"/>
                <w:u w:val="single"/>
              </w:rPr>
              <w:t>）设备采购项目</w:t>
            </w:r>
          </w:p>
        </w:tc>
      </w:tr>
      <w:tr>
        <w:tc>
          <w:tcPr>
            <w:tcW w:type="dxa" w:w="26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甲方：</w:t>
            </w:r>
          </w:p>
        </w:tc>
        <w:tc>
          <w:tcPr>
            <w:tcW w:type="dxa" w:w="56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u w:val="single"/>
              </w:rPr>
              <w:t>东莞市东南部中心医院</w:t>
            </w:r>
            <w:r>
              <w:rPr>
                <w:sz w:val="19"/>
                <w:u w:val="single"/>
              </w:rPr>
              <w:t xml:space="preserve">      </w:t>
            </w:r>
          </w:p>
        </w:tc>
      </w:tr>
      <w:tr>
        <w:tc>
          <w:tcPr>
            <w:tcW w:type="dxa" w:w="26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乙方：</w:t>
            </w:r>
          </w:p>
        </w:tc>
        <w:tc>
          <w:tcPr>
            <w:tcW w:type="dxa" w:w="56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u w:val="single"/>
              </w:rPr>
              <w:t xml:space="preserve">                        </w:t>
            </w:r>
          </w:p>
        </w:tc>
      </w:tr>
      <w:tr>
        <w:tc>
          <w:tcPr>
            <w:tcW w:type="dxa" w:w="26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签订时间：</w:t>
            </w:r>
          </w:p>
        </w:tc>
        <w:tc>
          <w:tcPr>
            <w:tcW w:type="dxa" w:w="56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u w:val="single"/>
              </w:rPr>
              <w:t xml:space="preserve">                         </w:t>
            </w:r>
          </w:p>
        </w:tc>
      </w:tr>
    </w:tbl>
    <w:p>
      <w:pPr>
        <w:pStyle w:val="null3"/>
        <w:jc w:val="both"/>
      </w:pPr>
      <w:r>
        <w:rPr/>
        <w:t xml:space="preserve"> </w:t>
      </w:r>
    </w:p>
    <w:p>
      <w:pPr>
        <w:pStyle w:val="null3"/>
        <w:jc w:val="both"/>
      </w:pPr>
      <w:r>
        <w:rPr/>
        <w:t xml:space="preserve"> </w:t>
      </w:r>
    </w:p>
    <w:p>
      <w:pPr>
        <w:pStyle w:val="null3"/>
        <w:jc w:val="both"/>
      </w:pPr>
      <w:r>
        <w:rPr/>
        <w:t xml:space="preserve"> </w:t>
      </w:r>
    </w:p>
    <w:p>
      <w:pPr>
        <w:pStyle w:val="null3"/>
        <w:jc w:val="center"/>
      </w:pPr>
      <w:r>
        <w:rPr>
          <w:sz w:val="44"/>
        </w:rPr>
        <w:t>设备购销合同</w:t>
      </w:r>
    </w:p>
    <w:p>
      <w:pPr>
        <w:pStyle w:val="null3"/>
        <w:ind w:firstLine="480"/>
        <w:jc w:val="right"/>
      </w:pPr>
      <w:r>
        <w:rPr>
          <w:sz w:val="24"/>
        </w:rPr>
        <w:t>合同编号：</w:t>
      </w:r>
    </w:p>
    <w:p>
      <w:pPr>
        <w:pStyle w:val="null3"/>
        <w:jc w:val="both"/>
      </w:pPr>
      <w:r>
        <w:rPr>
          <w:sz w:val="24"/>
        </w:rPr>
        <w:t>甲方（采购人）：</w:t>
      </w:r>
    </w:p>
    <w:p>
      <w:pPr>
        <w:pStyle w:val="null3"/>
        <w:jc w:val="both"/>
      </w:pPr>
      <w:r>
        <w:rPr>
          <w:sz w:val="24"/>
        </w:rPr>
        <w:t>乙方（中标人）：</w:t>
      </w:r>
    </w:p>
    <w:p>
      <w:pPr>
        <w:pStyle w:val="null3"/>
        <w:ind w:firstLine="480"/>
        <w:jc w:val="both"/>
      </w:pPr>
      <w:r>
        <w:rPr>
          <w:sz w:val="24"/>
        </w:rPr>
        <w:t>受甲方委托，</w:t>
      </w:r>
      <w:r>
        <w:rPr>
          <w:sz w:val="24"/>
          <w:u w:val="single"/>
        </w:rPr>
        <w:t>（采购代理机构）</w:t>
      </w:r>
      <w:r>
        <w:rPr>
          <w:sz w:val="24"/>
        </w:rPr>
        <w:t>组织对</w:t>
      </w:r>
      <w:r>
        <w:rPr>
          <w:sz w:val="24"/>
          <w:u w:val="single"/>
        </w:rPr>
        <w:t xml:space="preserve">             </w:t>
      </w:r>
      <w:r>
        <w:rPr>
          <w:sz w:val="24"/>
          <w:u w:val="single"/>
        </w:rPr>
        <w:t>采购项目</w:t>
      </w:r>
      <w:r>
        <w:rPr>
          <w:sz w:val="24"/>
        </w:rPr>
        <w:t>（采购编号：）进行采购，于</w:t>
      </w:r>
      <w:r>
        <w:rPr>
          <w:sz w:val="24"/>
        </w:rPr>
        <w:t xml:space="preserve">   </w:t>
      </w:r>
      <w:r>
        <w:rPr>
          <w:sz w:val="24"/>
        </w:rPr>
        <w:t>年</w:t>
      </w:r>
      <w:r>
        <w:rPr>
          <w:sz w:val="24"/>
        </w:rPr>
        <w:t xml:space="preserve">   </w:t>
      </w:r>
      <w:r>
        <w:rPr>
          <w:sz w:val="24"/>
        </w:rPr>
        <w:t>月</w:t>
      </w:r>
      <w:r>
        <w:rPr>
          <w:sz w:val="24"/>
        </w:rPr>
        <w:t xml:space="preserve">   </w:t>
      </w:r>
      <w:r>
        <w:rPr>
          <w:sz w:val="24"/>
        </w:rPr>
        <w:t>日通过公开招标，经评标委员会评定</w:t>
      </w:r>
      <w:r>
        <w:rPr>
          <w:sz w:val="24"/>
          <w:u w:val="single"/>
        </w:rPr>
        <w:t xml:space="preserve"> </w:t>
      </w:r>
      <w:r>
        <w:rPr>
          <w:sz w:val="24"/>
          <w:u w:val="single"/>
        </w:rPr>
        <w:t>（中标人名称）</w:t>
      </w:r>
      <w:r>
        <w:rPr>
          <w:sz w:val="24"/>
        </w:rPr>
        <w:t>为中标供应商。为了保护甲乙双方合法权益，根据《中华人民共和国政府采购法》及其实施条例、《中华人民共和国民法典》，在平等自愿的基础上，按照下面的条款和条件，签署本合同。</w:t>
      </w:r>
    </w:p>
    <w:p>
      <w:pPr>
        <w:pStyle w:val="null3"/>
        <w:ind w:firstLine="482"/>
        <w:jc w:val="both"/>
      </w:pPr>
      <w:r>
        <w:rPr>
          <w:sz w:val="24"/>
          <w:b/>
        </w:rPr>
        <w:t>一、合同项目</w:t>
      </w:r>
    </w:p>
    <w:p>
      <w:pPr>
        <w:pStyle w:val="null3"/>
        <w:ind w:firstLine="480"/>
        <w:jc w:val="both"/>
      </w:pPr>
      <w:r>
        <w:rPr>
          <w:sz w:val="24"/>
        </w:rPr>
        <w:t>1、乙方在投标文件所列的设备的供应、安装、调试责任。</w:t>
      </w:r>
    </w:p>
    <w:p>
      <w:pPr>
        <w:pStyle w:val="null3"/>
        <w:ind w:firstLine="480"/>
        <w:jc w:val="both"/>
      </w:pPr>
      <w:r>
        <w:rPr>
          <w:sz w:val="24"/>
        </w:rPr>
        <w:t>2、乙方完成在投标文件中所列的设备、服务的全部承诺。</w:t>
      </w:r>
    </w:p>
    <w:p>
      <w:pPr>
        <w:pStyle w:val="null3"/>
        <w:ind w:firstLine="480"/>
        <w:jc w:val="both"/>
      </w:pPr>
      <w:r>
        <w:rPr>
          <w:sz w:val="24"/>
        </w:rPr>
        <w:t>3、乙方在投标文件中承诺的维护、保养服务。</w:t>
      </w:r>
    </w:p>
    <w:p>
      <w:pPr>
        <w:pStyle w:val="null3"/>
        <w:ind w:firstLine="482"/>
        <w:jc w:val="both"/>
      </w:pPr>
      <w:r>
        <w:rPr>
          <w:sz w:val="24"/>
          <w:b/>
        </w:rPr>
        <w:t>二、货物名称、品牌、型号、规格、制造商、数量及金额</w:t>
      </w:r>
    </w:p>
    <w:tbl>
      <w:tblPr>
        <w:tblW w:w="0" w:type="auto"/>
        <w:tblBorders>
          <w:top w:val="none" w:color="000000" w:sz="4"/>
          <w:left w:val="none" w:color="000000" w:sz="4"/>
          <w:bottom w:val="none" w:color="000000" w:sz="4"/>
          <w:right w:val="none" w:color="000000" w:sz="4"/>
          <w:insideH w:val="none"/>
          <w:insideV w:val="none"/>
        </w:tblBorders>
      </w:tblPr>
      <w:tblGrid>
        <w:gridCol w:w="648"/>
        <w:gridCol w:w="1206"/>
        <w:gridCol w:w="1176"/>
        <w:gridCol w:w="1176"/>
        <w:gridCol w:w="1025"/>
        <w:gridCol w:w="1176"/>
        <w:gridCol w:w="1176"/>
        <w:gridCol w:w="724"/>
      </w:tblGrid>
      <w:tr>
        <w:tc>
          <w:tcPr>
            <w:tcW w:type="dxa" w:w="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货物</w:t>
            </w:r>
          </w:p>
          <w:p>
            <w:pPr>
              <w:pStyle w:val="null3"/>
              <w:jc w:val="center"/>
            </w:pPr>
            <w:r>
              <w:rPr>
                <w:sz w:val="24"/>
              </w:rPr>
              <w:t>名称</w:t>
            </w:r>
          </w:p>
        </w:tc>
        <w:tc>
          <w:tcPr>
            <w:tcW w:type="dxa" w:w="1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品牌</w:t>
            </w:r>
          </w:p>
          <w:p>
            <w:pPr>
              <w:pStyle w:val="null3"/>
              <w:jc w:val="center"/>
            </w:pPr>
            <w:r>
              <w:rPr>
                <w:sz w:val="24"/>
              </w:rPr>
              <w:t>型号</w:t>
            </w:r>
          </w:p>
        </w:tc>
        <w:tc>
          <w:tcPr>
            <w:tcW w:type="dxa" w:w="1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原厂商及原产地</w:t>
            </w:r>
          </w:p>
        </w:tc>
        <w:tc>
          <w:tcPr>
            <w:tcW w:type="dxa" w:w="1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单价（元）</w:t>
            </w:r>
          </w:p>
        </w:tc>
        <w:tc>
          <w:tcPr>
            <w:tcW w:type="dxa" w:w="1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合计金额（元）</w:t>
            </w:r>
          </w:p>
        </w:tc>
        <w:tc>
          <w:tcPr>
            <w:tcW w:type="dxa" w:w="7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金额合计：人民币</w:t>
            </w:r>
            <w:r>
              <w:rPr>
                <w:sz w:val="24"/>
                <w:u w:val="single"/>
              </w:rPr>
              <w:t xml:space="preserve">         </w:t>
            </w:r>
            <w:r>
              <w:rPr>
                <w:sz w:val="24"/>
                <w:u w:val="single"/>
              </w:rPr>
              <w:t>元</w:t>
            </w:r>
            <w:r>
              <w:rPr>
                <w:sz w:val="24"/>
              </w:rPr>
              <w:t>（</w:t>
            </w:r>
            <w:r>
              <w:rPr>
                <w:sz w:val="24"/>
              </w:rPr>
              <w:t>¥</w:t>
            </w:r>
            <w:r>
              <w:rPr>
                <w:sz w:val="19"/>
                <w:u w:val="single"/>
              </w:rPr>
              <w:t xml:space="preserve">          </w:t>
            </w:r>
            <w:r>
              <w:rPr>
                <w:sz w:val="24"/>
              </w:rPr>
              <w:t>）。</w:t>
            </w:r>
          </w:p>
        </w:tc>
      </w:tr>
    </w:tbl>
    <w:p>
      <w:pPr>
        <w:pStyle w:val="null3"/>
        <w:ind w:firstLine="482"/>
        <w:jc w:val="both"/>
      </w:pPr>
      <w:r>
        <w:rPr>
          <w:sz w:val="24"/>
          <w:b/>
        </w:rPr>
        <w:t>三、价格</w:t>
      </w:r>
    </w:p>
    <w:p>
      <w:pPr>
        <w:pStyle w:val="null3"/>
        <w:ind w:firstLine="480"/>
        <w:jc w:val="both"/>
      </w:pPr>
      <w:r>
        <w:rPr>
          <w:sz w:val="24"/>
        </w:rPr>
        <w:t>1、合同总价：人民币（大写）</w:t>
      </w:r>
      <w:r>
        <w:rPr>
          <w:sz w:val="24"/>
          <w:u w:val="single"/>
        </w:rPr>
        <w:t xml:space="preserve">             </w:t>
      </w:r>
      <w:r>
        <w:rPr>
          <w:sz w:val="24"/>
          <w:u w:val="single"/>
        </w:rPr>
        <w:t>元</w:t>
      </w:r>
      <w:r>
        <w:rPr>
          <w:sz w:val="24"/>
        </w:rPr>
        <w:t xml:space="preserve"> </w:t>
      </w:r>
      <w:r>
        <w:rPr>
          <w:sz w:val="24"/>
        </w:rPr>
        <w:t>(¥</w:t>
      </w:r>
      <w:r>
        <w:rPr>
          <w:u w:val="single"/>
        </w:rPr>
        <w:t xml:space="preserve">           </w:t>
      </w:r>
      <w:r>
        <w:rPr>
          <w:sz w:val="24"/>
        </w:rPr>
        <w:t>)。</w:t>
      </w:r>
    </w:p>
    <w:p>
      <w:pPr>
        <w:pStyle w:val="null3"/>
        <w:ind w:firstLine="480"/>
        <w:jc w:val="both"/>
      </w:pPr>
      <w:r>
        <w:rPr>
          <w:sz w:val="24"/>
        </w:rPr>
        <w:t>2、合同总价包含：</w:t>
      </w:r>
    </w:p>
    <w:p>
      <w:pPr>
        <w:pStyle w:val="null3"/>
        <w:ind w:firstLine="480"/>
        <w:jc w:val="both"/>
      </w:pPr>
      <w:r>
        <w:rPr>
          <w:sz w:val="24"/>
        </w:rPr>
        <w:t>（</w:t>
      </w:r>
      <w:r>
        <w:rPr>
          <w:sz w:val="24"/>
        </w:rPr>
        <w:t>1</w:t>
      </w:r>
      <w:r>
        <w:rPr>
          <w:sz w:val="24"/>
        </w:rPr>
        <w:t>）</w:t>
      </w:r>
      <w:r>
        <w:rPr>
          <w:sz w:val="24"/>
        </w:rPr>
        <w:t>按招标文件的要求全部货物及服务内容所需的所有费用，包括但不限于：设备全保不少于</w:t>
      </w:r>
      <w:r>
        <w:rPr>
          <w:sz w:val="24"/>
        </w:rPr>
        <w:t>5年、项目的全部产品价格、服务价格、应向中华人民共和国政府缴纳的增值税和其他税等全部税费、运输、保险、安装服务、标准附件价、备品备件及专用工具价(如有)、软件更新费用、SPECT机房交钥匙工程费用、控评、环保验收、办理相关放射诊疗和辐射安全手续所需费用以及履行合同所需的费用、所有风险、责任等其他一切隐含及不可预见的费用。</w:t>
      </w:r>
    </w:p>
    <w:p>
      <w:pPr>
        <w:pStyle w:val="null3"/>
        <w:ind w:firstLine="480"/>
        <w:jc w:val="both"/>
      </w:pPr>
      <w:r>
        <w:rPr>
          <w:sz w:val="24"/>
        </w:rPr>
        <w:t>（</w:t>
      </w:r>
      <w:r>
        <w:rPr>
          <w:sz w:val="24"/>
        </w:rPr>
        <w:t>2</w:t>
      </w:r>
      <w:r>
        <w:rPr>
          <w:sz w:val="24"/>
        </w:rPr>
        <w:t>）</w:t>
      </w:r>
      <w:r>
        <w:rPr>
          <w:sz w:val="24"/>
        </w:rPr>
        <w:t>包括所有应支付的对专利权和版权、设计或其他知识产权而需要向其他方支付的版税。</w:t>
      </w:r>
    </w:p>
    <w:p>
      <w:pPr>
        <w:pStyle w:val="null3"/>
        <w:ind w:firstLine="482"/>
        <w:jc w:val="both"/>
      </w:pPr>
      <w:r>
        <w:rPr>
          <w:sz w:val="24"/>
          <w:b/>
        </w:rPr>
        <w:t>四、货物产地及标准</w:t>
      </w:r>
    </w:p>
    <w:p>
      <w:pPr>
        <w:pStyle w:val="null3"/>
        <w:ind w:firstLine="480"/>
        <w:jc w:val="both"/>
      </w:pPr>
      <w:r>
        <w:rPr>
          <w:sz w:val="24"/>
        </w:rPr>
        <w:t>1、乙方必须提供符合国家安全质量标准、环保标准或行业标准的全新、未使用过的货物（包括所有零配件、随机工具等），表面无划伤，无碰撞，无任何缺陷隐患，无污染，无侵权行为，在中国境内可依常规安全合法使用。若货物质量不符合招标文件要求，甲方有权拒收货物，或拒付、少付货款或者服务费。</w:t>
      </w:r>
    </w:p>
    <w:p>
      <w:pPr>
        <w:pStyle w:val="null3"/>
        <w:ind w:firstLine="480"/>
        <w:jc w:val="both"/>
      </w:pPr>
      <w:r>
        <w:rPr>
          <w:sz w:val="24"/>
        </w:rPr>
        <w:t>2、标准</w:t>
      </w:r>
    </w:p>
    <w:p>
      <w:pPr>
        <w:pStyle w:val="null3"/>
        <w:ind w:firstLine="480"/>
        <w:jc w:val="both"/>
      </w:pPr>
      <w:r>
        <w:rPr>
          <w:sz w:val="24"/>
        </w:rPr>
        <w:t>2.1本合同所指的货物及服务应符合招标文件所述的标准，如果没有提及适用标准，则应符合中华人民共和国国家标准或行业标准；如果中华人民共和国没有相关标准的，则采用货物来源适用的官方标准。这些标准必须是有关机构发布的最新版本的标准。</w:t>
      </w:r>
    </w:p>
    <w:p>
      <w:pPr>
        <w:pStyle w:val="null3"/>
        <w:ind w:firstLine="480"/>
        <w:jc w:val="both"/>
      </w:pPr>
      <w:r>
        <w:rPr>
          <w:sz w:val="24"/>
        </w:rPr>
        <w:t>2.2乙方提供的设备（或服务）均应当符合《中华人民共和国产品质量法》和《中华人民共和国医疗器械监督管理条例》等相关法律法规之强制性规定。</w:t>
      </w:r>
    </w:p>
    <w:p>
      <w:pPr>
        <w:pStyle w:val="null3"/>
        <w:ind w:firstLine="480"/>
        <w:jc w:val="both"/>
      </w:pPr>
      <w:r>
        <w:rPr>
          <w:sz w:val="24"/>
        </w:rPr>
        <w:t>3、货物为原厂商未启封全新包装，具备生产许可证、出厂合格证，序列号、包装箱号与出厂批号一致，并可追索查阅。</w:t>
      </w:r>
    </w:p>
    <w:p>
      <w:pPr>
        <w:pStyle w:val="null3"/>
        <w:ind w:firstLine="480"/>
        <w:jc w:val="both"/>
      </w:pPr>
      <w:r>
        <w:rPr>
          <w:sz w:val="24"/>
        </w:rPr>
        <w:t>4、乙方应将所供物品的原厂售后服务承诺书或证明、用户手册、保修手册、有关资料及配件、维修工具等交付给甲方。所有随设备的附件必须齐全。</w:t>
      </w:r>
    </w:p>
    <w:p>
      <w:pPr>
        <w:pStyle w:val="null3"/>
        <w:ind w:firstLine="480"/>
        <w:jc w:val="both"/>
      </w:pPr>
      <w:r>
        <w:rPr>
          <w:sz w:val="24"/>
        </w:rPr>
        <w:t>5、乙方提供上述序号2-4的各类证件文件若是外文的，必须同时提供中文版本。</w:t>
      </w:r>
    </w:p>
    <w:p>
      <w:pPr>
        <w:pStyle w:val="null3"/>
        <w:ind w:firstLine="482"/>
        <w:jc w:val="both"/>
      </w:pPr>
      <w:r>
        <w:rPr>
          <w:sz w:val="24"/>
          <w:b/>
        </w:rPr>
        <w:t>五、交货</w:t>
      </w:r>
    </w:p>
    <w:p>
      <w:pPr>
        <w:pStyle w:val="null3"/>
        <w:ind w:firstLine="480"/>
        <w:jc w:val="both"/>
      </w:pPr>
      <w:r>
        <w:rPr>
          <w:sz w:val="24"/>
        </w:rPr>
        <w:t>1、交货期：</w:t>
      </w:r>
      <w:r>
        <w:rPr>
          <w:sz w:val="24"/>
        </w:rPr>
        <w:t>要求接到甲方入场通知后</w:t>
      </w:r>
      <w:r>
        <w:rPr>
          <w:sz w:val="24"/>
        </w:rPr>
        <w:t>30日内完成场地项目，场地完工后30日内完成设备的安装、调试。</w:t>
      </w:r>
    </w:p>
    <w:p>
      <w:pPr>
        <w:pStyle w:val="null3"/>
        <w:ind w:firstLine="480"/>
        <w:jc w:val="both"/>
      </w:pPr>
      <w:r>
        <w:rPr>
          <w:sz w:val="24"/>
        </w:rPr>
        <w:t>2、交货地点：</w:t>
      </w:r>
      <w:r>
        <w:rPr>
          <w:sz w:val="24"/>
        </w:rPr>
        <w:t>东莞市塘厦镇蛟坪大道</w:t>
      </w:r>
      <w:r>
        <w:rPr>
          <w:sz w:val="24"/>
        </w:rPr>
        <w:t>42号</w:t>
      </w:r>
      <w:r>
        <w:rPr>
          <w:sz w:val="24"/>
        </w:rPr>
        <w:t>。</w:t>
      </w:r>
    </w:p>
    <w:p>
      <w:pPr>
        <w:pStyle w:val="null3"/>
        <w:ind w:firstLine="482"/>
        <w:jc w:val="both"/>
      </w:pPr>
      <w:r>
        <w:rPr>
          <w:sz w:val="24"/>
          <w:b/>
        </w:rPr>
        <w:t>六、</w:t>
      </w:r>
      <w:r>
        <w:rPr>
          <w:sz w:val="24"/>
          <w:b/>
        </w:rPr>
        <w:t>项目要求</w:t>
      </w:r>
    </w:p>
    <w:p>
      <w:pPr>
        <w:pStyle w:val="null3"/>
        <w:ind w:firstLine="480"/>
        <w:jc w:val="both"/>
      </w:pPr>
      <w:r>
        <w:rPr>
          <w:sz w:val="24"/>
        </w:rPr>
        <w:t>1、</w:t>
      </w:r>
      <w:r>
        <w:rPr>
          <w:sz w:val="24"/>
        </w:rPr>
        <w:t>货物总体要求</w:t>
      </w:r>
    </w:p>
    <w:p>
      <w:pPr>
        <w:pStyle w:val="null3"/>
        <w:ind w:firstLine="480"/>
        <w:jc w:val="left"/>
      </w:pPr>
      <w:r>
        <w:rPr>
          <w:sz w:val="24"/>
        </w:rPr>
        <w:t>（</w:t>
      </w:r>
      <w:r>
        <w:rPr>
          <w:sz w:val="24"/>
        </w:rPr>
        <w:t>1）</w:t>
      </w:r>
      <w:r>
        <w:rPr>
          <w:sz w:val="24"/>
        </w:rPr>
        <w:t>乙方</w:t>
      </w:r>
      <w:r>
        <w:rPr>
          <w:sz w:val="24"/>
        </w:rPr>
        <w:t>所投货物必须是原装、全新的产品，符合国家以及该产品的出厂标准。</w:t>
      </w:r>
    </w:p>
    <w:p>
      <w:pPr>
        <w:pStyle w:val="null3"/>
        <w:ind w:firstLine="480"/>
        <w:jc w:val="left"/>
      </w:pPr>
      <w:r>
        <w:rPr>
          <w:sz w:val="24"/>
        </w:rPr>
        <w:t>（</w:t>
      </w:r>
      <w:r>
        <w:rPr>
          <w:sz w:val="24"/>
        </w:rPr>
        <w:t>2）</w:t>
      </w:r>
      <w:r>
        <w:rPr>
          <w:sz w:val="24"/>
        </w:rPr>
        <w:t>乙方</w:t>
      </w:r>
      <w:r>
        <w:rPr>
          <w:sz w:val="24"/>
        </w:rPr>
        <w:t>所投货物必须符合国家安全质量标准、环保标准或行业标准的全新、未使用过的货物（包括所有零配件、随机工具等），表面无划伤，无碰撞，无任何缺陷隐患，无污染，无侵权行为，在中国境内可依常规安全合法使用。</w:t>
      </w:r>
    </w:p>
    <w:p>
      <w:pPr>
        <w:pStyle w:val="null3"/>
        <w:ind w:firstLine="480"/>
        <w:jc w:val="left"/>
      </w:pPr>
      <w:r>
        <w:rPr>
          <w:sz w:val="24"/>
        </w:rPr>
        <w:t>（</w:t>
      </w:r>
      <w:r>
        <w:rPr>
          <w:sz w:val="24"/>
        </w:rPr>
        <w:t>3）</w:t>
      </w:r>
      <w:r>
        <w:rPr>
          <w:sz w:val="24"/>
        </w:rPr>
        <w:t>乙方</w:t>
      </w:r>
      <w:r>
        <w:rPr>
          <w:sz w:val="24"/>
        </w:rPr>
        <w:t>所投货物必须符合国家环保要求及标准，提供的设备（或服务）均应当符合《中华人民共和国产品质量法》和《中华人民共和国医疗器械监督管理条例》等相关法律法规之强制性规定。</w:t>
      </w:r>
    </w:p>
    <w:p>
      <w:pPr>
        <w:pStyle w:val="null3"/>
        <w:ind w:firstLine="480"/>
        <w:jc w:val="left"/>
      </w:pPr>
      <w:r>
        <w:rPr>
          <w:sz w:val="24"/>
        </w:rPr>
        <w:t>（</w:t>
      </w:r>
      <w:r>
        <w:rPr>
          <w:sz w:val="24"/>
        </w:rPr>
        <w:t>4）</w:t>
      </w:r>
      <w:r>
        <w:rPr>
          <w:sz w:val="24"/>
        </w:rPr>
        <w:t>乙方</w:t>
      </w:r>
      <w:r>
        <w:rPr>
          <w:sz w:val="24"/>
        </w:rPr>
        <w:t>应保证仪器设备在不需要增配未列出配件（特别指出的除外）的前提下货物功能、技术标准能够达到招标文件的要求，而无须再增配未列出的配件；如</w:t>
      </w:r>
      <w:r>
        <w:rPr>
          <w:sz w:val="24"/>
        </w:rPr>
        <w:t>乙方</w:t>
      </w:r>
      <w:r>
        <w:rPr>
          <w:sz w:val="24"/>
        </w:rPr>
        <w:t>所提供的产品需要增配配件才能达到要求的，所增配的配件须由</w:t>
      </w:r>
      <w:r>
        <w:rPr>
          <w:sz w:val="24"/>
        </w:rPr>
        <w:t>乙方</w:t>
      </w:r>
      <w:r>
        <w:rPr>
          <w:sz w:val="24"/>
        </w:rPr>
        <w:t>提供，其费用包含在投标报价内。</w:t>
      </w:r>
    </w:p>
    <w:p>
      <w:pPr>
        <w:pStyle w:val="null3"/>
        <w:ind w:firstLine="480"/>
        <w:jc w:val="left"/>
      </w:pPr>
      <w:r>
        <w:rPr>
          <w:sz w:val="24"/>
        </w:rPr>
        <w:t>（</w:t>
      </w:r>
      <w:r>
        <w:rPr>
          <w:sz w:val="24"/>
        </w:rPr>
        <w:t>5）</w:t>
      </w:r>
      <w:r>
        <w:rPr>
          <w:sz w:val="24"/>
        </w:rPr>
        <w:t>乙方</w:t>
      </w:r>
      <w:r>
        <w:rPr>
          <w:sz w:val="24"/>
        </w:rPr>
        <w:t>提供的设备生产日期距到货日期不能超过</w:t>
      </w:r>
      <w:r>
        <w:rPr>
          <w:sz w:val="24"/>
        </w:rPr>
        <w:t>6个月。</w:t>
      </w:r>
    </w:p>
    <w:p>
      <w:pPr>
        <w:pStyle w:val="null3"/>
        <w:ind w:firstLine="480"/>
        <w:jc w:val="both"/>
      </w:pPr>
      <w:r>
        <w:rPr>
          <w:sz w:val="24"/>
        </w:rPr>
        <w:t>（</w:t>
      </w:r>
      <w:r>
        <w:rPr>
          <w:sz w:val="24"/>
        </w:rPr>
        <w:t>6）</w:t>
      </w:r>
      <w:r>
        <w:rPr>
          <w:sz w:val="24"/>
        </w:rPr>
        <w:t>乙方</w:t>
      </w:r>
      <w:r>
        <w:rPr>
          <w:sz w:val="24"/>
        </w:rPr>
        <w:t>须承诺</w:t>
      </w:r>
      <w:r>
        <w:rPr>
          <w:sz w:val="24"/>
        </w:rPr>
        <w:t>SPECT</w:t>
      </w:r>
      <w:r>
        <w:rPr>
          <w:sz w:val="24"/>
        </w:rPr>
        <w:t>由设备原厂提供质保服务，直至保修期结束。</w:t>
      </w:r>
    </w:p>
    <w:p>
      <w:pPr>
        <w:pStyle w:val="null3"/>
        <w:ind w:firstLine="480"/>
        <w:jc w:val="both"/>
      </w:pPr>
      <w:r>
        <w:rPr>
          <w:sz w:val="24"/>
        </w:rPr>
        <w:t>2、</w:t>
      </w:r>
      <w:r>
        <w:rPr>
          <w:sz w:val="24"/>
        </w:rPr>
        <w:t>包装、保险及运输、保管要求</w:t>
      </w:r>
    </w:p>
    <w:p>
      <w:pPr>
        <w:pStyle w:val="null3"/>
        <w:ind w:firstLine="480"/>
        <w:jc w:val="left"/>
      </w:pPr>
      <w:r>
        <w:rPr>
          <w:sz w:val="24"/>
        </w:rPr>
        <w:t>（</w:t>
      </w:r>
      <w:r>
        <w:rPr>
          <w:sz w:val="24"/>
        </w:rPr>
        <w:t>1</w:t>
      </w:r>
      <w:r>
        <w:rPr>
          <w:sz w:val="24"/>
        </w:rPr>
        <w:t>）乙方</w:t>
      </w:r>
      <w:r>
        <w:rPr>
          <w:sz w:val="24"/>
        </w:rPr>
        <w:t>负责送货至</w:t>
      </w:r>
      <w:r>
        <w:rPr>
          <w:sz w:val="24"/>
        </w:rPr>
        <w:t>甲方</w:t>
      </w:r>
      <w:r>
        <w:rPr>
          <w:sz w:val="24"/>
        </w:rPr>
        <w:t>指定地点。</w:t>
      </w:r>
    </w:p>
    <w:p>
      <w:pPr>
        <w:pStyle w:val="null3"/>
        <w:ind w:firstLine="480"/>
        <w:jc w:val="left"/>
      </w:pPr>
      <w:r>
        <w:rPr>
          <w:sz w:val="24"/>
        </w:rPr>
        <w:t>（</w:t>
      </w:r>
      <w:r>
        <w:rPr>
          <w:sz w:val="24"/>
        </w:rPr>
        <w:t>2</w:t>
      </w:r>
      <w:r>
        <w:rPr>
          <w:sz w:val="24"/>
        </w:rPr>
        <w:t>）</w:t>
      </w:r>
      <w:r>
        <w:rPr>
          <w:sz w:val="24"/>
        </w:rPr>
        <w:t>设备材料的包装应当是制造商原厂包装，其包装均应有良好的防湿、防锈、防潮、防雨、防腐及防碰撞的措施。凡由于包装不良造成的损失和由此产生的费用均由</w:t>
      </w:r>
      <w:r>
        <w:rPr>
          <w:sz w:val="24"/>
        </w:rPr>
        <w:t>乙方</w:t>
      </w:r>
      <w:r>
        <w:rPr>
          <w:sz w:val="24"/>
        </w:rPr>
        <w:t>承担。</w:t>
      </w:r>
    </w:p>
    <w:p>
      <w:pPr>
        <w:pStyle w:val="null3"/>
        <w:ind w:firstLine="480"/>
        <w:jc w:val="left"/>
      </w:pPr>
      <w:r>
        <w:rPr>
          <w:sz w:val="24"/>
        </w:rPr>
        <w:t>（</w:t>
      </w:r>
      <w:r>
        <w:rPr>
          <w:sz w:val="24"/>
        </w:rPr>
        <w:t>3</w:t>
      </w:r>
      <w:r>
        <w:rPr>
          <w:sz w:val="24"/>
        </w:rPr>
        <w:t>）乙方</w:t>
      </w:r>
      <w:r>
        <w:rPr>
          <w:sz w:val="24"/>
        </w:rPr>
        <w:t>所供货物应为制造商原装出厂，包装箱号与设备出厂批号一致。</w:t>
      </w:r>
    </w:p>
    <w:p>
      <w:pPr>
        <w:pStyle w:val="null3"/>
        <w:ind w:firstLine="480"/>
        <w:jc w:val="left"/>
      </w:pPr>
      <w:r>
        <w:rPr>
          <w:sz w:val="24"/>
        </w:rPr>
        <w:t>（</w:t>
      </w:r>
      <w:r>
        <w:rPr>
          <w:sz w:val="24"/>
        </w:rPr>
        <w:t>4</w:t>
      </w:r>
      <w:r>
        <w:rPr>
          <w:sz w:val="24"/>
        </w:rPr>
        <w:t>）乙方</w:t>
      </w:r>
      <w:r>
        <w:rPr>
          <w:sz w:val="24"/>
        </w:rPr>
        <w:t>负责将设备材料送到现场的全部运输，包括装卸车、货物现场的搬运。</w:t>
      </w:r>
    </w:p>
    <w:p>
      <w:pPr>
        <w:pStyle w:val="null3"/>
        <w:ind w:firstLine="480"/>
        <w:jc w:val="left"/>
      </w:pPr>
      <w:r>
        <w:rPr>
          <w:sz w:val="24"/>
        </w:rPr>
        <w:t>（</w:t>
      </w:r>
      <w:r>
        <w:rPr>
          <w:sz w:val="24"/>
        </w:rPr>
        <w:t>5</w:t>
      </w:r>
      <w:r>
        <w:rPr>
          <w:sz w:val="24"/>
        </w:rPr>
        <w:t>）</w:t>
      </w:r>
      <w:r>
        <w:rPr>
          <w:sz w:val="24"/>
        </w:rPr>
        <w:t>各种货物提供装箱清单，按装箱清单验收货物。</w:t>
      </w:r>
    </w:p>
    <w:p>
      <w:pPr>
        <w:pStyle w:val="null3"/>
        <w:ind w:firstLine="480"/>
        <w:jc w:val="left"/>
      </w:pPr>
      <w:r>
        <w:rPr>
          <w:sz w:val="24"/>
        </w:rPr>
        <w:t>（</w:t>
      </w:r>
      <w:r>
        <w:rPr>
          <w:sz w:val="24"/>
        </w:rPr>
        <w:t>6</w:t>
      </w:r>
      <w:r>
        <w:rPr>
          <w:sz w:val="24"/>
        </w:rPr>
        <w:t>）</w:t>
      </w:r>
      <w:r>
        <w:rPr>
          <w:sz w:val="24"/>
        </w:rPr>
        <w:t>货物在现场的保管由</w:t>
      </w:r>
      <w:r>
        <w:rPr>
          <w:sz w:val="24"/>
        </w:rPr>
        <w:t>乙方</w:t>
      </w:r>
      <w:r>
        <w:rPr>
          <w:sz w:val="24"/>
        </w:rPr>
        <w:t>负责，直至项目安装、验收完毕。</w:t>
      </w:r>
    </w:p>
    <w:p>
      <w:pPr>
        <w:pStyle w:val="null3"/>
        <w:ind w:firstLine="480"/>
        <w:jc w:val="left"/>
      </w:pPr>
      <w:r>
        <w:rPr>
          <w:sz w:val="24"/>
        </w:rPr>
        <w:t>（</w:t>
      </w:r>
      <w:r>
        <w:rPr>
          <w:sz w:val="24"/>
        </w:rPr>
        <w:t>7</w:t>
      </w:r>
      <w:r>
        <w:rPr>
          <w:sz w:val="24"/>
        </w:rPr>
        <w:t>）</w:t>
      </w:r>
      <w:r>
        <w:rPr>
          <w:sz w:val="24"/>
        </w:rPr>
        <w:t>货物在安装调试验收合格前的保险由</w:t>
      </w:r>
      <w:r>
        <w:rPr>
          <w:sz w:val="24"/>
        </w:rPr>
        <w:t>乙方</w:t>
      </w:r>
      <w:r>
        <w:rPr>
          <w:sz w:val="24"/>
        </w:rPr>
        <w:t>负责，</w:t>
      </w:r>
      <w:r>
        <w:rPr>
          <w:sz w:val="24"/>
        </w:rPr>
        <w:t>乙方</w:t>
      </w:r>
      <w:r>
        <w:rPr>
          <w:sz w:val="24"/>
        </w:rPr>
        <w:t>负责其派出的现场服务人员的人身意外保险。</w:t>
      </w:r>
    </w:p>
    <w:p>
      <w:pPr>
        <w:pStyle w:val="null3"/>
        <w:ind w:firstLine="480"/>
        <w:jc w:val="both"/>
      </w:pPr>
      <w:r>
        <w:rPr>
          <w:sz w:val="24"/>
        </w:rPr>
        <w:t>（</w:t>
      </w:r>
      <w:r>
        <w:rPr>
          <w:sz w:val="24"/>
        </w:rPr>
        <w:t>8</w:t>
      </w:r>
      <w:r>
        <w:rPr>
          <w:sz w:val="24"/>
        </w:rPr>
        <w:t>）</w:t>
      </w:r>
      <w:r>
        <w:rPr>
          <w:sz w:val="24"/>
        </w:rPr>
        <w:t>设备送至</w:t>
      </w:r>
      <w:r>
        <w:rPr>
          <w:sz w:val="24"/>
        </w:rPr>
        <w:t>甲方</w:t>
      </w:r>
      <w:r>
        <w:rPr>
          <w:sz w:val="24"/>
        </w:rPr>
        <w:t>指定的使用现场的包装、保险及发运等环节和费用均由</w:t>
      </w:r>
      <w:r>
        <w:rPr>
          <w:sz w:val="24"/>
        </w:rPr>
        <w:t>乙方</w:t>
      </w:r>
      <w:r>
        <w:rPr>
          <w:sz w:val="24"/>
        </w:rPr>
        <w:t>负责。</w:t>
      </w:r>
    </w:p>
    <w:p>
      <w:pPr>
        <w:pStyle w:val="null3"/>
        <w:ind w:firstLine="480"/>
        <w:jc w:val="both"/>
      </w:pPr>
      <w:r>
        <w:rPr>
          <w:sz w:val="24"/>
        </w:rPr>
        <w:t>3、</w:t>
      </w:r>
      <w:r>
        <w:rPr>
          <w:sz w:val="24"/>
        </w:rPr>
        <w:t>安装调试要求</w:t>
      </w:r>
    </w:p>
    <w:p>
      <w:pPr>
        <w:pStyle w:val="null3"/>
        <w:ind w:firstLine="480"/>
        <w:jc w:val="left"/>
      </w:pPr>
      <w:r>
        <w:rPr>
          <w:sz w:val="24"/>
        </w:rPr>
        <w:t>（</w:t>
      </w:r>
      <w:r>
        <w:rPr>
          <w:sz w:val="24"/>
        </w:rPr>
        <w:t>1</w:t>
      </w:r>
      <w:r>
        <w:rPr>
          <w:sz w:val="24"/>
        </w:rPr>
        <w:t>）</w:t>
      </w:r>
      <w:r>
        <w:rPr>
          <w:sz w:val="24"/>
        </w:rPr>
        <w:t>仪器设备均应配有《产品使用说明书》或《操作手册》、《合格证》和装箱清单等基本资料。</w:t>
      </w:r>
    </w:p>
    <w:p>
      <w:pPr>
        <w:pStyle w:val="null3"/>
        <w:ind w:firstLine="480"/>
        <w:jc w:val="left"/>
      </w:pPr>
      <w:r>
        <w:rPr>
          <w:sz w:val="24"/>
        </w:rPr>
        <w:t>（</w:t>
      </w:r>
      <w:r>
        <w:rPr>
          <w:sz w:val="24"/>
        </w:rPr>
        <w:t>2</w:t>
      </w:r>
      <w:r>
        <w:rPr>
          <w:sz w:val="24"/>
        </w:rPr>
        <w:t>）乙方</w:t>
      </w:r>
      <w:r>
        <w:rPr>
          <w:sz w:val="24"/>
        </w:rPr>
        <w:t>必须依照招标文件的要求和投标文件的承诺，将设备、系统安装并调试至正常运行的最佳状态。</w:t>
      </w:r>
      <w:r>
        <w:rPr>
          <w:sz w:val="24"/>
        </w:rPr>
        <w:t>乙方</w:t>
      </w:r>
      <w:r>
        <w:rPr>
          <w:sz w:val="24"/>
        </w:rPr>
        <w:t>负责送货上门、安装、调试，并试运行。</w:t>
      </w:r>
    </w:p>
    <w:p>
      <w:pPr>
        <w:pStyle w:val="null3"/>
        <w:ind w:firstLine="480"/>
        <w:jc w:val="left"/>
      </w:pPr>
      <w:r>
        <w:rPr>
          <w:sz w:val="24"/>
        </w:rPr>
        <w:t>（</w:t>
      </w:r>
      <w:r>
        <w:rPr>
          <w:sz w:val="24"/>
        </w:rPr>
        <w:t>3</w:t>
      </w:r>
      <w:r>
        <w:rPr>
          <w:sz w:val="24"/>
        </w:rPr>
        <w:t>）</w:t>
      </w:r>
      <w:r>
        <w:rPr>
          <w:sz w:val="24"/>
        </w:rPr>
        <w:t>在货物到达指定地点后，</w:t>
      </w:r>
      <w:r>
        <w:rPr>
          <w:sz w:val="24"/>
        </w:rPr>
        <w:t>乙方</w:t>
      </w:r>
      <w:r>
        <w:rPr>
          <w:sz w:val="24"/>
        </w:rPr>
        <w:t>应在</w:t>
      </w:r>
      <w:r>
        <w:rPr>
          <w:sz w:val="24"/>
        </w:rPr>
        <w:t>7天内派工程技术人员到达现场，在</w:t>
      </w:r>
      <w:r>
        <w:rPr>
          <w:sz w:val="24"/>
        </w:rPr>
        <w:t>甲方</w:t>
      </w:r>
      <w:r>
        <w:rPr>
          <w:sz w:val="24"/>
        </w:rPr>
        <w:t>验收小组、技术人员在场的情况下开箱清点货物，组织安装、调试，并承担因此发生的一切费用。</w:t>
      </w:r>
    </w:p>
    <w:p>
      <w:pPr>
        <w:pStyle w:val="null3"/>
        <w:ind w:firstLine="480"/>
        <w:jc w:val="left"/>
      </w:pPr>
      <w:r>
        <w:rPr>
          <w:sz w:val="24"/>
        </w:rPr>
        <w:t>（</w:t>
      </w:r>
      <w:r>
        <w:rPr>
          <w:sz w:val="24"/>
        </w:rPr>
        <w:t>4</w:t>
      </w:r>
      <w:r>
        <w:rPr>
          <w:sz w:val="24"/>
        </w:rPr>
        <w:t>）乙方</w:t>
      </w:r>
      <w:r>
        <w:rPr>
          <w:sz w:val="24"/>
        </w:rPr>
        <w:t>须向</w:t>
      </w:r>
      <w:r>
        <w:rPr>
          <w:sz w:val="24"/>
        </w:rPr>
        <w:t>甲方</w:t>
      </w:r>
      <w:r>
        <w:rPr>
          <w:sz w:val="24"/>
        </w:rPr>
        <w:t>提供设备的运行、安装、使用环境要求，必要时要派技术人员参与装修现场技术指导。</w:t>
      </w:r>
    </w:p>
    <w:p>
      <w:pPr>
        <w:pStyle w:val="null3"/>
        <w:ind w:firstLine="480"/>
        <w:jc w:val="both"/>
      </w:pPr>
      <w:r>
        <w:rPr>
          <w:sz w:val="24"/>
        </w:rPr>
        <w:t>（</w:t>
      </w:r>
      <w:r>
        <w:rPr>
          <w:sz w:val="24"/>
        </w:rPr>
        <w:t>5</w:t>
      </w:r>
      <w:r>
        <w:rPr>
          <w:sz w:val="24"/>
        </w:rPr>
        <w:t>）乙方</w:t>
      </w:r>
      <w:r>
        <w:rPr>
          <w:sz w:val="24"/>
        </w:rPr>
        <w:t>负责安装时须对各安装场地内的其他设备、设施有良好保护措施。</w:t>
      </w:r>
    </w:p>
    <w:p>
      <w:pPr>
        <w:pStyle w:val="null3"/>
        <w:ind w:firstLine="480"/>
        <w:jc w:val="both"/>
      </w:pPr>
      <w:r>
        <w:rPr>
          <w:sz w:val="24"/>
        </w:rPr>
        <w:t>4、</w:t>
      </w:r>
      <w:r>
        <w:rPr>
          <w:sz w:val="24"/>
        </w:rPr>
        <w:t>培训要求</w:t>
      </w:r>
    </w:p>
    <w:p>
      <w:pPr>
        <w:pStyle w:val="null3"/>
        <w:ind w:firstLine="480"/>
        <w:jc w:val="left"/>
      </w:pPr>
      <w:r>
        <w:rPr>
          <w:sz w:val="24"/>
        </w:rPr>
        <w:t>（</w:t>
      </w:r>
      <w:r>
        <w:rPr>
          <w:sz w:val="24"/>
        </w:rPr>
        <w:t>1</w:t>
      </w:r>
      <w:r>
        <w:rPr>
          <w:sz w:val="24"/>
        </w:rPr>
        <w:t>）</w:t>
      </w:r>
      <w:r>
        <w:rPr>
          <w:sz w:val="24"/>
        </w:rPr>
        <w:t>现场培训：</w:t>
      </w:r>
      <w:r>
        <w:rPr>
          <w:sz w:val="24"/>
        </w:rPr>
        <w:t>乙方</w:t>
      </w:r>
      <w:r>
        <w:rPr>
          <w:sz w:val="24"/>
        </w:rPr>
        <w:t>在设备的安装、调试、验收完毕后即进行现场培训，直至</w:t>
      </w:r>
      <w:r>
        <w:rPr>
          <w:sz w:val="24"/>
        </w:rPr>
        <w:t>甲方</w:t>
      </w:r>
      <w:r>
        <w:rPr>
          <w:sz w:val="24"/>
        </w:rPr>
        <w:t>基本掌握使用操作、维护保养技术。</w:t>
      </w:r>
    </w:p>
    <w:p>
      <w:pPr>
        <w:pStyle w:val="null3"/>
        <w:ind w:firstLine="480"/>
        <w:jc w:val="left"/>
      </w:pPr>
      <w:r>
        <w:rPr>
          <w:sz w:val="24"/>
        </w:rPr>
        <w:t>（</w:t>
      </w:r>
      <w:r>
        <w:rPr>
          <w:sz w:val="24"/>
        </w:rPr>
        <w:t>2</w:t>
      </w:r>
      <w:r>
        <w:rPr>
          <w:sz w:val="24"/>
        </w:rPr>
        <w:t>）</w:t>
      </w:r>
      <w:r>
        <w:rPr>
          <w:sz w:val="24"/>
        </w:rPr>
        <w:t>专门培训：</w:t>
      </w:r>
      <w:r>
        <w:rPr>
          <w:sz w:val="24"/>
        </w:rPr>
        <w:t>乙方</w:t>
      </w:r>
      <w:r>
        <w:rPr>
          <w:sz w:val="24"/>
        </w:rPr>
        <w:t>就设备的安装、检验、调试、使用和维护等培训</w:t>
      </w:r>
      <w:r>
        <w:rPr>
          <w:sz w:val="24"/>
        </w:rPr>
        <w:t>甲方</w:t>
      </w:r>
      <w:r>
        <w:rPr>
          <w:sz w:val="24"/>
        </w:rPr>
        <w:t>3名技术人员，直到</w:t>
      </w:r>
      <w:r>
        <w:rPr>
          <w:sz w:val="24"/>
        </w:rPr>
        <w:t>甲方</w:t>
      </w:r>
      <w:r>
        <w:rPr>
          <w:sz w:val="24"/>
        </w:rPr>
        <w:t>受训人员全部掌握运用操作、维护保养技术，并能达到正确检修、维护、排除一般故障为止。</w:t>
      </w:r>
    </w:p>
    <w:p>
      <w:pPr>
        <w:pStyle w:val="null3"/>
        <w:ind w:firstLine="480"/>
        <w:jc w:val="left"/>
      </w:pPr>
      <w:r>
        <w:rPr>
          <w:sz w:val="24"/>
        </w:rPr>
        <w:t>（</w:t>
      </w:r>
      <w:r>
        <w:rPr>
          <w:sz w:val="24"/>
        </w:rPr>
        <w:t>3</w:t>
      </w:r>
      <w:r>
        <w:rPr>
          <w:sz w:val="24"/>
        </w:rPr>
        <w:t>）</w:t>
      </w:r>
      <w:r>
        <w:rPr>
          <w:sz w:val="24"/>
        </w:rPr>
        <w:t>培训方式：技术培训、操作培训。</w:t>
      </w:r>
    </w:p>
    <w:p>
      <w:pPr>
        <w:pStyle w:val="null3"/>
        <w:ind w:firstLine="480"/>
        <w:jc w:val="both"/>
      </w:pPr>
      <w:r>
        <w:rPr>
          <w:sz w:val="24"/>
        </w:rPr>
        <w:t>（</w:t>
      </w:r>
      <w:r>
        <w:rPr>
          <w:sz w:val="24"/>
        </w:rPr>
        <w:t>4</w:t>
      </w:r>
      <w:r>
        <w:rPr>
          <w:sz w:val="24"/>
        </w:rPr>
        <w:t>）</w:t>
      </w:r>
      <w:r>
        <w:rPr>
          <w:sz w:val="24"/>
        </w:rPr>
        <w:t>培训人员、地点和时间：受训人员由</w:t>
      </w:r>
      <w:r>
        <w:rPr>
          <w:sz w:val="24"/>
        </w:rPr>
        <w:t>甲方</w:t>
      </w:r>
      <w:r>
        <w:rPr>
          <w:sz w:val="24"/>
        </w:rPr>
        <w:t>确定，培训地点和时间由双方商定，费用由</w:t>
      </w:r>
      <w:r>
        <w:rPr>
          <w:sz w:val="24"/>
        </w:rPr>
        <w:t>乙方</w:t>
      </w:r>
      <w:r>
        <w:rPr>
          <w:sz w:val="24"/>
        </w:rPr>
        <w:t>承担。</w:t>
      </w:r>
    </w:p>
    <w:p>
      <w:pPr>
        <w:pStyle w:val="null3"/>
        <w:ind w:firstLine="480"/>
        <w:jc w:val="both"/>
      </w:pPr>
      <w:r>
        <w:rPr>
          <w:sz w:val="24"/>
        </w:rPr>
        <w:t>5、SPE</w:t>
      </w:r>
      <w:r>
        <w:rPr>
          <w:sz w:val="24"/>
        </w:rPr>
        <w:t>CT机房交钥匙工程</w:t>
      </w:r>
    </w:p>
    <w:p>
      <w:pPr>
        <w:pStyle w:val="null3"/>
        <w:ind w:firstLine="480"/>
        <w:jc w:val="both"/>
      </w:pPr>
      <w:r>
        <w:rPr>
          <w:sz w:val="24"/>
        </w:rPr>
        <w:t>（</w:t>
      </w:r>
      <w:r>
        <w:rPr>
          <w:sz w:val="24"/>
        </w:rPr>
        <w:t>1）</w:t>
      </w:r>
      <w:r>
        <w:rPr>
          <w:sz w:val="24"/>
        </w:rPr>
        <w:t>乙方</w:t>
      </w:r>
      <w:r>
        <w:rPr>
          <w:sz w:val="24"/>
        </w:rPr>
        <w:t>负责包括但不限于以下工作内容：机房</w:t>
      </w:r>
      <w:r>
        <w:rPr>
          <w:sz w:val="24"/>
        </w:rPr>
        <w:t>部分内容</w:t>
      </w:r>
      <w:r>
        <w:rPr>
          <w:sz w:val="24"/>
        </w:rPr>
        <w:t>拆改</w:t>
      </w:r>
      <w:r>
        <w:rPr>
          <w:sz w:val="24"/>
        </w:rPr>
        <w:t>或增配</w:t>
      </w:r>
      <w:r>
        <w:rPr>
          <w:sz w:val="24"/>
        </w:rPr>
        <w:t>（含空调系统、消防系统、信息工程项目、监控系统、门禁系统等）、机房</w:t>
      </w:r>
      <w:r>
        <w:rPr>
          <w:sz w:val="24"/>
        </w:rPr>
        <w:t>效果</w:t>
      </w:r>
      <w:r>
        <w:rPr>
          <w:sz w:val="24"/>
        </w:rPr>
        <w:t>设计、电缆及配电建设等所有工作，并对本项目的质量、安全等全面负责，确保通过</w:t>
      </w:r>
      <w:r>
        <w:rPr>
          <w:sz w:val="24"/>
        </w:rPr>
        <w:t>职业病危害卫生评价</w:t>
      </w:r>
      <w:r>
        <w:rPr>
          <w:sz w:val="24"/>
        </w:rPr>
        <w:t>。以上费用均应包含在投标总价中，由</w:t>
      </w:r>
      <w:r>
        <w:rPr>
          <w:sz w:val="24"/>
        </w:rPr>
        <w:t>乙方</w:t>
      </w:r>
      <w:r>
        <w:rPr>
          <w:sz w:val="24"/>
        </w:rPr>
        <w:t>承担。</w:t>
      </w:r>
      <w:r>
        <w:rPr>
          <w:sz w:val="24"/>
        </w:rPr>
        <w:t>乙方</w:t>
      </w:r>
      <w:r>
        <w:rPr>
          <w:sz w:val="24"/>
        </w:rPr>
        <w:t>在施工前须向</w:t>
      </w:r>
      <w:r>
        <w:rPr>
          <w:sz w:val="24"/>
        </w:rPr>
        <w:t>甲方</w:t>
      </w:r>
      <w:r>
        <w:rPr>
          <w:sz w:val="24"/>
        </w:rPr>
        <w:t>提供机房设计的效果图、施工图、施工材料清单等进行审核，经</w:t>
      </w:r>
      <w:r>
        <w:rPr>
          <w:sz w:val="24"/>
        </w:rPr>
        <w:t>甲方</w:t>
      </w:r>
      <w:r>
        <w:rPr>
          <w:sz w:val="24"/>
        </w:rPr>
        <w:t>审核确认后方可施工，</w:t>
      </w:r>
      <w:r>
        <w:rPr>
          <w:sz w:val="24"/>
        </w:rPr>
        <w:t>乙方</w:t>
      </w:r>
      <w:r>
        <w:rPr>
          <w:sz w:val="24"/>
        </w:rPr>
        <w:t>承诺工程质量需达到国家或行业质量检验评定的合格标准，施工人员要有相关施工资质。</w:t>
      </w:r>
    </w:p>
    <w:p>
      <w:pPr>
        <w:pStyle w:val="null3"/>
        <w:ind w:firstLine="480"/>
        <w:jc w:val="both"/>
      </w:pPr>
      <w:r>
        <w:rPr>
          <w:sz w:val="24"/>
        </w:rPr>
        <w:t>（</w:t>
      </w:r>
      <w:r>
        <w:rPr>
          <w:sz w:val="24"/>
        </w:rPr>
        <w:t>2）本合同</w:t>
      </w:r>
      <w:r>
        <w:rPr>
          <w:sz w:val="24"/>
        </w:rPr>
        <w:t>SPE</w:t>
      </w:r>
      <w:r>
        <w:rPr>
          <w:sz w:val="24"/>
        </w:rPr>
        <w:t>CT机房交钥匙工程部分允许分包给有相应资质的单位实施，其他部分不得分包、转包。接受分包的单位应当具备相应资格及资质条件，且不得转包或再次分包。</w:t>
      </w:r>
      <w:r>
        <w:rPr>
          <w:sz w:val="24"/>
        </w:rPr>
        <w:t>乙方</w:t>
      </w:r>
      <w:r>
        <w:rPr>
          <w:sz w:val="24"/>
        </w:rPr>
        <w:t>应当就分包项目向</w:t>
      </w:r>
      <w:r>
        <w:rPr>
          <w:sz w:val="24"/>
        </w:rPr>
        <w:t>甲方</w:t>
      </w:r>
      <w:r>
        <w:rPr>
          <w:sz w:val="24"/>
        </w:rPr>
        <w:t>负责，接受分包的单位就分包项目与</w:t>
      </w:r>
      <w:r>
        <w:rPr>
          <w:sz w:val="24"/>
        </w:rPr>
        <w:t>乙方</w:t>
      </w:r>
      <w:r>
        <w:rPr>
          <w:sz w:val="24"/>
        </w:rPr>
        <w:t>承担连带责任。</w:t>
      </w:r>
      <w:r>
        <w:rPr>
          <w:sz w:val="24"/>
        </w:rPr>
        <w:t>乙方</w:t>
      </w:r>
      <w:r>
        <w:rPr>
          <w:sz w:val="24"/>
        </w:rPr>
        <w:t>须于合同签订前提交分包单位的资质证明文件给</w:t>
      </w:r>
      <w:r>
        <w:rPr>
          <w:sz w:val="24"/>
        </w:rPr>
        <w:t>甲方</w:t>
      </w:r>
      <w:r>
        <w:rPr>
          <w:sz w:val="24"/>
        </w:rPr>
        <w:t>备案。</w:t>
      </w:r>
    </w:p>
    <w:p>
      <w:pPr>
        <w:pStyle w:val="null3"/>
        <w:ind w:firstLine="480"/>
        <w:jc w:val="both"/>
      </w:pPr>
      <w:r>
        <w:rPr>
          <w:sz w:val="24"/>
        </w:rPr>
        <w:t>6、其他要求</w:t>
      </w:r>
    </w:p>
    <w:p>
      <w:pPr>
        <w:pStyle w:val="null3"/>
        <w:ind w:firstLine="480"/>
        <w:jc w:val="left"/>
      </w:pPr>
      <w:r>
        <w:rPr>
          <w:sz w:val="24"/>
        </w:rPr>
        <w:t>根据《放射诊疗</w:t>
      </w:r>
      <w:r>
        <w:rPr>
          <w:sz w:val="24"/>
        </w:rPr>
        <w:t>管理规定</w:t>
      </w:r>
      <w:r>
        <w:rPr>
          <w:sz w:val="24"/>
        </w:rPr>
        <w:t>》</w:t>
      </w:r>
      <w:r>
        <w:rPr>
          <w:sz w:val="24"/>
        </w:rPr>
        <w:t>等相关规定</w:t>
      </w:r>
      <w:r>
        <w:rPr>
          <w:sz w:val="24"/>
        </w:rPr>
        <w:t>，</w:t>
      </w:r>
      <w:r>
        <w:rPr>
          <w:sz w:val="24"/>
        </w:rPr>
        <w:t>乙方</w:t>
      </w:r>
      <w:r>
        <w:rPr>
          <w:sz w:val="24"/>
        </w:rPr>
        <w:t>主要完成以下工作：</w:t>
      </w:r>
    </w:p>
    <w:p>
      <w:pPr>
        <w:pStyle w:val="null3"/>
        <w:ind w:firstLine="480"/>
        <w:jc w:val="left"/>
      </w:pPr>
      <w:r>
        <w:rPr>
          <w:sz w:val="24"/>
        </w:rPr>
        <w:t>（</w:t>
      </w:r>
      <w:r>
        <w:rPr>
          <w:sz w:val="24"/>
        </w:rPr>
        <w:t>1</w:t>
      </w:r>
      <w:r>
        <w:rPr>
          <w:sz w:val="24"/>
        </w:rPr>
        <w:t>）</w:t>
      </w:r>
      <w:r>
        <w:rPr>
          <w:sz w:val="24"/>
        </w:rPr>
        <w:t>需要对</w:t>
      </w:r>
      <w:r>
        <w:rPr>
          <w:sz w:val="24"/>
        </w:rPr>
        <w:t>SPE</w:t>
      </w:r>
      <w:r>
        <w:rPr>
          <w:sz w:val="24"/>
        </w:rPr>
        <w:t>CT机房进行职业病危害放射防护控制效果评价、项目验收及放射诊疗许可办理工作(包括组织专家评审工作)</w:t>
      </w:r>
      <w:r>
        <w:rPr>
          <w:sz w:val="24"/>
        </w:rPr>
        <w:t>（</w:t>
      </w:r>
      <w:r>
        <w:rPr>
          <w:sz w:val="24"/>
        </w:rPr>
        <w:t>如需</w:t>
      </w:r>
      <w:r>
        <w:rPr>
          <w:sz w:val="24"/>
        </w:rPr>
        <w:t>）</w:t>
      </w:r>
      <w:r>
        <w:rPr>
          <w:sz w:val="24"/>
        </w:rPr>
        <w:t>；</w:t>
      </w:r>
    </w:p>
    <w:p>
      <w:pPr>
        <w:pStyle w:val="null3"/>
        <w:ind w:firstLine="480"/>
        <w:jc w:val="both"/>
      </w:pPr>
      <w:r>
        <w:rPr>
          <w:sz w:val="24"/>
        </w:rPr>
        <w:t>（</w:t>
      </w:r>
      <w:r>
        <w:rPr>
          <w:sz w:val="24"/>
        </w:rPr>
        <w:t>2</w:t>
      </w:r>
      <w:r>
        <w:rPr>
          <w:sz w:val="24"/>
        </w:rPr>
        <w:t>）</w:t>
      </w:r>
      <w:r>
        <w:rPr>
          <w:sz w:val="24"/>
        </w:rPr>
        <w:t>核技术利用建设项目环境影响评价、项目验收及辐射安全许可证办理及备案手续</w:t>
      </w:r>
      <w:r>
        <w:rPr>
          <w:sz w:val="24"/>
        </w:rPr>
        <w:t>(包括组织专家评审工作)</w:t>
      </w:r>
      <w:r>
        <w:rPr>
          <w:sz w:val="24"/>
        </w:rPr>
        <w:t>（</w:t>
      </w:r>
      <w:r>
        <w:rPr>
          <w:sz w:val="24"/>
        </w:rPr>
        <w:t>如需</w:t>
      </w:r>
      <w:r>
        <w:rPr>
          <w:sz w:val="24"/>
        </w:rPr>
        <w:t>）</w:t>
      </w:r>
      <w:r>
        <w:rPr>
          <w:sz w:val="24"/>
        </w:rPr>
        <w:t>。</w:t>
      </w:r>
    </w:p>
    <w:p>
      <w:pPr>
        <w:pStyle w:val="null3"/>
        <w:ind w:firstLine="482"/>
        <w:jc w:val="both"/>
      </w:pPr>
      <w:r>
        <w:rPr>
          <w:sz w:val="24"/>
          <w:b/>
        </w:rPr>
        <w:t>七、索赔</w:t>
      </w:r>
    </w:p>
    <w:p>
      <w:pPr>
        <w:pStyle w:val="null3"/>
        <w:ind w:firstLine="480"/>
        <w:jc w:val="both"/>
      </w:pPr>
      <w:r>
        <w:rPr>
          <w:sz w:val="24"/>
        </w:rPr>
        <w:t>设备在安装调试后未能达到乙方在投标文件中所承诺的效果，经乙方再次调试仍未能达到投标效果的，甲方有权提出索赔，并可由下列方式解决：甲方可选择由乙方在合理期限内重新安装、调试，直至达到要求为止。如甲方认为乙方无能力完成的，有权单方解除合同，并可自行选择退货或另行委托第三方进行安装和调试，但所有的费用与损失均由乙方承担。</w:t>
      </w:r>
    </w:p>
    <w:p>
      <w:pPr>
        <w:pStyle w:val="null3"/>
        <w:ind w:firstLine="482"/>
        <w:jc w:val="both"/>
      </w:pPr>
      <w:r>
        <w:rPr>
          <w:sz w:val="24"/>
          <w:b/>
        </w:rPr>
        <w:t>八、其他要求</w:t>
      </w:r>
    </w:p>
    <w:p>
      <w:pPr>
        <w:pStyle w:val="null3"/>
        <w:ind w:firstLine="480"/>
        <w:jc w:val="both"/>
      </w:pPr>
      <w:r>
        <w:rPr>
          <w:sz w:val="24"/>
        </w:rPr>
        <w:t>乙方为甲方提供下述服务：</w:t>
      </w:r>
    </w:p>
    <w:p>
      <w:pPr>
        <w:pStyle w:val="null3"/>
        <w:ind w:firstLine="480"/>
        <w:jc w:val="both"/>
      </w:pPr>
      <w:r>
        <w:rPr>
          <w:sz w:val="24"/>
        </w:rPr>
        <w:t>1、提供各分项货物所必需的维修工具；</w:t>
      </w:r>
    </w:p>
    <w:p>
      <w:pPr>
        <w:pStyle w:val="null3"/>
        <w:ind w:firstLine="480"/>
        <w:jc w:val="both"/>
      </w:pPr>
      <w:r>
        <w:rPr>
          <w:sz w:val="24"/>
        </w:rPr>
        <w:t>2、提供各分项货物的操作、维护手册（如有软件，还包括提供合法有效的软件系统服务及其更新）；</w:t>
      </w:r>
    </w:p>
    <w:p>
      <w:pPr>
        <w:pStyle w:val="null3"/>
        <w:ind w:firstLine="480"/>
        <w:jc w:val="both"/>
      </w:pPr>
      <w:r>
        <w:rPr>
          <w:sz w:val="24"/>
        </w:rPr>
        <w:t>3、为甲方培训操作维护人员，直至甲方相关人员会有效操作。</w:t>
      </w:r>
    </w:p>
    <w:p>
      <w:pPr>
        <w:pStyle w:val="null3"/>
        <w:ind w:firstLine="480"/>
        <w:jc w:val="both"/>
      </w:pPr>
      <w:r>
        <w:rPr>
          <w:sz w:val="24"/>
        </w:rPr>
        <w:t>4、凡设置了权限的产品，必须向甲方提供密码。</w:t>
      </w:r>
    </w:p>
    <w:p>
      <w:pPr>
        <w:pStyle w:val="null3"/>
        <w:ind w:firstLine="480"/>
        <w:jc w:val="both"/>
      </w:pPr>
      <w:r>
        <w:rPr>
          <w:sz w:val="24"/>
        </w:rPr>
        <w:t>5、须提供设备安装（包括设备连接、追溯）及房间场地修整等相关服务。</w:t>
      </w:r>
    </w:p>
    <w:p>
      <w:pPr>
        <w:pStyle w:val="null3"/>
        <w:ind w:firstLine="482"/>
        <w:jc w:val="both"/>
      </w:pPr>
      <w:r>
        <w:rPr>
          <w:sz w:val="24"/>
          <w:b/>
        </w:rPr>
        <w:t>九、付款方式</w:t>
      </w:r>
    </w:p>
    <w:p>
      <w:pPr>
        <w:pStyle w:val="null3"/>
        <w:ind w:firstLine="480"/>
        <w:jc w:val="both"/>
      </w:pPr>
      <w:r>
        <w:rPr>
          <w:sz w:val="24"/>
        </w:rPr>
        <w:t>第</w:t>
      </w:r>
      <w:r>
        <w:rPr>
          <w:sz w:val="24"/>
        </w:rPr>
        <w:t>1期：合同签订生效且乙方提供以下资料后，甲方在30天内向乙方预付合同总价的30%，即¥</w:t>
      </w:r>
      <w:r>
        <w:rPr>
          <w:u w:val="single"/>
        </w:rPr>
        <w:t xml:space="preserve">      </w:t>
      </w:r>
      <w:r>
        <w:rPr>
          <w:sz w:val="24"/>
        </w:rPr>
        <w:t>；</w:t>
      </w:r>
    </w:p>
    <w:p>
      <w:pPr>
        <w:pStyle w:val="null3"/>
        <w:ind w:firstLine="480"/>
        <w:jc w:val="both"/>
      </w:pPr>
      <w:r>
        <w:rPr>
          <w:sz w:val="24"/>
        </w:rPr>
        <w:t>（</w:t>
      </w:r>
      <w:r>
        <w:rPr>
          <w:sz w:val="24"/>
        </w:rPr>
        <w:t>1）合同；</w:t>
      </w:r>
    </w:p>
    <w:p>
      <w:pPr>
        <w:pStyle w:val="null3"/>
        <w:ind w:firstLine="480"/>
        <w:jc w:val="both"/>
      </w:pPr>
      <w:r>
        <w:rPr>
          <w:sz w:val="24"/>
        </w:rPr>
        <w:t>（</w:t>
      </w:r>
      <w:r>
        <w:rPr>
          <w:sz w:val="24"/>
        </w:rPr>
        <w:t>2）中标通知书；</w:t>
      </w:r>
    </w:p>
    <w:p>
      <w:pPr>
        <w:pStyle w:val="null3"/>
        <w:ind w:firstLine="480"/>
        <w:jc w:val="both"/>
      </w:pPr>
      <w:r>
        <w:rPr>
          <w:sz w:val="24"/>
        </w:rPr>
        <w:t>（</w:t>
      </w:r>
      <w:r>
        <w:rPr>
          <w:sz w:val="24"/>
        </w:rPr>
        <w:t>3）履约保证金缴纳凭证。</w:t>
      </w:r>
    </w:p>
    <w:p>
      <w:pPr>
        <w:pStyle w:val="null3"/>
        <w:ind w:firstLine="480"/>
        <w:jc w:val="both"/>
      </w:pPr>
      <w:r>
        <w:rPr>
          <w:sz w:val="24"/>
        </w:rPr>
        <w:t>第</w:t>
      </w:r>
      <w:r>
        <w:rPr>
          <w:sz w:val="24"/>
        </w:rPr>
        <w:t>2期：</w:t>
      </w:r>
      <w:r>
        <w:rPr>
          <w:sz w:val="24"/>
        </w:rPr>
        <w:t>合同货物到甲方指定地点交付并安装、调试后，乙方凭下列资料申请付款，资料交齐后，甲方在</w:t>
      </w:r>
      <w:r>
        <w:rPr>
          <w:sz w:val="24"/>
        </w:rPr>
        <w:t>30天内向乙方支付合同总价的20%</w:t>
      </w:r>
      <w:r>
        <w:rPr>
          <w:sz w:val="24"/>
        </w:rPr>
        <w:t>，即</w:t>
      </w:r>
      <w:r>
        <w:rPr>
          <w:sz w:val="24"/>
        </w:rPr>
        <w:t>¥</w:t>
      </w:r>
      <w:r>
        <w:rPr>
          <w:u w:val="single"/>
        </w:rPr>
        <w:t xml:space="preserve">      </w:t>
      </w:r>
      <w:r>
        <w:rPr>
          <w:sz w:val="24"/>
        </w:rPr>
        <w:t>；</w:t>
      </w:r>
    </w:p>
    <w:p>
      <w:pPr>
        <w:pStyle w:val="null3"/>
        <w:ind w:firstLine="480"/>
        <w:jc w:val="both"/>
      </w:pPr>
      <w:r>
        <w:rPr>
          <w:sz w:val="24"/>
        </w:rPr>
        <w:t>（</w:t>
      </w:r>
      <w:r>
        <w:rPr>
          <w:sz w:val="24"/>
        </w:rPr>
        <w:t>1）合同；</w:t>
      </w:r>
    </w:p>
    <w:p>
      <w:pPr>
        <w:pStyle w:val="null3"/>
        <w:ind w:firstLine="480"/>
        <w:jc w:val="both"/>
      </w:pPr>
      <w:r>
        <w:rPr>
          <w:sz w:val="24"/>
        </w:rPr>
        <w:t>（</w:t>
      </w:r>
      <w:r>
        <w:rPr>
          <w:sz w:val="24"/>
        </w:rPr>
        <w:t>2）原厂保修凭证材料；</w:t>
      </w:r>
    </w:p>
    <w:p>
      <w:pPr>
        <w:pStyle w:val="null3"/>
        <w:ind w:firstLine="480"/>
        <w:jc w:val="left"/>
      </w:pPr>
      <w:r>
        <w:rPr>
          <w:sz w:val="24"/>
        </w:rPr>
        <w:t>第</w:t>
      </w:r>
      <w:r>
        <w:rPr>
          <w:sz w:val="24"/>
        </w:rPr>
        <w:t>3期：合同货物试运行正常，经甲方书面验收后通知乙方，</w:t>
      </w:r>
      <w:r>
        <w:rPr>
          <w:sz w:val="24"/>
        </w:rPr>
        <w:t>乙方凭下列资料申请付款，资料交齐后，甲方在</w:t>
      </w:r>
      <w:r>
        <w:rPr>
          <w:sz w:val="24"/>
        </w:rPr>
        <w:t>2027年6月30日之前</w:t>
      </w:r>
      <w:r>
        <w:rPr>
          <w:sz w:val="24"/>
        </w:rPr>
        <w:t>向乙方支付合同总价的</w:t>
      </w:r>
      <w:r>
        <w:rPr>
          <w:sz w:val="24"/>
        </w:rPr>
        <w:t>50%，</w:t>
      </w:r>
      <w:r>
        <w:rPr>
          <w:sz w:val="24"/>
        </w:rPr>
        <w:t>即</w:t>
      </w:r>
      <w:r>
        <w:rPr>
          <w:sz w:val="24"/>
        </w:rPr>
        <w:t>¥</w:t>
      </w:r>
      <w:r>
        <w:rPr>
          <w:sz w:val="21"/>
          <w:u w:val="single"/>
        </w:rPr>
        <w:t xml:space="preserve">      </w:t>
      </w:r>
      <w:r>
        <w:rPr>
          <w:sz w:val="24"/>
        </w:rPr>
        <w:t>；</w:t>
      </w:r>
    </w:p>
    <w:p>
      <w:pPr>
        <w:pStyle w:val="null3"/>
        <w:ind w:firstLine="480"/>
        <w:jc w:val="left"/>
      </w:pPr>
      <w:r>
        <w:rPr>
          <w:sz w:val="24"/>
        </w:rPr>
        <w:t>（</w:t>
      </w:r>
      <w:r>
        <w:rPr>
          <w:sz w:val="24"/>
        </w:rPr>
        <w:t>1）合同；</w:t>
      </w:r>
    </w:p>
    <w:p>
      <w:pPr>
        <w:pStyle w:val="null3"/>
        <w:ind w:firstLine="480"/>
        <w:jc w:val="left"/>
      </w:pPr>
      <w:r>
        <w:rPr>
          <w:sz w:val="24"/>
        </w:rPr>
        <w:t>（</w:t>
      </w:r>
      <w:r>
        <w:rPr>
          <w:sz w:val="24"/>
        </w:rPr>
        <w:t>2）乙方开具的正式全额发票；</w:t>
      </w:r>
    </w:p>
    <w:p>
      <w:pPr>
        <w:pStyle w:val="null3"/>
        <w:ind w:firstLine="480"/>
        <w:jc w:val="left"/>
      </w:pPr>
      <w:r>
        <w:rPr>
          <w:sz w:val="24"/>
        </w:rPr>
        <w:t>（</w:t>
      </w:r>
      <w:r>
        <w:rPr>
          <w:sz w:val="24"/>
        </w:rPr>
        <w:t>3）建设项目竣工卫生验收认可书；</w:t>
      </w:r>
    </w:p>
    <w:p>
      <w:pPr>
        <w:pStyle w:val="null3"/>
        <w:ind w:firstLine="480"/>
        <w:jc w:val="left"/>
      </w:pPr>
      <w:r>
        <w:rPr>
          <w:sz w:val="24"/>
        </w:rPr>
        <w:t>（</w:t>
      </w:r>
      <w:r>
        <w:rPr>
          <w:sz w:val="24"/>
        </w:rPr>
        <w:t>4）经甲方书面确认的验收报告。</w:t>
      </w:r>
    </w:p>
    <w:p>
      <w:pPr>
        <w:pStyle w:val="null3"/>
        <w:ind w:firstLine="480"/>
        <w:jc w:val="left"/>
      </w:pPr>
      <w:r>
        <w:rPr>
          <w:sz w:val="24"/>
        </w:rPr>
        <w:t>如因乙方原因导致项目无法通过验收或无法顺利付款，则第</w:t>
      </w:r>
      <w:r>
        <w:rPr>
          <w:sz w:val="24"/>
        </w:rPr>
        <w:t>3期付款时间顺延。</w:t>
      </w:r>
    </w:p>
    <w:p>
      <w:pPr>
        <w:pStyle w:val="null3"/>
        <w:ind w:firstLine="480"/>
        <w:jc w:val="left"/>
      </w:pPr>
      <w:r>
        <w:rPr>
          <w:sz w:val="24"/>
          <w:b/>
        </w:rPr>
        <w:t>十、履约保证金</w:t>
      </w:r>
    </w:p>
    <w:p>
      <w:pPr>
        <w:pStyle w:val="null3"/>
        <w:ind w:firstLine="480"/>
        <w:jc w:val="both"/>
      </w:pPr>
      <w:r>
        <w:rPr>
          <w:sz w:val="24"/>
        </w:rPr>
        <w:t>1、乙方在本合同签订之前5日内向甲方提交履约保证金，金额为中标金额的</w:t>
      </w:r>
      <w:r>
        <w:rPr>
          <w:sz w:val="24"/>
        </w:rPr>
        <w:t>3</w:t>
      </w:r>
      <w:r>
        <w:rPr>
          <w:sz w:val="24"/>
        </w:rPr>
        <w:t>%，即¥</w:t>
      </w:r>
      <w:r>
        <w:rPr>
          <w:u w:val="single"/>
        </w:rPr>
        <w:t xml:space="preserve">      </w:t>
      </w:r>
      <w:r>
        <w:rPr>
          <w:sz w:val="24"/>
        </w:rPr>
        <w:t>，履约保证金采用银行转账、电汇、银行履约保函、信用担保等形式缴交。若乙方不按规定提交履约保证金，甲方将有充分的理由解除合同，给甲方造成的损失，还应当予以赔偿。</w:t>
      </w:r>
    </w:p>
    <w:p>
      <w:pPr>
        <w:pStyle w:val="null3"/>
        <w:ind w:firstLine="480"/>
        <w:jc w:val="both"/>
      </w:pPr>
      <w:r>
        <w:rPr>
          <w:sz w:val="24"/>
        </w:rPr>
        <w:t>2、保修期间无质量问题等违约违法行为、无售后服务纠纷、以及其他经济法律纠纷等情况，甲方将履约保证金无息退还给乙方。</w:t>
      </w:r>
    </w:p>
    <w:p>
      <w:pPr>
        <w:pStyle w:val="null3"/>
        <w:ind w:firstLine="480"/>
        <w:jc w:val="both"/>
      </w:pPr>
      <w:r>
        <w:rPr>
          <w:sz w:val="24"/>
        </w:rPr>
        <w:t>3、</w:t>
      </w:r>
      <w:r>
        <w:rPr>
          <w:sz w:val="24"/>
        </w:rPr>
        <w:t>乙方</w:t>
      </w:r>
      <w:r>
        <w:rPr>
          <w:sz w:val="24"/>
        </w:rPr>
        <w:t>在保修期满</w:t>
      </w:r>
      <w:r>
        <w:rPr>
          <w:sz w:val="24"/>
        </w:rPr>
        <w:t>后</w:t>
      </w:r>
      <w:r>
        <w:rPr>
          <w:sz w:val="24"/>
        </w:rPr>
        <w:t>向</w:t>
      </w:r>
      <w:r>
        <w:rPr>
          <w:sz w:val="24"/>
        </w:rPr>
        <w:t>甲方</w:t>
      </w:r>
      <w:r>
        <w:rPr>
          <w:sz w:val="24"/>
        </w:rPr>
        <w:t>书面申请退还履约保证金，待</w:t>
      </w:r>
      <w:r>
        <w:rPr>
          <w:sz w:val="24"/>
        </w:rPr>
        <w:t>甲方</w:t>
      </w:r>
      <w:r>
        <w:rPr>
          <w:sz w:val="24"/>
        </w:rPr>
        <w:t>书面确认后，</w:t>
      </w:r>
      <w:r>
        <w:rPr>
          <w:sz w:val="24"/>
        </w:rPr>
        <w:t>甲方</w:t>
      </w:r>
      <w:r>
        <w:rPr>
          <w:sz w:val="24"/>
        </w:rPr>
        <w:t>在</w:t>
      </w:r>
      <w:r>
        <w:rPr>
          <w:sz w:val="24"/>
        </w:rPr>
        <w:t>30天内将履约保证金无息退还给</w:t>
      </w:r>
      <w:r>
        <w:rPr>
          <w:sz w:val="24"/>
        </w:rPr>
        <w:t>乙方</w:t>
      </w:r>
      <w:r>
        <w:rPr>
          <w:sz w:val="24"/>
        </w:rPr>
        <w:t>。</w:t>
      </w:r>
    </w:p>
    <w:p>
      <w:pPr>
        <w:pStyle w:val="null3"/>
        <w:ind w:firstLine="482"/>
        <w:jc w:val="both"/>
      </w:pPr>
      <w:r>
        <w:rPr>
          <w:sz w:val="24"/>
          <w:b/>
        </w:rPr>
        <w:t>十</w:t>
      </w:r>
      <w:r>
        <w:rPr>
          <w:sz w:val="24"/>
          <w:b/>
        </w:rPr>
        <w:t>一</w:t>
      </w:r>
      <w:r>
        <w:rPr>
          <w:sz w:val="24"/>
          <w:b/>
        </w:rPr>
        <w:t>、验收</w:t>
      </w:r>
    </w:p>
    <w:p>
      <w:pPr>
        <w:pStyle w:val="null3"/>
        <w:ind w:firstLine="480"/>
        <w:jc w:val="both"/>
      </w:pPr>
      <w:r>
        <w:rPr>
          <w:sz w:val="24"/>
        </w:rPr>
        <w:t>1、</w:t>
      </w:r>
      <w:r>
        <w:rPr>
          <w:sz w:val="24"/>
        </w:rPr>
        <w:t>设备安装调试完成且试运行期间一切正常，则试运行期结束后</w:t>
      </w:r>
      <w:r>
        <w:rPr>
          <w:sz w:val="24"/>
        </w:rPr>
        <w:t>3个工作日内进行使用验收。试运行期为30日。</w:t>
      </w:r>
      <w:r>
        <w:rPr>
          <w:sz w:val="24"/>
        </w:rPr>
        <w:t>验收应在</w:t>
      </w:r>
      <w:r>
        <w:rPr>
          <w:sz w:val="24"/>
        </w:rPr>
        <w:t>甲方</w:t>
      </w:r>
      <w:r>
        <w:rPr>
          <w:sz w:val="24"/>
        </w:rPr>
        <w:t>和</w:t>
      </w:r>
      <w:r>
        <w:rPr>
          <w:sz w:val="24"/>
        </w:rPr>
        <w:t>乙方</w:t>
      </w:r>
      <w:r>
        <w:rPr>
          <w:sz w:val="24"/>
        </w:rPr>
        <w:t>双方共同参加下进行。</w:t>
      </w:r>
    </w:p>
    <w:p>
      <w:pPr>
        <w:pStyle w:val="null3"/>
        <w:ind w:firstLine="480"/>
        <w:jc w:val="both"/>
      </w:pPr>
      <w:r>
        <w:rPr>
          <w:sz w:val="24"/>
        </w:rPr>
        <w:t>2、</w:t>
      </w:r>
      <w:r>
        <w:rPr>
          <w:sz w:val="24"/>
        </w:rPr>
        <w:t>按照技术、服务、安全标准组织对</w:t>
      </w:r>
      <w:r>
        <w:rPr>
          <w:sz w:val="24"/>
        </w:rPr>
        <w:t>乙方</w:t>
      </w:r>
      <w:r>
        <w:rPr>
          <w:sz w:val="24"/>
        </w:rPr>
        <w:t>履约情况进行验收。验收时如发现所交付的货物有短装、次品、损坏或其他不符合本合同规定之情形者，</w:t>
      </w:r>
      <w:r>
        <w:rPr>
          <w:sz w:val="24"/>
        </w:rPr>
        <w:t>甲方</w:t>
      </w:r>
      <w:r>
        <w:rPr>
          <w:sz w:val="24"/>
        </w:rPr>
        <w:t>应做出详尽的现场记录，或由</w:t>
      </w:r>
      <w:r>
        <w:rPr>
          <w:sz w:val="24"/>
        </w:rPr>
        <w:t>甲方</w:t>
      </w:r>
      <w:r>
        <w:rPr>
          <w:sz w:val="24"/>
        </w:rPr>
        <w:t>和</w:t>
      </w:r>
      <w:r>
        <w:rPr>
          <w:sz w:val="24"/>
        </w:rPr>
        <w:t>乙方</w:t>
      </w:r>
      <w:r>
        <w:rPr>
          <w:sz w:val="24"/>
        </w:rPr>
        <w:t>双方签署备忘录。此现场记录或备忘录可用作补充、缺失和更换损坏部件的有效证据。由此产生的有关费用由</w:t>
      </w:r>
      <w:r>
        <w:rPr>
          <w:sz w:val="24"/>
        </w:rPr>
        <w:t>乙方</w:t>
      </w:r>
      <w:r>
        <w:rPr>
          <w:sz w:val="24"/>
        </w:rPr>
        <w:t>承担。</w:t>
      </w:r>
    </w:p>
    <w:p>
      <w:pPr>
        <w:pStyle w:val="null3"/>
        <w:ind w:firstLine="480"/>
        <w:jc w:val="both"/>
      </w:pPr>
      <w:r>
        <w:rPr>
          <w:sz w:val="24"/>
        </w:rPr>
        <w:t>3</w:t>
      </w:r>
      <w:r>
        <w:rPr>
          <w:sz w:val="24"/>
        </w:rPr>
        <w:t>如果合同货物运输和安装调试过程中因事故造成货物短缺、损坏，</w:t>
      </w:r>
      <w:r>
        <w:rPr>
          <w:sz w:val="24"/>
        </w:rPr>
        <w:t>乙方</w:t>
      </w:r>
      <w:r>
        <w:rPr>
          <w:sz w:val="24"/>
        </w:rPr>
        <w:t>应及时安排换货，以保证合同货物成功完整交付。换货的相关费用由</w:t>
      </w:r>
      <w:r>
        <w:rPr>
          <w:sz w:val="24"/>
        </w:rPr>
        <w:t>乙方</w:t>
      </w:r>
      <w:r>
        <w:rPr>
          <w:sz w:val="24"/>
        </w:rPr>
        <w:t>承担。</w:t>
      </w:r>
    </w:p>
    <w:p>
      <w:pPr>
        <w:pStyle w:val="null3"/>
        <w:ind w:firstLine="480"/>
        <w:jc w:val="both"/>
      </w:pPr>
      <w:r>
        <w:rPr>
          <w:sz w:val="24"/>
        </w:rPr>
        <w:t>4、</w:t>
      </w:r>
      <w:r>
        <w:rPr>
          <w:sz w:val="24"/>
        </w:rPr>
        <w:t>交货时须将使用说明书、质量检验证明书、保修单据、随配附件和工具以及清单一并附于货物内。</w:t>
      </w:r>
    </w:p>
    <w:p>
      <w:pPr>
        <w:pStyle w:val="null3"/>
        <w:ind w:firstLine="480"/>
        <w:jc w:val="both"/>
      </w:pPr>
      <w:r>
        <w:rPr>
          <w:sz w:val="24"/>
        </w:rPr>
        <w:t>5、</w:t>
      </w:r>
      <w:r>
        <w:rPr>
          <w:sz w:val="24"/>
        </w:rPr>
        <w:t>因物品的质量问题发生争议，由广东省或东莞市质量技术监督部门进行质量鉴定。货物符合质量技术标准的，鉴定费由</w:t>
      </w:r>
      <w:r>
        <w:rPr>
          <w:sz w:val="24"/>
        </w:rPr>
        <w:t>甲方</w:t>
      </w:r>
      <w:r>
        <w:rPr>
          <w:sz w:val="24"/>
        </w:rPr>
        <w:t>承担，否则鉴定费由</w:t>
      </w:r>
      <w:r>
        <w:rPr>
          <w:sz w:val="24"/>
        </w:rPr>
        <w:t>乙方</w:t>
      </w:r>
      <w:r>
        <w:rPr>
          <w:sz w:val="24"/>
        </w:rPr>
        <w:t>承担。并且</w:t>
      </w:r>
      <w:r>
        <w:rPr>
          <w:sz w:val="24"/>
        </w:rPr>
        <w:t>乙方</w:t>
      </w:r>
      <w:r>
        <w:rPr>
          <w:sz w:val="24"/>
        </w:rPr>
        <w:t>负责重新提供符合合同要求的货物给</w:t>
      </w:r>
      <w:r>
        <w:rPr>
          <w:sz w:val="24"/>
        </w:rPr>
        <w:t>甲方</w:t>
      </w:r>
      <w:r>
        <w:rPr>
          <w:sz w:val="24"/>
        </w:rPr>
        <w:t>，由此造成延期供货的，</w:t>
      </w:r>
      <w:r>
        <w:rPr>
          <w:sz w:val="24"/>
        </w:rPr>
        <w:t>乙方</w:t>
      </w:r>
      <w:r>
        <w:rPr>
          <w:sz w:val="24"/>
        </w:rPr>
        <w:t>承担延期供货的违约责任。</w:t>
      </w:r>
    </w:p>
    <w:p>
      <w:pPr>
        <w:pStyle w:val="null3"/>
        <w:ind w:firstLine="482"/>
        <w:jc w:val="both"/>
      </w:pPr>
      <w:r>
        <w:rPr>
          <w:sz w:val="24"/>
          <w:b/>
        </w:rPr>
        <w:t>十</w:t>
      </w:r>
      <w:r>
        <w:rPr>
          <w:sz w:val="24"/>
          <w:b/>
        </w:rPr>
        <w:t>二</w:t>
      </w:r>
      <w:r>
        <w:rPr>
          <w:sz w:val="24"/>
          <w:b/>
        </w:rPr>
        <w:t>、保修期、售后服务要求</w:t>
      </w:r>
    </w:p>
    <w:p>
      <w:pPr>
        <w:pStyle w:val="null3"/>
        <w:ind w:firstLine="480"/>
        <w:jc w:val="both"/>
      </w:pPr>
      <w:r>
        <w:rPr>
          <w:sz w:val="24"/>
        </w:rPr>
        <w:t>1、合同货物保修期为：全保</w:t>
      </w:r>
      <w:r>
        <w:rPr>
          <w:u w:val="single"/>
        </w:rPr>
        <w:t xml:space="preserve">       </w:t>
      </w:r>
      <w:r>
        <w:rPr>
          <w:sz w:val="24"/>
        </w:rPr>
        <w:t>年（自验收合格之日起开始计算</w:t>
      </w:r>
      <w:r>
        <w:rPr>
          <w:sz w:val="24"/>
        </w:rPr>
        <w:t>，</w:t>
      </w:r>
      <w:r>
        <w:rPr>
          <w:sz w:val="24"/>
        </w:rPr>
        <w:t>含软件升级费用且在保修期内无条件将所有软件及时更新至最新版本</w:t>
      </w:r>
      <w:r>
        <w:rPr>
          <w:sz w:val="24"/>
        </w:rPr>
        <w:t>），</w:t>
      </w:r>
      <w:r>
        <w:rPr>
          <w:sz w:val="24"/>
        </w:rPr>
        <w:t>乙方</w:t>
      </w:r>
      <w:r>
        <w:rPr>
          <w:sz w:val="24"/>
        </w:rPr>
        <w:t>须确保</w:t>
      </w:r>
      <w:r>
        <w:rPr>
          <w:sz w:val="24"/>
        </w:rPr>
        <w:t>甲方</w:t>
      </w:r>
      <w:r>
        <w:rPr>
          <w:sz w:val="24"/>
        </w:rPr>
        <w:t>所购设备的配套软件能够获得持续的后续更新支持，为</w:t>
      </w:r>
      <w:r>
        <w:rPr>
          <w:sz w:val="24"/>
        </w:rPr>
        <w:t>甲方</w:t>
      </w:r>
      <w:r>
        <w:rPr>
          <w:sz w:val="24"/>
        </w:rPr>
        <w:t>提供该软件的终身免费更新服务。保修期内</w:t>
      </w:r>
      <w:r>
        <w:rPr>
          <w:sz w:val="24"/>
        </w:rPr>
        <w:t>乙方</w:t>
      </w:r>
      <w:r>
        <w:rPr>
          <w:sz w:val="24"/>
        </w:rPr>
        <w:t>对所供货物实行包修、包换、包退、包维护保养，所有服务</w:t>
      </w:r>
      <w:r>
        <w:rPr>
          <w:sz w:val="24"/>
        </w:rPr>
        <w:t>及费用</w:t>
      </w:r>
      <w:r>
        <w:rPr>
          <w:sz w:val="24"/>
        </w:rPr>
        <w:t>由</w:t>
      </w:r>
      <w:r>
        <w:rPr>
          <w:sz w:val="24"/>
        </w:rPr>
        <w:t>乙方</w:t>
      </w:r>
      <w:r>
        <w:rPr>
          <w:sz w:val="24"/>
        </w:rPr>
        <w:t>负责，不得收取任何费用。不能修理或不能调换，均按不能交货处理，乙方应退回</w:t>
      </w:r>
      <w:r>
        <w:rPr>
          <w:sz w:val="24"/>
        </w:rPr>
        <w:t>100%设备款。</w:t>
      </w:r>
    </w:p>
    <w:p>
      <w:pPr>
        <w:pStyle w:val="null3"/>
        <w:ind w:firstLine="480"/>
        <w:jc w:val="both"/>
      </w:pPr>
      <w:r>
        <w:rPr>
          <w:sz w:val="24"/>
        </w:rPr>
        <w:t>2、由设备原厂提供保修服务，直至保修期结束。</w:t>
      </w:r>
    </w:p>
    <w:p>
      <w:pPr>
        <w:pStyle w:val="null3"/>
        <w:ind w:firstLine="480"/>
        <w:jc w:val="both"/>
      </w:pPr>
      <w:r>
        <w:rPr>
          <w:sz w:val="24"/>
        </w:rPr>
        <w:t>3、对甲方的服务通知，乙方在接报后</w:t>
      </w:r>
      <w:r>
        <w:rPr>
          <w:u w:val="single"/>
        </w:rPr>
        <w:t xml:space="preserve">       </w:t>
      </w:r>
      <w:r>
        <w:rPr>
          <w:sz w:val="24"/>
        </w:rPr>
        <w:t>小时内响应，</w:t>
      </w:r>
      <w:r>
        <w:rPr>
          <w:u w:val="single"/>
        </w:rPr>
        <w:t xml:space="preserve">       </w:t>
      </w:r>
      <w:r>
        <w:rPr>
          <w:sz w:val="24"/>
        </w:rPr>
        <w:t>小时内到达现场，</w:t>
      </w:r>
      <w:r>
        <w:rPr>
          <w:u w:val="single"/>
        </w:rPr>
        <w:t xml:space="preserve">       </w:t>
      </w:r>
      <w:r>
        <w:rPr>
          <w:sz w:val="24"/>
        </w:rPr>
        <w:t>小时内提供解决方案。直至故障设备修复，</w:t>
      </w:r>
      <w:r>
        <w:rPr>
          <w:sz w:val="24"/>
        </w:rPr>
        <w:t>乙方</w:t>
      </w:r>
      <w:r>
        <w:rPr>
          <w:sz w:val="24"/>
        </w:rPr>
        <w:t>负责所有因设备质量问题而产生的费用（如技术部分另有要求的，以技术需求为准）。</w:t>
      </w:r>
      <w:r>
        <w:rPr>
          <w:sz w:val="24"/>
        </w:rPr>
        <w:t>乙方</w:t>
      </w:r>
      <w:r>
        <w:rPr>
          <w:sz w:val="24"/>
        </w:rPr>
        <w:t>不能在规定时间内提供维修服务或处理完毕的，</w:t>
      </w:r>
      <w:r>
        <w:rPr>
          <w:sz w:val="24"/>
        </w:rPr>
        <w:t>甲方</w:t>
      </w:r>
      <w:r>
        <w:rPr>
          <w:sz w:val="24"/>
        </w:rPr>
        <w:t>有权委托第三方代为履行，发生的费用及损失由</w:t>
      </w:r>
      <w:r>
        <w:rPr>
          <w:sz w:val="24"/>
        </w:rPr>
        <w:t>乙方</w:t>
      </w:r>
      <w:r>
        <w:rPr>
          <w:sz w:val="24"/>
        </w:rPr>
        <w:t>承担。</w:t>
      </w:r>
    </w:p>
    <w:p>
      <w:pPr>
        <w:pStyle w:val="null3"/>
        <w:ind w:firstLine="480"/>
        <w:jc w:val="both"/>
      </w:pPr>
      <w:r>
        <w:rPr>
          <w:sz w:val="24"/>
        </w:rPr>
        <w:t>4、保修期内，如设备或零部件因非人为因素出现故障而造成停用超过10天，乙方需提供合格的备用机械供甲方使用，保修期相应顺延。</w:t>
      </w:r>
    </w:p>
    <w:p>
      <w:pPr>
        <w:pStyle w:val="null3"/>
        <w:ind w:firstLine="480"/>
        <w:jc w:val="both"/>
      </w:pPr>
      <w:r>
        <w:rPr>
          <w:sz w:val="24"/>
        </w:rPr>
        <w:t>乙方设备报修电话：</w:t>
      </w:r>
      <w:r>
        <w:rPr>
          <w:u w:val="single"/>
        </w:rPr>
        <w:t xml:space="preserve">       </w:t>
      </w:r>
      <w:r>
        <w:rPr>
          <w:sz w:val="24"/>
        </w:rPr>
        <w:t>，联系人：</w:t>
      </w:r>
      <w:r>
        <w:rPr>
          <w:u w:val="single"/>
        </w:rPr>
        <w:t xml:space="preserve">       </w:t>
      </w:r>
      <w:r>
        <w:rPr>
          <w:sz w:val="24"/>
        </w:rPr>
        <w:t>。</w:t>
      </w:r>
    </w:p>
    <w:p>
      <w:pPr>
        <w:pStyle w:val="null3"/>
        <w:ind w:firstLine="480"/>
        <w:jc w:val="both"/>
      </w:pPr>
      <w:r>
        <w:rPr>
          <w:sz w:val="24"/>
        </w:rPr>
        <w:t>5、乙方承诺，质保期满后设备的每年维护保养（全保）服务费用不高于合同总价的</w:t>
      </w:r>
      <w:r>
        <w:rPr>
          <w:u w:val="single"/>
        </w:rPr>
        <w:t xml:space="preserve">  </w:t>
      </w:r>
      <w:r>
        <w:rPr>
          <w:sz w:val="24"/>
        </w:rPr>
        <w:t>%/年</w:t>
      </w:r>
      <w:r>
        <w:rPr>
          <w:sz w:val="24"/>
        </w:rPr>
        <w:t>（不含第三方设备和系统）；</w:t>
      </w:r>
      <w:r>
        <w:rPr>
          <w:sz w:val="24"/>
        </w:rPr>
        <w:t>质保期满后设备的每年维护保养（全保）服务费用不高于合同总价的</w:t>
      </w:r>
      <w:r>
        <w:rPr>
          <w:u w:val="single"/>
        </w:rPr>
        <w:t xml:space="preserve">  </w:t>
      </w:r>
      <w:r>
        <w:rPr>
          <w:sz w:val="24"/>
        </w:rPr>
        <w:t>%/年</w:t>
      </w:r>
      <w:r>
        <w:rPr>
          <w:sz w:val="24"/>
        </w:rPr>
        <w:t>（含第三方设备和系统）</w:t>
      </w:r>
      <w:r>
        <w:rPr>
          <w:sz w:val="24"/>
        </w:rPr>
        <w:t>。</w:t>
      </w:r>
    </w:p>
    <w:p>
      <w:pPr>
        <w:pStyle w:val="null3"/>
        <w:ind w:firstLine="480"/>
        <w:jc w:val="both"/>
      </w:pPr>
      <w:r>
        <w:rPr>
          <w:sz w:val="24"/>
        </w:rPr>
        <w:t>6、乙方须确保甲方所购设备的配套软件能够获得持续的后续更新支持，为甲方提供该软件的终身免费更新服务。</w:t>
      </w:r>
    </w:p>
    <w:p>
      <w:pPr>
        <w:pStyle w:val="null3"/>
        <w:ind w:firstLine="482"/>
        <w:jc w:val="both"/>
      </w:pPr>
      <w:r>
        <w:rPr>
          <w:sz w:val="24"/>
          <w:b/>
        </w:rPr>
        <w:t>十</w:t>
      </w:r>
      <w:r>
        <w:rPr>
          <w:sz w:val="24"/>
          <w:b/>
        </w:rPr>
        <w:t>三</w:t>
      </w:r>
      <w:r>
        <w:rPr>
          <w:sz w:val="24"/>
          <w:b/>
        </w:rPr>
        <w:t>、违约责任</w:t>
      </w:r>
    </w:p>
    <w:p>
      <w:pPr>
        <w:pStyle w:val="null3"/>
        <w:ind w:firstLine="480"/>
        <w:jc w:val="both"/>
      </w:pPr>
      <w:r>
        <w:rPr>
          <w:sz w:val="24"/>
        </w:rPr>
        <w:t>1、无正当理由，如果乙方没有按照合同规定的时间全面适当履行合同的，甲方可要求乙方支付违约金。从逾期之日起每日按本合同总价2‰的数额向甲方支付违约金；逾期15天以上（含15天）的，甲方有权解除合同，要求乙方支付合同总价10%的违约金，并且给甲方造成的经济损失由乙方承担赔偿责任。</w:t>
      </w:r>
    </w:p>
    <w:p>
      <w:pPr>
        <w:pStyle w:val="null3"/>
        <w:ind w:firstLine="480"/>
        <w:jc w:val="both"/>
      </w:pPr>
      <w:r>
        <w:rPr>
          <w:sz w:val="24"/>
        </w:rPr>
        <w:t>2、因乙方原因导致本合同解除或是无法履行的，乙方应向甲方支付合同总价10%的违约金，违约金不足以弥补甲方损失的，乙方应另行补足。</w:t>
      </w:r>
    </w:p>
    <w:p>
      <w:pPr>
        <w:pStyle w:val="null3"/>
        <w:ind w:firstLine="480"/>
        <w:jc w:val="both"/>
      </w:pPr>
      <w:r>
        <w:rPr>
          <w:sz w:val="24"/>
        </w:rPr>
        <w:t>3、甲方有权从未支付的款项或是履约保证金中直接扣除乙方的违约金，不足的部分由乙方另行补足。合同继续履行的，乙方应及时补足履约保证金，否则甲方有权解除合同且不承担任何责任。</w:t>
      </w:r>
    </w:p>
    <w:p>
      <w:pPr>
        <w:pStyle w:val="null3"/>
        <w:ind w:firstLine="480"/>
        <w:jc w:val="both"/>
      </w:pPr>
      <w:r>
        <w:rPr>
          <w:sz w:val="24"/>
        </w:rPr>
        <w:t>4、无正当理由甲方逾期付款，则每日按合同总价2‰向乙方偿付违约金。</w:t>
      </w:r>
    </w:p>
    <w:p>
      <w:pPr>
        <w:pStyle w:val="null3"/>
        <w:ind w:firstLine="480"/>
        <w:jc w:val="both"/>
      </w:pPr>
      <w:r>
        <w:rPr>
          <w:sz w:val="24"/>
        </w:rPr>
        <w:t>5、本合同的损失包括直接损失、若合同履行后可期待的利益损失，第三方索赔损失。</w:t>
      </w:r>
    </w:p>
    <w:p>
      <w:pPr>
        <w:pStyle w:val="null3"/>
        <w:ind w:firstLine="480"/>
        <w:jc w:val="both"/>
      </w:pPr>
      <w:r>
        <w:rPr>
          <w:sz w:val="24"/>
        </w:rPr>
        <w:t>6、因乙方违约，甲方支付的包括但不限于维权所花费的诉讼费、律师费、财产保全费及担保费、差旅费、交通费、通讯费等费用由乙方承担。</w:t>
      </w:r>
    </w:p>
    <w:p>
      <w:pPr>
        <w:pStyle w:val="null3"/>
        <w:ind w:firstLine="482"/>
        <w:jc w:val="both"/>
      </w:pPr>
      <w:r>
        <w:rPr>
          <w:sz w:val="24"/>
          <w:b/>
        </w:rPr>
        <w:t>十</w:t>
      </w:r>
      <w:r>
        <w:rPr>
          <w:sz w:val="24"/>
          <w:b/>
        </w:rPr>
        <w:t>四</w:t>
      </w:r>
      <w:r>
        <w:rPr>
          <w:sz w:val="24"/>
          <w:b/>
        </w:rPr>
        <w:t>、争议的解决</w:t>
      </w:r>
    </w:p>
    <w:p>
      <w:pPr>
        <w:pStyle w:val="null3"/>
        <w:ind w:firstLine="480"/>
        <w:jc w:val="both"/>
      </w:pPr>
      <w:r>
        <w:rPr>
          <w:sz w:val="24"/>
        </w:rPr>
        <w:t>1、凡与本合同有关而引起的一切争议，甲乙双方应首先通过友好协商解决。如自协商开始之日起15日内得不到解决，双方应将争议提交同级政府采购监督管理部门调解。调解不成的，可向甲方所在地有管辖权的人民法院提起诉讼。</w:t>
      </w:r>
    </w:p>
    <w:p>
      <w:pPr>
        <w:pStyle w:val="null3"/>
        <w:ind w:firstLine="480"/>
        <w:jc w:val="both"/>
      </w:pPr>
      <w:r>
        <w:rPr>
          <w:sz w:val="24"/>
        </w:rPr>
        <w:t>2、在进行法院审理期间，除提交法院审理的事项外，合同其他部分仍继续履行。</w:t>
      </w:r>
    </w:p>
    <w:p>
      <w:pPr>
        <w:pStyle w:val="null3"/>
        <w:ind w:firstLine="480"/>
        <w:jc w:val="both"/>
      </w:pPr>
      <w:r>
        <w:rPr>
          <w:sz w:val="24"/>
        </w:rPr>
        <w:t>3、本合同及其相关协议的签订履行过程中的解释及产生纠纷后法院的审理依据，均适用中华人民共和国的法律。</w:t>
      </w:r>
    </w:p>
    <w:p>
      <w:pPr>
        <w:pStyle w:val="null3"/>
        <w:ind w:firstLine="482"/>
        <w:jc w:val="both"/>
      </w:pPr>
      <w:r>
        <w:rPr>
          <w:sz w:val="24"/>
          <w:b/>
        </w:rPr>
        <w:t>十</w:t>
      </w:r>
      <w:r>
        <w:rPr>
          <w:sz w:val="24"/>
          <w:b/>
        </w:rPr>
        <w:t>五</w:t>
      </w:r>
      <w:r>
        <w:rPr>
          <w:sz w:val="24"/>
          <w:b/>
        </w:rPr>
        <w:t>、知识产权</w:t>
      </w:r>
    </w:p>
    <w:p>
      <w:pPr>
        <w:pStyle w:val="null3"/>
        <w:ind w:firstLine="480"/>
        <w:jc w:val="both"/>
      </w:pPr>
      <w:r>
        <w:rPr>
          <w:sz w:val="24"/>
        </w:rPr>
        <w:t>1、乙方应保证，甲方在中华人民共和国使用货物或货物的任何一部分时，甲方免受第三方提出侵其专利权、商标权或其它知识产权的起诉。否则，所有费用和损失均由乙方承担。</w:t>
      </w:r>
    </w:p>
    <w:p>
      <w:pPr>
        <w:pStyle w:val="null3"/>
        <w:ind w:firstLine="480"/>
        <w:jc w:val="both"/>
      </w:pPr>
      <w:r>
        <w:rPr>
          <w:sz w:val="24"/>
        </w:rPr>
        <w:t>2、合同总价应已包括所有应支付的对专利权和版权、设计或其他知识产权而需要向其他方支付的版税及使用费用。</w:t>
      </w:r>
    </w:p>
    <w:p>
      <w:pPr>
        <w:pStyle w:val="null3"/>
        <w:ind w:firstLine="482"/>
        <w:jc w:val="both"/>
      </w:pPr>
      <w:r>
        <w:rPr>
          <w:sz w:val="24"/>
          <w:b/>
        </w:rPr>
        <w:t>十</w:t>
      </w:r>
      <w:r>
        <w:rPr>
          <w:sz w:val="24"/>
          <w:b/>
        </w:rPr>
        <w:t>六</w:t>
      </w:r>
      <w:r>
        <w:rPr>
          <w:sz w:val="24"/>
          <w:b/>
        </w:rPr>
        <w:t>、合同的转让和分包</w:t>
      </w:r>
    </w:p>
    <w:p>
      <w:pPr>
        <w:pStyle w:val="null3"/>
        <w:ind w:firstLine="480"/>
        <w:jc w:val="both"/>
      </w:pPr>
      <w:r>
        <w:rPr>
          <w:sz w:val="24"/>
        </w:rPr>
        <w:t>1、本合同为总承包合同，不能</w:t>
      </w:r>
      <w:r>
        <w:rPr>
          <w:sz w:val="24"/>
        </w:rPr>
        <w:t>未经甲方同意</w:t>
      </w:r>
      <w:r>
        <w:rPr>
          <w:sz w:val="24"/>
        </w:rPr>
        <w:t>进行分包；否则视为乙方严重违约。</w:t>
      </w:r>
    </w:p>
    <w:p>
      <w:pPr>
        <w:pStyle w:val="null3"/>
        <w:ind w:firstLine="480"/>
        <w:jc w:val="both"/>
      </w:pPr>
      <w:r>
        <w:rPr>
          <w:sz w:val="24"/>
        </w:rPr>
        <w:t>2、乙方不得部分转让或全部转让其应履行的合同义务。如甲方发现乙方转包或分包证据，乙方立刻失去继续供货资格，甲方不再付款。否则，视为乙方严重违约。</w:t>
      </w:r>
    </w:p>
    <w:p>
      <w:pPr>
        <w:pStyle w:val="null3"/>
        <w:ind w:firstLine="482"/>
        <w:jc w:val="both"/>
      </w:pPr>
      <w:r>
        <w:rPr>
          <w:sz w:val="24"/>
          <w:b/>
        </w:rPr>
        <w:t>十</w:t>
      </w:r>
      <w:r>
        <w:rPr>
          <w:sz w:val="24"/>
          <w:b/>
        </w:rPr>
        <w:t>七</w:t>
      </w:r>
      <w:r>
        <w:rPr>
          <w:sz w:val="24"/>
          <w:b/>
        </w:rPr>
        <w:t>、不可抗力</w:t>
      </w:r>
    </w:p>
    <w:p>
      <w:pPr>
        <w:pStyle w:val="null3"/>
        <w:ind w:firstLine="480"/>
        <w:jc w:val="both"/>
      </w:pPr>
      <w:r>
        <w:rPr>
          <w:sz w:val="24"/>
        </w:rPr>
        <w:t>甲乙双方的任何一方由于不可抗力不能履行或不能完全履行合同时，应及时向对方通报不能履行或不能完全履行的理由，在取得有关机构证明后，允许延期履行、部分履行或者不履行合同，并根据情况可以部分或全部免于承担违约责任。</w:t>
      </w:r>
    </w:p>
    <w:p>
      <w:pPr>
        <w:pStyle w:val="null3"/>
        <w:ind w:firstLine="482"/>
        <w:jc w:val="both"/>
      </w:pPr>
      <w:r>
        <w:rPr>
          <w:sz w:val="24"/>
          <w:b/>
        </w:rPr>
        <w:t>十</w:t>
      </w:r>
      <w:r>
        <w:rPr>
          <w:sz w:val="24"/>
          <w:b/>
        </w:rPr>
        <w:t>八</w:t>
      </w:r>
      <w:r>
        <w:rPr>
          <w:sz w:val="24"/>
          <w:b/>
        </w:rPr>
        <w:t>、税和关税</w:t>
      </w:r>
    </w:p>
    <w:p>
      <w:pPr>
        <w:pStyle w:val="null3"/>
        <w:ind w:firstLine="480"/>
        <w:jc w:val="both"/>
      </w:pPr>
      <w:r>
        <w:rPr>
          <w:sz w:val="24"/>
        </w:rPr>
        <w:t>1、中国政府根据现行税法规定对乙方或其雇员征收的与本合同有关的一切税费应由乙方负担。</w:t>
      </w:r>
    </w:p>
    <w:p>
      <w:pPr>
        <w:pStyle w:val="null3"/>
        <w:ind w:firstLine="480"/>
        <w:jc w:val="both"/>
      </w:pPr>
      <w:r>
        <w:rPr>
          <w:sz w:val="24"/>
        </w:rPr>
        <w:t>2、在中国境外发生的与本合同执行有关的一切税费均应由乙方负担。</w:t>
      </w:r>
    </w:p>
    <w:p>
      <w:pPr>
        <w:pStyle w:val="null3"/>
        <w:ind w:firstLine="482"/>
        <w:jc w:val="both"/>
      </w:pPr>
      <w:r>
        <w:rPr>
          <w:sz w:val="24"/>
          <w:b/>
        </w:rPr>
        <w:t>十九</w:t>
      </w:r>
      <w:r>
        <w:rPr>
          <w:sz w:val="24"/>
          <w:b/>
        </w:rPr>
        <w:t>、廉政条款</w:t>
      </w:r>
    </w:p>
    <w:p>
      <w:pPr>
        <w:pStyle w:val="null3"/>
        <w:ind w:firstLine="480"/>
        <w:jc w:val="both"/>
      </w:pPr>
      <w:r>
        <w:rPr>
          <w:sz w:val="24"/>
        </w:rPr>
        <w:t>乙方保证，乙方在与甲方签署及履行本合同的过程中，绝不以任何直接或间接的方式，向甲方、甲方工作人员及亲属和关系人支付佣金、提成、中介费或其他任何形式的报酬。如有违反，甲方有权立即终止或解除合同，并直接从应付乙方的货款中扣除由此给甲方所造成的损失。除赔偿甲方损失外，乙方还应向甲方另行支付相当于不正当利益输送金额的十倍的违约金。此外，乙方应全力配合甲方查处受贿人员。</w:t>
      </w:r>
    </w:p>
    <w:p>
      <w:pPr>
        <w:pStyle w:val="null3"/>
        <w:ind w:firstLine="482"/>
        <w:jc w:val="both"/>
      </w:pPr>
      <w:r>
        <w:rPr>
          <w:sz w:val="24"/>
          <w:b/>
        </w:rPr>
        <w:t>二十、合同生效</w:t>
      </w:r>
    </w:p>
    <w:p>
      <w:pPr>
        <w:pStyle w:val="null3"/>
        <w:ind w:firstLine="480"/>
        <w:jc w:val="both"/>
      </w:pPr>
      <w:r>
        <w:rPr>
          <w:sz w:val="24"/>
        </w:rPr>
        <w:t>本合同经双方授权代表签字盖章后生效，生效日以最后一个签字盖章日为准。</w:t>
      </w:r>
    </w:p>
    <w:p>
      <w:pPr>
        <w:pStyle w:val="null3"/>
        <w:ind w:firstLine="482"/>
        <w:jc w:val="both"/>
      </w:pPr>
      <w:r>
        <w:rPr>
          <w:sz w:val="24"/>
          <w:b/>
        </w:rPr>
        <w:t>二十一、其它</w:t>
      </w:r>
    </w:p>
    <w:p>
      <w:pPr>
        <w:pStyle w:val="null3"/>
        <w:ind w:firstLine="480"/>
        <w:jc w:val="both"/>
      </w:pPr>
      <w:r>
        <w:rPr>
          <w:sz w:val="24"/>
        </w:rPr>
        <w:t>1、本合同所包括的招标文件、投标文件、中标通知书及合同附件（包括但不限于“四、货物产地及标准” 中序号2-4项资料），是本合同不可分割的一部分，具有同等的法律效力。</w:t>
      </w:r>
    </w:p>
    <w:p>
      <w:pPr>
        <w:pStyle w:val="null3"/>
        <w:ind w:firstLine="480"/>
        <w:jc w:val="both"/>
      </w:pPr>
      <w:r>
        <w:rPr>
          <w:sz w:val="24"/>
        </w:rPr>
        <w:t>2、在执行本合同的过程中，所有经甲乙双方签署确认的文件（包括会议纪要、补充协议、往来信函）即成为本合同的有效组成部分，其生效日期为双方签字盖章或确认之日期。</w:t>
      </w:r>
    </w:p>
    <w:p>
      <w:pPr>
        <w:pStyle w:val="null3"/>
        <w:ind w:firstLine="480"/>
        <w:jc w:val="both"/>
      </w:pPr>
      <w:r>
        <w:rPr>
          <w:sz w:val="24"/>
        </w:rPr>
        <w:t>3、除甲方事先书面同意外，乙方不得部分或全部转让其应履行的合同项下的义务。</w:t>
      </w:r>
    </w:p>
    <w:p>
      <w:pPr>
        <w:pStyle w:val="null3"/>
        <w:ind w:firstLine="480"/>
        <w:jc w:val="both"/>
      </w:pPr>
      <w:r>
        <w:rPr>
          <w:sz w:val="24"/>
        </w:rPr>
        <w:t>4、本合同一式</w:t>
      </w:r>
      <w:r>
        <w:rPr>
          <w:sz w:val="24"/>
        </w:rPr>
        <w:t>叁</w:t>
      </w:r>
      <w:r>
        <w:rPr>
          <w:sz w:val="24"/>
        </w:rPr>
        <w:t>份，甲方执贰份，乙方执壹份，具有同等法律效力。本合同合计页</w:t>
      </w:r>
      <w:r>
        <w:rPr>
          <w:sz w:val="24"/>
        </w:rPr>
        <w:t>A4纸张，缺页之合同为无效合同。</w:t>
      </w:r>
    </w:p>
    <w:p>
      <w:pPr>
        <w:pStyle w:val="null3"/>
        <w:ind w:firstLine="480"/>
        <w:jc w:val="both"/>
      </w:pPr>
      <w:r>
        <w:rPr>
          <w:sz w:val="24"/>
        </w:rPr>
        <w:t>5、合同附件：《配置清单》。</w:t>
      </w:r>
    </w:p>
    <w:p>
      <w:pPr>
        <w:pStyle w:val="null3"/>
        <w:jc w:val="center"/>
      </w:pPr>
      <w:r>
        <w:rPr>
          <w:sz w:val="24"/>
        </w:rPr>
        <w:t>（以下无正文）</w:t>
      </w:r>
    </w:p>
    <w:p>
      <w:pPr>
        <w:pStyle w:val="null3"/>
        <w:ind w:firstLine="480"/>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063"/>
        <w:gridCol w:w="4243"/>
      </w:tblGrid>
      <w:tr>
        <w:tc>
          <w:tcPr>
            <w:tcW w:type="dxa" w:w="406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甲方（盖章）：东莞市东南部中心医院</w:t>
            </w:r>
          </w:p>
        </w:tc>
        <w:tc>
          <w:tcPr>
            <w:tcW w:type="dxa" w:w="424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 xml:space="preserve"> </w:t>
            </w:r>
            <w:r>
              <w:rPr>
                <w:sz w:val="24"/>
              </w:rPr>
              <w:t>乙方（盖章）：</w:t>
            </w:r>
          </w:p>
        </w:tc>
      </w:tr>
      <w:tr>
        <w:tc>
          <w:tcPr>
            <w:tcW w:type="dxa" w:w="406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甲方代表（签字）：</w:t>
            </w:r>
          </w:p>
        </w:tc>
        <w:tc>
          <w:tcPr>
            <w:tcW w:type="dxa" w:w="424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 xml:space="preserve"> </w:t>
            </w:r>
            <w:r>
              <w:rPr>
                <w:sz w:val="24"/>
              </w:rPr>
              <w:t>乙方代表（签字）：</w:t>
            </w:r>
          </w:p>
        </w:tc>
      </w:tr>
      <w:tr>
        <w:tc>
          <w:tcPr>
            <w:tcW w:type="dxa" w:w="406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地址：东莞市塘厦镇蛟坪路</w:t>
            </w:r>
            <w:r>
              <w:rPr>
                <w:sz w:val="24"/>
              </w:rPr>
              <w:t>42号</w:t>
            </w:r>
          </w:p>
        </w:tc>
        <w:tc>
          <w:tcPr>
            <w:tcW w:type="dxa" w:w="424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 xml:space="preserve"> </w:t>
            </w:r>
            <w:r>
              <w:rPr>
                <w:sz w:val="24"/>
              </w:rPr>
              <w:t>地址：</w:t>
            </w:r>
          </w:p>
        </w:tc>
      </w:tr>
      <w:tr>
        <w:tc>
          <w:tcPr>
            <w:tcW w:type="dxa" w:w="406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424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 xml:space="preserve"> </w:t>
            </w:r>
            <w:r>
              <w:rPr>
                <w:sz w:val="24"/>
              </w:rPr>
              <w:t>电话：</w:t>
            </w:r>
          </w:p>
        </w:tc>
      </w:tr>
      <w:tr>
        <w:tc>
          <w:tcPr>
            <w:tcW w:type="dxa" w:w="406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开户银行：中国邮政储蓄银行股份有限公司东莞市塘厦支行</w:t>
            </w:r>
          </w:p>
        </w:tc>
        <w:tc>
          <w:tcPr>
            <w:tcW w:type="dxa" w:w="424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 xml:space="preserve"> </w:t>
            </w:r>
            <w:r>
              <w:rPr>
                <w:sz w:val="24"/>
              </w:rPr>
              <w:t>开户银行：</w:t>
            </w:r>
          </w:p>
        </w:tc>
      </w:tr>
      <w:tr>
        <w:tc>
          <w:tcPr>
            <w:tcW w:type="dxa" w:w="406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r>
              <w:rPr>
                <w:sz w:val="24"/>
              </w:rPr>
              <w:t>944008010003979002</w:t>
            </w:r>
          </w:p>
        </w:tc>
        <w:tc>
          <w:tcPr>
            <w:tcW w:type="dxa" w:w="424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 xml:space="preserve"> </w:t>
            </w:r>
            <w:r>
              <w:rPr>
                <w:sz w:val="24"/>
              </w:rPr>
              <w:t>账号：</w:t>
            </w:r>
          </w:p>
        </w:tc>
      </w:tr>
      <w:tr>
        <w:tc>
          <w:tcPr>
            <w:tcW w:type="dxa" w:w="406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签约时间：</w:t>
            </w:r>
          </w:p>
        </w:tc>
        <w:tc>
          <w:tcPr>
            <w:tcW w:type="dxa" w:w="424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 xml:space="preserve"> </w:t>
            </w:r>
            <w:r>
              <w:rPr>
                <w:sz w:val="24"/>
              </w:rPr>
              <w:t>签约时间：</w:t>
            </w:r>
          </w:p>
        </w:tc>
      </w:tr>
    </w:tbl>
    <w:p>
      <w:pPr>
        <w:pStyle w:val="null3"/>
        <w:jc w:val="both"/>
      </w:pPr>
      <w:r>
        <w:rPr/>
        <w:t xml:space="preserve"> </w:t>
      </w:r>
    </w:p>
    <w:p>
      <w:pPr>
        <w:pStyle w:val="null3"/>
        <w:jc w:val="both"/>
      </w:pPr>
      <w:r>
        <w:rPr>
          <w:sz w:val="24"/>
        </w:rPr>
        <w:t>附件：配置清单</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货物名称</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品牌</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原产地</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u w:val="single"/>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u w:val="single"/>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请与投标文件一致</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ind w:firstLine="482"/>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441901-2026-04031</w:t>
      </w:r>
    </w:p>
    <w:p>
      <w:pPr>
        <w:pStyle w:val="null3"/>
        <w:jc w:val="center"/>
        <w:outlineLvl w:val="3"/>
      </w:pPr>
      <w:r>
        <w:rPr>
          <w:sz w:val="24"/>
          <w:b/>
        </w:rPr>
        <w:t>采购项目编号：</w:t>
      </w:r>
      <w:r>
        <w:rPr>
          <w:sz w:val="24"/>
          <w:b/>
        </w:rPr>
        <w:t>GDYW2026008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中新工程咨询（广东）有限公司</w:t>
      </w:r>
    </w:p>
    <w:p>
      <w:pPr>
        <w:pStyle w:val="null3"/>
        <w:ind w:firstLine="480"/>
      </w:pPr>
      <w:r>
        <w:rPr/>
        <w:t xml:space="preserve"> 你方组织的</w:t>
      </w:r>
      <w:r>
        <w:rPr>
          <w:u w:val="single"/>
        </w:rPr>
        <w:t>“</w:t>
      </w:r>
      <w:r>
        <w:rPr>
          <w:u w:val="single"/>
        </w:rPr>
        <w:t>单光子发射及X射线计算机断层成像系统（SPECT/CT）设备采购项目</w:t>
      </w:r>
      <w:r>
        <w:rPr>
          <w:u w:val="single"/>
        </w:rPr>
        <w:t>”</w:t>
      </w:r>
      <w:r>
        <w:rPr/>
        <w:t>项目的招标[采购项目编号为：</w:t>
      </w:r>
      <w:r>
        <w:rPr>
          <w:u w:val="single"/>
        </w:rPr>
        <w:t>GDYW2026008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单光子发射及X射线计算机断层成像系统（SPECT/CT）设备采购项目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中新工程咨询（广东）有限公司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单光子发射及X射线计算机断层成像系统（SPECT/CT）设备采购项目</w:t>
      </w:r>
      <w:r>
        <w:rPr/>
        <w:t>”项目采购[采购项目编号为</w:t>
      </w:r>
      <w:r>
        <w:rPr/>
        <w:t>GDYW2026008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东莞市东南部中心医院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中新工程咨询（广东）有限公司</w:t>
      </w:r>
    </w:p>
    <w:p>
      <w:pPr>
        <w:pStyle w:val="null3"/>
        <w:ind w:firstLine="480"/>
      </w:pPr>
      <w:r>
        <w:rPr/>
        <w:t xml:space="preserve"> 如果我方在贵采购代理机构组织的</w:t>
      </w:r>
      <w:r>
        <w:rPr/>
        <w:t>单光子发射及X射线计算机断层成像系统（SPECT/CT）设备采购项目</w:t>
      </w:r>
      <w:r>
        <w:rPr/>
        <w:t>招标中获中标（采购项目编号：</w:t>
      </w:r>
      <w:r>
        <w:rPr/>
        <w:t>GDYW2026008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中新工程咨询（广东）有限公司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中新工程咨询（广东）有限公司</w:t>
      </w:r>
    </w:p>
    <w:p>
      <w:pPr>
        <w:pStyle w:val="null3"/>
        <w:ind w:firstLine="480"/>
      </w:pPr>
      <w:r>
        <w:rPr/>
        <w:t>我单位已登记并准备参与“</w:t>
      </w:r>
      <w:r>
        <w:rPr/>
        <w:t>单光子发射及X射线计算机断层成像系统（SPECT/CT）设备采购项目</w:t>
      </w:r>
      <w:r>
        <w:rPr/>
        <w:t>”项目（采购项目编号：</w:t>
      </w:r>
      <w:r>
        <w:rPr/>
        <w:t>GDYW2026008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