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440701-2026-01260</w:t>
      </w:r>
    </w:p>
    <w:p>
      <w:pPr>
        <w:pStyle w:val="null3"/>
        <w:jc w:val="center"/>
        <w:outlineLvl w:val="3"/>
      </w:pPr>
      <w:r>
        <w:rPr>
          <w:sz w:val="24"/>
          <w:b/>
        </w:rPr>
        <w:t>采购项目编号：</w:t>
      </w:r>
      <w:r>
        <w:rPr>
          <w:sz w:val="24"/>
          <w:b/>
        </w:rPr>
        <w:t>JM2026-A061（WYUZB2026-051HW）</w:t>
      </w:r>
    </w:p>
    <w:p>
      <w:pPr>
        <w:pStyle w:val="null3"/>
        <w:jc w:val="center"/>
        <w:outlineLvl w:val="3"/>
      </w:pPr>
      <w:r>
        <w:rPr>
          <w:sz w:val="24"/>
          <w:b/>
        </w:rPr>
        <w:t>项目名称：</w:t>
      </w:r>
      <w:r>
        <w:rPr>
          <w:sz w:val="24"/>
          <w:b/>
        </w:rPr>
        <w:t>“向荣国际财经学堂”创新实训中心建设项目—云终端等设备采购</w:t>
      </w:r>
    </w:p>
    <w:p>
      <w:pPr>
        <w:pStyle w:val="null3"/>
        <w:jc w:val="center"/>
        <w:outlineLvl w:val="3"/>
      </w:pPr>
      <w:r>
        <w:rPr>
          <w:sz w:val="24"/>
          <w:b/>
        </w:rPr>
        <w:t>采购人：</w:t>
      </w:r>
      <w:r>
        <w:rPr>
          <w:sz w:val="24"/>
          <w:b/>
        </w:rPr>
        <w:t>五邑大学</w:t>
      </w:r>
    </w:p>
    <w:p>
      <w:pPr>
        <w:pStyle w:val="null3"/>
        <w:jc w:val="center"/>
        <w:outlineLvl w:val="3"/>
      </w:pPr>
      <w:r>
        <w:rPr>
          <w:sz w:val="24"/>
          <w:b/>
        </w:rPr>
        <w:t>采购代理机构：</w:t>
      </w:r>
      <w:r>
        <w:rPr>
          <w:sz w:val="24"/>
          <w:b/>
        </w:rPr>
        <w:t>江门市政府采购中心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江门市政府采购中心</w:t>
      </w:r>
      <w:r>
        <w:rPr/>
        <w:t>受</w:t>
      </w:r>
      <w:r>
        <w:rPr/>
        <w:t>五邑大学</w:t>
      </w:r>
      <w:r>
        <w:rPr/>
        <w:t>的委托，采用</w:t>
      </w:r>
      <w:r>
        <w:rPr/>
        <w:t>公开招标</w:t>
      </w:r>
      <w:r>
        <w:rPr/>
        <w:t>方式组织采购</w:t>
      </w:r>
      <w:r>
        <w:rPr/>
        <w:t>“向荣国际财经学堂”创新实训中心建设项目—云终端等设备采购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“向荣国际财经学堂”创新实训中心建设项目—云终端等设备采购</w:t>
      </w:r>
    </w:p>
    <w:p>
      <w:pPr>
        <w:pStyle w:val="null3"/>
        <w:ind w:firstLine="480"/>
      </w:pPr>
      <w:r>
        <w:rPr/>
        <w:t>采购计划编号：</w:t>
      </w:r>
      <w:r>
        <w:rPr/>
        <w:t>440701-2026-01260</w:t>
      </w:r>
    </w:p>
    <w:p>
      <w:pPr>
        <w:pStyle w:val="null3"/>
        <w:ind w:firstLine="480"/>
      </w:pPr>
      <w:r>
        <w:rPr/>
        <w:t>采购项目编号：</w:t>
      </w:r>
      <w:r>
        <w:rPr/>
        <w:t>JM2026-A061（WYUZB2026-051HW）</w:t>
      </w:r>
    </w:p>
    <w:p>
      <w:pPr>
        <w:pStyle w:val="null3"/>
        <w:ind w:firstLine="480"/>
      </w:pPr>
      <w:r>
        <w:rPr/>
        <w:t>采购方式：</w:t>
      </w:r>
      <w:r>
        <w:rPr/>
        <w:t>公开招标</w:t>
      </w:r>
    </w:p>
    <w:p>
      <w:pPr>
        <w:pStyle w:val="null3"/>
        <w:ind w:firstLine="480"/>
      </w:pPr>
      <w:r>
        <w:rPr/>
        <w:t>预算金额：</w:t>
      </w:r>
      <w:r>
        <w:rPr/>
        <w:t>1,708,850.00</w:t>
      </w:r>
      <w:r>
        <w:rPr/>
        <w:t>元</w:t>
      </w:r>
    </w:p>
    <w:p>
      <w:pPr>
        <w:pStyle w:val="null3"/>
        <w:outlineLvl w:val="3"/>
      </w:pPr>
      <w:r>
        <w:rPr>
          <w:sz w:val="24"/>
          <w:b/>
        </w:rPr>
        <w:t>2.项目内容及需求情况（采购项目技术规格、参数及要求）</w:t>
      </w:r>
    </w:p>
    <w:p>
      <w:pPr>
        <w:pStyle w:val="null3"/>
      </w:pPr>
      <w:r>
        <w:rPr/>
        <w:t>采购包1(“向荣国际财经学堂”创新实训中心建设项目—云终端等设备采购):</w:t>
      </w:r>
    </w:p>
    <w:p>
      <w:pPr>
        <w:pStyle w:val="null3"/>
      </w:pPr>
      <w:r>
        <w:rPr/>
        <w:t>采购包预算金额：1,708,850.00元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终端机</w:t>
            </w:r>
          </w:p>
        </w:tc>
        <w:tc>
          <w:tcPr>
            <w:tcW w:type="dxa" w:w="2136"/>
          </w:tcPr>
          <w:p>
            <w:pPr>
              <w:pStyle w:val="null3"/>
            </w:pPr>
            <w:r>
              <w:rPr/>
              <w:t>云终端</w:t>
            </w:r>
          </w:p>
        </w:tc>
        <w:tc>
          <w:tcPr>
            <w:tcW w:type="dxa" w:w="1187"/>
          </w:tcPr>
          <w:p>
            <w:pPr>
              <w:pStyle w:val="null3"/>
            </w:pPr>
            <w:r>
              <w:rPr/>
              <w:t>110(台)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基础软件</w:t>
            </w:r>
          </w:p>
        </w:tc>
        <w:tc>
          <w:tcPr>
            <w:tcW w:type="dxa" w:w="2136"/>
          </w:tcPr>
          <w:p>
            <w:pPr>
              <w:pStyle w:val="null3"/>
            </w:pPr>
            <w:r>
              <w:rPr/>
              <w:t>分布式桌面云系统</w:t>
            </w:r>
          </w:p>
        </w:tc>
        <w:tc>
          <w:tcPr>
            <w:tcW w:type="dxa" w:w="1187"/>
          </w:tcPr>
          <w:p>
            <w:pPr>
              <w:pStyle w:val="null3"/>
            </w:pPr>
            <w:r>
              <w:rPr/>
              <w:t>110(节点)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基础软件</w:t>
            </w:r>
          </w:p>
        </w:tc>
        <w:tc>
          <w:tcPr>
            <w:tcW w:type="dxa" w:w="2136"/>
          </w:tcPr>
          <w:p>
            <w:pPr>
              <w:pStyle w:val="null3"/>
            </w:pPr>
            <w:r>
              <w:rPr/>
              <w:t>多媒体教学软件</w:t>
            </w:r>
          </w:p>
        </w:tc>
        <w:tc>
          <w:tcPr>
            <w:tcW w:type="dxa" w:w="1187"/>
          </w:tcPr>
          <w:p>
            <w:pPr>
              <w:pStyle w:val="null3"/>
            </w:pPr>
            <w:r>
              <w:rPr/>
              <w:t>110(节点)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合同履行期限：合同签订后45个日历日内交货。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3）具有良好的商业信誉和健全的财务会计制度：在投标文件中提供财务资料（复印件，盖供应商公章）和财务会计制度（盖供应商公章）。</w:t>
      </w:r>
    </w:p>
    <w:p>
      <w:pPr>
        <w:pStyle w:val="null3"/>
      </w:pPr>
      <w:r>
        <w:rPr/>
        <w:t>4）履行合同所必需的设备和专业技术能力：提供与开展业务有关的设备的资料（照片、图片等），及开展业务有关的人员技术证明（复印件）。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采购包1（“向荣国际财经学堂”创新实训中心建设项目—云终端等设备采购）：</w:t>
      </w:r>
      <w:r>
        <w:rPr/>
        <w:t>参与的供应商（联合体）提供的货物全部由符合政策要求的中小企业制造</w:t>
      </w:r>
    </w:p>
    <w:p>
      <w:pPr>
        <w:pStyle w:val="null3"/>
        <w:outlineLvl w:val="3"/>
      </w:pPr>
      <w:r>
        <w:rPr>
          <w:sz w:val="24"/>
          <w:b/>
        </w:rPr>
        <w:t>3.本项目特定的资格要求：</w:t>
      </w:r>
    </w:p>
    <w:p>
      <w:pPr>
        <w:pStyle w:val="null3"/>
      </w:pPr>
      <w:r>
        <w:rPr/>
        <w:t>采购包1（“向荣国际财经学堂”创新实训中心建设项目—云终端等设备采购）：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五邑大学</w:t>
      </w:r>
    </w:p>
    <w:p>
      <w:pPr>
        <w:pStyle w:val="null3"/>
        <w:ind w:firstLine="480"/>
      </w:pPr>
      <w:r>
        <w:rPr/>
        <w:t xml:space="preserve"> 地址：</w:t>
      </w:r>
      <w:r>
        <w:rPr/>
        <w:t>江门市蓬江区东成村22号</w:t>
      </w:r>
    </w:p>
    <w:p>
      <w:pPr>
        <w:pStyle w:val="null3"/>
        <w:ind w:firstLine="480"/>
      </w:pPr>
      <w:r>
        <w:rPr/>
        <w:t xml:space="preserve"> 联系方式：</w:t>
      </w:r>
      <w:r>
        <w:rPr/>
        <w:t>0750-3296151</w:t>
      </w:r>
    </w:p>
    <w:p>
      <w:pPr>
        <w:pStyle w:val="null3"/>
        <w:outlineLvl w:val="3"/>
      </w:pPr>
      <w:r>
        <w:rPr>
          <w:sz w:val="24"/>
          <w:b/>
        </w:rPr>
        <w:t xml:space="preserve"> 2.采购代理机构信息</w:t>
      </w:r>
    </w:p>
    <w:p>
      <w:pPr>
        <w:pStyle w:val="null3"/>
        <w:ind w:firstLine="480"/>
      </w:pPr>
      <w:r>
        <w:rPr/>
        <w:t xml:space="preserve"> 名称：</w:t>
      </w:r>
      <w:r>
        <w:rPr/>
        <w:t>江门市政府采购中心</w:t>
      </w:r>
    </w:p>
    <w:p>
      <w:pPr>
        <w:pStyle w:val="null3"/>
        <w:ind w:firstLine="480"/>
      </w:pPr>
      <w:r>
        <w:rPr/>
        <w:t xml:space="preserve"> 地址：</w:t>
      </w:r>
      <w:r>
        <w:rPr/>
        <w:t>江门市蓬江区堤西路88号三楼</w:t>
      </w:r>
    </w:p>
    <w:p>
      <w:pPr>
        <w:pStyle w:val="null3"/>
        <w:ind w:firstLine="480"/>
      </w:pPr>
      <w:r>
        <w:rPr/>
        <w:t xml:space="preserve"> 联系方式：</w:t>
      </w:r>
      <w:r>
        <w:rPr/>
        <w:t>0750-3509013</w:t>
      </w:r>
    </w:p>
    <w:p>
      <w:pPr>
        <w:pStyle w:val="null3"/>
        <w:outlineLvl w:val="3"/>
      </w:pPr>
      <w:r>
        <w:rPr>
          <w:sz w:val="24"/>
          <w:b/>
        </w:rPr>
        <w:t xml:space="preserve"> 3.项目联系方式</w:t>
      </w:r>
    </w:p>
    <w:p>
      <w:pPr>
        <w:pStyle w:val="null3"/>
        <w:ind w:firstLine="480"/>
      </w:pPr>
      <w:r>
        <w:rPr/>
        <w:t xml:space="preserve"> 项目联系人：</w:t>
      </w:r>
      <w:r>
        <w:rPr/>
        <w:t>陈嘉俊</w:t>
      </w:r>
    </w:p>
    <w:p>
      <w:pPr>
        <w:pStyle w:val="null3"/>
        <w:ind w:firstLine="480"/>
      </w:pPr>
      <w:r>
        <w:rPr/>
        <w:t xml:space="preserve"> 电话：</w:t>
      </w:r>
      <w:r>
        <w:rPr/>
        <w:t>0750-3509013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江门市政府采购中心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“向荣国际财经学堂”创新实训中心建设项目—云终端等设备采购</w:t>
      </w:r>
    </w:p>
    <w:p>
      <w:pPr>
        <w:pStyle w:val="null3"/>
      </w:pPr>
      <w:r>
        <w:rPr/>
        <w:t>采购包1（“向荣国际财经学堂”创新实训中心建设项目—云终端等设备采购）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合同签订后45个日历日内交货。</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1期：支付比例40%,采购人在合同签订后5个工作日内按合同总金额40%支付预付款；</w:t>
            </w:r>
          </w:p>
          <w:p>
            <w:pPr>
              <w:pStyle w:val="null3"/>
            </w:pPr>
            <w:r>
              <w:rPr/>
              <w:t>2期：支付比例60%,收合格后，中标人按合同总金额向采购人开具符合合同类型要求的增值税专用发票和提供由采购人认可的验收报告。货物验收合格和采购人收到前述发票、验收报告后10个工作日内采购人办理完合同总额60%划入中标人账户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1期：1.开箱验收： 全部货物送到采购人指定场地后，采购人、中标人双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（2）培训完成后，中标人向采购人提交验收申请，7日内（如遇寒暑假，时间顺延）由采购人报请主管部门组织验收小组进行验收，项目验收合格后，出具有效的验收报告。 （3）验收细则以中标人在投标书中提供的设备技术资料及双方签订的合同条款为准。（验收时需要对每一条参数进行逐一验证，并提供验证佐证材料作为验收资料）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（6）中标人利用本合同实施损害采购人合法权益行为的。 （7）中标人不按合同约定履行义务，经采购人提出后，在合理期限内仍不改正的； （8）中标人所交货的货物验收不合格，或经维修、退换后仍无法正常使用的，或虽可正常使用但无法达到本合同约定的参数及要求的。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账号：中标后采购人提供</w:t>
            </w:r>
          </w:p>
          <w:p>
            <w:pPr>
              <w:pStyle w:val="null3"/>
            </w:pPr>
            <w:r>
              <w:rPr/>
              <w:t>户名：五邑大学</w:t>
            </w:r>
          </w:p>
          <w:p>
            <w:pPr>
              <w:pStyle w:val="null3"/>
            </w:pPr>
            <w:r>
              <w:rPr/>
              <w:t>开户行：中标后采购人提供</w:t>
            </w:r>
          </w:p>
          <w:p>
            <w:pPr>
              <w:pStyle w:val="null3"/>
            </w:pPr>
            <w:r>
              <w:rPr/>
              <w:t>支票提交方式：直接提交</w:t>
            </w:r>
          </w:p>
          <w:p>
            <w:pPr>
              <w:pStyle w:val="null3"/>
            </w:pPr>
            <w:r>
              <w:rPr/>
              <w:t>汇票、本票提交方式：直接交付或邮寄传递</w:t>
            </w:r>
          </w:p>
          <w:p>
            <w:pPr>
              <w:pStyle w:val="null3"/>
            </w:pPr>
            <w:r>
              <w:rPr/>
              <w:t>说明：1.本项目合同签订之日起 5 个工作日内，中标人向采购人提交合同总价的3.8%作为本项目的履约保证金，可通过银行转账、支票、汇票、本票等非现金形式支付。验收合格后20个工作日内一次性返还履约保证金（不计息）。 2.如以保函方式，采购人验收合格且无违约情况后二十个工作日内(不含审批时间)保函原件退回。 3.履约保证金的违约责任： （1）中标人超过缴纳履约保证金期限，未向采购人缴纳本项目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1.本项目不接受所投报产品为进口产品的投标。（本招标文件中所称进口产品是指通过中国海关报关验放进入中国境内且产自关境外的产品） 2.安全责任：本项目安全措施由投标人制定方案及组织实施，并承担全部安全责任，采购人不负责任何投标人人员伤亡、投标人人员劳保福利以及施工中材料/工具器械等被盗、毁损灭失等责任。中标后，投标人需提交安全措施方案一份至采购人处备案，同时采购人保留对投标人组织实施情况进行监督的权利。（投标人需提供承诺函，格式自拟） 3.消防责任：本项目消防措施由投标人制定方案及组织实施，投标人须严格遵守消防法规定执行操作，所需水电由采购人协助供给，电源接驳须由投标人指派具备资质的电工依据规范执行，严禁施工人员擅自拉接。凡在施工期间因投标人过失引起的火灾事故应由投标人负责，所造成的经济损失由投标人负责全额赔偿，造成采购人损失的，投标人应赔偿采购人全部损失。投标人制定的消防措施方案中标后应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货物须为原厂商未启封的全新包装，具有出厂合格证，序列号、包装箱号与出厂批号一致，并可追溯查阅。投标人在设备采购、运输、安装、调试、维护、保修的过程中必须负责一切安全责任。 5.知识产权和专利权 投标人提供的货物须确保无任何知识产权争议，且为全新状态（包括零部件、配件及随机工具等），表面完好无损，无碰撞痕迹，不存在任何潜在缺陷或侵权行为，确保在中国境内能够按照常规方式安全、合法地使用。 投标人应确保采购人在中华人民共和国使用货物或其任何一部分时，若发生第三方针对采购人提出的侵犯专利权、商标权或其他知识产权的主张，投标人需承担相应的行政责任、民事责任，包括但不限于停止侵权行为、赔偿损失等。若因此给采购人造成损失，投标人应赔偿采购人全部损失。 6.投标人必须具备相应的维护保养服务能力，能提供完善的售后服务（包括技术人员、响应时间及备品、备件方面等）。</w:t>
            </w:r>
          </w:p>
        </w:tc>
      </w:tr>
      <w:tr>
        <w:tc>
          <w:tcPr>
            <w:tcW w:type="dxa" w:w="2076"/>
          </w:tcPr>
          <w:p/>
        </w:tc>
        <w:tc>
          <w:tcPr>
            <w:tcW w:type="dxa" w:w="2076"/>
          </w:tcPr>
          <w:p>
            <w:pPr>
              <w:pStyle w:val="null3"/>
              <w:jc w:val="center"/>
            </w:pPr>
            <w:r>
              <w:rPr/>
              <w:t>2</w:t>
            </w:r>
          </w:p>
        </w:tc>
        <w:tc>
          <w:tcPr>
            <w:tcW w:type="dxa" w:w="2076"/>
          </w:tcPr>
          <w:p>
            <w:pPr>
              <w:pStyle w:val="null3"/>
              <w:jc w:val="left"/>
            </w:pPr>
            <w:r>
              <w:rPr/>
              <w:t>售后服务要求</w:t>
            </w:r>
          </w:p>
        </w:tc>
        <w:tc>
          <w:tcPr>
            <w:tcW w:type="dxa" w:w="2076"/>
          </w:tcPr>
          <w:p>
            <w:pPr>
              <w:pStyle w:val="null3"/>
              <w:jc w:val="left"/>
            </w:pPr>
            <w:r>
              <w:rPr/>
              <w:t>1.投标人的报价应当包含投标人向采购人提供不少于3年的质保期服务事项和设备主件配件的更换事项，质保期从整体项目最终验收后起算，质保期包含对所有投标响应的产品至少 3 年保修。质保期内产品发生故障时，投标人应无条件上门维修，如不能完全修复，则应无条件更换不低于原规格型号的新部件或设备。 2.投标人从最终验收合格之日起一个月内，投标人提供的货物各部件发生损坏，应给予无条件更换。 3.质保期内，同一硬件一个月内连续 2 次出现同一故障，投标人须无条件更换同一档次的设备或部件。质保期内因货物质量问题发生3次及以上维修的 ，则该设备或部件的质量保修期从最后一次维修的日期起算。 4.投标人应指派专人负责与采购人联系售后服务事宜。投标人接到用户报修后，电话即时响应，如电话响应无法解决的在 4 个小时内进行答复，如确定需要来人进行修理，保证在 24小时内到达现场。如在 24 小时内不能解决问题，投标人应在随后 48 小时内提供不低于故障设备规格型号档次的备用设备供采购人代替使用，直至故障设备修复，确保设备的正常使用技术要求中有特别要求的以技术要求为主。如不能完全修复，则应无条件更换不低于原规格型号的新部件或设备。（费用包含在投标报价中） 5.质保期内投标人负责所有因设备质量问题而产生的费用。 6.投标人提供终身售后服务，无论在保修期内或保修期外，投标人需提供上门服务，所有设备保修服务方式均为投标人上门保修，即由投标人派遣专门技术人员到采购人设备使用现场维修。对于质保期外的设备维修，投标人仅收取损坏部分的成本材料费。 7.质保期内投标人售后服务部门将提供每年不低于4次的电话回访和2次现场设备检修服务，由此产生的一切费用均由投标人承担。 8.质保期满后投标人无条件提供终身技术服务；无条件提供终身对产品进行软件升级服务。（费用包含在投标报价中） 9.投标人在质保期内提供人员培训和技术服务，投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 10.投标人未按合同约定时间和约定标准提供保修服务的，采购人有权向投标人主张合同总价的10%的违约金，并有权自行委托第三方提供采购人所需要的技术支持和维修服务，由此造成的包括但不限于第三方维保费用、采购人其他经济损失等均由投标人承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异常低价审查</w:t>
            </w:r>
          </w:p>
        </w:tc>
        <w:tc>
          <w:tcPr>
            <w:tcW w:type="dxa" w:w="2076"/>
          </w:tcPr>
          <w:p>
            <w:pPr>
              <w:pStyle w:val="null3"/>
              <w:jc w:val="left"/>
            </w:pPr>
            <w:r>
              <w:rPr/>
              <w:t>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（4）评标委员会基于专业判断，认为供应商报价过低，有可能影响产品质量或者不能诚信履约的其他情形。 评标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终端机</w:t>
            </w:r>
          </w:p>
        </w:tc>
        <w:tc>
          <w:tcPr>
            <w:tcW w:type="dxa" w:w="831"/>
          </w:tcPr>
          <w:p>
            <w:pPr>
              <w:pStyle w:val="null3"/>
              <w:jc w:val="left"/>
            </w:pPr>
            <w:r>
              <w:rPr/>
              <w:t>云终端</w:t>
            </w:r>
          </w:p>
        </w:tc>
        <w:tc>
          <w:tcPr>
            <w:tcW w:type="dxa" w:w="831"/>
          </w:tcPr>
          <w:p>
            <w:pPr>
              <w:pStyle w:val="null3"/>
              <w:jc w:val="left"/>
            </w:pPr>
            <w:r>
              <w:rPr/>
              <w:t>台</w:t>
            </w:r>
          </w:p>
        </w:tc>
        <w:tc>
          <w:tcPr>
            <w:tcW w:type="dxa" w:w="831"/>
          </w:tcPr>
          <w:p>
            <w:pPr>
              <w:pStyle w:val="null3"/>
              <w:jc w:val="right"/>
            </w:pPr>
            <w:r>
              <w:rPr/>
              <w:t>110.00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基础软件</w:t>
            </w:r>
          </w:p>
        </w:tc>
        <w:tc>
          <w:tcPr>
            <w:tcW w:type="dxa" w:w="831"/>
          </w:tcPr>
          <w:p>
            <w:pPr>
              <w:pStyle w:val="null3"/>
              <w:jc w:val="left"/>
            </w:pPr>
            <w:r>
              <w:rPr/>
              <w:t>分布式桌面云系统</w:t>
            </w:r>
          </w:p>
        </w:tc>
        <w:tc>
          <w:tcPr>
            <w:tcW w:type="dxa" w:w="831"/>
          </w:tcPr>
          <w:p>
            <w:pPr>
              <w:pStyle w:val="null3"/>
              <w:jc w:val="left"/>
            </w:pPr>
            <w:r>
              <w:rPr/>
              <w:t>节点</w:t>
            </w:r>
          </w:p>
        </w:tc>
        <w:tc>
          <w:tcPr>
            <w:tcW w:type="dxa" w:w="831"/>
          </w:tcPr>
          <w:p>
            <w:pPr>
              <w:pStyle w:val="null3"/>
              <w:jc w:val="right"/>
            </w:pPr>
            <w:r>
              <w:rPr/>
              <w:t>110.00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基础软件</w:t>
            </w:r>
          </w:p>
        </w:tc>
        <w:tc>
          <w:tcPr>
            <w:tcW w:type="dxa" w:w="831"/>
          </w:tcPr>
          <w:p>
            <w:pPr>
              <w:pStyle w:val="null3"/>
              <w:jc w:val="left"/>
            </w:pPr>
            <w:r>
              <w:rPr/>
              <w:t>多媒体教学软件</w:t>
            </w:r>
          </w:p>
        </w:tc>
        <w:tc>
          <w:tcPr>
            <w:tcW w:type="dxa" w:w="831"/>
          </w:tcPr>
          <w:p>
            <w:pPr>
              <w:pStyle w:val="null3"/>
              <w:jc w:val="left"/>
            </w:pPr>
            <w:r>
              <w:rPr/>
              <w:t>节点</w:t>
            </w:r>
          </w:p>
        </w:tc>
        <w:tc>
          <w:tcPr>
            <w:tcW w:type="dxa" w:w="831"/>
          </w:tcPr>
          <w:p>
            <w:pPr>
              <w:pStyle w:val="null3"/>
              <w:jc w:val="right"/>
            </w:pPr>
            <w:r>
              <w:rPr/>
              <w:t>110.00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云终端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color w:val="000000"/>
              </w:rPr>
              <w:t>1</w:t>
            </w:r>
            <w:r>
              <w:rPr>
                <w:sz w:val="21"/>
                <w:color w:val="000000"/>
              </w:rPr>
              <w:t>、</w:t>
            </w:r>
            <w:r>
              <w:rPr>
                <w:sz w:val="21"/>
                <w:color w:val="000000"/>
              </w:rPr>
              <w:t>CPU</w:t>
            </w:r>
            <w:r>
              <w:rPr>
                <w:sz w:val="21"/>
                <w:color w:val="000000"/>
              </w:rPr>
              <w:t>：≥</w:t>
            </w:r>
            <w:r>
              <w:rPr>
                <w:sz w:val="21"/>
                <w:color w:val="000000"/>
              </w:rPr>
              <w:t>16</w:t>
            </w:r>
            <w:r>
              <w:rPr>
                <w:sz w:val="21"/>
                <w:color w:val="000000"/>
              </w:rPr>
              <w:t>核</w:t>
            </w:r>
            <w:r>
              <w:rPr>
                <w:sz w:val="21"/>
                <w:color w:val="000000"/>
              </w:rPr>
              <w:t>24</w:t>
            </w:r>
            <w:r>
              <w:rPr>
                <w:sz w:val="21"/>
                <w:color w:val="000000"/>
              </w:rPr>
              <w:t>线程，不低于</w:t>
            </w:r>
            <w:r>
              <w:rPr>
                <w:sz w:val="21"/>
                <w:color w:val="000000"/>
              </w:rPr>
              <w:t>2.1GHz</w:t>
            </w:r>
            <w:r>
              <w:rPr>
                <w:sz w:val="21"/>
                <w:color w:val="000000"/>
              </w:rPr>
              <w:t>主频；</w:t>
            </w:r>
          </w:p>
          <w:p>
            <w:pPr>
              <w:pStyle w:val="null3"/>
              <w:jc w:val="left"/>
            </w:pPr>
            <w:r>
              <w:rPr>
                <w:sz w:val="21"/>
                <w:color w:val="000000"/>
              </w:rPr>
              <w:t>2</w:t>
            </w:r>
            <w:r>
              <w:rPr>
                <w:sz w:val="21"/>
                <w:color w:val="000000"/>
              </w:rPr>
              <w:t>、</w:t>
            </w:r>
            <w:r>
              <w:rPr>
                <w:sz w:val="21"/>
                <w:color w:val="000000"/>
              </w:rPr>
              <w:t>主板：</w:t>
            </w:r>
            <w:r>
              <w:rPr>
                <w:sz w:val="21"/>
                <w:color w:val="000000"/>
              </w:rPr>
              <w:t>支持</w:t>
            </w:r>
            <w:r>
              <w:rPr>
                <w:sz w:val="21"/>
                <w:color w:val="000000"/>
              </w:rPr>
              <w:t>≥</w:t>
            </w:r>
            <w:r>
              <w:rPr>
                <w:sz w:val="21"/>
                <w:color w:val="000000"/>
              </w:rPr>
              <w:t>1</w:t>
            </w:r>
            <w:r>
              <w:rPr>
                <w:sz w:val="21"/>
                <w:color w:val="000000"/>
              </w:rPr>
              <w:t>颗</w:t>
            </w:r>
            <w:r>
              <w:rPr>
                <w:sz w:val="21"/>
                <w:color w:val="000000"/>
              </w:rPr>
              <w:t>CPU</w:t>
            </w:r>
            <w:r>
              <w:rPr>
                <w:sz w:val="21"/>
                <w:color w:val="000000"/>
              </w:rPr>
              <w:t>，</w:t>
            </w:r>
            <w:r>
              <w:rPr>
                <w:sz w:val="21"/>
                <w:color w:val="000000"/>
              </w:rPr>
              <w:t>配备</w:t>
            </w:r>
            <w:r>
              <w:rPr>
                <w:sz w:val="21"/>
                <w:color w:val="000000"/>
              </w:rPr>
              <w:t>≥</w:t>
            </w:r>
            <w:r>
              <w:rPr/>
              <w:t>1</w:t>
            </w:r>
            <w:r>
              <w:rPr/>
              <w:t>个</w:t>
            </w:r>
            <w:r>
              <w:rPr/>
              <w:t>由</w:t>
            </w:r>
            <w:r>
              <w:rPr/>
              <w:t>C</w:t>
            </w:r>
            <w:r>
              <w:rPr/>
              <w:t>PU</w:t>
            </w:r>
            <w:r>
              <w:rPr/>
              <w:t>直出</w:t>
            </w:r>
            <w:r>
              <w:rPr/>
              <w:t>无</w:t>
            </w:r>
            <w:r>
              <w:rPr/>
              <w:t>带宽</w:t>
            </w:r>
            <w:r>
              <w:rPr/>
              <w:t>拆分</w:t>
            </w:r>
            <w:r>
              <w:rPr/>
              <w:t>的</w:t>
            </w:r>
            <w:r>
              <w:rPr/>
              <w:t>全速</w:t>
            </w:r>
            <w:r>
              <w:rPr/>
              <w:t>P</w:t>
            </w:r>
            <w:r>
              <w:rPr/>
              <w:t>C</w:t>
            </w:r>
            <w:r>
              <w:rPr/>
              <w:t>I</w:t>
            </w:r>
            <w:r>
              <w:rPr/>
              <w:t>-</w:t>
            </w:r>
            <w:r>
              <w:rPr/>
              <w:t>E</w:t>
            </w:r>
            <w:r>
              <w:rPr/>
              <w:t>5</w:t>
            </w:r>
            <w:r>
              <w:rPr/>
              <w:t>.</w:t>
            </w:r>
            <w:r>
              <w:rPr/>
              <w:t>0</w:t>
            </w:r>
            <w:r>
              <w:rPr/>
              <w:t>×</w:t>
            </w:r>
            <w:r>
              <w:rPr/>
              <w:t>16</w:t>
            </w:r>
            <w:r>
              <w:rPr/>
              <w:t>插槽</w:t>
            </w:r>
            <w:r>
              <w:rPr/>
              <w:t>，</w:t>
            </w:r>
            <w:r>
              <w:rPr/>
              <w:t>搭载</w:t>
            </w:r>
            <w:r>
              <w:rPr/>
              <w:t>≥</w:t>
            </w:r>
            <w:r>
              <w:rPr/>
              <w:t>1</w:t>
            </w:r>
            <w:r>
              <w:rPr/>
              <w:t>组</w:t>
            </w:r>
            <w:r>
              <w:rPr/>
              <w:t>P</w:t>
            </w:r>
            <w:r>
              <w:rPr/>
              <w:t>C</w:t>
            </w:r>
            <w:r>
              <w:rPr/>
              <w:t>I</w:t>
            </w:r>
            <w:r>
              <w:rPr/>
              <w:t>e</w:t>
            </w:r>
            <w:r>
              <w:rPr/>
              <w:t>4.</w:t>
            </w:r>
            <w:r>
              <w:rPr/>
              <w:t>0</w:t>
            </w:r>
            <w:r>
              <w:rPr/>
              <w:t xml:space="preserve"> </w:t>
            </w:r>
            <w:r>
              <w:rPr/>
              <w:t>速率</w:t>
            </w:r>
            <w:r>
              <w:rPr/>
              <w:t>M</w:t>
            </w:r>
            <w:r>
              <w:rPr/>
              <w:t>.</w:t>
            </w:r>
            <w:r>
              <w:rPr/>
              <w:t>2</w:t>
            </w:r>
            <w:r>
              <w:rPr/>
              <w:t xml:space="preserve"> </w:t>
            </w:r>
            <w:r>
              <w:rPr/>
              <w:t>22</w:t>
            </w:r>
            <w:r>
              <w:rPr/>
              <w:t>80</w:t>
            </w:r>
            <w:r>
              <w:rPr/>
              <w:t>固态</w:t>
            </w:r>
            <w:r>
              <w:rPr/>
              <w:t>硬盘</w:t>
            </w:r>
            <w:r>
              <w:rPr/>
              <w:t>接口，</w:t>
            </w:r>
            <w:r>
              <w:rPr/>
              <w:t>并</w:t>
            </w:r>
            <w:r>
              <w:rPr/>
              <w:t>兼容</w:t>
            </w:r>
            <w:r>
              <w:rPr/>
              <w:t>W</w:t>
            </w:r>
            <w:r>
              <w:rPr/>
              <w:t>i</w:t>
            </w:r>
            <w:r>
              <w:rPr/>
              <w:t>F</w:t>
            </w:r>
            <w:r>
              <w:rPr/>
              <w:t>i</w:t>
            </w:r>
            <w:r>
              <w:rPr/>
              <w:t>6</w:t>
            </w:r>
            <w:r>
              <w:rPr/>
              <w:t xml:space="preserve"> </w:t>
            </w:r>
            <w:r>
              <w:rPr/>
              <w:t>高速</w:t>
            </w:r>
            <w:r>
              <w:rPr/>
              <w:t>无线</w:t>
            </w:r>
            <w:r>
              <w:rPr/>
              <w:t>模块</w:t>
            </w:r>
            <w:r>
              <w:rPr/>
              <w:t>、</w:t>
            </w:r>
            <w:r>
              <w:rPr/>
              <w:t>蓝牙</w:t>
            </w:r>
            <w:r>
              <w:rPr/>
              <w:t>BT</w:t>
            </w:r>
            <w:r>
              <w:rPr/>
              <w:t>模块</w:t>
            </w:r>
            <w:r>
              <w:rPr/>
              <w:t>扩展</w:t>
            </w:r>
            <w:r>
              <w:rPr/>
              <w:t>，支持</w:t>
            </w:r>
            <w:r>
              <w:rPr/>
              <w:t>双</w:t>
            </w:r>
            <w:r>
              <w:rPr/>
              <w:t>通道</w:t>
            </w:r>
            <w:r>
              <w:rPr/>
              <w:t>DD</w:t>
            </w:r>
            <w:r>
              <w:rPr/>
              <w:t>R</w:t>
            </w:r>
            <w:r>
              <w:rPr/>
              <w:t>5</w:t>
            </w:r>
            <w:r>
              <w:rPr/>
              <w:t>高速</w:t>
            </w:r>
            <w:r>
              <w:rPr/>
              <w:t>内存</w:t>
            </w:r>
            <w:r>
              <w:rPr/>
              <w:t>架构</w:t>
            </w:r>
            <w:r>
              <w:rPr>
                <w:sz w:val="21"/>
                <w:color w:val="000000"/>
              </w:rPr>
              <w:t>；</w:t>
            </w:r>
          </w:p>
          <w:p>
            <w:pPr>
              <w:pStyle w:val="null3"/>
              <w:jc w:val="left"/>
            </w:pPr>
            <w:r>
              <w:rPr>
                <w:sz w:val="21"/>
                <w:color w:val="000000"/>
              </w:rPr>
              <w:t>3</w:t>
            </w:r>
            <w:r>
              <w:rPr>
                <w:sz w:val="21"/>
                <w:color w:val="000000"/>
              </w:rPr>
              <w:t>、内存：≥</w:t>
            </w:r>
            <w:r>
              <w:rPr>
                <w:sz w:val="21"/>
                <w:color w:val="000000"/>
              </w:rPr>
              <w:t>16GB DDR5</w:t>
            </w:r>
            <w:r>
              <w:rPr>
                <w:sz w:val="21"/>
                <w:color w:val="000000"/>
              </w:rPr>
              <w:t>内存，支持双通道</w:t>
            </w:r>
            <w:r>
              <w:rPr>
                <w:sz w:val="21"/>
                <w:color w:val="000000"/>
              </w:rPr>
              <w:t>SODIMM DDR5 5600</w:t>
            </w:r>
            <w:r>
              <w:rPr>
                <w:sz w:val="21"/>
                <w:color w:val="000000"/>
              </w:rPr>
              <w:t>；</w:t>
            </w:r>
          </w:p>
          <w:p>
            <w:pPr>
              <w:pStyle w:val="null3"/>
              <w:jc w:val="left"/>
            </w:pPr>
            <w:r>
              <w:rPr>
                <w:sz w:val="21"/>
                <w:color w:val="000000"/>
              </w:rPr>
              <w:t>4</w:t>
            </w:r>
            <w:r>
              <w:rPr>
                <w:sz w:val="21"/>
                <w:color w:val="000000"/>
              </w:rPr>
              <w:t>、存储</w:t>
            </w:r>
            <w:r>
              <w:rPr>
                <w:sz w:val="21"/>
                <w:color w:val="000000"/>
              </w:rPr>
              <w:t xml:space="preserve">: </w:t>
            </w:r>
            <w:r>
              <w:rPr>
                <w:sz w:val="21"/>
                <w:color w:val="000000"/>
              </w:rPr>
              <w:t>≥</w:t>
            </w:r>
            <w:r>
              <w:rPr>
                <w:sz w:val="21"/>
                <w:color w:val="000000"/>
              </w:rPr>
              <w:t>1</w:t>
            </w:r>
            <w:r>
              <w:rPr>
                <w:sz w:val="21"/>
                <w:color w:val="000000"/>
              </w:rPr>
              <w:t>块</w:t>
            </w:r>
            <w:r>
              <w:rPr>
                <w:sz w:val="21"/>
                <w:color w:val="000000"/>
              </w:rPr>
              <w:t>512GB M2 NVME</w:t>
            </w:r>
            <w:r>
              <w:rPr>
                <w:sz w:val="21"/>
                <w:color w:val="000000"/>
              </w:rPr>
              <w:t>固态硬盘；</w:t>
            </w:r>
          </w:p>
          <w:p>
            <w:pPr>
              <w:pStyle w:val="null3"/>
              <w:jc w:val="left"/>
            </w:pPr>
            <w:r>
              <w:rPr>
                <w:sz w:val="21"/>
                <w:color w:val="000000"/>
              </w:rPr>
              <w:t>▲</w:t>
            </w:r>
            <w:r>
              <w:rPr>
                <w:sz w:val="21"/>
                <w:color w:val="000000"/>
              </w:rPr>
              <w:t>5</w:t>
            </w:r>
            <w:r>
              <w:rPr>
                <w:sz w:val="21"/>
                <w:color w:val="000000"/>
              </w:rPr>
              <w:t>、显卡：≥</w:t>
            </w:r>
            <w:r>
              <w:rPr>
                <w:sz w:val="21"/>
                <w:color w:val="000000"/>
              </w:rPr>
              <w:t>8G</w:t>
            </w:r>
            <w:r>
              <w:rPr>
                <w:sz w:val="21"/>
                <w:color w:val="000000"/>
              </w:rPr>
              <w:t>显存独立显卡；</w:t>
            </w:r>
          </w:p>
          <w:p>
            <w:pPr>
              <w:pStyle w:val="null3"/>
              <w:jc w:val="left"/>
            </w:pPr>
            <w:r>
              <w:rPr>
                <w:sz w:val="21"/>
                <w:color w:val="000000"/>
              </w:rPr>
              <w:t>6</w:t>
            </w:r>
            <w:r>
              <w:rPr>
                <w:sz w:val="21"/>
                <w:color w:val="000000"/>
              </w:rPr>
              <w:t>、接口：不少于前置</w:t>
            </w:r>
            <w:r>
              <w:rPr>
                <w:sz w:val="21"/>
                <w:color w:val="000000"/>
              </w:rPr>
              <w:t>2*USB3.2 Gen2</w:t>
            </w:r>
            <w:r>
              <w:rPr>
                <w:sz w:val="21"/>
                <w:color w:val="000000"/>
              </w:rPr>
              <w:t>，</w:t>
            </w:r>
            <w:r>
              <w:rPr>
                <w:sz w:val="21"/>
                <w:color w:val="000000"/>
              </w:rPr>
              <w:t>1</w:t>
            </w:r>
            <w:r>
              <w:rPr>
                <w:sz w:val="21"/>
                <w:color w:val="000000"/>
              </w:rPr>
              <w:t>个</w:t>
            </w:r>
            <w:r>
              <w:rPr>
                <w:sz w:val="21"/>
                <w:color w:val="000000"/>
              </w:rPr>
              <w:t>Type-C(3.2Gen2 )</w:t>
            </w:r>
            <w:r>
              <w:rPr>
                <w:sz w:val="21"/>
                <w:color w:val="000000"/>
              </w:rPr>
              <w:t>，</w:t>
            </w:r>
            <w:r>
              <w:rPr>
                <w:sz w:val="21"/>
                <w:color w:val="000000"/>
              </w:rPr>
              <w:t>1 x MIC-IN, 1 x AUDIO-OUT</w:t>
            </w:r>
            <w:r>
              <w:rPr>
                <w:sz w:val="21"/>
                <w:color w:val="000000"/>
              </w:rPr>
              <w:t>，后置</w:t>
            </w:r>
            <w:r>
              <w:rPr>
                <w:sz w:val="21"/>
                <w:color w:val="000000"/>
              </w:rPr>
              <w:t>2 x USB3.2 Gen1, 2 x USB2.0</w:t>
            </w:r>
            <w:r>
              <w:rPr>
                <w:sz w:val="21"/>
                <w:color w:val="000000"/>
              </w:rPr>
              <w:t>，</w:t>
            </w:r>
            <w:r>
              <w:rPr>
                <w:sz w:val="21"/>
                <w:color w:val="000000"/>
              </w:rPr>
              <w:t>1 x 2.5GbE RJ45, 1 x 1 GbE RJ45</w:t>
            </w:r>
            <w:r>
              <w:rPr>
                <w:sz w:val="21"/>
                <w:color w:val="000000"/>
              </w:rPr>
              <w:t>，</w:t>
            </w:r>
            <w:r>
              <w:rPr>
                <w:sz w:val="21"/>
                <w:color w:val="000000"/>
              </w:rPr>
              <w:t>1 x RS232, 1 x RS232/422/485</w:t>
            </w:r>
            <w:r>
              <w:rPr>
                <w:sz w:val="21"/>
                <w:color w:val="000000"/>
              </w:rPr>
              <w:t>，</w:t>
            </w:r>
            <w:r>
              <w:rPr>
                <w:sz w:val="21"/>
                <w:color w:val="000000"/>
              </w:rPr>
              <w:t>1*DP1.4</w:t>
            </w:r>
            <w:r>
              <w:rPr>
                <w:sz w:val="21"/>
                <w:color w:val="000000"/>
              </w:rPr>
              <w:t>，</w:t>
            </w:r>
            <w:r>
              <w:rPr>
                <w:sz w:val="21"/>
                <w:color w:val="000000"/>
              </w:rPr>
              <w:t>1*HDMI2.0</w:t>
            </w:r>
            <w:r>
              <w:rPr>
                <w:sz w:val="21"/>
                <w:color w:val="000000"/>
              </w:rPr>
              <w:t>；</w:t>
            </w:r>
          </w:p>
          <w:p>
            <w:pPr>
              <w:pStyle w:val="null3"/>
              <w:jc w:val="left"/>
            </w:pPr>
            <w:r>
              <w:rPr>
                <w:sz w:val="21"/>
                <w:color w:val="000000"/>
              </w:rPr>
              <w:t>7</w:t>
            </w:r>
            <w:r>
              <w:rPr>
                <w:sz w:val="21"/>
                <w:color w:val="000000"/>
              </w:rPr>
              <w:t>、有线网络接口：≥</w:t>
            </w:r>
            <w:r>
              <w:rPr>
                <w:sz w:val="21"/>
                <w:color w:val="000000"/>
              </w:rPr>
              <w:t>2*1000</w:t>
            </w:r>
            <w:r>
              <w:rPr>
                <w:sz w:val="21"/>
                <w:color w:val="000000"/>
              </w:rPr>
              <w:t>网口</w:t>
            </w:r>
            <w:r>
              <w:rPr>
                <w:sz w:val="21"/>
                <w:color w:val="222222"/>
              </w:rPr>
              <w:t>；</w:t>
            </w:r>
          </w:p>
          <w:p>
            <w:pPr>
              <w:pStyle w:val="null3"/>
              <w:jc w:val="left"/>
            </w:pPr>
            <w:r>
              <w:rPr>
                <w:sz w:val="21"/>
                <w:color w:val="000000"/>
              </w:rPr>
              <w:t>8</w:t>
            </w:r>
            <w:r>
              <w:rPr>
                <w:sz w:val="21"/>
                <w:color w:val="000000"/>
              </w:rPr>
              <w:t>、外箱尺寸：长度≤</w:t>
            </w:r>
            <w:r>
              <w:rPr>
                <w:sz w:val="21"/>
                <w:color w:val="000000"/>
              </w:rPr>
              <w:t>215mm</w:t>
            </w:r>
            <w:r>
              <w:rPr>
                <w:sz w:val="21"/>
                <w:color w:val="000000"/>
              </w:rPr>
              <w:t>，高度≤</w:t>
            </w:r>
            <w:r>
              <w:rPr>
                <w:sz w:val="21"/>
                <w:color w:val="000000"/>
              </w:rPr>
              <w:t>190mm</w:t>
            </w:r>
            <w:r>
              <w:rPr>
                <w:sz w:val="21"/>
                <w:color w:val="000000"/>
              </w:rPr>
              <w:t>，宽度≤</w:t>
            </w:r>
            <w:r>
              <w:rPr>
                <w:sz w:val="21"/>
                <w:color w:val="000000"/>
              </w:rPr>
              <w:t>90mm(</w:t>
            </w:r>
            <w:r>
              <w:rPr>
                <w:sz w:val="21"/>
                <w:color w:val="000000"/>
              </w:rPr>
              <w:t>投标人须在投标文件中提供所投产品外箱尺寸的技术支持资料（包括但不限于：制造商公开发布的印刷资料、官网截图并加盖公章</w:t>
            </w:r>
            <w:r>
              <w:rPr>
                <w:sz w:val="21"/>
                <w:color w:val="000000"/>
              </w:rPr>
              <w:t>）</w:t>
            </w:r>
            <w:r>
              <w:rPr>
                <w:sz w:val="21"/>
                <w:color w:val="000000"/>
              </w:rPr>
              <w:t>投标</w:t>
            </w:r>
            <w:r>
              <w:rPr>
                <w:sz w:val="21"/>
                <w:color w:val="000000"/>
              </w:rPr>
              <w:t>人</w:t>
            </w:r>
            <w:r>
              <w:rPr>
                <w:sz w:val="21"/>
                <w:color w:val="000000"/>
              </w:rPr>
              <w:t>提供的</w:t>
            </w:r>
            <w:r>
              <w:rPr>
                <w:sz w:val="21"/>
                <w:color w:val="000000"/>
              </w:rPr>
              <w:t>外箱</w:t>
            </w:r>
            <w:r>
              <w:rPr>
                <w:sz w:val="21"/>
                <w:color w:val="000000"/>
              </w:rPr>
              <w:t>尺寸</w:t>
            </w:r>
            <w:r>
              <w:rPr>
                <w:sz w:val="21"/>
                <w:color w:val="000000"/>
              </w:rPr>
              <w:t>须</w:t>
            </w:r>
            <w:r>
              <w:rPr>
                <w:sz w:val="21"/>
                <w:color w:val="000000"/>
              </w:rPr>
              <w:t>满足</w:t>
            </w:r>
            <w:r>
              <w:rPr>
                <w:sz w:val="21"/>
                <w:color w:val="000000"/>
              </w:rPr>
              <w:t>采购人</w:t>
            </w:r>
            <w:r>
              <w:rPr>
                <w:sz w:val="21"/>
                <w:color w:val="000000"/>
              </w:rPr>
              <w:t>的</w:t>
            </w:r>
            <w:r>
              <w:rPr>
                <w:sz w:val="21"/>
                <w:color w:val="000000"/>
              </w:rPr>
              <w:t>放置</w:t>
            </w:r>
            <w:r>
              <w:rPr>
                <w:sz w:val="21"/>
                <w:color w:val="000000"/>
              </w:rPr>
              <w:t>空间</w:t>
            </w:r>
            <w:r>
              <w:rPr>
                <w:sz w:val="21"/>
                <w:color w:val="000000"/>
              </w:rPr>
              <w:t>要求</w:t>
            </w:r>
            <w:r>
              <w:rPr>
                <w:sz w:val="21"/>
                <w:color w:val="000000"/>
              </w:rPr>
              <w:t>，</w:t>
            </w:r>
            <w:r>
              <w:rPr>
                <w:sz w:val="21"/>
                <w:color w:val="000000"/>
              </w:rPr>
              <w:t>投标人</w:t>
            </w:r>
            <w:r>
              <w:rPr>
                <w:sz w:val="21"/>
                <w:color w:val="000000"/>
              </w:rPr>
              <w:t>提供</w:t>
            </w:r>
            <w:r>
              <w:rPr>
                <w:sz w:val="21"/>
                <w:color w:val="000000"/>
              </w:rPr>
              <w:t>承诺函</w:t>
            </w:r>
            <w:r>
              <w:rPr>
                <w:sz w:val="21"/>
                <w:color w:val="000000"/>
              </w:rPr>
              <w:t>，</w:t>
            </w:r>
            <w:r>
              <w:rPr>
                <w:sz w:val="21"/>
                <w:color w:val="000000"/>
              </w:rPr>
              <w:t>格式</w:t>
            </w:r>
            <w:r>
              <w:rPr>
                <w:sz w:val="21"/>
                <w:color w:val="000000"/>
              </w:rPr>
              <w:t>自拟</w:t>
            </w:r>
            <w:r>
              <w:rPr>
                <w:sz w:val="21"/>
                <w:color w:val="000000"/>
              </w:rPr>
              <w:t>；</w:t>
            </w:r>
          </w:p>
          <w:p>
            <w:pPr>
              <w:pStyle w:val="null3"/>
              <w:jc w:val="left"/>
            </w:pPr>
            <w:r>
              <w:rPr>
                <w:sz w:val="21"/>
                <w:color w:val="000000"/>
              </w:rPr>
              <w:t>9</w:t>
            </w:r>
            <w:r>
              <w:rPr>
                <w:sz w:val="21"/>
                <w:color w:val="000000"/>
              </w:rPr>
              <w:t>、配套有线键盘鼠标；</w:t>
            </w:r>
          </w:p>
          <w:p>
            <w:pPr>
              <w:pStyle w:val="null3"/>
              <w:jc w:val="both"/>
            </w:pPr>
            <w:r>
              <w:rPr>
                <w:sz w:val="21"/>
                <w:color w:val="000000"/>
              </w:rPr>
              <w:t>10</w:t>
            </w:r>
            <w:r>
              <w:rPr>
                <w:sz w:val="21"/>
                <w:color w:val="000000"/>
              </w:rPr>
              <w:t>、要求与分布式桌面云系统，多媒体教学软件能互相兼容使用。</w:t>
            </w:r>
          </w:p>
          <w:p>
            <w:pPr>
              <w:pStyle w:val="null3"/>
              <w:jc w:val="left"/>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分布式桌面云系统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1、管理平台采用B/S架构，无需安装客户端，管理员可以在任意地点使用PC、手机、平板电脑等设备访问WEB页面即可进行终端和桌面的管理，支持账号密码和微信扫码多种登录方式；</w:t>
            </w:r>
          </w:p>
          <w:p>
            <w:pPr>
              <w:pStyle w:val="null3"/>
              <w:jc w:val="both"/>
            </w:pPr>
            <w:r>
              <w:rPr>
                <w:sz w:val="21"/>
              </w:rPr>
              <w:t>2、管理平台和终端支持IPv4、IPv6网络环境下的安装使用，可配置IPv4、IPv6网络信息；</w:t>
            </w:r>
          </w:p>
          <w:p>
            <w:pPr>
              <w:pStyle w:val="null3"/>
              <w:jc w:val="both"/>
            </w:pPr>
            <w:r>
              <w:rPr>
                <w:sz w:val="21"/>
              </w:rPr>
              <w:t>3、支持跨校区分散部署，云服务器可部署在不同的校区，单一IP地址即可访问和管理所有区域，支持多区域切换管理，支持新增区域；（提供功能截图，不限制截图数量，可以完整体现功能即可）</w:t>
            </w:r>
          </w:p>
          <w:p>
            <w:pPr>
              <w:pStyle w:val="null3"/>
              <w:jc w:val="both"/>
            </w:pPr>
            <w:r>
              <w:rPr>
                <w:sz w:val="21"/>
              </w:rPr>
              <w:t>4、支持跨校区多区域资源汇总分析，可统计所有区域的桌面云部署信息，至少包括服务器数量，CPU、内存、存储使用率，教室数量，终端数量，桌面数量等，也可统计分析区域内桌面使用次数等信息；</w:t>
            </w:r>
          </w:p>
          <w:p>
            <w:pPr>
              <w:pStyle w:val="null3"/>
              <w:jc w:val="both"/>
            </w:pPr>
            <w:r>
              <w:rPr>
                <w:sz w:val="21"/>
              </w:rPr>
              <w:t>5、提供桌面自维护工具，包括IP查看、防火墙设置、Ping网络检测、快速调整最佳分辨率、清除图标缓存等</w:t>
            </w:r>
            <w:r>
              <w:rPr>
                <w:sz w:val="21"/>
              </w:rPr>
              <w:t>（</w:t>
            </w:r>
            <w:r>
              <w:rPr>
                <w:sz w:val="21"/>
              </w:rPr>
              <w:t>投标人</w:t>
            </w:r>
            <w:r>
              <w:rPr>
                <w:sz w:val="21"/>
              </w:rPr>
              <w:t>提供</w:t>
            </w:r>
            <w:r>
              <w:rPr>
                <w:sz w:val="21"/>
              </w:rPr>
              <w:t>该</w:t>
            </w:r>
            <w:r>
              <w:rPr>
                <w:sz w:val="21"/>
              </w:rPr>
              <w:t>功能</w:t>
            </w:r>
            <w:r>
              <w:rPr>
                <w:sz w:val="21"/>
              </w:rPr>
              <w:t>截图</w:t>
            </w:r>
            <w:r>
              <w:rPr>
                <w:sz w:val="21"/>
              </w:rPr>
              <w:t>，并</w:t>
            </w:r>
            <w:r>
              <w:rPr>
                <w:sz w:val="21"/>
              </w:rPr>
              <w:t>加盖</w:t>
            </w:r>
            <w:r>
              <w:rPr>
                <w:sz w:val="21"/>
              </w:rPr>
              <w:t>投标</w:t>
            </w:r>
            <w:r>
              <w:rPr>
                <w:sz w:val="21"/>
              </w:rPr>
              <w:t>人</w:t>
            </w:r>
            <w:r>
              <w:rPr>
                <w:sz w:val="21"/>
              </w:rPr>
              <w:t>公章</w:t>
            </w:r>
            <w:r>
              <w:rPr>
                <w:sz w:val="21"/>
              </w:rPr>
              <w:t>）</w:t>
            </w:r>
            <w:r>
              <w:rPr>
                <w:sz w:val="21"/>
              </w:rPr>
              <w:t>；</w:t>
            </w:r>
          </w:p>
          <w:p>
            <w:pPr>
              <w:pStyle w:val="null3"/>
              <w:jc w:val="both"/>
            </w:pPr>
            <w:r>
              <w:rPr>
                <w:sz w:val="21"/>
              </w:rPr>
              <w:t>6、支持单一系统镜像管理，可添加、修改、删除系统镜像模板，可对系统镜像中的软件、文件、系统设置等进行编辑；</w:t>
            </w:r>
          </w:p>
          <w:p>
            <w:pPr>
              <w:pStyle w:val="null3"/>
              <w:jc w:val="both"/>
            </w:pPr>
            <w:r>
              <w:rPr>
                <w:sz w:val="21"/>
              </w:rPr>
              <w:t>7、支持终端设备异构，单镜像可支持多种不同型号终端，支持统一下发；</w:t>
            </w:r>
          </w:p>
          <w:p>
            <w:pPr>
              <w:pStyle w:val="null3"/>
              <w:jc w:val="both"/>
            </w:pPr>
            <w:r>
              <w:rPr>
                <w:sz w:val="21"/>
              </w:rPr>
              <w:t>8、要求具备应急教学使用环境下的数据找回功能（非第三方PE工具），</w:t>
            </w:r>
            <w:r>
              <w:rPr>
                <w:sz w:val="21"/>
              </w:rPr>
              <w:t>（</w:t>
            </w:r>
            <w:r>
              <w:rPr>
                <w:sz w:val="21"/>
              </w:rPr>
              <w:t>投标人提供该功能截图，并加盖投标人公章</w:t>
            </w:r>
            <w:r>
              <w:rPr>
                <w:sz w:val="21"/>
              </w:rPr>
              <w:t>）</w:t>
            </w:r>
          </w:p>
          <w:p>
            <w:pPr>
              <w:pStyle w:val="null3"/>
              <w:jc w:val="both"/>
            </w:pPr>
            <w:r>
              <w:rPr>
                <w:sz w:val="21"/>
              </w:rPr>
              <w:t>9、支持在WEB管理平台上直接对服务器SSD硬盘进行性能测试（非命令行的交互方式），不依赖第三方测试工具，可获取SSD硬盘16K随机读、顺序写数值，并给出优或良或中或差的综合分值；注册模板时可指定模板应用的教室范围，不同管理员能分权限对模板进行管理，一键自主隐藏无权限的模板；</w:t>
            </w:r>
          </w:p>
          <w:p>
            <w:pPr>
              <w:pStyle w:val="null3"/>
              <w:jc w:val="both"/>
            </w:pPr>
            <w:r>
              <w:rPr>
                <w:sz w:val="21"/>
              </w:rPr>
              <w:t>10、终端支持裸机部署模式，本地无操作系统也可连接服务器部署客户端，且局域网内任意安装好VOI底层客户端的终端，都可以给其他终端传底层客户端系统；</w:t>
            </w:r>
          </w:p>
          <w:p>
            <w:pPr>
              <w:pStyle w:val="null3"/>
              <w:jc w:val="both"/>
            </w:pPr>
            <w:r>
              <w:rPr>
                <w:sz w:val="21"/>
              </w:rPr>
              <w:t>11、系统下发支持BT和广播两种模式，广播支持跨VLAN环境且无需第三方软硬件设备；</w:t>
            </w:r>
          </w:p>
          <w:p>
            <w:pPr>
              <w:pStyle w:val="null3"/>
              <w:jc w:val="both"/>
            </w:pPr>
            <w:r>
              <w:rPr>
                <w:sz w:val="21"/>
              </w:rPr>
              <w:t>12、▲支持底层Windows或Linux系统手动备份保护和实时自动备份保护两种模式，（</w:t>
            </w:r>
            <w:r>
              <w:rPr>
                <w:sz w:val="21"/>
                <w:b/>
              </w:rPr>
              <w:t>投标时提供承诺函，格式自拟</w:t>
            </w:r>
            <w:r>
              <w:rPr>
                <w:sz w:val="21"/>
              </w:rPr>
              <w:t>）；</w:t>
            </w:r>
          </w:p>
          <w:p>
            <w:pPr>
              <w:pStyle w:val="null3"/>
              <w:jc w:val="both"/>
            </w:pPr>
            <w:r>
              <w:rPr>
                <w:sz w:val="21"/>
              </w:rPr>
              <w:t>13、▲支持端对端数据智能传输，可将已有镜像的终端作为发送端，给同教室内其他终端下发镜像；</w:t>
            </w:r>
            <w:r>
              <w:rPr>
                <w:sz w:val="21"/>
                <w:b/>
              </w:rPr>
              <w:t>（投标时提供承诺函，格式自拟；验收时提供第三方检测机构出具的具备CNAS或CMA标识的产品功能测试报告扫描件）</w:t>
            </w:r>
          </w:p>
          <w:p>
            <w:pPr>
              <w:pStyle w:val="null3"/>
              <w:jc w:val="both"/>
            </w:pPr>
            <w:r>
              <w:rPr>
                <w:sz w:val="21"/>
              </w:rPr>
              <w:t>14、制作系统模板时支持样机制作方式，可在教室任意选择一台样机，系统和软件安装完成后将样机模板上传到服务器端；同时支持web平台制作方式，无需到教室寻找样机，直接在管理平台上通过虚拟机制作模板然后下发；</w:t>
            </w:r>
          </w:p>
          <w:p>
            <w:pPr>
              <w:pStyle w:val="null3"/>
              <w:jc w:val="both"/>
            </w:pPr>
            <w:r>
              <w:rPr>
                <w:sz w:val="21"/>
              </w:rPr>
              <w:t>15、系统下发支持分盘下发，可同时下发系统盘和数据盘数据，也可独立分发系统盘数据，满足系统盘更新同时保留数据盘数据的需求；</w:t>
            </w:r>
          </w:p>
          <w:p>
            <w:pPr>
              <w:pStyle w:val="null3"/>
              <w:jc w:val="both"/>
            </w:pPr>
            <w:r>
              <w:rPr>
                <w:sz w:val="21"/>
              </w:rPr>
              <w:t>16、支持软件方式实现跨VLAN环境下的终端网络唤醒，无需第三方硬件设备；</w:t>
            </w:r>
          </w:p>
          <w:p>
            <w:pPr>
              <w:pStyle w:val="null3"/>
              <w:jc w:val="both"/>
            </w:pPr>
            <w:r>
              <w:rPr>
                <w:sz w:val="21"/>
              </w:rPr>
              <w:t>17、能够通过管理平台远程对服务器进行维护管理，例如关机、重启，查看服务器详细硬件配置，例如CPU/内存/磁盘/显卡型号与数量，实时掌握系统服务的开启或关闭状态，能够一键重启关键进程；</w:t>
            </w:r>
          </w:p>
          <w:p>
            <w:pPr>
              <w:pStyle w:val="null3"/>
              <w:jc w:val="both"/>
            </w:pPr>
            <w:r>
              <w:rPr>
                <w:sz w:val="21"/>
              </w:rPr>
              <w:t>18、为了应对学校网络调整，可在管理平台上灵活修改服务器的ip地址，无需重启服务器，使用更改后的ip地址即可访问平台，平台原有模板、桌面信息、网络配置无变化；</w:t>
            </w:r>
          </w:p>
          <w:p>
            <w:pPr>
              <w:pStyle w:val="null3"/>
              <w:jc w:val="both"/>
            </w:pPr>
            <w:r>
              <w:rPr>
                <w:sz w:val="21"/>
              </w:rPr>
              <w:t>19、▲须支持对EXT文件系统或其他文件系统进行有效数据分析(</w:t>
            </w:r>
            <w:r>
              <w:rPr>
                <w:sz w:val="21"/>
                <w:b/>
              </w:rPr>
              <w:t>投标时提供承诺函，格式自拟；验收时提供有关于EXT文件系统或其他文件系统数据分析的知识产权证明资料扫描件</w:t>
            </w:r>
            <w:r>
              <w:rPr>
                <w:sz w:val="21"/>
              </w:rPr>
              <w:t>)；</w:t>
            </w:r>
          </w:p>
          <w:p>
            <w:pPr>
              <w:pStyle w:val="null3"/>
              <w:jc w:val="both"/>
            </w:pPr>
            <w:r>
              <w:rPr>
                <w:sz w:val="21"/>
              </w:rPr>
              <w:t>20、平台支持下发windows和linux系统，在为教室分配桌面时，能够手动选择配置好的windows和linux模板，桌面创建支持自动编排终端的计算机名及编号，能够单独设定桌面系统盘/数据盘的还原属性，支持不还原/每次还原/每周还原/每月还原，支持自动更新桌面；</w:t>
            </w:r>
          </w:p>
          <w:p>
            <w:pPr>
              <w:pStyle w:val="null3"/>
              <w:jc w:val="both"/>
            </w:pPr>
            <w:r>
              <w:rPr>
                <w:sz w:val="21"/>
              </w:rPr>
              <w:t>21、单个终端可同时支持教学桌面和个人桌面两种使用方式，教学桌面开机无需账号直接进入桌面，个人桌面开机须输入账号密码进入桌面；管理台可控制允许终端进入的桌面类型，包括仅使用教学桌面，仅使用个人桌面，混合登录三种方式；</w:t>
            </w:r>
          </w:p>
          <w:p>
            <w:pPr>
              <w:pStyle w:val="null3"/>
              <w:jc w:val="both"/>
            </w:pPr>
            <w:r>
              <w:rPr>
                <w:sz w:val="21"/>
              </w:rPr>
              <w:t>22、支持桌面还原属性修改，桌面创建完成后，可随时在管理平台根据教学需求修改教学桌面还原属性，可单独分别为系统盘和数据盘设置每次还原，每天还原，每周还原、每月还原或不还原，也可对场景中的任意数量的桌面实现还原；</w:t>
            </w:r>
          </w:p>
          <w:p>
            <w:pPr>
              <w:pStyle w:val="null3"/>
              <w:jc w:val="both"/>
            </w:pPr>
            <w:r>
              <w:rPr>
                <w:sz w:val="21"/>
              </w:rPr>
              <w:t>23、针对教室桌面，能够设定独立的场景数据盘，并自动挂载到终端操作系统，针对场景数据盘能够设定清空策略，支持不清空/每周清空/每月清空等方式；</w:t>
            </w:r>
          </w:p>
          <w:p>
            <w:pPr>
              <w:pStyle w:val="null3"/>
              <w:jc w:val="both"/>
            </w:pPr>
            <w:r>
              <w:rPr>
                <w:sz w:val="21"/>
              </w:rPr>
              <w:t>24、支持windows系统下的屏幕水印功能，可设置水印显示位置、字体大小、颜色、透明度，可设置显示内容，包括桌面计算机名，终端序号，桌面IP地址，MAC地址，还原方式等信息，还可自定义显示内容，进入系统后，桌面右上角可置顶显示设置的信息水印；（提供功能截图，不限制截图数量，可以完整体现功能即可）</w:t>
            </w:r>
          </w:p>
          <w:p>
            <w:pPr>
              <w:pStyle w:val="null3"/>
              <w:jc w:val="both"/>
            </w:pPr>
            <w:r>
              <w:rPr>
                <w:sz w:val="21"/>
              </w:rPr>
              <w:t>25、支持硬件虚拟化功能，开启后针对硬件识别码的软件可实现软件统一注册；</w:t>
            </w:r>
          </w:p>
          <w:p>
            <w:pPr>
              <w:pStyle w:val="null3"/>
              <w:jc w:val="both"/>
            </w:pPr>
            <w:r>
              <w:rPr>
                <w:sz w:val="21"/>
              </w:rPr>
              <w:t>26、支持模板管理，可针对不同的教学要求提供windows、linux等多套教学模板，支持在web平台对模板进行新增，编辑，注册，删除等操作；</w:t>
            </w:r>
          </w:p>
          <w:p>
            <w:pPr>
              <w:pStyle w:val="null3"/>
              <w:jc w:val="both"/>
            </w:pPr>
            <w:r>
              <w:rPr>
                <w:sz w:val="21"/>
              </w:rPr>
              <w:t>27、支持模板更新点管理，可默认保留不少于三个时间点的更新进度，可对更新点进行合并、删除；</w:t>
            </w:r>
          </w:p>
          <w:p>
            <w:pPr>
              <w:pStyle w:val="null3"/>
              <w:jc w:val="both"/>
            </w:pPr>
            <w:r>
              <w:rPr>
                <w:sz w:val="21"/>
              </w:rPr>
              <w:t>28、支持模板分享链接，管理员可以将编辑模板的链接分享给需要编辑模板的用户，在浏览器中直接输入链接地址即可对模板进行编辑，支持分享日期、分享链接的失效期设置；</w:t>
            </w:r>
          </w:p>
          <w:p>
            <w:pPr>
              <w:pStyle w:val="null3"/>
              <w:jc w:val="both"/>
            </w:pPr>
            <w:r>
              <w:rPr>
                <w:sz w:val="21"/>
              </w:rPr>
              <w:t>29、可通过管理平台上传系统镜像、应用及补丁包（上传文件不限格式），并可进行分类管理；</w:t>
            </w:r>
          </w:p>
          <w:p>
            <w:pPr>
              <w:pStyle w:val="null3"/>
              <w:jc w:val="both"/>
            </w:pPr>
            <w:r>
              <w:rPr>
                <w:sz w:val="21"/>
              </w:rPr>
              <w:t>30、支持在一个界面展示终端名称、IP地址、MAC地址，运行状态、磁盘剩余容量、下发状态等信息，可通过管理平台对终端执行唤醒、重启、关机，系统场景切换等操作；</w:t>
            </w:r>
          </w:p>
          <w:p>
            <w:pPr>
              <w:pStyle w:val="null3"/>
              <w:jc w:val="both"/>
            </w:pPr>
            <w:r>
              <w:rPr>
                <w:sz w:val="21"/>
              </w:rPr>
              <w:t>31、单个终端可部署多个操作系统，支持在管理平台上设置终端数据盘，可任意选定可使用共享盘的操作系统数量，可设置终端数据盘的的空间大小，并能设定清除策略，包含不清除/每周清除/每月清除；</w:t>
            </w:r>
          </w:p>
          <w:p>
            <w:pPr>
              <w:pStyle w:val="null3"/>
              <w:jc w:val="both"/>
            </w:pPr>
            <w:r>
              <w:rPr>
                <w:sz w:val="21"/>
              </w:rPr>
              <w:t>32、教室终端支持按需分配交换机，可设定交换机分组匹配部署，并可生成交换机拓扑图。</w:t>
            </w:r>
          </w:p>
          <w:p>
            <w:pPr>
              <w:pStyle w:val="null3"/>
              <w:jc w:val="both"/>
            </w:pPr>
            <w:r>
              <w:rPr>
                <w:sz w:val="21"/>
              </w:rPr>
              <w:t>33、支持终端的快速筛选，如在隔位考试的情况下，可通过单双号方式，快速筛选定位所要查看的终端；</w:t>
            </w:r>
          </w:p>
          <w:p>
            <w:pPr>
              <w:pStyle w:val="null3"/>
              <w:jc w:val="both"/>
            </w:pPr>
            <w:r>
              <w:rPr>
                <w:sz w:val="21"/>
              </w:rPr>
              <w:t>34、针对终端可设置定时开关机计划，可按周期在固定时间唤醒和关闭对应的教学桌面终端，日期精确到天、时间精确到分钟，并可以指定开机的范围所对应的终端教室；</w:t>
            </w:r>
          </w:p>
          <w:p>
            <w:pPr>
              <w:pStyle w:val="null3"/>
              <w:jc w:val="both"/>
            </w:pPr>
            <w:r>
              <w:rPr>
                <w:sz w:val="21"/>
              </w:rPr>
              <w:t>35、可针对不同的功能模块和教室范围进行权限角色的划分，可授权管理员能操作的管理平台功能，权限细分到每一个功能菜单操作；可授权管理员可管理的教室范围；</w:t>
            </w:r>
          </w:p>
          <w:p>
            <w:pPr>
              <w:pStyle w:val="null3"/>
              <w:jc w:val="both"/>
            </w:pPr>
            <w:r>
              <w:rPr>
                <w:sz w:val="21"/>
              </w:rPr>
              <w:t>36、无需安装任何客户端，管理员在办公室即可通过网页浏览器上直接编辑模板镜像，对模板的操作最少应实现加载GuestTool、开关机、上传文件、更新模板、加载安装包功能，可以直接将笔记本电脑的文件拖动到网页浏览器打开的模板虚拟机；还可支持模板以网页链接的方式进行分享，并可设定模板网页链接的有效期；</w:t>
            </w:r>
          </w:p>
          <w:p>
            <w:pPr>
              <w:pStyle w:val="null3"/>
              <w:jc w:val="both"/>
            </w:pPr>
            <w:r>
              <w:rPr>
                <w:sz w:val="21"/>
              </w:rPr>
              <w:t>37、支持教学网盘功能，无需第三方组件，创建桌面账户时可同步生成网盘账号，启用网盘后可通过该账号直接登录网盘，网盘</w:t>
            </w:r>
            <w:r>
              <w:rPr>
                <w:sz w:val="21"/>
              </w:rPr>
              <w:t>支持</w:t>
            </w:r>
            <w:r>
              <w:rPr>
                <w:sz w:val="21"/>
              </w:rPr>
              <w:t>页端和本地客户端两种登录方式，用户在本地同步目录下的文件会自动与云端保持同步；</w:t>
            </w:r>
          </w:p>
          <w:p>
            <w:pPr>
              <w:pStyle w:val="null3"/>
              <w:jc w:val="both"/>
            </w:pPr>
            <w:r>
              <w:rPr>
                <w:sz w:val="21"/>
              </w:rPr>
              <w:t>38、能够通过平台设置服务器定时关机策略，能够设定周一至周五，服务器自动关机的时间，能够精确到分钟。</w:t>
            </w:r>
            <w:r>
              <w:rPr>
                <w:sz w:val="21"/>
                <w:b/>
              </w:rPr>
              <w:t>（</w:t>
            </w:r>
            <w:r>
              <w:rPr>
                <w:sz w:val="21"/>
                <w:b/>
              </w:rPr>
              <w:t>投标人提供该功能截图，并加盖投标人公章</w:t>
            </w:r>
            <w:r>
              <w:rPr>
                <w:sz w:val="21"/>
                <w:b/>
              </w:rPr>
              <w:t>）</w:t>
            </w:r>
          </w:p>
          <w:p>
            <w:pPr>
              <w:pStyle w:val="null3"/>
              <w:jc w:val="both"/>
            </w:pPr>
            <w:r>
              <w:rPr>
                <w:sz w:val="21"/>
              </w:rPr>
              <w:t>39、在虚拟桌面管理平台上编辑学期课表(无需依赖第三方软件或脚本)，可设置学期开始和结束时间、每节课起始时间（支持单双周排课），可直接将桌面模板拖拽到课表中，例如将win10镜像拖动到周一的第3、4节课；</w:t>
            </w:r>
          </w:p>
          <w:p>
            <w:pPr>
              <w:pStyle w:val="null3"/>
              <w:jc w:val="both"/>
            </w:pPr>
            <w:r>
              <w:rPr>
                <w:sz w:val="21"/>
              </w:rPr>
              <w:t xml:space="preserve">40、支持提供虚拟服务器的系统桌面功能，可在管理平台直接选择安装包创建虚拟机，能够选择虚拟机的CPU/内存/系统盘/数据盘/网络，能够设定虚拟机开机随宿主机启动；  </w:t>
            </w:r>
          </w:p>
          <w:p>
            <w:pPr>
              <w:pStyle w:val="null3"/>
              <w:jc w:val="both"/>
            </w:pPr>
            <w:r>
              <w:rPr>
                <w:sz w:val="21"/>
              </w:rPr>
              <w:t>41、提供系统操作日志功能，可独立查看管理日志和用户日志（包括操作内容，操作者，操作时间，登录主机IP，操作对象等），可设置日志的保留时间，如一个月，一年，永久等，支持对日志文件的备份，包括立即备份和自动备份，可设置自动备份周期、备份时间、备份文件保留数量；（</w:t>
            </w:r>
            <w:r>
              <w:rPr>
                <w:sz w:val="21"/>
                <w:b/>
              </w:rPr>
              <w:t>投标时提供承诺函，格式自拟</w:t>
            </w:r>
            <w:r>
              <w:rPr>
                <w:sz w:val="21"/>
              </w:rPr>
              <w:t>）</w:t>
            </w:r>
          </w:p>
          <w:p>
            <w:pPr>
              <w:pStyle w:val="null3"/>
              <w:jc w:val="both"/>
            </w:pPr>
            <w:r>
              <w:rPr>
                <w:sz w:val="21"/>
              </w:rPr>
              <w:t>42、支持保留最少一周内的桌面下发记录，包括下发的终端名称，桌面名称，起止时间，下发状态等信息；</w:t>
            </w:r>
          </w:p>
          <w:p>
            <w:pPr>
              <w:pStyle w:val="null3"/>
              <w:jc w:val="both"/>
            </w:pPr>
            <w:r>
              <w:rPr>
                <w:sz w:val="21"/>
              </w:rPr>
              <w:t>43、▲底层服务器虚拟化软件需通过《信息技术弹性计算应用接口》测评；</w:t>
            </w:r>
            <w:r>
              <w:rPr>
                <w:sz w:val="21"/>
                <w:b/>
              </w:rPr>
              <w:t>（投标文件中提供承诺函，格式自拟；验收时提供通过CNAS或CMA认证的第三方检测机构出具的功能性测试报告扫描件，检测机构对以上功能的检测需符合国家行政机关对其认可的检测能力范围）</w:t>
            </w:r>
            <w:r>
              <w:rPr>
                <w:sz w:val="21"/>
              </w:rPr>
              <w:t>；</w:t>
            </w:r>
          </w:p>
          <w:p>
            <w:pPr>
              <w:pStyle w:val="null3"/>
              <w:jc w:val="left"/>
            </w:pPr>
            <w:r>
              <w:rPr>
                <w:sz w:val="21"/>
              </w:rPr>
              <w:t>44、单个界面下终端管理除了支持右击选定终端进行修改IP（最少包括IPv4、IPv6），设定终端数据盘还原属性（最少按次、按天、按周、按月清除）、端对端同传、无盘确认安装、进入维护模式、单双数序号筛选。终端管理的下发中心还支持保留≥一周的桌面下发记录，包括下发的终端名称，场景名称，场景类型，起止时间，下发状态等信息；</w:t>
            </w:r>
          </w:p>
          <w:p>
            <w:pPr>
              <w:pStyle w:val="null3"/>
              <w:jc w:val="both"/>
            </w:pPr>
            <w:r>
              <w:rPr>
                <w:sz w:val="21"/>
              </w:rPr>
              <w:t>45、▲针对日常教学使用的各种教学软件，应支持对多个客户端进行软件统一注册激活，快速部署软件（</w:t>
            </w:r>
            <w:r>
              <w:rPr>
                <w:sz w:val="21"/>
                <w:b/>
              </w:rPr>
              <w:t>投标文件中提供承诺函，格式自拟；验收时提供有关于给多个客户端或者多个PC终端设备迅速部署软件的方法的相关知识产权证明文件扫描件</w:t>
            </w:r>
            <w:r>
              <w:rPr>
                <w:sz w:val="21"/>
              </w:rPr>
              <w:t>）；</w:t>
            </w:r>
          </w:p>
          <w:p>
            <w:pPr>
              <w:pStyle w:val="null3"/>
              <w:jc w:val="both"/>
            </w:pPr>
            <w:r>
              <w:rPr>
                <w:sz w:val="21"/>
              </w:rPr>
              <w:t>46、支持usb急救恢复，无需通过管理平台或者样机模式下发桌面，直接在终端插入专用急救u盘，即可快速恢复操作系统，恢复以后仍可被管理平台识别和管理；</w:t>
            </w:r>
          </w:p>
          <w:p>
            <w:pPr>
              <w:pStyle w:val="null3"/>
              <w:jc w:val="both"/>
            </w:pPr>
            <w:r>
              <w:rPr>
                <w:sz w:val="21"/>
              </w:rPr>
              <w:t>47、提供独立的桌面云系统检测工具，可检测服务器连接状态、终端连接状态、集群网络状态、数据库状态、文件系统状态、脏数据状态、授权激活状态、主控HA状态、Guesttools状态、模板状态、桌面状态；展示体检分数和检测结果详情，生成可下载的检测报告，提示检测异常并给出解决建议，可一键修复体检异常项</w:t>
            </w:r>
            <w:r>
              <w:rPr>
                <w:sz w:val="21"/>
                <w:b/>
              </w:rPr>
              <w:t>（</w:t>
            </w:r>
            <w:r>
              <w:rPr>
                <w:sz w:val="21"/>
              </w:rPr>
              <w:t>投标人提供该功能截图，并加盖投标人公章</w:t>
            </w:r>
            <w:r>
              <w:rPr>
                <w:sz w:val="21"/>
                <w:b/>
              </w:rPr>
              <w:t>）</w:t>
            </w:r>
            <w:r>
              <w:rPr>
                <w:sz w:val="21"/>
              </w:rPr>
              <w:t>；</w:t>
            </w:r>
          </w:p>
          <w:p>
            <w:pPr>
              <w:pStyle w:val="null3"/>
              <w:jc w:val="both"/>
            </w:pPr>
            <w:r>
              <w:rPr>
                <w:sz w:val="21"/>
                <w:b/>
              </w:rPr>
              <w:t>48、★要求与多媒体教学软件能相互兼容；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多媒体教学软件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1、支持IPV4、IPV6网络环境下安装和正常使用，支持windows 7 32位/64位，windows10 64位、windows11 64位操作系统；</w:t>
            </w:r>
          </w:p>
          <w:p>
            <w:pPr>
              <w:pStyle w:val="null3"/>
              <w:jc w:val="both"/>
            </w:pPr>
            <w:r>
              <w:rPr>
                <w:sz w:val="21"/>
              </w:rPr>
              <w:t>2、支持屏幕广播功能，能够实现两种接收模式，包括学生全屏/窗口模式接收教师机广播的画面，全屏状态锁定学生鼠标和键盘；</w:t>
            </w:r>
          </w:p>
          <w:p>
            <w:pPr>
              <w:pStyle w:val="null3"/>
              <w:jc w:val="both"/>
            </w:pPr>
            <w:r>
              <w:rPr>
                <w:sz w:val="21"/>
              </w:rPr>
              <w:t>3、</w:t>
            </w:r>
            <w:r>
              <w:rPr>
                <w:sz w:val="21"/>
              </w:rPr>
              <w:t>在</w:t>
            </w:r>
            <w:r>
              <w:rPr>
                <w:sz w:val="21"/>
              </w:rPr>
              <w:t>屏幕广播状态下，教师可开启实时语音，学生端可以通过耳机接听教师语音，同时支持屏幕笔功能，教师可通过屏幕笔将屏幕当作画板进行绘制，便于教学互动；</w:t>
            </w:r>
          </w:p>
          <w:p>
            <w:pPr>
              <w:pStyle w:val="null3"/>
              <w:jc w:val="both"/>
            </w:pPr>
            <w:r>
              <w:rPr>
                <w:sz w:val="21"/>
              </w:rPr>
              <w:t>4、▲学生端登录正在广播教学的频道后，自动接入广播教学；在虚拟桌面环境内，学生端关闭虚拟桌面仍可接入广播教学；（</w:t>
            </w:r>
            <w:r>
              <w:rPr>
                <w:sz w:val="21"/>
                <w:b/>
              </w:rPr>
              <w:t>投标文件中提供</w:t>
            </w:r>
            <w:r>
              <w:rPr>
                <w:sz w:val="21"/>
                <w:b/>
              </w:rPr>
              <w:t>承诺函，格式自拟；验收时</w:t>
            </w:r>
            <w:r>
              <w:rPr>
                <w:sz w:val="21"/>
                <w:b/>
              </w:rPr>
              <w:t>提供第三方检测机构出具的具备</w:t>
            </w:r>
            <w:r>
              <w:rPr>
                <w:sz w:val="21"/>
                <w:b/>
              </w:rPr>
              <w:t>CNAS或CMA标识的产品功能测试报告扫描件</w:t>
            </w:r>
            <w:r>
              <w:rPr>
                <w:sz w:val="21"/>
              </w:rPr>
              <w:t>）</w:t>
            </w:r>
            <w:r>
              <w:rPr>
                <w:sz w:val="21"/>
              </w:rPr>
              <w:t xml:space="preserve">   </w:t>
            </w:r>
          </w:p>
          <w:p>
            <w:pPr>
              <w:pStyle w:val="null3"/>
              <w:jc w:val="both"/>
            </w:pPr>
            <w:r>
              <w:rPr>
                <w:sz w:val="21"/>
              </w:rPr>
              <w:t>5、▲对所有学生端进行屏幕监看操作，设置每屏学生机数量、屏幕轮循时间间隔；（</w:t>
            </w:r>
            <w:r>
              <w:rPr>
                <w:sz w:val="21"/>
                <w:b/>
              </w:rPr>
              <w:t>投标文件中提供</w:t>
            </w:r>
            <w:r>
              <w:rPr>
                <w:sz w:val="21"/>
                <w:b/>
              </w:rPr>
              <w:t>承诺函，格式自拟；验收时</w:t>
            </w:r>
            <w:r>
              <w:rPr>
                <w:sz w:val="21"/>
                <w:b/>
              </w:rPr>
              <w:t>提供第三方检测机构出具的具备</w:t>
            </w:r>
            <w:r>
              <w:rPr>
                <w:sz w:val="21"/>
                <w:b/>
              </w:rPr>
              <w:t>CNAS或CMA标识的产品功能测试报告扫描件</w:t>
            </w:r>
            <w:r>
              <w:rPr>
                <w:sz w:val="21"/>
              </w:rPr>
              <w:t>）</w:t>
            </w:r>
            <w:r>
              <w:rPr>
                <w:sz w:val="21"/>
              </w:rPr>
              <w:t xml:space="preserve">  </w:t>
            </w:r>
          </w:p>
          <w:p>
            <w:pPr>
              <w:pStyle w:val="null3"/>
              <w:jc w:val="both"/>
            </w:pPr>
            <w:r>
              <w:rPr>
                <w:sz w:val="21"/>
              </w:rPr>
              <w:t>6、支持作业下发，教师机可将自己机器上的文件传输到学生机，支持一对多传输，当选中多台学生机执行下发文件时，教师端需选择其中一台学生机作为样本机，并选择存放路径，支持发送文件或文件夹；</w:t>
            </w:r>
          </w:p>
          <w:p>
            <w:pPr>
              <w:pStyle w:val="null3"/>
              <w:jc w:val="both"/>
            </w:pPr>
            <w:r>
              <w:rPr>
                <w:sz w:val="21"/>
              </w:rPr>
              <w:t>7、支持收取作业，教师可发起作业提交，学生提交作业后自动收取，默认将收取上来的作业存放在桌面，该路径可自定义更换；作业命名方式支持学生自定义和教师自定义，教师自定义命名支持加入学生姓名、学号、学生机器名或学生机IP地址中的一种方式；</w:t>
            </w:r>
          </w:p>
          <w:p>
            <w:pPr>
              <w:pStyle w:val="null3"/>
              <w:jc w:val="both"/>
            </w:pPr>
            <w:r>
              <w:rPr>
                <w:sz w:val="21"/>
              </w:rPr>
              <w:t>8、支持一键收取指定路径的学生作业，弥补学生忘交作业和不会提交作业的缺点；</w:t>
            </w:r>
          </w:p>
          <w:p>
            <w:pPr>
              <w:pStyle w:val="null3"/>
              <w:jc w:val="both"/>
            </w:pPr>
            <w:r>
              <w:rPr>
                <w:sz w:val="21"/>
              </w:rPr>
              <w:t>9、支持远程命令（包括一键关闭应用程序，一键关闭学生打开的Windows类窗口）、远程开机，远程关机等功能；支持电子白板功能，能够在屏幕广播时实现注解讲解、注释，辅助教学；支持击鼓传花，电子抢答；支持电子点名、遥控转播、遥控监看、屏幕录制与回放、教学演示、影音广播功能；</w:t>
            </w:r>
          </w:p>
          <w:p>
            <w:pPr>
              <w:pStyle w:val="null3"/>
              <w:jc w:val="both"/>
            </w:pPr>
            <w:r>
              <w:rPr>
                <w:sz w:val="21"/>
              </w:rPr>
              <w:t>10、</w:t>
            </w:r>
            <w:r>
              <w:rPr>
                <w:sz w:val="21"/>
              </w:rPr>
              <w:t>支持黑屏肃静，教师可对学生执行黑屏肃静操作，能够自定义黑屏肃静的提示信息，支持手动解锁、按时解锁、按时长解锁；</w:t>
            </w:r>
          </w:p>
          <w:p>
            <w:pPr>
              <w:pStyle w:val="null3"/>
              <w:jc w:val="both"/>
            </w:pPr>
            <w:r>
              <w:rPr>
                <w:sz w:val="21"/>
              </w:rPr>
              <w:t>11、提供行为管控模块，支持程序黑白名单限制，支持禁用外网，禁用USB设备，教师端主界面可展示USB设备、程序、网络禁用状态；</w:t>
            </w:r>
          </w:p>
          <w:p>
            <w:pPr>
              <w:pStyle w:val="null3"/>
              <w:jc w:val="both"/>
            </w:pPr>
            <w:r>
              <w:rPr>
                <w:sz w:val="21"/>
              </w:rPr>
              <w:t>12、支持学生面板功能，学生端通过学生面板可使用电子举手，提交作业，查看消息等常用功能；</w:t>
            </w:r>
          </w:p>
          <w:p>
            <w:pPr>
              <w:pStyle w:val="null3"/>
              <w:jc w:val="both"/>
            </w:pPr>
            <w:r>
              <w:rPr>
                <w:sz w:val="21"/>
              </w:rPr>
              <w:t>13、支持学生端访问因特网，学生可直接访问教师端提前设置的学习网址；</w:t>
            </w:r>
          </w:p>
          <w:p>
            <w:pPr>
              <w:pStyle w:val="null3"/>
              <w:jc w:val="both"/>
            </w:pPr>
            <w:r>
              <w:rPr>
                <w:sz w:val="21"/>
              </w:rPr>
              <w:t>14、支持师生在屏幕广播期间发送弹幕进行双向互动，教师可将学生发送的弹幕进行置顶和引用，针对恶意弹幕教师可进行删除，在弹幕成员管理中可查看当前接入的所有学生以及发言状态，教师可将学生进行弹幕禁言及解禁操作，师生双方可发送指定表情进行更便捷的信息互动。退出屏幕广播后，教师可查看当前课程的所有弹幕记录。</w:t>
            </w:r>
          </w:p>
          <w:p>
            <w:pPr>
              <w:pStyle w:val="null3"/>
              <w:jc w:val="both"/>
            </w:pPr>
            <w:r>
              <w:rPr>
                <w:sz w:val="21"/>
              </w:rPr>
              <w:t>15、支持保存电子点名信息为班级座位信息，老师可导入班级座位信息，将机房上机机位与学生信息进行绑定，便于学生来机房后使用固定位置上机；支持班级学生使用固定位置上机，开机后学生机显示该座位绑定的学生信息，学生可根据自己的姓名找到上一次上机的位置进行上机，并可直接上机签到</w:t>
            </w:r>
            <w:r>
              <w:rPr>
                <w:sz w:val="21"/>
              </w:rPr>
              <w:t>。</w:t>
            </w:r>
          </w:p>
          <w:p>
            <w:pPr>
              <w:pStyle w:val="null3"/>
              <w:jc w:val="both"/>
            </w:pPr>
            <w:r>
              <w:rPr>
                <w:sz w:val="21"/>
              </w:rPr>
              <w:t>16、支持对学生的网络搜索进行关键字屏蔽，教师机设置限制搜索的关键词后，学生机通过浏览器搜索禁用的关键词，会自动弹出提示信息，或直接关闭学生机浏览器。</w:t>
            </w:r>
          </w:p>
          <w:p>
            <w:pPr>
              <w:pStyle w:val="null3"/>
              <w:jc w:val="both"/>
            </w:pPr>
            <w:r>
              <w:rPr>
                <w:sz w:val="21"/>
                <w:b/>
              </w:rPr>
              <w:t>17、</w:t>
            </w:r>
            <w:r>
              <w:rPr>
                <w:sz w:val="21"/>
              </w:rPr>
              <w:t>支持与桌面云软件融合打通，通过教学软件实现操作系统一键切换，可关闭云桌面服务器和学生机；</w:t>
            </w:r>
            <w:r>
              <w:rPr>
                <w:sz w:val="21"/>
                <w:b/>
              </w:rPr>
              <w:t>（</w:t>
            </w:r>
            <w:r>
              <w:rPr>
                <w:sz w:val="21"/>
                <w:b/>
              </w:rPr>
              <w:t>投标文件中提供</w:t>
            </w:r>
            <w:r>
              <w:rPr>
                <w:sz w:val="21"/>
                <w:b/>
              </w:rPr>
              <w:t>承诺函，格式自拟；验收时</w:t>
            </w:r>
            <w:r>
              <w:rPr>
                <w:sz w:val="21"/>
                <w:b/>
              </w:rPr>
              <w:t>提供第三方检测机构出具的具备</w:t>
            </w:r>
            <w:r>
              <w:rPr>
                <w:sz w:val="21"/>
                <w:b/>
              </w:rPr>
              <w:t>CNAS或CMA标识的产品功能测试报告扫描件）</w:t>
            </w:r>
          </w:p>
          <w:p>
            <w:pPr>
              <w:pStyle w:val="null3"/>
              <w:jc w:val="both"/>
            </w:pPr>
            <w:r>
              <w:rPr>
                <w:sz w:val="21"/>
              </w:rPr>
              <w:t>18、屏幕广播支持区域广播方式，教师端可选取一块区域广播给学生机；屏幕广播支持笔记截屏，教师机开启笔记截屏后，全屏广播时学生机可一键截取屏幕，保存上课重点信息。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1.采购代理机构：本项目是指江门市政府采购中心，负责整个采购活动的组织，依法负责编制和发布招标文件，对招标文件拥有最终的解释权，不以任何身份出任评标委员会成员。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五邑大学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30分钟，以工作人员当天根据实际情况设置为准。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江门市政府采购中心</w:t>
      </w:r>
      <w:r>
        <w:rPr/>
        <w:t>代收。具体操作要求详见</w:t>
      </w:r>
      <w:r>
        <w:rPr/>
        <w:t>江门市政府采购中心</w:t>
      </w:r>
      <w:r>
        <w:rPr/>
        <w:t>有关指引，递交事宜请自行咨询</w:t>
      </w:r>
      <w:r>
        <w:rPr/>
        <w:t>江门市政府采购中心</w:t>
      </w:r>
      <w:r>
        <w:rPr/>
        <w:t>；请各投标人在投标文件递交截止时间前按须知前附表规定的金额递交至</w:t>
      </w:r>
      <w:r>
        <w:rPr/>
        <w:t>江门市政府采购中心</w:t>
      </w:r>
      <w:r>
        <w:rPr/>
        <w:t>，到账情况以开标时</w:t>
      </w:r>
      <w:r>
        <w:rPr/>
        <w:t>江门市政府采购中心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李老师</w:t>
      </w:r>
    </w:p>
    <w:p>
      <w:pPr>
        <w:pStyle w:val="null3"/>
        <w:ind w:firstLine="480"/>
      </w:pPr>
      <w:r>
        <w:rPr/>
        <w:t>电话：</w:t>
      </w:r>
      <w:r>
        <w:rPr/>
        <w:t>0750-3296151</w:t>
      </w:r>
    </w:p>
    <w:p>
      <w:pPr>
        <w:pStyle w:val="null3"/>
        <w:ind w:firstLine="480"/>
      </w:pPr>
      <w:r>
        <w:rPr/>
        <w:t>传真：</w:t>
      </w:r>
      <w:r>
        <w:rPr/>
        <w:t>-</w:t>
      </w:r>
    </w:p>
    <w:p>
      <w:pPr>
        <w:pStyle w:val="null3"/>
        <w:ind w:firstLine="480"/>
      </w:pPr>
      <w:r>
        <w:rPr/>
        <w:t>邮箱：</w:t>
      </w:r>
      <w:r>
        <w:rPr/>
        <w:t>-</w:t>
      </w:r>
    </w:p>
    <w:p>
      <w:pPr>
        <w:pStyle w:val="null3"/>
        <w:ind w:firstLine="480"/>
      </w:pPr>
      <w:r>
        <w:rPr/>
        <w:t>地址：</w:t>
      </w:r>
      <w:r>
        <w:rPr/>
        <w:t>江门市蓬江区东成村22号</w:t>
      </w:r>
    </w:p>
    <w:p>
      <w:pPr>
        <w:pStyle w:val="null3"/>
        <w:ind w:firstLine="480"/>
      </w:pPr>
      <w:r>
        <w:rPr/>
        <w:t>邮编：</w:t>
      </w:r>
      <w:r>
        <w:rPr/>
        <w:t>529000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向荣国际财经学堂”创新实训中心建设项目—云终端等设备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江门市政府采购中心</w:t>
      </w:r>
      <w:r>
        <w:rPr/>
        <w:t>统一对外发布。</w:t>
      </w:r>
    </w:p>
    <w:p>
      <w:pPr>
        <w:pStyle w:val="null3"/>
        <w:ind w:firstLine="480"/>
      </w:pPr>
      <w:r>
        <w:rPr/>
        <w:t>（2）对</w:t>
      </w:r>
      <w:r>
        <w:rPr/>
        <w:t>江门市政府采购中心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采购包1（“向荣国际财经学堂”创新实训中心建设项目—云终端等设备采购）：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1.采购人拟采购的产品属于《节能产品政府采购品目清单》范围的，供应商需填写《产品适用政府采购政策情况表》并 提交相关证明材料，作为价格扣除的依据，扣除比例为2%。（证明材料包括：（1）该产品属于《节能产品政府采购品目清单》范围中政府优先采购产品类别的相关内容页；（2）市场监管总局公布的参与实施政府采购节能产品认证机构名录截图；（3）该产品获得的由国家确定的认证机构出具的、处于有效期内的节能产品认证证书）。（注：《节能产品政府采购品目清单》供应商可查询中国政府采购网 ，网址 http://www.ccgp.gov.cn）2.采购人拟采购的产品属于《 环境标志产品政府采购品目清 单》范围的，供应商需填写《产品适用政府采购政策情况表》并提交相关证明材料作为价格扣除的依据，扣除比例为2%（证明材料包括：（1）该产品属于《环境标志产品政府采购品目清单》范围的相关内容页；（2）市场监管总局公布的参与实施政府采购环境标志产品认证机构名录截图；（3）该产品获得的由国家确定的认证机构出具的、处于有效期之内的环境标志产品认证证书）。（注：《环境标志产品政府采购品目清单》供应商可查询中国政府采购网，网址http://www.ccgp.gov.cn）。</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采购包1（“向荣国际财经学堂”创新实训中心建设项目—云终端等设备采购）：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在投标文件中提供财务资料（复印件，盖供应商公章）和财务会计制度（盖供应商公章）。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提供与开展业务有关的设备的资料（照片、图片等），及开展业务有关的人员技术证明（复印件）。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w:t>
            </w:r>
          </w:p>
        </w:tc>
      </w:tr>
    </w:tbl>
    <w:p>
      <w:pPr>
        <w:pStyle w:val="null3"/>
        <w:ind w:firstLine="480"/>
      </w:pPr>
      <w:r>
        <w:rPr/>
        <w:t>表二符合性审查表：</w:t>
      </w:r>
    </w:p>
    <w:p>
      <w:pPr>
        <w:pStyle w:val="null3"/>
      </w:pPr>
      <w:r>
        <w:rPr/>
        <w:t>采购包1（“向荣国际财经学堂”创新实训中心建设项目—云终端等设备采购）：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满足招标文件实质性要求</w:t>
            </w:r>
          </w:p>
        </w:tc>
        <w:tc>
          <w:tcPr>
            <w:tcW w:type="dxa" w:w="4238"/>
          </w:tcPr>
          <w:p>
            <w:pPr>
              <w:pStyle w:val="null3"/>
            </w:pPr>
            <w:r>
              <w:rPr/>
              <w:t>投标文件满足招标文件实质性要求。本项目的实质性内容为投标报价、合同履行期限、带“★”条款，投标人必须完全满足上述实质性内容的要求，如果有一项不满足，其投标将被拒绝。</w:t>
            </w:r>
          </w:p>
        </w:tc>
      </w:tr>
      <w:tr>
        <w:tc>
          <w:tcPr>
            <w:tcW w:type="dxa" w:w="890"/>
          </w:tcPr>
          <w:p>
            <w:pPr>
              <w:pStyle w:val="null3"/>
            </w:pPr>
            <w:r>
              <w:rPr/>
              <w:t>2</w:t>
            </w:r>
          </w:p>
        </w:tc>
        <w:tc>
          <w:tcPr>
            <w:tcW w:type="dxa" w:w="3178"/>
          </w:tcPr>
          <w:p>
            <w:pPr>
              <w:pStyle w:val="null3"/>
            </w:pPr>
            <w:r>
              <w:rPr/>
              <w:t>提交有效的《投标函》和《法定代表人授权书》（或《法定代表人证明书》）</w:t>
            </w:r>
          </w:p>
        </w:tc>
        <w:tc>
          <w:tcPr>
            <w:tcW w:type="dxa" w:w="4238"/>
          </w:tcPr>
          <w:p>
            <w:pPr>
              <w:pStyle w:val="null3"/>
            </w:pPr>
            <w:r>
              <w:rPr/>
              <w:t>投标人应在投标文件提交有效的《投标函》和《法定代表人授权书》（或《法定代表人证明书》），格式可以参考“第六章 投标文件格式与要求”的相关内容。</w:t>
            </w:r>
          </w:p>
        </w:tc>
      </w:tr>
      <w:tr>
        <w:tc>
          <w:tcPr>
            <w:tcW w:type="dxa" w:w="890"/>
          </w:tcPr>
          <w:p>
            <w:pPr>
              <w:pStyle w:val="null3"/>
            </w:pPr>
            <w:r>
              <w:rPr/>
              <w:t>3</w:t>
            </w:r>
          </w:p>
        </w:tc>
        <w:tc>
          <w:tcPr>
            <w:tcW w:type="dxa" w:w="3178"/>
          </w:tcPr>
          <w:p>
            <w:pPr>
              <w:pStyle w:val="null3"/>
            </w:pPr>
            <w:r>
              <w:rPr/>
              <w:t>产品准入及合规要求</w:t>
            </w:r>
          </w:p>
        </w:tc>
        <w:tc>
          <w:tcPr>
            <w:tcW w:type="dxa" w:w="4238"/>
          </w:tcPr>
          <w:p>
            <w:pPr>
              <w:pStyle w:val="null3"/>
            </w:pPr>
            <w:r>
              <w:rPr/>
              <w:t>投标人所投产品必须满足国家相关法律法规及强制性标准要求。投标人应根据实际情况提供相应产品的强制认证证书。如果未按要求提交，或提交材料与事实不符的，其投标将被拒绝。</w:t>
            </w:r>
          </w:p>
        </w:tc>
      </w:tr>
      <w:tr>
        <w:tc>
          <w:tcPr>
            <w:tcW w:type="dxa" w:w="890"/>
          </w:tcPr>
          <w:p>
            <w:pPr>
              <w:pStyle w:val="null3"/>
            </w:pPr>
            <w:r>
              <w:rPr/>
              <w:t>4</w:t>
            </w:r>
          </w:p>
        </w:tc>
        <w:tc>
          <w:tcPr>
            <w:tcW w:type="dxa" w:w="3178"/>
          </w:tcPr>
          <w:p>
            <w:pPr>
              <w:pStyle w:val="null3"/>
            </w:pPr>
            <w:r>
              <w:rPr/>
              <w:t>无其他未实质性响应文件要求</w:t>
            </w:r>
          </w:p>
        </w:tc>
        <w:tc>
          <w:tcPr>
            <w:tcW w:type="dxa" w:w="4238"/>
          </w:tcPr>
          <w:p>
            <w:pPr>
              <w:pStyle w:val="null3"/>
            </w:pPr>
            <w:r>
              <w:rPr/>
              <w:t>按招标文件对应要求签署、盖章。</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采购包1(“向荣国际财经学堂”创新实训中心建设项目—云终端等设备采购):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技术部分36.0分</w:t>
            </w:r>
          </w:p>
          <w:p>
            <w:pPr>
              <w:pStyle w:val="null3"/>
            </w:pPr>
            <w:r>
              <w:rPr/>
              <w:t>报价得分46.0分</w:t>
            </w:r>
          </w:p>
        </w:tc>
      </w:tr>
      <w:tr>
        <w:tc>
          <w:tcPr>
            <w:tcW w:type="dxa" w:w="922"/>
            <w:gridSpan w:val="2"/>
            <w:vMerge w:val="restart"/>
          </w:tcPr>
          <w:p>
            <w:pPr>
              <w:pStyle w:val="null3"/>
              <w:jc w:val="center"/>
            </w:pPr>
            <w:r>
              <w:rPr/>
              <w:t>技术部分</w:t>
            </w:r>
          </w:p>
        </w:tc>
        <w:tc>
          <w:tcPr>
            <w:tcW w:type="dxa" w:w="2307"/>
          </w:tcPr>
          <w:p>
            <w:pPr>
              <w:pStyle w:val="null3"/>
              <w:jc w:val="left"/>
            </w:pPr>
            <w:r>
              <w:rPr/>
              <w:t>带“▲”项技术参数的响应情况 (16.0分)</w:t>
            </w:r>
          </w:p>
        </w:tc>
        <w:tc>
          <w:tcPr>
            <w:tcW w:type="dxa" w:w="5076"/>
          </w:tcPr>
          <w:p>
            <w:pPr>
              <w:pStyle w:val="null3"/>
              <w:jc w:val="left"/>
            </w:pPr>
            <w:r>
              <w:rPr/>
              <w:t>考查投标人投标产品对带“▲”项技术参数的响应程度。本包带“▲”项技术指标数有8项，每项完全满足得2分，最高得16分。完全满足带“▲”重要技术条款要求的得16分。投标人需根据服务的详细技术要求填写《技术和服务要求响应表》，评标小组将根据投标人填写《技术和服务要求响应表》进行评分。如投标人填写《技术和服务要求响应表》的内容与投标人投标文件提供的服务内容不一致，以《技术和服务要求响应表》填写的内容为准。 注：如投标文件技术要求中任一项指标或要求需提供相关证明文件的而未提供的，则视为不满足。 本部分评分内容为客观分，评标委员会各成员评分必须一致。</w:t>
            </w:r>
          </w:p>
        </w:tc>
      </w:tr>
      <w:tr>
        <w:tc>
          <w:tcPr>
            <w:tcW w:type="dxa" w:w="922"/>
            <w:gridSpan w:val="2"/>
            <w:vMerge/>
          </w:tcPr>
          <w:p/>
        </w:tc>
        <w:tc>
          <w:tcPr>
            <w:tcW w:type="dxa" w:w="2307"/>
          </w:tcPr>
          <w:p>
            <w:pPr>
              <w:pStyle w:val="null3"/>
              <w:jc w:val="left"/>
            </w:pPr>
            <w:r>
              <w:rPr/>
              <w:t>普通技术参数（非“▲”项）的响应情况 (20.0分)</w:t>
            </w:r>
          </w:p>
        </w:tc>
        <w:tc>
          <w:tcPr>
            <w:tcW w:type="dxa" w:w="5076"/>
          </w:tcPr>
          <w:p>
            <w:pPr>
              <w:pStyle w:val="null3"/>
              <w:jc w:val="left"/>
            </w:pPr>
            <w:r>
              <w:rPr/>
              <w:t>考查投标人投标产品对普通技术参数的响应程度。普通参数共66项，供应商本项得分得计算公式为：得分=（供应商满足的参数数量÷66）×20分。 注：技术参数中要求提供证明材料的，须按要求提供相关证明材料；未要求提供证明材料的指标按投标文件《技术和服务要求响应表》中的投标人填写的参数为准，未填写或未响应的视为负偏离。 本部分评分内容为客观分，评标委员会各成员评分必须一致。</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2023年1月1日至今投标人具有同类项目业绩，业绩要求应以投标人名义签订，每提供一份合同业绩，得2分，本项最高得分10分。 注：提供合同复印件，以签订合同的时间为准，提供合同关键页扫描件、需能体现合同内容、客户名称、合同签订日期、合同双方签章。投标人可用其自身及分支机构的项目业绩，分支机构投标的可以使用总公司及总公司其他分支机构的业绩。未提供或提供信息不全不得分。本项评分为客观分，评标委员会成员评分分值必须一致。</w:t>
            </w:r>
          </w:p>
        </w:tc>
      </w:tr>
      <w:tr>
        <w:tc>
          <w:tcPr>
            <w:tcW w:type="dxa" w:w="922"/>
            <w:gridSpan w:val="2"/>
            <w:vMerge/>
          </w:tcPr>
          <w:p/>
        </w:tc>
        <w:tc>
          <w:tcPr>
            <w:tcW w:type="dxa" w:w="2307"/>
          </w:tcPr>
          <w:p>
            <w:pPr>
              <w:pStyle w:val="null3"/>
              <w:jc w:val="left"/>
            </w:pPr>
            <w:r>
              <w:rPr/>
              <w:t>质保期 (8.0分)</w:t>
            </w:r>
          </w:p>
        </w:tc>
        <w:tc>
          <w:tcPr>
            <w:tcW w:type="dxa" w:w="5076"/>
          </w:tcPr>
          <w:p>
            <w:pPr>
              <w:pStyle w:val="null3"/>
              <w:jc w:val="left"/>
            </w:pPr>
            <w:r>
              <w:rPr/>
              <w:t>投标人承诺的质保期满足采购文件要求(本项目要求3年)的，得2分，在3年的基础上，每增加1年得2分(不足1年的不予计分)，最高得8分。本项评分为客观分，评标委员会成员评分分值必须一致。</w:t>
            </w:r>
          </w:p>
        </w:tc>
      </w:tr>
      <w:tr>
        <w:tc>
          <w:tcPr>
            <w:tcW w:type="dxa" w:w="922"/>
            <w:gridSpan w:val="2"/>
          </w:tcPr>
          <w:p>
            <w:pPr>
              <w:pStyle w:val="null3"/>
              <w:jc w:val="center"/>
            </w:pPr>
            <w:r>
              <w:rPr/>
              <w:t>投标报价</w:t>
            </w:r>
          </w:p>
        </w:tc>
        <w:tc>
          <w:tcPr>
            <w:tcW w:type="dxa" w:w="2307"/>
          </w:tcPr>
          <w:p>
            <w:pPr>
              <w:pStyle w:val="null3"/>
              <w:jc w:val="left"/>
            </w:pPr>
            <w:r>
              <w:rPr/>
              <w:t>投标报价得分 (46.0分)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将综合得分从高到低排出名次，总分第一名为第一中标候选供应商，第二名为第二中标候选供应商，第三名为第三中标候选供应商，以此类推。总得分相同的，按报价得分由高到低排列；总得分相同且报价得分相同的并列。（提供相同品牌产品且通过资格性审查、符合性审查的不同投标人参加同一合同项下投标的，按一家投标人计算，评审后综合得分最高的同品牌投标人获得中标人推荐资格；综合得分相同的，只推荐投标报价最低的；若综合得分和投标标价均相同，只推荐技术得分最高的；若综合得分、投标报价和技术得分均相同，由评标委员会投票确定，投票过程不得弃权，票数最多的供应商将被推荐，其余同品牌供应商不获推荐。 非单一产品采购，“相同品牌产品”以核心产品为准；多个核心产品的，全部产品品牌相同即属提供相同品牌产品。） 定标：采购人应当自收到评标报告之日起５个工作日内，在评标报告确定的中标候选人名单中按顺序确定中标人。中标候选人并列的，采购人委托评标委员会投票确定中标人，一人一票，不得弃权。</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五邑大学仪器设备政府采购合同</w:t>
      </w:r>
    </w:p>
    <w:p>
      <w:pPr>
        <w:pStyle w:val="null3"/>
        <w:jc w:val="both"/>
      </w:pPr>
      <w:r>
        <w:rPr>
          <w:sz w:val="24"/>
          <w:b/>
        </w:rPr>
        <w:t>甲方：五邑大学</w:t>
      </w:r>
    </w:p>
    <w:p>
      <w:pPr>
        <w:pStyle w:val="null3"/>
        <w:jc w:val="both"/>
      </w:pPr>
      <w:r>
        <w:rPr>
          <w:sz w:val="24"/>
          <w:b/>
        </w:rPr>
        <w:t>乙方：</w:t>
      </w:r>
    </w:p>
    <w:p>
      <w:pPr>
        <w:pStyle w:val="null3"/>
        <w:ind w:firstLine="420"/>
        <w:jc w:val="both"/>
      </w:pPr>
      <w:r>
        <w:rPr>
          <w:sz w:val="24"/>
        </w:rPr>
        <w:t>甲乙双方根据《中华人民共和国民法典》和《中华人民共和国政府采购法》等有关法律法规的规定，按照五邑大学</w:t>
      </w:r>
      <w:r>
        <w:rPr>
          <w:sz w:val="21"/>
          <w:u w:val="single"/>
        </w:rPr>
        <w:t xml:space="preserve">       </w:t>
      </w:r>
      <w:r>
        <w:rPr>
          <w:sz w:val="24"/>
        </w:rPr>
        <w:t>项目</w:t>
      </w:r>
      <w:r>
        <w:rPr>
          <w:sz w:val="21"/>
          <w:u w:val="single"/>
        </w:rPr>
        <w:t xml:space="preserve">                          </w:t>
      </w:r>
      <w:r>
        <w:rPr>
          <w:sz w:val="24"/>
        </w:rPr>
        <w:t>的中标结果、招标文件、中标供应商的投标文件及</w:t>
      </w:r>
      <w:r>
        <w:rPr>
          <w:sz w:val="21"/>
          <w:u w:val="single"/>
        </w:rPr>
        <w:t xml:space="preserve">          </w:t>
      </w:r>
      <w:r>
        <w:rPr>
          <w:sz w:val="24"/>
        </w:rPr>
        <w:t>发出的中标通知书的要求，经双方协商一致，订立合同如下：</w:t>
      </w:r>
    </w:p>
    <w:p>
      <w:pPr>
        <w:pStyle w:val="null3"/>
        <w:ind w:firstLine="420"/>
        <w:jc w:val="both"/>
      </w:pPr>
      <w:r>
        <w:rPr>
          <w:sz w:val="24"/>
          <w:b/>
        </w:rPr>
        <w:t>第一条</w:t>
      </w:r>
      <w:r>
        <w:rPr>
          <w:sz w:val="21"/>
          <w:b/>
        </w:rPr>
        <w:t xml:space="preserve">  </w:t>
      </w:r>
      <w:r>
        <w:rPr>
          <w:sz w:val="24"/>
          <w:b/>
        </w:rPr>
        <w:t>项目的名称、合同总价和项目货物的清单（名称、数量、规格、单价、型号、品牌和技术指标等）</w:t>
      </w:r>
    </w:p>
    <w:p>
      <w:pPr>
        <w:pStyle w:val="null3"/>
        <w:ind w:firstLine="480"/>
        <w:jc w:val="both"/>
      </w:pPr>
      <w:r>
        <w:rPr>
          <w:sz w:val="24"/>
        </w:rPr>
        <w:t>项目名称：</w:t>
      </w:r>
      <w:r>
        <w:rPr>
          <w:sz w:val="21"/>
          <w:u w:val="single"/>
        </w:rPr>
        <w:t xml:space="preserve">      </w:t>
      </w:r>
      <w:r>
        <w:rPr>
          <w:sz w:val="21"/>
          <w:b/>
          <w:u w:val="single"/>
        </w:rPr>
        <w:t xml:space="preserve">     </w:t>
      </w:r>
    </w:p>
    <w:p>
      <w:pPr>
        <w:pStyle w:val="null3"/>
        <w:ind w:firstLine="480"/>
        <w:jc w:val="both"/>
      </w:pPr>
      <w:r>
        <w:rPr>
          <w:sz w:val="24"/>
        </w:rPr>
        <w:t>设备名称：</w:t>
      </w:r>
      <w:r>
        <w:rPr>
          <w:sz w:val="21"/>
          <w:u w:val="single"/>
        </w:rPr>
        <w:t xml:space="preserve">           </w:t>
      </w:r>
    </w:p>
    <w:p>
      <w:pPr>
        <w:pStyle w:val="null3"/>
        <w:ind w:firstLine="480"/>
        <w:jc w:val="both"/>
      </w:pPr>
      <w:r>
        <w:rPr>
          <w:sz w:val="24"/>
        </w:rPr>
        <w:t>合同总价为</w:t>
      </w:r>
      <w:r>
        <w:rPr>
          <w:sz w:val="24"/>
          <w:b/>
          <w:u w:val="single"/>
        </w:rPr>
        <w:t>¥</w:t>
      </w:r>
      <w:r>
        <w:rPr>
          <w:sz w:val="21"/>
          <w:b/>
          <w:u w:val="single"/>
        </w:rPr>
        <w:t xml:space="preserve">         </w:t>
      </w:r>
      <w:r>
        <w:rPr>
          <w:sz w:val="24"/>
        </w:rPr>
        <w:t>元（大写：</w:t>
      </w:r>
      <w:r>
        <w:rPr>
          <w:sz w:val="24"/>
          <w:u w:val="single"/>
        </w:rPr>
        <w:t>人民币</w:t>
      </w:r>
      <w:r>
        <w:rPr>
          <w:sz w:val="21"/>
          <w:b/>
          <w:u w:val="single"/>
        </w:rPr>
        <w:t xml:space="preserve">         </w:t>
      </w:r>
      <w:r>
        <w:rPr>
          <w:sz w:val="24"/>
        </w:rPr>
        <w:t>）</w:t>
      </w:r>
    </w:p>
    <w:p>
      <w:pPr>
        <w:pStyle w:val="null3"/>
        <w:ind w:firstLine="480"/>
        <w:jc w:val="both"/>
      </w:pPr>
      <w:r>
        <w:rPr>
          <w:sz w:val="24"/>
        </w:rPr>
        <w:t>合同总价是完成项目的含税全包价，包括但不限于货物的设计</w:t>
      </w:r>
      <w:r>
        <w:rPr>
          <w:sz w:val="24"/>
        </w:rPr>
        <w:t>、</w:t>
      </w:r>
      <w:r>
        <w:rPr>
          <w:sz w:val="24"/>
        </w:rPr>
        <w:t>制造、包装、仓储、运输、保险以及乙方进行的安装、调试、试运行、验收、培训、技术服务（包括技术资料、图纸的提供）、质保期间保障服务等的全部费用。所有价格变动的风险均由乙方承担。甲方</w:t>
      </w:r>
      <w:r>
        <w:rPr>
          <w:sz w:val="24"/>
        </w:rPr>
        <w:t>不需再向乙方支付任何其他费用。</w:t>
      </w:r>
    </w:p>
    <w:p>
      <w:pPr>
        <w:pStyle w:val="null3"/>
        <w:ind w:firstLine="480"/>
        <w:jc w:val="both"/>
      </w:pPr>
      <w:r>
        <w:rPr>
          <w:sz w:val="24"/>
        </w:rPr>
        <w:t>货物清单、主要技术参数</w:t>
      </w:r>
      <w:r>
        <w:rPr>
          <w:sz w:val="24"/>
        </w:rPr>
        <w:t>、</w:t>
      </w:r>
      <w:r>
        <w:rPr>
          <w:sz w:val="24"/>
        </w:rPr>
        <w:t>保修服务表</w:t>
      </w:r>
      <w:r>
        <w:rPr>
          <w:sz w:val="24"/>
        </w:rPr>
        <w:t>和</w:t>
      </w:r>
      <w:r>
        <w:rPr>
          <w:sz w:val="24"/>
        </w:rPr>
        <w:t>培训计划请见附件</w:t>
      </w:r>
      <w:r>
        <w:rPr>
          <w:sz w:val="24"/>
        </w:rPr>
        <w:t>1、附件2</w:t>
      </w:r>
      <w:r>
        <w:rPr>
          <w:sz w:val="24"/>
        </w:rPr>
        <w:t>、</w:t>
      </w:r>
      <w:r>
        <w:rPr>
          <w:sz w:val="24"/>
        </w:rPr>
        <w:t>附件</w:t>
      </w:r>
      <w:r>
        <w:rPr>
          <w:sz w:val="24"/>
        </w:rPr>
        <w:t>3</w:t>
      </w:r>
      <w:r>
        <w:rPr>
          <w:sz w:val="24"/>
        </w:rPr>
        <w:t>和附件</w:t>
      </w:r>
      <w:r>
        <w:rPr>
          <w:sz w:val="24"/>
        </w:rPr>
        <w:t>4</w:t>
      </w:r>
      <w:r>
        <w:rPr>
          <w:sz w:val="24"/>
        </w:rPr>
        <w:t>。</w:t>
      </w:r>
    </w:p>
    <w:p>
      <w:pPr>
        <w:pStyle w:val="null3"/>
        <w:ind w:firstLine="480"/>
        <w:jc w:val="both"/>
      </w:pPr>
      <w:r>
        <w:rPr>
          <w:sz w:val="24"/>
        </w:rPr>
        <w:t>安全责任：本项目</w:t>
      </w:r>
      <w:r>
        <w:rPr>
          <w:sz w:val="24"/>
        </w:rPr>
        <w:t>实施过程中</w:t>
      </w:r>
      <w:r>
        <w:rPr>
          <w:sz w:val="24"/>
        </w:rPr>
        <w:t>安全措施由乙方制定方案及组织实施，并</w:t>
      </w:r>
      <w:r>
        <w:rPr>
          <w:sz w:val="24"/>
        </w:rPr>
        <w:t>独立</w:t>
      </w:r>
      <w:r>
        <w:rPr>
          <w:sz w:val="24"/>
        </w:rPr>
        <w:t>承担全部安全责任，甲方不负责任何伤亡、劳保福利以及施工中材料被盗等责任。</w:t>
      </w:r>
      <w:r>
        <w:rPr>
          <w:sz w:val="24"/>
        </w:rPr>
        <w:t>乙方制定的安全措施方案应提交一份至甲方留存备案，且甲方有权监督乙方组织实施情况。</w:t>
      </w:r>
    </w:p>
    <w:p>
      <w:pPr>
        <w:pStyle w:val="null3"/>
        <w:ind w:firstLine="480"/>
        <w:jc w:val="both"/>
      </w:pPr>
      <w:r>
        <w:rPr>
          <w:sz w:val="24"/>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w:t>
      </w:r>
      <w:r>
        <w:rPr>
          <w:sz w:val="24"/>
        </w:rPr>
        <w:t>若造成人员伤亡的，全部由乙方负责</w:t>
      </w:r>
      <w:r>
        <w:rPr>
          <w:sz w:val="24"/>
        </w:rPr>
        <w:t>。</w:t>
      </w:r>
      <w:r>
        <w:rPr>
          <w:sz w:val="24"/>
        </w:rPr>
        <w:t>乙方制定的消防措施方案应提交一份至甲方留存备案，且甲方有权监督乙方组织实施情况。</w:t>
      </w:r>
    </w:p>
    <w:p>
      <w:pPr>
        <w:pStyle w:val="null3"/>
        <w:ind w:firstLine="420"/>
        <w:jc w:val="both"/>
      </w:pPr>
      <w:r>
        <w:rPr>
          <w:sz w:val="24"/>
          <w:b/>
        </w:rPr>
        <w:t>第二条</w:t>
      </w:r>
      <w:r>
        <w:rPr>
          <w:sz w:val="21"/>
          <w:b/>
        </w:rPr>
        <w:t xml:space="preserve">  </w:t>
      </w:r>
      <w:r>
        <w:rPr>
          <w:sz w:val="24"/>
          <w:b/>
        </w:rPr>
        <w:t>货物质量要求及乙方对质量负责的条件和期限</w:t>
      </w:r>
    </w:p>
    <w:p>
      <w:pPr>
        <w:pStyle w:val="null3"/>
        <w:ind w:firstLine="480"/>
        <w:jc w:val="both"/>
      </w:pPr>
      <w:r>
        <w:rPr>
          <w:sz w:val="24"/>
        </w:rPr>
        <w:t>乙方提供的货物</w:t>
      </w:r>
      <w:r>
        <w:rPr>
          <w:sz w:val="24"/>
        </w:rPr>
        <w:t>应</w:t>
      </w:r>
      <w:r>
        <w:rPr>
          <w:sz w:val="24"/>
        </w:rPr>
        <w:t>符合中华人民共和国国家质量、安全、环保等标准（若有国家标准的，</w:t>
      </w:r>
      <w:r>
        <w:rPr>
          <w:sz w:val="24"/>
        </w:rPr>
        <w:t>则以</w:t>
      </w:r>
      <w:r>
        <w:rPr>
          <w:sz w:val="24"/>
        </w:rPr>
        <w:t>行业最高标准为本合同履行标准）以及该产品的出厂标准。</w:t>
      </w:r>
    </w:p>
    <w:p>
      <w:pPr>
        <w:pStyle w:val="null3"/>
        <w:ind w:firstLine="480"/>
        <w:jc w:val="both"/>
      </w:pPr>
      <w:r>
        <w:rPr>
          <w:sz w:val="24"/>
        </w:rPr>
        <w:t>知识产权和专利权：</w:t>
      </w:r>
    </w:p>
    <w:p>
      <w:pPr>
        <w:pStyle w:val="null3"/>
        <w:ind w:firstLine="480"/>
        <w:jc w:val="both"/>
      </w:pPr>
      <w:r>
        <w:rPr>
          <w:sz w:val="24"/>
        </w:rPr>
        <w:t>乙方提供的货物</w:t>
      </w:r>
      <w:r>
        <w:rPr>
          <w:sz w:val="24"/>
        </w:rPr>
        <w:t>应</w:t>
      </w:r>
      <w:r>
        <w:rPr>
          <w:sz w:val="24"/>
        </w:rPr>
        <w:t>是无知识产权争议，且全新的产品（含零部件、配件、随机工具等），表面无划损、无碰撞</w:t>
      </w:r>
      <w:r>
        <w:rPr>
          <w:sz w:val="24"/>
        </w:rPr>
        <w:t>、无任何缺陷隐患、无其他侵权行为，在中国境内可依常规安全合法使用</w:t>
      </w:r>
      <w:r>
        <w:rPr>
          <w:sz w:val="24"/>
        </w:rPr>
        <w:t>。</w:t>
      </w:r>
    </w:p>
    <w:p>
      <w:pPr>
        <w:pStyle w:val="null3"/>
        <w:ind w:firstLine="480"/>
        <w:jc w:val="both"/>
      </w:pPr>
      <w:r>
        <w:rPr>
          <w:sz w:val="24"/>
        </w:rPr>
        <w:t>乙方应保证甲方在中华人民共和国使用货物或其任何一部分时，如有第三方向甲方提出侵犯专利权、商标权或者其他知识产权的主张，</w:t>
      </w:r>
      <w:r>
        <w:rPr>
          <w:sz w:val="24"/>
        </w:rPr>
        <w:t>因此产生的法律责任、赔偿</w:t>
      </w:r>
      <w:r>
        <w:rPr>
          <w:sz w:val="24"/>
        </w:rPr>
        <w:t>责任由乙方承担</w:t>
      </w:r>
      <w:r>
        <w:rPr>
          <w:sz w:val="24"/>
        </w:rPr>
        <w:t>；</w:t>
      </w:r>
      <w:r>
        <w:rPr>
          <w:sz w:val="24"/>
        </w:rPr>
        <w:t>因此给甲方造成损失的，乙方应赔偿甲方全部损失</w:t>
      </w:r>
      <w:r>
        <w:rPr>
          <w:sz w:val="24"/>
        </w:rPr>
        <w:t>。</w:t>
      </w:r>
    </w:p>
    <w:p>
      <w:pPr>
        <w:pStyle w:val="null3"/>
        <w:ind w:firstLine="480"/>
        <w:jc w:val="both"/>
      </w:pPr>
      <w:r>
        <w:rPr>
          <w:sz w:val="24"/>
        </w:rPr>
        <w:t>乙方应</w:t>
      </w:r>
      <w:r>
        <w:rPr>
          <w:sz w:val="24"/>
        </w:rPr>
        <w:t>于售出货物前</w:t>
      </w:r>
      <w:r>
        <w:rPr>
          <w:sz w:val="24"/>
        </w:rPr>
        <w:t>向所有权人支付专利权、商标权或其他知识产权的有关费用及税费。</w:t>
      </w:r>
    </w:p>
    <w:p>
      <w:pPr>
        <w:pStyle w:val="null3"/>
        <w:ind w:firstLine="480"/>
        <w:jc w:val="both"/>
      </w:pPr>
      <w:r>
        <w:rPr>
          <w:sz w:val="24"/>
        </w:rPr>
        <w:t>保密：</w:t>
      </w:r>
    </w:p>
    <w:p>
      <w:pPr>
        <w:pStyle w:val="null3"/>
        <w:numPr>
          <w:ilvl w:val="0"/>
          <w:numId w:val="1"/>
        </w:numPr>
        <w:jc w:val="both"/>
      </w:pPr>
      <w:r>
        <w:rPr>
          <w:sz w:val="24"/>
        </w:rPr>
        <w:t>如甲方向乙方提供图纸、详细资料、样品、模型和所有其他资料，这些均视为保密资料，仅被用于</w:t>
      </w:r>
      <w:r>
        <w:rPr>
          <w:sz w:val="24"/>
        </w:rPr>
        <w:t>经甲方允许</w:t>
      </w:r>
      <w:r>
        <w:rPr>
          <w:sz w:val="24"/>
        </w:rPr>
        <w:t>的用途，除非得到甲方的同意，</w:t>
      </w:r>
      <w:r>
        <w:rPr>
          <w:sz w:val="24"/>
        </w:rPr>
        <w:t>乙方</w:t>
      </w:r>
      <w:r>
        <w:rPr>
          <w:sz w:val="24"/>
        </w:rPr>
        <w:t>不能向任何第三方</w:t>
      </w:r>
      <w:r>
        <w:rPr>
          <w:sz w:val="24"/>
        </w:rPr>
        <w:t>泄露以上资料或者利用以</w:t>
      </w:r>
      <w:r>
        <w:rPr>
          <w:sz w:val="24"/>
        </w:rPr>
        <w:t>上资料牟利</w:t>
      </w:r>
      <w:r>
        <w:rPr>
          <w:sz w:val="24"/>
        </w:rPr>
        <w:t>。</w:t>
      </w:r>
    </w:p>
    <w:p>
      <w:pPr>
        <w:pStyle w:val="null3"/>
        <w:numPr>
          <w:ilvl w:val="0"/>
          <w:numId w:val="1"/>
        </w:numPr>
        <w:jc w:val="both"/>
      </w:pPr>
      <w:r>
        <w:rPr>
          <w:sz w:val="24"/>
        </w:rPr>
        <w:t>乙方收集甲方单位的个人信息</w:t>
      </w:r>
      <w:r>
        <w:rPr>
          <w:sz w:val="24"/>
        </w:rPr>
        <w:t>类型</w:t>
      </w:r>
      <w:r>
        <w:rPr>
          <w:sz w:val="24"/>
        </w:rPr>
        <w:t>应当与</w:t>
      </w:r>
      <w:r>
        <w:rPr>
          <w:sz w:val="24"/>
        </w:rPr>
        <w:t>实际</w:t>
      </w:r>
      <w:r>
        <w:rPr>
          <w:sz w:val="24"/>
        </w:rPr>
        <w:t>产品或服务的业务功能有直接关联，并严格按照国家相关法律法规要求对采集到的个人信息进行保护。在本合同期满、解除或者终止后的</w:t>
      </w:r>
      <w:r>
        <w:rPr>
          <w:sz w:val="24"/>
        </w:rPr>
        <w:t>10</w:t>
      </w:r>
      <w:r>
        <w:rPr>
          <w:sz w:val="24"/>
        </w:rPr>
        <w:t>个工作日内，乙方根据甲方的要求及时删除采集到的甲方单位的个人信息。</w:t>
      </w:r>
    </w:p>
    <w:p>
      <w:pPr>
        <w:pStyle w:val="null3"/>
        <w:ind w:firstLine="480"/>
        <w:jc w:val="both"/>
      </w:pPr>
      <w:r>
        <w:rPr>
          <w:sz w:val="24"/>
        </w:rPr>
        <w:t>本项目由乙方负责第三方检测及办证的有关事宜，</w:t>
      </w:r>
      <w:r>
        <w:rPr>
          <w:sz w:val="24"/>
        </w:rPr>
        <w:t>检测和办证标准</w:t>
      </w:r>
      <w:r>
        <w:rPr>
          <w:sz w:val="24"/>
        </w:rPr>
        <w:t>如未明确则按行业标准或</w:t>
      </w:r>
      <w:r>
        <w:rPr>
          <w:sz w:val="24"/>
        </w:rPr>
        <w:t>行业</w:t>
      </w:r>
      <w:r>
        <w:rPr>
          <w:sz w:val="24"/>
        </w:rPr>
        <w:t>惯例，所有费用</w:t>
      </w:r>
      <w:r>
        <w:rPr>
          <w:sz w:val="24"/>
        </w:rPr>
        <w:t>均</w:t>
      </w:r>
      <w:r>
        <w:rPr>
          <w:sz w:val="24"/>
        </w:rPr>
        <w:t>由乙方承担。</w:t>
      </w:r>
    </w:p>
    <w:p>
      <w:pPr>
        <w:pStyle w:val="null3"/>
        <w:ind w:firstLine="480"/>
        <w:jc w:val="both"/>
      </w:pPr>
      <w:r>
        <w:rPr>
          <w:sz w:val="24"/>
        </w:rPr>
        <w:t>货物进场后甲方有权提出对存在疑问的货物进行现场抽样送检，检测项目含材料的成分、组分</w:t>
      </w:r>
      <w:r>
        <w:rPr>
          <w:sz w:val="24"/>
        </w:rPr>
        <w:t>及</w:t>
      </w:r>
      <w:r>
        <w:rPr>
          <w:sz w:val="24"/>
        </w:rPr>
        <w:t>相关性能指标等，检测费用由乙方承担。</w:t>
      </w:r>
    </w:p>
    <w:p>
      <w:pPr>
        <w:pStyle w:val="null3"/>
        <w:ind w:firstLine="480"/>
        <w:jc w:val="both"/>
      </w:pPr>
      <w:r>
        <w:rPr>
          <w:sz w:val="24"/>
        </w:rPr>
        <w:t>质保期内如货物非因甲方的人为原因而出现的问题由乙方负责包修、包换或包退，并承担维修、更换或退货的所有费用。乙方</w:t>
      </w:r>
      <w:r>
        <w:rPr>
          <w:sz w:val="24"/>
        </w:rPr>
        <w:t>拒绝或者未在甲方指定期限内</w:t>
      </w:r>
      <w:r>
        <w:rPr>
          <w:sz w:val="24"/>
        </w:rPr>
        <w:t>维修、更换或退货的，均按违约处理。</w:t>
      </w:r>
    </w:p>
    <w:p>
      <w:pPr>
        <w:pStyle w:val="null3"/>
        <w:ind w:firstLine="420"/>
        <w:jc w:val="both"/>
      </w:pPr>
      <w:r>
        <w:rPr>
          <w:sz w:val="24"/>
          <w:b/>
        </w:rPr>
        <w:t>第三条</w:t>
      </w:r>
      <w:r>
        <w:rPr>
          <w:sz w:val="21"/>
          <w:b/>
        </w:rPr>
        <w:t xml:space="preserve">  </w:t>
      </w:r>
      <w:r>
        <w:rPr>
          <w:sz w:val="24"/>
          <w:b/>
        </w:rPr>
        <w:t>货物的交付、开箱检验及验收</w:t>
      </w:r>
    </w:p>
    <w:p>
      <w:pPr>
        <w:pStyle w:val="null3"/>
        <w:ind w:firstLine="480"/>
        <w:jc w:val="both"/>
      </w:pPr>
      <w:r>
        <w:rPr>
          <w:sz w:val="24"/>
        </w:rPr>
        <w:t>交货时间：</w:t>
      </w:r>
      <w:r>
        <w:rPr>
          <w:sz w:val="24"/>
          <w:u w:val="single"/>
        </w:rPr>
        <w:t>合同生效后</w:t>
      </w:r>
      <w:r>
        <w:rPr>
          <w:sz w:val="24"/>
          <w:u w:val="single"/>
        </w:rPr>
        <w:t xml:space="preserve">    </w:t>
      </w:r>
      <w:r>
        <w:rPr>
          <w:sz w:val="24"/>
          <w:u w:val="single"/>
        </w:rPr>
        <w:t>日历日</w:t>
      </w:r>
      <w:r>
        <w:rPr>
          <w:sz w:val="24"/>
          <w:u w:val="single"/>
        </w:rPr>
        <w:t>内完成交付合格的货物（包括：货物的安装、调试和向甲方职能部门提交认可的完整的验收申请资料）</w:t>
      </w:r>
      <w:r>
        <w:rPr>
          <w:sz w:val="24"/>
        </w:rPr>
        <w:t>。</w:t>
      </w:r>
    </w:p>
    <w:p>
      <w:pPr>
        <w:pStyle w:val="null3"/>
        <w:ind w:firstLine="480"/>
        <w:jc w:val="both"/>
      </w:pPr>
      <w:r>
        <w:rPr>
          <w:sz w:val="24"/>
        </w:rPr>
        <w:t>国内产品或合资厂的产品</w:t>
      </w:r>
      <w:r>
        <w:rPr>
          <w:sz w:val="24"/>
        </w:rPr>
        <w:t>应</w:t>
      </w:r>
      <w:r>
        <w:rPr>
          <w:sz w:val="24"/>
        </w:rPr>
        <w:t>具备出厂合格证</w:t>
      </w:r>
      <w:r>
        <w:rPr>
          <w:sz w:val="24"/>
        </w:rPr>
        <w:t>，</w:t>
      </w:r>
      <w:r>
        <w:rPr>
          <w:sz w:val="24"/>
        </w:rPr>
        <w:t>国外产品应提供相关材料证明产品系合法进口且已经按照我国相关法律法规缴纳进口税费</w:t>
      </w:r>
      <w:r>
        <w:rPr>
          <w:sz w:val="24"/>
        </w:rPr>
        <w:t>。</w:t>
      </w:r>
    </w:p>
    <w:p>
      <w:pPr>
        <w:pStyle w:val="null3"/>
        <w:ind w:firstLine="480"/>
        <w:jc w:val="both"/>
      </w:pPr>
      <w:r>
        <w:rPr>
          <w:sz w:val="24"/>
        </w:rPr>
        <w:t>交货地点：</w:t>
      </w:r>
      <w:r>
        <w:rPr>
          <w:sz w:val="24"/>
          <w:u w:val="single"/>
        </w:rPr>
        <w:t>五邑大学指定地点。</w:t>
      </w:r>
    </w:p>
    <w:p>
      <w:pPr>
        <w:pStyle w:val="null3"/>
        <w:ind w:firstLine="480"/>
        <w:jc w:val="both"/>
      </w:pPr>
      <w:r>
        <w:rPr>
          <w:sz w:val="24"/>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pPr>
        <w:pStyle w:val="null3"/>
        <w:ind w:firstLine="480"/>
        <w:jc w:val="both"/>
      </w:pPr>
      <w:r>
        <w:rPr>
          <w:sz w:val="24"/>
        </w:rPr>
        <w:t>货物的验收：</w:t>
      </w:r>
    </w:p>
    <w:p>
      <w:pPr>
        <w:pStyle w:val="null3"/>
        <w:ind w:firstLine="480"/>
        <w:jc w:val="both"/>
      </w:pPr>
      <w:r>
        <w:rPr>
          <w:sz w:val="24"/>
        </w:rPr>
        <w:t>（</w:t>
      </w:r>
      <w:r>
        <w:rPr>
          <w:sz w:val="24"/>
        </w:rPr>
        <w:t>1</w:t>
      </w:r>
      <w:r>
        <w:rPr>
          <w:sz w:val="24"/>
        </w:rPr>
        <w:t>）</w:t>
      </w:r>
      <w:r>
        <w:rPr>
          <w:sz w:val="24"/>
        </w:rPr>
        <w:t>货物为原厂商未启封全新包装，出厂合格证、序列号、包装箱号与出厂批号须一致，并</w:t>
      </w:r>
      <w:r>
        <w:rPr>
          <w:sz w:val="24"/>
        </w:rPr>
        <w:t>可追</w:t>
      </w:r>
      <w:r>
        <w:rPr>
          <w:sz w:val="24"/>
        </w:rPr>
        <w:t>溯</w:t>
      </w:r>
      <w:r>
        <w:rPr>
          <w:sz w:val="24"/>
        </w:rPr>
        <w:t>查阅。全部货物送到甲方指定场地后，甲、乙双方同时在场才能开封验货，甲方就</w:t>
      </w:r>
      <w:r>
        <w:rPr>
          <w:sz w:val="24"/>
        </w:rPr>
        <w:t>货物</w:t>
      </w:r>
      <w:r>
        <w:rPr>
          <w:sz w:val="24"/>
        </w:rPr>
        <w:t>质量、</w:t>
      </w:r>
      <w:r>
        <w:rPr>
          <w:sz w:val="24"/>
        </w:rPr>
        <w:t>型号、</w:t>
      </w:r>
      <w:r>
        <w:rPr>
          <w:sz w:val="24"/>
        </w:rPr>
        <w:t>规格和数量进行初步</w:t>
      </w:r>
      <w:r>
        <w:rPr>
          <w:sz w:val="24"/>
        </w:rPr>
        <w:t>开箱验收，</w:t>
      </w:r>
      <w:r>
        <w:rPr>
          <w:sz w:val="24"/>
        </w:rPr>
        <w:t>如果发现</w:t>
      </w:r>
      <w:r>
        <w:rPr>
          <w:sz w:val="24"/>
        </w:rPr>
        <w:t>货物</w:t>
      </w:r>
      <w:r>
        <w:rPr>
          <w:sz w:val="24"/>
        </w:rPr>
        <w:t>的包装损坏、不符合包装要求或设备的质量、型号、规格和数量等与合同不符，甲方有权拒收货物</w:t>
      </w:r>
      <w:r>
        <w:rPr>
          <w:sz w:val="24"/>
        </w:rPr>
        <w:t>，</w:t>
      </w:r>
      <w:r>
        <w:rPr>
          <w:sz w:val="24"/>
        </w:rPr>
        <w:t>乙方应在</w:t>
      </w:r>
      <w:r>
        <w:rPr>
          <w:sz w:val="24"/>
        </w:rPr>
        <w:t>合同约定的交货时间</w:t>
      </w:r>
      <w:r>
        <w:rPr>
          <w:sz w:val="24"/>
        </w:rPr>
        <w:t>内</w:t>
      </w:r>
      <w:r>
        <w:rPr>
          <w:sz w:val="24"/>
        </w:rPr>
        <w:t>按照合同要求及时进行第二次交货处理并通过验收，否则按违约处理，</w:t>
      </w:r>
      <w:r>
        <w:rPr>
          <w:sz w:val="24"/>
        </w:rPr>
        <w:t>甲方有权解除</w:t>
      </w:r>
      <w:r>
        <w:rPr>
          <w:sz w:val="24"/>
        </w:rPr>
        <w:t>采购</w:t>
      </w:r>
      <w:r>
        <w:rPr>
          <w:sz w:val="24"/>
        </w:rPr>
        <w:t>合同</w:t>
      </w:r>
      <w:r>
        <w:rPr>
          <w:sz w:val="24"/>
        </w:rPr>
        <w:t>并上报主管部门，相关损失由乙方自行承担</w:t>
      </w:r>
      <w:r>
        <w:rPr>
          <w:sz w:val="24"/>
        </w:rPr>
        <w:t>。</w:t>
      </w:r>
    </w:p>
    <w:p>
      <w:pPr>
        <w:pStyle w:val="null3"/>
        <w:ind w:firstLine="480"/>
        <w:jc w:val="both"/>
      </w:pPr>
      <w:r>
        <w:rPr>
          <w:sz w:val="24"/>
        </w:rPr>
        <w:t>（</w:t>
      </w:r>
      <w:r>
        <w:rPr>
          <w:sz w:val="24"/>
        </w:rPr>
        <w:t>2</w:t>
      </w:r>
      <w:r>
        <w:rPr>
          <w:sz w:val="24"/>
        </w:rPr>
        <w:t>）</w:t>
      </w:r>
      <w:r>
        <w:rPr>
          <w:sz w:val="24"/>
        </w:rPr>
        <w:t>设备安装及调试完成后</w:t>
      </w:r>
      <w:r>
        <w:rPr>
          <w:sz w:val="24"/>
        </w:rPr>
        <w:t>，经初步培训，甲方相关操作人员掌握仪器的具体操作后</w:t>
      </w:r>
      <w:r>
        <w:rPr>
          <w:sz w:val="24"/>
          <w:u w:val="single"/>
        </w:rPr>
        <w:t xml:space="preserve"> </w:t>
      </w:r>
      <w:r>
        <w:rPr>
          <w:sz w:val="24"/>
          <w:u w:val="single"/>
        </w:rPr>
        <w:t xml:space="preserve">** </w:t>
      </w:r>
      <w:r>
        <w:rPr>
          <w:sz w:val="24"/>
        </w:rPr>
        <w:t>个工作日内（如遇寒暑假，时间顺延），</w:t>
      </w:r>
      <w:r>
        <w:rPr>
          <w:sz w:val="24"/>
        </w:rPr>
        <w:t>由甲方组织验收小组进行验收，项目验收合格后，出具有效的验收报告。</w:t>
      </w:r>
    </w:p>
    <w:p>
      <w:pPr>
        <w:pStyle w:val="null3"/>
        <w:ind w:firstLine="480"/>
        <w:jc w:val="both"/>
      </w:pPr>
      <w:r>
        <w:rPr>
          <w:sz w:val="24"/>
        </w:rPr>
        <w:t>（</w:t>
      </w:r>
      <w:r>
        <w:rPr>
          <w:sz w:val="24"/>
        </w:rPr>
        <w:t>3</w:t>
      </w:r>
      <w:r>
        <w:rPr>
          <w:sz w:val="24"/>
        </w:rPr>
        <w:t>）</w:t>
      </w:r>
      <w:r>
        <w:rPr>
          <w:sz w:val="24"/>
        </w:rPr>
        <w:t>其他验收细则以乙方在投标文件中提供的设备技术资料及双方签订的合同条款为准。（验收时需要对每一条参数进行逐一验证，并提供验证佐证材料作为验收资料）</w:t>
      </w:r>
    </w:p>
    <w:p>
      <w:pPr>
        <w:pStyle w:val="null3"/>
        <w:ind w:firstLine="420"/>
        <w:jc w:val="both"/>
      </w:pPr>
      <w:r>
        <w:rPr>
          <w:sz w:val="24"/>
          <w:b/>
        </w:rPr>
        <w:t>第四条</w:t>
      </w:r>
      <w:r>
        <w:rPr>
          <w:sz w:val="21"/>
          <w:b/>
        </w:rPr>
        <w:t xml:space="preserve">  </w:t>
      </w:r>
      <w:r>
        <w:rPr>
          <w:sz w:val="24"/>
          <w:b/>
        </w:rPr>
        <w:t>履约保证金和付款方式</w:t>
      </w:r>
    </w:p>
    <w:p>
      <w:pPr>
        <w:pStyle w:val="null3"/>
        <w:ind w:firstLine="480"/>
        <w:jc w:val="both"/>
      </w:pPr>
      <w:r>
        <w:rPr>
          <w:sz w:val="24"/>
        </w:rPr>
        <w:t>本合同签订之日起五个工作日内，乙方须向甲方提交合同总价</w:t>
      </w:r>
      <w:r>
        <w:rPr>
          <w:sz w:val="24"/>
        </w:rPr>
        <w:t>3.8%的履约保证金</w:t>
      </w:r>
      <w:r>
        <w:rPr>
          <w:sz w:val="24"/>
        </w:rPr>
        <w:t>（</w:t>
      </w:r>
      <w:r>
        <w:rPr>
          <w:sz w:val="24"/>
          <w:b/>
          <w:u w:val="single"/>
        </w:rPr>
        <w:t>人民币大写：</w:t>
      </w:r>
      <w:r>
        <w:rPr>
          <w:sz w:val="21"/>
          <w:b/>
          <w:u w:val="single"/>
        </w:rPr>
        <w:t xml:space="preserve">        </w:t>
      </w:r>
      <w:r>
        <w:rPr>
          <w:sz w:val="24"/>
          <w:b/>
          <w:u w:val="single"/>
        </w:rPr>
        <w:t>；小写：</w:t>
      </w:r>
      <w:r>
        <w:rPr>
          <w:sz w:val="24"/>
          <w:b/>
          <w:u w:val="single"/>
        </w:rPr>
        <w:t>¥</w:t>
      </w:r>
      <w:r>
        <w:rPr>
          <w:sz w:val="21"/>
          <w:b/>
          <w:u w:val="single"/>
        </w:rPr>
        <w:t xml:space="preserve">          </w:t>
      </w:r>
      <w:r>
        <w:rPr>
          <w:sz w:val="24"/>
          <w:b/>
          <w:u w:val="single"/>
        </w:rPr>
        <w:t>元</w:t>
      </w:r>
      <w:r>
        <w:rPr>
          <w:sz w:val="24"/>
          <w:b/>
          <w:u w:val="single"/>
        </w:rPr>
        <w:t>）</w:t>
      </w:r>
      <w:r>
        <w:rPr>
          <w:sz w:val="24"/>
          <w:u w:val="single"/>
        </w:rPr>
        <w:t>，</w:t>
      </w:r>
      <w:r>
        <w:rPr>
          <w:sz w:val="24"/>
        </w:rPr>
        <w:t>可通过银行转账、支票、汇票、本票、保函等非现金形式</w:t>
      </w:r>
      <w:r>
        <w:rPr>
          <w:sz w:val="24"/>
        </w:rPr>
        <w:t>（</w:t>
      </w:r>
      <w:r>
        <w:rPr>
          <w:sz w:val="24"/>
          <w:b/>
        </w:rPr>
        <w:t>签订合同时要确定其中一种形式</w:t>
      </w:r>
      <w:r>
        <w:rPr>
          <w:sz w:val="24"/>
        </w:rPr>
        <w:t>）</w:t>
      </w:r>
      <w:r>
        <w:rPr>
          <w:sz w:val="24"/>
        </w:rPr>
        <w:t>支付。</w:t>
      </w:r>
      <w:r>
        <w:rPr>
          <w:sz w:val="24"/>
        </w:rPr>
        <w:t>验收合格后，乙方应向甲方提出退还履约保证金的书面申请</w:t>
      </w:r>
      <w:r>
        <w:rPr>
          <w:sz w:val="24"/>
        </w:rPr>
        <w:t>，</w:t>
      </w:r>
      <w:r>
        <w:rPr>
          <w:sz w:val="24"/>
        </w:rPr>
        <w:t>甲方在收到申请后</w:t>
      </w:r>
      <w:r>
        <w:rPr>
          <w:sz w:val="24"/>
        </w:rPr>
        <w:t>20个工作日内（</w:t>
      </w:r>
      <w:r>
        <w:rPr>
          <w:sz w:val="24"/>
        </w:rPr>
        <w:t>不含审批时间</w:t>
      </w:r>
      <w:r>
        <w:rPr>
          <w:sz w:val="24"/>
        </w:rPr>
        <w:t>）</w:t>
      </w:r>
      <w:r>
        <w:rPr>
          <w:sz w:val="24"/>
        </w:rPr>
        <w:t>以非现金形式</w:t>
      </w:r>
      <w:r>
        <w:rPr>
          <w:sz w:val="24"/>
        </w:rPr>
        <w:t>一次性返还履约保证金（不计息）；</w:t>
      </w:r>
      <w:r>
        <w:rPr>
          <w:sz w:val="24"/>
        </w:rPr>
        <w:t>如以保函方式支付履约保证金的，将保函原件退回</w:t>
      </w:r>
      <w:r>
        <w:rPr>
          <w:sz w:val="24"/>
        </w:rPr>
        <w:t>。</w:t>
      </w:r>
    </w:p>
    <w:p>
      <w:pPr>
        <w:pStyle w:val="null3"/>
        <w:ind w:firstLine="480"/>
        <w:jc w:val="both"/>
      </w:pPr>
      <w:r>
        <w:rPr>
          <w:sz w:val="24"/>
        </w:rPr>
        <w:t>合同签订生效后</w:t>
      </w:r>
      <w:r>
        <w:rPr>
          <w:sz w:val="24"/>
        </w:rPr>
        <w:t>***</w:t>
      </w:r>
      <w:r>
        <w:rPr>
          <w:sz w:val="24"/>
        </w:rPr>
        <w:t>个</w:t>
      </w:r>
      <w:r>
        <w:rPr>
          <w:sz w:val="24"/>
        </w:rPr>
        <w:t>日历</w:t>
      </w:r>
      <w:r>
        <w:rPr>
          <w:sz w:val="24"/>
        </w:rPr>
        <w:t>日内</w:t>
      </w:r>
      <w:r>
        <w:rPr>
          <w:sz w:val="24"/>
        </w:rPr>
        <w:t>（</w:t>
      </w:r>
      <w:r>
        <w:rPr>
          <w:sz w:val="24"/>
        </w:rPr>
        <w:t>不含审批时间</w:t>
      </w:r>
      <w:r>
        <w:rPr>
          <w:sz w:val="24"/>
        </w:rPr>
        <w:t>），甲方</w:t>
      </w:r>
      <w:r>
        <w:rPr>
          <w:sz w:val="24"/>
        </w:rPr>
        <w:t>完成办理合同</w:t>
      </w:r>
      <w:r>
        <w:rPr>
          <w:sz w:val="24"/>
        </w:rPr>
        <w:t>总金额</w:t>
      </w:r>
      <w:r>
        <w:rPr>
          <w:sz w:val="24"/>
        </w:rPr>
        <w:t>40%</w:t>
      </w:r>
      <w:r>
        <w:rPr>
          <w:sz w:val="24"/>
        </w:rPr>
        <w:t>的货款</w:t>
      </w:r>
      <w:r>
        <w:rPr>
          <w:sz w:val="24"/>
        </w:rPr>
        <w:t>（</w:t>
      </w:r>
      <w:r>
        <w:rPr>
          <w:sz w:val="24"/>
        </w:rPr>
        <w:t>人民币大写：</w:t>
      </w:r>
      <w:r>
        <w:rPr>
          <w:sz w:val="21"/>
          <w:u w:val="single"/>
        </w:rPr>
        <w:t xml:space="preserve">           </w:t>
      </w:r>
      <w:r>
        <w:rPr>
          <w:sz w:val="24"/>
        </w:rPr>
        <w:t>；小写：</w:t>
      </w:r>
      <w:r>
        <w:rPr>
          <w:sz w:val="24"/>
        </w:rPr>
        <w:t>¥</w:t>
      </w:r>
      <w:r>
        <w:rPr>
          <w:sz w:val="21"/>
          <w:u w:val="single"/>
        </w:rPr>
        <w:t xml:space="preserve">          </w:t>
      </w:r>
      <w:r>
        <w:rPr>
          <w:sz w:val="24"/>
        </w:rPr>
        <w:t>元</w:t>
      </w:r>
      <w:r>
        <w:rPr>
          <w:sz w:val="24"/>
        </w:rPr>
        <w:t>）</w:t>
      </w:r>
      <w:r>
        <w:rPr>
          <w:sz w:val="24"/>
        </w:rPr>
        <w:t>的</w:t>
      </w:r>
      <w:r>
        <w:rPr>
          <w:sz w:val="24"/>
        </w:rPr>
        <w:t>支付手续。</w:t>
      </w:r>
    </w:p>
    <w:p>
      <w:pPr>
        <w:pStyle w:val="null3"/>
        <w:ind w:firstLine="480"/>
        <w:jc w:val="both"/>
      </w:pPr>
      <w:r>
        <w:rPr>
          <w:sz w:val="24"/>
        </w:rPr>
        <w:t>验收合格后，乙方</w:t>
      </w:r>
      <w:r>
        <w:rPr>
          <w:sz w:val="24"/>
        </w:rPr>
        <w:t>按合同总</w:t>
      </w:r>
      <w:r>
        <w:rPr>
          <w:sz w:val="24"/>
        </w:rPr>
        <w:t>金额向甲方开具</w:t>
      </w:r>
      <w:r>
        <w:rPr>
          <w:sz w:val="24"/>
        </w:rPr>
        <w:t>符合合同类型要求的</w:t>
      </w:r>
      <w:r>
        <w:rPr>
          <w:sz w:val="24"/>
        </w:rPr>
        <w:t>增值税专用</w:t>
      </w:r>
      <w:r>
        <w:rPr>
          <w:sz w:val="24"/>
        </w:rPr>
        <w:t>发票和提供由甲方认可的验收报告。货物验收合格</w:t>
      </w:r>
      <w:r>
        <w:rPr>
          <w:sz w:val="24"/>
        </w:rPr>
        <w:t>且</w:t>
      </w:r>
      <w:r>
        <w:rPr>
          <w:sz w:val="24"/>
        </w:rPr>
        <w:t>甲方收到前述发票、验收报告后</w:t>
      </w:r>
      <w:r>
        <w:rPr>
          <w:sz w:val="24"/>
        </w:rPr>
        <w:t>***</w:t>
      </w:r>
      <w:r>
        <w:rPr>
          <w:sz w:val="24"/>
        </w:rPr>
        <w:t>个工作日</w:t>
      </w:r>
      <w:r>
        <w:rPr>
          <w:sz w:val="24"/>
        </w:rPr>
        <w:t>（</w:t>
      </w:r>
      <w:r>
        <w:rPr>
          <w:sz w:val="24"/>
        </w:rPr>
        <w:t>不含审批时间</w:t>
      </w:r>
      <w:r>
        <w:rPr>
          <w:sz w:val="24"/>
        </w:rPr>
        <w:t>）</w:t>
      </w:r>
      <w:r>
        <w:rPr>
          <w:sz w:val="24"/>
        </w:rPr>
        <w:t>内</w:t>
      </w:r>
      <w:r>
        <w:rPr>
          <w:sz w:val="24"/>
        </w:rPr>
        <w:t>，甲方</w:t>
      </w:r>
      <w:r>
        <w:rPr>
          <w:sz w:val="24"/>
        </w:rPr>
        <w:t>完成</w:t>
      </w:r>
      <w:r>
        <w:rPr>
          <w:sz w:val="24"/>
        </w:rPr>
        <w:t>办理</w:t>
      </w:r>
      <w:r>
        <w:rPr>
          <w:sz w:val="24"/>
        </w:rPr>
        <w:t>合同</w:t>
      </w:r>
      <w:r>
        <w:rPr>
          <w:sz w:val="24"/>
        </w:rPr>
        <w:t>总金额</w:t>
      </w:r>
      <w:r>
        <w:rPr>
          <w:sz w:val="24"/>
        </w:rPr>
        <w:t>6</w:t>
      </w:r>
      <w:r>
        <w:rPr>
          <w:sz w:val="24"/>
        </w:rPr>
        <w:t>0%</w:t>
      </w:r>
      <w:r>
        <w:rPr>
          <w:sz w:val="24"/>
        </w:rPr>
        <w:t>的货款</w:t>
      </w:r>
      <w:r>
        <w:rPr>
          <w:sz w:val="24"/>
        </w:rPr>
        <w:t>（</w:t>
      </w:r>
      <w:r>
        <w:rPr>
          <w:sz w:val="24"/>
        </w:rPr>
        <w:t>人民币大写：</w:t>
      </w:r>
      <w:r>
        <w:rPr>
          <w:sz w:val="21"/>
          <w:u w:val="single"/>
        </w:rPr>
        <w:t xml:space="preserve">            </w:t>
      </w:r>
      <w:r>
        <w:rPr>
          <w:sz w:val="24"/>
        </w:rPr>
        <w:t>；小写：</w:t>
      </w:r>
      <w:r>
        <w:rPr>
          <w:sz w:val="24"/>
        </w:rPr>
        <w:t>¥</w:t>
      </w:r>
      <w:r>
        <w:rPr>
          <w:sz w:val="21"/>
          <w:u w:val="single"/>
        </w:rPr>
        <w:t xml:space="preserve">            </w:t>
      </w:r>
      <w:r>
        <w:rPr>
          <w:sz w:val="24"/>
        </w:rPr>
        <w:t>元</w:t>
      </w:r>
      <w:r>
        <w:rPr>
          <w:sz w:val="24"/>
        </w:rPr>
        <w:t>）</w:t>
      </w:r>
      <w:r>
        <w:rPr>
          <w:sz w:val="24"/>
        </w:rPr>
        <w:t>的支付手续。</w:t>
      </w:r>
    </w:p>
    <w:p>
      <w:pPr>
        <w:pStyle w:val="null3"/>
        <w:ind w:firstLine="480"/>
        <w:jc w:val="both"/>
      </w:pPr>
      <w:r>
        <w:rPr>
          <w:sz w:val="24"/>
        </w:rPr>
        <w:t>结算方式：银行</w:t>
      </w:r>
      <w:r>
        <w:rPr>
          <w:sz w:val="24"/>
        </w:rPr>
        <w:t>转账</w:t>
      </w:r>
    </w:p>
    <w:p>
      <w:pPr>
        <w:pStyle w:val="null3"/>
        <w:ind w:right="-60" w:firstLine="480"/>
        <w:jc w:val="both"/>
      </w:pPr>
      <w:r>
        <w:rPr>
          <w:sz w:val="24"/>
        </w:rPr>
        <w:t>乙方户名：</w:t>
      </w:r>
    </w:p>
    <w:p>
      <w:pPr>
        <w:pStyle w:val="null3"/>
        <w:ind w:right="-60" w:firstLine="480"/>
        <w:jc w:val="both"/>
      </w:pPr>
      <w:r>
        <w:rPr>
          <w:sz w:val="24"/>
        </w:rPr>
        <w:t>开户银行：</w:t>
      </w:r>
    </w:p>
    <w:p>
      <w:pPr>
        <w:pStyle w:val="null3"/>
        <w:ind w:right="105" w:firstLine="480"/>
        <w:jc w:val="both"/>
      </w:pPr>
      <w:r>
        <w:rPr>
          <w:sz w:val="24"/>
        </w:rPr>
        <w:t>账</w:t>
      </w:r>
      <w:r>
        <w:rPr>
          <w:sz w:val="24"/>
        </w:rPr>
        <w:t>　　号：</w:t>
      </w:r>
    </w:p>
    <w:p>
      <w:pPr>
        <w:pStyle w:val="null3"/>
        <w:ind w:firstLine="420"/>
        <w:jc w:val="both"/>
      </w:pPr>
      <w:r>
        <w:rPr>
          <w:sz w:val="24"/>
          <w:b/>
        </w:rPr>
        <w:t>第五条</w:t>
      </w:r>
      <w:r>
        <w:rPr>
          <w:sz w:val="21"/>
          <w:b/>
        </w:rPr>
        <w:t xml:space="preserve">  </w:t>
      </w:r>
      <w:r>
        <w:rPr>
          <w:sz w:val="24"/>
          <w:b/>
        </w:rPr>
        <w:t>货物的保修与售后服务</w:t>
      </w:r>
    </w:p>
    <w:p>
      <w:pPr>
        <w:pStyle w:val="null3"/>
        <w:ind w:firstLine="480"/>
        <w:jc w:val="both"/>
      </w:pPr>
      <w:r>
        <w:rPr>
          <w:sz w:val="24"/>
        </w:rPr>
        <w:t>质保期为</w:t>
      </w:r>
      <w:r>
        <w:rPr>
          <w:sz w:val="24"/>
        </w:rPr>
        <w:t>验收合格之日起</w:t>
      </w:r>
      <w:r>
        <w:rPr>
          <w:sz w:val="21"/>
          <w:b/>
          <w:u w:val="single"/>
        </w:rPr>
        <w:t xml:space="preserve">      </w:t>
      </w:r>
      <w:r>
        <w:rPr>
          <w:sz w:val="24"/>
          <w:u w:val="single"/>
        </w:rPr>
        <w:t>年</w:t>
      </w:r>
      <w:r>
        <w:rPr>
          <w:sz w:val="24"/>
        </w:rPr>
        <w:t>。从验收合格之日起</w:t>
      </w:r>
      <w:r>
        <w:rPr>
          <w:sz w:val="21"/>
          <w:b/>
          <w:u w:val="single"/>
        </w:rPr>
        <w:t xml:space="preserve">      </w:t>
      </w:r>
      <w:r>
        <w:rPr>
          <w:sz w:val="24"/>
          <w:u w:val="single"/>
        </w:rPr>
        <w:t>年</w:t>
      </w:r>
      <w:r>
        <w:rPr>
          <w:sz w:val="24"/>
        </w:rPr>
        <w:t>，甲方所购设备发生非人为故障，乙方应</w:t>
      </w:r>
      <w:r>
        <w:rPr>
          <w:sz w:val="24"/>
        </w:rPr>
        <w:t>无条件</w:t>
      </w:r>
      <w:r>
        <w:rPr>
          <w:sz w:val="24"/>
        </w:rPr>
        <w:t>上门维</w:t>
      </w:r>
      <w:r>
        <w:rPr>
          <w:sz w:val="24"/>
        </w:rPr>
        <w:t>修。如不能完全修复，则应更换不低于原规格型号的新部件或设备。</w:t>
      </w:r>
    </w:p>
    <w:p>
      <w:pPr>
        <w:pStyle w:val="null3"/>
        <w:ind w:firstLine="480"/>
        <w:jc w:val="both"/>
      </w:pPr>
      <w:r>
        <w:rPr>
          <w:sz w:val="24"/>
        </w:rPr>
        <w:t>自验收合格之日起一个月内，甲方所购货物各部件发生非人为损坏，乙方应无条件给予更换。</w:t>
      </w:r>
    </w:p>
    <w:p>
      <w:pPr>
        <w:pStyle w:val="null3"/>
        <w:ind w:firstLine="480"/>
        <w:jc w:val="both"/>
      </w:pPr>
      <w:r>
        <w:rPr>
          <w:sz w:val="24"/>
        </w:rPr>
        <w:t>质保期内，同一硬件因质量问题在一个月内累计</w:t>
      </w:r>
      <w:r>
        <w:rPr>
          <w:sz w:val="24"/>
        </w:rPr>
        <w:t>2次出现同一故障的，乙方须无偿更换同一档次的设备或部件。质保期内因货物质量问题发生3次及以上维修的，则该设备或部件的质保期从最后一次维修的日期起重新计算。</w:t>
      </w:r>
    </w:p>
    <w:p>
      <w:pPr>
        <w:pStyle w:val="null3"/>
        <w:ind w:firstLine="480"/>
        <w:jc w:val="both"/>
      </w:pPr>
      <w:r>
        <w:rPr>
          <w:sz w:val="24"/>
        </w:rPr>
        <w:t>乙方指派专人负责与甲方联系售后服务事宜。乙方接到甲方报修后，即时电话响应；如电话响应无法解决问题，</w:t>
      </w:r>
      <w:r>
        <w:rPr>
          <w:sz w:val="24"/>
        </w:rPr>
        <w:t>乙方</w:t>
      </w:r>
      <w:r>
        <w:rPr>
          <w:sz w:val="24"/>
        </w:rPr>
        <w:t>应在</w:t>
      </w:r>
      <w:r>
        <w:rPr>
          <w:sz w:val="24"/>
        </w:rPr>
        <w:t>4个小时内给予答复</w:t>
      </w:r>
      <w:r>
        <w:rPr>
          <w:sz w:val="24"/>
        </w:rPr>
        <w:t>；</w:t>
      </w:r>
      <w:r>
        <w:rPr>
          <w:sz w:val="24"/>
        </w:rPr>
        <w:t>如确定需要</w:t>
      </w:r>
      <w:r>
        <w:rPr>
          <w:sz w:val="24"/>
        </w:rPr>
        <w:t>派</w:t>
      </w:r>
      <w:r>
        <w:rPr>
          <w:sz w:val="24"/>
        </w:rPr>
        <w:t>人进行修理，</w:t>
      </w:r>
      <w:r>
        <w:rPr>
          <w:sz w:val="24"/>
        </w:rPr>
        <w:t>应保证</w:t>
      </w:r>
      <w:r>
        <w:rPr>
          <w:sz w:val="24"/>
        </w:rPr>
        <w:t>在</w:t>
      </w:r>
      <w:r>
        <w:rPr>
          <w:sz w:val="24"/>
        </w:rPr>
        <w:t>24小时内到达现场并完成修理工作。如在24小时内不能解决问题，乙方应在随后48小时内提供不低于故障设备规格型号档次的备用设备供甲方代替使用，直至故障设备修复，确保设备的正常使用</w:t>
      </w:r>
      <w:r>
        <w:rPr>
          <w:sz w:val="24"/>
        </w:rPr>
        <w:t>，</w:t>
      </w:r>
      <w:r>
        <w:rPr>
          <w:sz w:val="24"/>
        </w:rPr>
        <w:t>技术要求中有特别要求的以技术要求</w:t>
      </w:r>
      <w:r>
        <w:rPr>
          <w:sz w:val="24"/>
        </w:rPr>
        <w:t>为准</w:t>
      </w:r>
      <w:r>
        <w:rPr>
          <w:sz w:val="24"/>
        </w:rPr>
        <w:t>。</w:t>
      </w:r>
    </w:p>
    <w:p>
      <w:pPr>
        <w:pStyle w:val="null3"/>
        <w:ind w:firstLine="480"/>
        <w:jc w:val="both"/>
      </w:pPr>
      <w:r>
        <w:rPr>
          <w:sz w:val="24"/>
        </w:rPr>
        <w:t>质保期内，乙方负责承担所有因货物质量问题而产生的费用。</w:t>
      </w:r>
    </w:p>
    <w:p>
      <w:pPr>
        <w:pStyle w:val="null3"/>
        <w:ind w:firstLine="480"/>
        <w:jc w:val="both"/>
      </w:pPr>
      <w:r>
        <w:rPr>
          <w:sz w:val="24"/>
        </w:rPr>
        <w:t>乙方</w:t>
      </w:r>
      <w:r>
        <w:rPr>
          <w:sz w:val="24"/>
        </w:rPr>
        <w:t>提供终身售后服务</w:t>
      </w:r>
      <w:r>
        <w:rPr>
          <w:sz w:val="24"/>
        </w:rPr>
        <w:t>，</w:t>
      </w:r>
      <w:r>
        <w:rPr>
          <w:sz w:val="24"/>
        </w:rPr>
        <w:t>无论在质保期内还是质保期外，乙方均需提供上门维修服务，即由乙方派遣专门技术人员到甲方设备使用现场进行维修。对于质保期内由此产生的一切费用均由乙方承担，对于质保期外的设备维修，乙方仅收取损坏部分的成本材料费。</w:t>
      </w:r>
    </w:p>
    <w:p>
      <w:pPr>
        <w:pStyle w:val="null3"/>
        <w:ind w:firstLine="480"/>
        <w:jc w:val="both"/>
      </w:pPr>
      <w:r>
        <w:rPr>
          <w:sz w:val="24"/>
        </w:rPr>
        <w:t>质保期内乙方售后服务部门将提供每年不低于四次（含本数）的电话回访和二次现场设备检修服务。</w:t>
      </w:r>
    </w:p>
    <w:p>
      <w:pPr>
        <w:pStyle w:val="null3"/>
        <w:ind w:firstLine="480"/>
        <w:jc w:val="both"/>
      </w:pPr>
      <w:r>
        <w:rPr>
          <w:sz w:val="24"/>
        </w:rPr>
        <w:t>质保期后乙方无偿提供终身技术服务，软件产品无偿提供终身升级。</w:t>
      </w:r>
    </w:p>
    <w:p>
      <w:pPr>
        <w:pStyle w:val="null3"/>
        <w:ind w:firstLine="480"/>
        <w:jc w:val="both"/>
      </w:pPr>
      <w:r>
        <w:rPr>
          <w:sz w:val="24"/>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80"/>
        <w:jc w:val="both"/>
      </w:pPr>
      <w:r>
        <w:rPr>
          <w:sz w:val="24"/>
        </w:rPr>
        <w:t>乙方未按合同</w:t>
      </w:r>
      <w:r>
        <w:rPr>
          <w:sz w:val="24"/>
        </w:rPr>
        <w:t>约定时间和约定标准</w:t>
      </w:r>
      <w:r>
        <w:rPr>
          <w:sz w:val="24"/>
        </w:rPr>
        <w:t>提供保修服务</w:t>
      </w:r>
      <w:r>
        <w:rPr>
          <w:sz w:val="24"/>
        </w:rPr>
        <w:t>的</w:t>
      </w:r>
      <w:r>
        <w:rPr>
          <w:sz w:val="24"/>
        </w:rPr>
        <w:t>，甲方有权</w:t>
      </w:r>
      <w:r>
        <w:rPr>
          <w:sz w:val="24"/>
        </w:rPr>
        <w:t>向乙方主张合同</w:t>
      </w:r>
      <w:r>
        <w:rPr>
          <w:sz w:val="24"/>
        </w:rPr>
        <w:t>总价</w:t>
      </w:r>
      <w:r>
        <w:rPr>
          <w:sz w:val="24"/>
        </w:rPr>
        <w:t>的</w:t>
      </w:r>
      <w:r>
        <w:rPr>
          <w:sz w:val="24"/>
        </w:rPr>
        <w:t>10%的违约金，并</w:t>
      </w:r>
      <w:r>
        <w:rPr>
          <w:sz w:val="24"/>
        </w:rPr>
        <w:t>有权自行委托第三方提供甲方所需要的技术支持和维修服务，由此造成的包括但不限于第三方维保费用、甲方其他经济损失等均由乙方承担。</w:t>
      </w:r>
    </w:p>
    <w:p>
      <w:pPr>
        <w:pStyle w:val="null3"/>
        <w:ind w:firstLine="480"/>
        <w:jc w:val="both"/>
      </w:pPr>
      <w:r>
        <w:rPr>
          <w:sz w:val="24"/>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9"/>
        <w:gridCol w:w="4187"/>
      </w:tblGrid>
      <w:tr>
        <w:tc>
          <w:tcPr>
            <w:tcW w:type="dxa" w:w="4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售后服务负责人：</w:t>
            </w:r>
          </w:p>
        </w:tc>
        <w:tc>
          <w:tcPr>
            <w:tcW w:type="dxa" w:w="4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联系电话（手机）：</w:t>
            </w:r>
          </w:p>
        </w:tc>
      </w:tr>
      <w:tr>
        <w:tc>
          <w:tcPr>
            <w:tcW w:type="dxa" w:w="4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1：</w:t>
            </w:r>
          </w:p>
        </w:tc>
        <w:tc>
          <w:tcPr>
            <w:tcW w:type="dxa" w:w="4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2：</w:t>
            </w:r>
          </w:p>
        </w:tc>
      </w:tr>
      <w:tr>
        <w:tc>
          <w:tcPr>
            <w:tcW w:type="dxa" w:w="4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微信号：</w:t>
            </w:r>
          </w:p>
        </w:tc>
        <w:tc>
          <w:tcPr>
            <w:tcW w:type="dxa" w:w="4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E-mail</w:t>
            </w:r>
            <w:r>
              <w:rPr>
                <w:sz w:val="24"/>
              </w:rPr>
              <w:t>:</w:t>
            </w:r>
          </w:p>
        </w:tc>
      </w:tr>
    </w:tbl>
    <w:p>
      <w:pPr>
        <w:pStyle w:val="null3"/>
        <w:ind w:firstLine="420"/>
        <w:jc w:val="both"/>
      </w:pPr>
      <w:r>
        <w:rPr>
          <w:sz w:val="24"/>
          <w:b/>
        </w:rPr>
        <w:t>第六条</w:t>
      </w:r>
      <w:r>
        <w:rPr>
          <w:sz w:val="21"/>
          <w:b/>
        </w:rPr>
        <w:t xml:space="preserve">  </w:t>
      </w:r>
      <w:r>
        <w:rPr>
          <w:sz w:val="21"/>
          <w:b/>
        </w:rPr>
        <w:t>违约责任</w:t>
      </w:r>
    </w:p>
    <w:p>
      <w:pPr>
        <w:pStyle w:val="null3"/>
        <w:ind w:firstLine="480"/>
        <w:jc w:val="both"/>
      </w:pPr>
      <w:r>
        <w:rPr>
          <w:sz w:val="24"/>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4"/>
        </w:rPr>
        <w:t>3日内，一次性退还甲方已支付的所有款项，</w:t>
      </w:r>
      <w:r>
        <w:rPr>
          <w:sz w:val="24"/>
        </w:rPr>
        <w:t>同时</w:t>
      </w:r>
      <w:r>
        <w:rPr>
          <w:sz w:val="24"/>
        </w:rPr>
        <w:t>甲方有权</w:t>
      </w:r>
      <w:r>
        <w:rPr>
          <w:sz w:val="24"/>
        </w:rPr>
        <w:t>没收乙方</w:t>
      </w:r>
      <w:r>
        <w:rPr>
          <w:sz w:val="24"/>
        </w:rPr>
        <w:t>已支</w:t>
      </w:r>
      <w:r>
        <w:rPr>
          <w:sz w:val="24"/>
        </w:rPr>
        <w:t>付的全部履约保证金</w:t>
      </w:r>
      <w:r>
        <w:rPr>
          <w:sz w:val="24"/>
        </w:rPr>
        <w:t>并</w:t>
      </w:r>
      <w:r>
        <w:rPr>
          <w:sz w:val="24"/>
        </w:rPr>
        <w:t>向乙方</w:t>
      </w:r>
      <w:r>
        <w:rPr>
          <w:sz w:val="24"/>
        </w:rPr>
        <w:t>收取合同总价</w:t>
      </w:r>
      <w:r>
        <w:rPr>
          <w:sz w:val="24"/>
        </w:rPr>
        <w:t>10</w:t>
      </w:r>
      <w:r>
        <w:rPr>
          <w:sz w:val="24"/>
        </w:rPr>
        <w:t>%的违约金，违约金不足以弥补甲方损失的（包括但不限于律师费、诉讼费、保全费、担保费、交通费、差旅费、鉴定费等），乙方应另行赔偿：</w:t>
      </w:r>
    </w:p>
    <w:p>
      <w:pPr>
        <w:pStyle w:val="null3"/>
        <w:ind w:firstLine="480"/>
        <w:jc w:val="both"/>
      </w:pPr>
      <w:r>
        <w:rPr>
          <w:sz w:val="24"/>
        </w:rPr>
        <w:t>（</w:t>
      </w:r>
      <w:r>
        <w:rPr>
          <w:sz w:val="24"/>
        </w:rPr>
        <w:t>1）乙方拒绝供货或逾期15日交付货物；</w:t>
      </w:r>
    </w:p>
    <w:p>
      <w:pPr>
        <w:pStyle w:val="null3"/>
        <w:ind w:firstLine="480"/>
        <w:jc w:val="both"/>
      </w:pPr>
      <w:r>
        <w:rPr>
          <w:sz w:val="24"/>
        </w:rPr>
        <w:t>（</w:t>
      </w:r>
      <w:r>
        <w:rPr>
          <w:sz w:val="24"/>
        </w:rPr>
        <w:t>2）乙方交付的货物不符合合同规定，且甲方拒收的；</w:t>
      </w:r>
    </w:p>
    <w:p>
      <w:pPr>
        <w:pStyle w:val="null3"/>
        <w:ind w:firstLine="480"/>
        <w:jc w:val="both"/>
      </w:pPr>
      <w:r>
        <w:rPr>
          <w:sz w:val="24"/>
        </w:rPr>
        <w:t>（</w:t>
      </w:r>
      <w:r>
        <w:rPr>
          <w:sz w:val="24"/>
        </w:rPr>
        <w:t>3）乙方交付的货物经两次及以上验收仍不合格的；</w:t>
      </w:r>
    </w:p>
    <w:p>
      <w:pPr>
        <w:pStyle w:val="null3"/>
        <w:ind w:firstLine="480"/>
        <w:jc w:val="both"/>
      </w:pPr>
      <w:r>
        <w:rPr>
          <w:sz w:val="24"/>
        </w:rPr>
        <w:t>（</w:t>
      </w:r>
      <w:r>
        <w:rPr>
          <w:sz w:val="24"/>
        </w:rPr>
        <w:t>4）乙方交付的货物经有关部门鉴定为不合格产品的；</w:t>
      </w:r>
    </w:p>
    <w:p>
      <w:pPr>
        <w:pStyle w:val="null3"/>
        <w:ind w:firstLine="480"/>
        <w:jc w:val="both"/>
      </w:pPr>
      <w:r>
        <w:rPr>
          <w:sz w:val="24"/>
        </w:rPr>
        <w:t>（</w:t>
      </w:r>
      <w:r>
        <w:rPr>
          <w:sz w:val="24"/>
        </w:rPr>
        <w:t>5）乙方提供的货物涉及侵犯他人知识产权、肖像权、商业经营保密的信息或其他权益纠纷的；</w:t>
      </w:r>
    </w:p>
    <w:p>
      <w:pPr>
        <w:pStyle w:val="null3"/>
        <w:ind w:firstLine="480"/>
        <w:jc w:val="both"/>
      </w:pPr>
      <w:r>
        <w:rPr>
          <w:sz w:val="24"/>
        </w:rPr>
        <w:t>（</w:t>
      </w:r>
      <w:r>
        <w:rPr>
          <w:sz w:val="24"/>
        </w:rPr>
        <w:t>6）乙方利用本合同实施损害甲方合法权益行为的。</w:t>
      </w:r>
    </w:p>
    <w:p>
      <w:pPr>
        <w:pStyle w:val="null3"/>
        <w:ind w:firstLine="480"/>
        <w:jc w:val="both"/>
      </w:pPr>
      <w:r>
        <w:rPr>
          <w:sz w:val="24"/>
        </w:rPr>
        <w:t>（7）乙方不按合同约定履行义务，经甲方提出后，在合理期限内仍不改正的；</w:t>
      </w:r>
    </w:p>
    <w:p>
      <w:pPr>
        <w:pStyle w:val="null3"/>
        <w:ind w:firstLine="482"/>
        <w:jc w:val="both"/>
      </w:pPr>
      <w:r>
        <w:rPr>
          <w:sz w:val="24"/>
          <w:b/>
        </w:rPr>
        <w:t>（8）乙方所交货的货物验收不合格，或经维修、退换后仍无法正常使用的，或虽可</w:t>
      </w:r>
      <w:r>
        <w:rPr>
          <w:sz w:val="24"/>
          <w:b/>
        </w:rPr>
        <w:t>正常</w:t>
      </w:r>
      <w:r>
        <w:rPr>
          <w:sz w:val="24"/>
          <w:b/>
        </w:rPr>
        <w:t>使用但无法达到本合同约定的参数及要求的</w:t>
      </w:r>
      <w:r>
        <w:rPr>
          <w:sz w:val="24"/>
          <w:b/>
        </w:rPr>
        <w:t>。</w:t>
      </w:r>
    </w:p>
    <w:p>
      <w:pPr>
        <w:pStyle w:val="null3"/>
        <w:ind w:firstLine="480"/>
        <w:jc w:val="both"/>
      </w:pPr>
      <w:r>
        <w:rPr>
          <w:sz w:val="24"/>
        </w:rPr>
        <w:t>乙方</w:t>
      </w:r>
      <w:r>
        <w:rPr>
          <w:sz w:val="24"/>
        </w:rPr>
        <w:t>超过缴纳履约保证金期限，未向</w:t>
      </w:r>
      <w:r>
        <w:rPr>
          <w:sz w:val="24"/>
        </w:rPr>
        <w:t>甲方</w:t>
      </w:r>
      <w:r>
        <w:rPr>
          <w:sz w:val="24"/>
        </w:rPr>
        <w:t>缴纳履约保证金的，每逾期一日，</w:t>
      </w:r>
      <w:r>
        <w:rPr>
          <w:sz w:val="24"/>
        </w:rPr>
        <w:t>甲方</w:t>
      </w:r>
      <w:r>
        <w:rPr>
          <w:sz w:val="24"/>
        </w:rPr>
        <w:t>有权要求</w:t>
      </w:r>
      <w:r>
        <w:rPr>
          <w:sz w:val="24"/>
        </w:rPr>
        <w:t>乙方</w:t>
      </w:r>
      <w:r>
        <w:rPr>
          <w:sz w:val="24"/>
        </w:rPr>
        <w:t>按履约保证金的1%偿付违约金，</w:t>
      </w:r>
      <w:r>
        <w:rPr>
          <w:sz w:val="24"/>
        </w:rPr>
        <w:t>乙方</w:t>
      </w:r>
      <w:r>
        <w:rPr>
          <w:sz w:val="24"/>
        </w:rPr>
        <w:t>逾期缴纳履约保证金的违约金总额不超过履约保证金数额的5%。</w:t>
      </w:r>
    </w:p>
    <w:p>
      <w:pPr>
        <w:pStyle w:val="null3"/>
        <w:ind w:firstLine="480"/>
        <w:jc w:val="both"/>
      </w:pPr>
      <w:r>
        <w:rPr>
          <w:sz w:val="24"/>
        </w:rPr>
        <w:t>甲方</w:t>
      </w:r>
      <w:r>
        <w:rPr>
          <w:sz w:val="24"/>
        </w:rPr>
        <w:t>逾期退还履约保证金的，每逾期1天，</w:t>
      </w:r>
      <w:r>
        <w:rPr>
          <w:sz w:val="24"/>
        </w:rPr>
        <w:t>乙方</w:t>
      </w:r>
      <w:r>
        <w:rPr>
          <w:sz w:val="24"/>
        </w:rPr>
        <w:t>有权要求</w:t>
      </w:r>
      <w:r>
        <w:rPr>
          <w:sz w:val="24"/>
        </w:rPr>
        <w:t>甲方</w:t>
      </w:r>
      <w:r>
        <w:rPr>
          <w:sz w:val="24"/>
        </w:rPr>
        <w:t>按履约保证金的1%偿付违约金，</w:t>
      </w:r>
      <w:r>
        <w:rPr>
          <w:sz w:val="24"/>
        </w:rPr>
        <w:t>甲方</w:t>
      </w:r>
      <w:r>
        <w:rPr>
          <w:sz w:val="24"/>
        </w:rPr>
        <w:t>逾期退还履约保证金的违约金总额不超过履约保证金数额的5%。</w:t>
      </w:r>
    </w:p>
    <w:p>
      <w:pPr>
        <w:pStyle w:val="null3"/>
        <w:ind w:firstLine="480"/>
        <w:jc w:val="both"/>
      </w:pPr>
      <w:r>
        <w:rPr>
          <w:sz w:val="24"/>
        </w:rPr>
        <w:t>乙方逾期交付货物的，则每逾期一日甲方有权在履约保证金或合同价款中直接扣除合同总价的0.3‰作为违约金，直到交付验收合格货物时止。</w:t>
      </w:r>
    </w:p>
    <w:p>
      <w:pPr>
        <w:pStyle w:val="null3"/>
        <w:ind w:firstLine="480"/>
        <w:jc w:val="both"/>
      </w:pPr>
      <w:r>
        <w:rPr>
          <w:sz w:val="24"/>
        </w:rPr>
        <w:t>甲方逾期付款的，则每逾期一日乙方有权要求甲方按合同总价0.3‰偿付违约金，</w:t>
      </w:r>
      <w:r>
        <w:rPr>
          <w:sz w:val="24"/>
        </w:rPr>
        <w:t>甲方支付的违约金总额不超过合同总价的5%</w:t>
      </w:r>
      <w:r>
        <w:rPr>
          <w:sz w:val="24"/>
        </w:rPr>
        <w:t>；</w:t>
      </w:r>
      <w:r>
        <w:rPr>
          <w:sz w:val="24"/>
        </w:rPr>
        <w:t>在履行合同过程中，</w:t>
      </w:r>
      <w:r>
        <w:rPr>
          <w:sz w:val="24"/>
        </w:rPr>
        <w:t>非因甲方原因（如不可抗力）导致的延迟支付</w:t>
      </w:r>
      <w:r>
        <w:rPr>
          <w:sz w:val="24"/>
        </w:rPr>
        <w:t>，甲方无须承担违约责任。</w:t>
      </w:r>
    </w:p>
    <w:p>
      <w:pPr>
        <w:pStyle w:val="null3"/>
        <w:ind w:firstLine="420"/>
        <w:jc w:val="both"/>
      </w:pPr>
      <w:r>
        <w:rPr>
          <w:sz w:val="24"/>
          <w:b/>
        </w:rPr>
        <w:t>第七条</w:t>
      </w:r>
      <w:r>
        <w:rPr>
          <w:sz w:val="21"/>
          <w:b/>
        </w:rPr>
        <w:t xml:space="preserve">  </w:t>
      </w:r>
      <w:r>
        <w:rPr>
          <w:sz w:val="21"/>
          <w:b/>
        </w:rPr>
        <w:t>不可抗力</w:t>
      </w:r>
    </w:p>
    <w:p>
      <w:pPr>
        <w:pStyle w:val="null3"/>
        <w:ind w:firstLine="367"/>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w:t>
      </w:r>
      <w:r>
        <w:rPr>
          <w:sz w:val="21"/>
        </w:rPr>
        <w:t>免于</w:t>
      </w:r>
      <w:r>
        <w:rPr>
          <w:sz w:val="21"/>
        </w:rPr>
        <w:t>承担违约责任。</w:t>
      </w:r>
    </w:p>
    <w:p>
      <w:pPr>
        <w:pStyle w:val="null3"/>
        <w:ind w:firstLine="420"/>
        <w:jc w:val="both"/>
      </w:pPr>
      <w:r>
        <w:rPr>
          <w:sz w:val="24"/>
          <w:b/>
        </w:rPr>
        <w:t>第八条</w:t>
      </w:r>
      <w:r>
        <w:rPr>
          <w:sz w:val="21"/>
          <w:b/>
        </w:rPr>
        <w:t xml:space="preserve">  </w:t>
      </w:r>
      <w:r>
        <w:rPr>
          <w:sz w:val="21"/>
          <w:b/>
        </w:rPr>
        <w:t>解决争议的办法</w:t>
      </w:r>
    </w:p>
    <w:p>
      <w:pPr>
        <w:pStyle w:val="null3"/>
        <w:ind w:firstLine="315"/>
        <w:jc w:val="both"/>
      </w:pPr>
      <w:r>
        <w:rPr>
          <w:sz w:val="21"/>
        </w:rPr>
        <w:t>1.本合同在执行期间，如有未尽事宜，由双方另行协商解决，并可以签订补充合同或协议，补充合同或协议与本合同具有同等效力。</w:t>
      </w:r>
    </w:p>
    <w:p>
      <w:pPr>
        <w:pStyle w:val="null3"/>
        <w:ind w:firstLine="315"/>
        <w:jc w:val="both"/>
      </w:pPr>
      <w:r>
        <w:rPr>
          <w:sz w:val="21"/>
        </w:rPr>
        <w:t>2.若执行本合同的过程中发生纠纷，双方当事人应当及时协商解决；协商不成时，可向甲方所在地有管辖权的人民法院提起诉讼。</w:t>
      </w:r>
    </w:p>
    <w:p>
      <w:pPr>
        <w:pStyle w:val="null3"/>
        <w:ind w:firstLine="315"/>
        <w:jc w:val="both"/>
      </w:pPr>
      <w:r>
        <w:rPr>
          <w:sz w:val="21"/>
        </w:rPr>
        <w:t>3.甲方为维护本合同合法权益提起诉讼的，乙方应承担甲方为维护权益而支出的律师费、诉讼费、保全费、担保费、执行费、鉴定费、公证费等合理费用。</w:t>
      </w:r>
    </w:p>
    <w:p>
      <w:pPr>
        <w:pStyle w:val="null3"/>
        <w:ind w:firstLine="420"/>
        <w:jc w:val="both"/>
      </w:pPr>
      <w:r>
        <w:rPr>
          <w:sz w:val="24"/>
          <w:b/>
        </w:rPr>
        <w:t>第九条</w:t>
      </w:r>
      <w:r>
        <w:rPr>
          <w:sz w:val="21"/>
          <w:b/>
        </w:rPr>
        <w:t xml:space="preserve">  </w:t>
      </w:r>
      <w:r>
        <w:rPr>
          <w:sz w:val="21"/>
          <w:b/>
        </w:rPr>
        <w:t>合同生效及终止</w:t>
      </w:r>
    </w:p>
    <w:p>
      <w:pPr>
        <w:pStyle w:val="null3"/>
        <w:ind w:firstLine="480"/>
        <w:jc w:val="both"/>
      </w:pPr>
      <w:r>
        <w:rPr>
          <w:sz w:val="21"/>
        </w:rPr>
        <w:t>本合同自甲乙双方签署之日起生效。本合同</w:t>
      </w:r>
      <w:r>
        <w:rPr>
          <w:sz w:val="21"/>
          <w:u w:val="single"/>
        </w:rPr>
        <w:t>一式</w:t>
      </w:r>
      <w:r>
        <w:rPr>
          <w:sz w:val="21"/>
          <w:u w:val="single"/>
        </w:rPr>
        <w:t>陆</w:t>
      </w:r>
      <w:r>
        <w:rPr>
          <w:sz w:val="21"/>
          <w:u w:val="single"/>
        </w:rPr>
        <w:t>份，甲方执</w:t>
      </w:r>
      <w:r>
        <w:rPr>
          <w:sz w:val="21"/>
          <w:u w:val="single"/>
        </w:rPr>
        <w:t>伍</w:t>
      </w:r>
      <w:r>
        <w:rPr>
          <w:sz w:val="21"/>
          <w:u w:val="single"/>
        </w:rPr>
        <w:t>份，乙方执壹份。</w:t>
      </w:r>
    </w:p>
    <w:p>
      <w:pPr>
        <w:pStyle w:val="null3"/>
        <w:ind w:firstLine="480"/>
        <w:jc w:val="both"/>
      </w:pPr>
      <w:r>
        <w:rPr>
          <w:sz w:val="21"/>
        </w:rPr>
        <w:t>本合同所有附件、招标文件（如有）、投标文件（如有）、中标通知书或成交公</w:t>
      </w:r>
      <w:r>
        <w:rPr>
          <w:sz w:val="21"/>
        </w:rPr>
        <w:t>告（如有）均</w:t>
      </w:r>
      <w:r>
        <w:rPr>
          <w:sz w:val="21"/>
        </w:rPr>
        <w:t>为本</w:t>
      </w:r>
      <w:r>
        <w:rPr>
          <w:sz w:val="21"/>
        </w:rPr>
        <w:t>合同的有效组成部分，与本合同具有同等法律效力。</w:t>
      </w:r>
      <w:r>
        <w:rPr>
          <w:sz w:val="21"/>
        </w:rPr>
        <w:t>以上文件约定不一致的，以形成在后的文件约定为准。</w:t>
      </w:r>
    </w:p>
    <w:p>
      <w:pPr>
        <w:pStyle w:val="null3"/>
        <w:ind w:firstLine="420"/>
        <w:jc w:val="both"/>
      </w:pPr>
      <w:r>
        <w:rPr>
          <w:sz w:val="24"/>
          <w:b/>
        </w:rPr>
        <w:t>第十条</w:t>
      </w:r>
      <w:r>
        <w:rPr>
          <w:sz w:val="21"/>
        </w:rPr>
        <w:t xml:space="preserve">  </w:t>
      </w:r>
      <w:r>
        <w:rPr>
          <w:sz w:val="21"/>
          <w:b/>
        </w:rPr>
        <w:t>监督和管理</w:t>
      </w:r>
    </w:p>
    <w:p>
      <w:pPr>
        <w:pStyle w:val="null3"/>
        <w:ind w:firstLine="367"/>
        <w:jc w:val="both"/>
      </w:pPr>
      <w:r>
        <w:rPr>
          <w:sz w:val="21"/>
        </w:rPr>
        <w:t>甲乙双方均应配合政府采购监督管理部门和政府采购中心（校外）</w:t>
      </w:r>
      <w:r>
        <w:rPr>
          <w:sz w:val="21"/>
        </w:rPr>
        <w:t>、</w:t>
      </w:r>
      <w:r>
        <w:rPr>
          <w:sz w:val="21"/>
        </w:rPr>
        <w:t>采购组织部门（校内）对合同履行情况的监督检查，如实反映情况，提供有关资料。</w:t>
      </w:r>
    </w:p>
    <w:p>
      <w:pPr>
        <w:pStyle w:val="null3"/>
        <w:ind w:firstLine="420"/>
        <w:jc w:val="both"/>
      </w:pPr>
      <w:r>
        <w:rPr>
          <w:sz w:val="24"/>
          <w:b/>
        </w:rPr>
        <w:t>第十一条</w:t>
      </w:r>
      <w:r>
        <w:rPr>
          <w:sz w:val="21"/>
          <w:b/>
        </w:rPr>
        <w:t xml:space="preserve">  </w:t>
      </w:r>
      <w:r>
        <w:rPr>
          <w:sz w:val="21"/>
          <w:b/>
        </w:rPr>
        <w:t>其他约定条款</w:t>
      </w:r>
    </w:p>
    <w:p>
      <w:pPr>
        <w:pStyle w:val="null3"/>
        <w:ind w:firstLine="367"/>
        <w:jc w:val="both"/>
      </w:pPr>
      <w:r>
        <w:rPr>
          <w:sz w:val="21"/>
        </w:rPr>
        <w:t>1.甲乙双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367"/>
        <w:jc w:val="both"/>
      </w:pPr>
      <w:r>
        <w:rPr>
          <w:sz w:val="21"/>
        </w:rPr>
        <w:t>2.本合同经甲乙双方充分协商确定，在对合同条款出现不一致理解时，应当以履行合同的目的作出合理解释，不能作出有利于任何一方的解释。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甲方（公章）：五邑大学</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地址：广东省江门市蓬江区东成村22号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开户银行：中国工商银行股份有限公司江门蓬江支行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账号：2012006509024900818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05"/>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0"/>
              <w:jc w:val="both"/>
            </w:pPr>
            <w:r>
              <w:rPr>
                <w:sz w:val="21"/>
              </w:rPr>
              <w:t>签订日期：  年  月   日</w:t>
            </w:r>
          </w:p>
        </w:tc>
      </w:tr>
    </w:tbl>
    <w:p>
      <w:pPr>
        <w:pStyle w:val="null3"/>
      </w:pPr>
      <w:r>
        <w:rPr>
          <w:sz w:val="21"/>
          <w:b/>
        </w:rPr>
        <w:t>附件1</w:t>
      </w:r>
      <w:r>
        <w:rPr>
          <w:sz w:val="21"/>
          <w:b/>
        </w:rPr>
        <w:t>：货物清单</w:t>
      </w:r>
    </w:p>
    <w:p>
      <w:pPr>
        <w:pStyle w:val="null3"/>
        <w:ind w:firstLine="562"/>
        <w:jc w:val="both"/>
      </w:pPr>
      <w:r>
        <w:rPr>
          <w:sz w:val="21"/>
          <w:b/>
        </w:rPr>
        <w:t>单位：元</w:t>
      </w:r>
    </w:p>
    <w:tbl>
      <w:tblPr>
        <w:tblW w:w="0" w:type="auto"/>
        <w:tblBorders>
          <w:top w:val="none" w:color="000000" w:sz="4"/>
          <w:left w:val="none" w:color="000000" w:sz="4"/>
          <w:bottom w:val="none" w:color="000000" w:sz="4"/>
          <w:right w:val="none" w:color="000000" w:sz="4"/>
          <w:insideH w:val="none"/>
          <w:insideV w:val="none"/>
        </w:tblBorders>
      </w:tblPr>
      <w:tblGrid>
        <w:gridCol w:w="524"/>
        <w:gridCol w:w="1087"/>
        <w:gridCol w:w="936"/>
        <w:gridCol w:w="913"/>
        <w:gridCol w:w="751"/>
        <w:gridCol w:w="853"/>
        <w:gridCol w:w="871"/>
        <w:gridCol w:w="620"/>
        <w:gridCol w:w="781"/>
        <w:gridCol w:w="969"/>
      </w:tblGrid>
      <w:tr>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w:t>
            </w:r>
            <w:r>
              <w:rPr>
                <w:sz w:val="21"/>
                <w:b/>
              </w:rPr>
              <w:t>价</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技术服务费</w:t>
            </w:r>
          </w:p>
        </w:tc>
        <w:tc>
          <w:tcPr>
            <w:tcW w:type="dxa" w:w="669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安装调试费</w:t>
            </w:r>
          </w:p>
        </w:tc>
        <w:tc>
          <w:tcPr>
            <w:tcW w:type="dxa" w:w="669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培训费</w:t>
            </w:r>
          </w:p>
        </w:tc>
        <w:tc>
          <w:tcPr>
            <w:tcW w:type="dxa" w:w="669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运输费</w:t>
            </w:r>
          </w:p>
        </w:tc>
        <w:tc>
          <w:tcPr>
            <w:tcW w:type="dxa" w:w="669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保险费</w:t>
            </w:r>
          </w:p>
        </w:tc>
        <w:tc>
          <w:tcPr>
            <w:tcW w:type="dxa" w:w="669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其他费用</w:t>
            </w:r>
          </w:p>
        </w:tc>
        <w:tc>
          <w:tcPr>
            <w:tcW w:type="dxa" w:w="669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w:t>
            </w:r>
          </w:p>
        </w:tc>
      </w:tr>
      <w:tr>
        <w:tc>
          <w:tcPr>
            <w:tcW w:type="dxa" w:w="161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总价（含税）</w:t>
            </w:r>
          </w:p>
        </w:tc>
        <w:tc>
          <w:tcPr>
            <w:tcW w:type="dxa" w:w="669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小写：</w:t>
            </w:r>
            <w:r>
              <w:rPr>
                <w:sz w:val="21"/>
                <w:b/>
                <w:u w:val="single"/>
              </w:rPr>
              <w:t>¥</w:t>
            </w:r>
            <w:r>
              <w:rPr>
                <w:sz w:val="21"/>
                <w:b/>
                <w:u w:val="single"/>
              </w:rPr>
              <w:t xml:space="preserve">         </w:t>
            </w:r>
            <w:r>
              <w:rPr>
                <w:sz w:val="21"/>
                <w:b/>
              </w:rPr>
              <w:t>元</w:t>
            </w:r>
          </w:p>
        </w:tc>
      </w:tr>
      <w:tr>
        <w:tc>
          <w:tcPr>
            <w:tcW w:type="dxa" w:w="1611"/>
            <w:gridSpan w:val="2"/>
            <w:vMerge/>
            <w:tcBorders>
              <w:top w:val="none" w:color="000000" w:sz="4"/>
              <w:left w:val="single" w:color="000000" w:sz="4"/>
              <w:bottom w:val="single" w:color="000000" w:sz="4"/>
              <w:right w:val="single" w:color="000000" w:sz="4"/>
            </w:tcBorders>
          </w:tcPr>
          <w:p/>
        </w:tc>
        <w:tc>
          <w:tcPr>
            <w:tcW w:type="dxa" w:w="669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大写：</w:t>
            </w:r>
            <w:r>
              <w:rPr>
                <w:sz w:val="21"/>
                <w:b/>
                <w:u w:val="single"/>
              </w:rPr>
              <w:t xml:space="preserve">              </w:t>
            </w:r>
          </w:p>
        </w:tc>
      </w:tr>
    </w:tbl>
    <w:p>
      <w:pPr>
        <w:pStyle w:val="null3"/>
        <w:ind w:firstLine="211"/>
        <w:jc w:val="both"/>
      </w:pPr>
      <w:r>
        <w:rPr>
          <w:sz w:val="21"/>
          <w:b/>
        </w:rPr>
        <w:t>乙方如实申报货物名称，品牌</w:t>
      </w:r>
      <w:r>
        <w:rPr>
          <w:sz w:val="21"/>
          <w:b/>
        </w:rPr>
        <w:t>、</w:t>
      </w:r>
      <w:r>
        <w:rPr>
          <w:sz w:val="21"/>
          <w:b/>
        </w:rPr>
        <w:t>型号</w:t>
      </w:r>
      <w:r>
        <w:rPr>
          <w:sz w:val="21"/>
          <w:b/>
        </w:rPr>
        <w:t>、</w:t>
      </w:r>
      <w:r>
        <w:rPr>
          <w:sz w:val="21"/>
          <w:b/>
        </w:rPr>
        <w:t>规格、产地、数量、单位、大小写英文，必须与实际供货产品机身铭牌上所标识的完全一致，如有错漏，将无法验收，造成的一切后果由乙方自行承担。</w:t>
      </w:r>
    </w:p>
    <w:p>
      <w:pPr>
        <w:pStyle w:val="null3"/>
        <w:ind w:firstLine="210"/>
        <w:jc w:val="both"/>
      </w:pPr>
      <w:r>
        <w:rPr>
          <w:sz w:val="21"/>
          <w:b/>
        </w:rPr>
        <w:t>附件</w:t>
      </w:r>
      <w:r>
        <w:rPr>
          <w:sz w:val="21"/>
          <w:b/>
        </w:rPr>
        <w:t>2</w:t>
      </w:r>
      <w:r>
        <w:rPr>
          <w:sz w:val="21"/>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613"/>
        <w:gridCol w:w="1230"/>
        <w:gridCol w:w="714"/>
        <w:gridCol w:w="1082"/>
        <w:gridCol w:w="4657"/>
      </w:tblGrid>
      <w:tr>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货物名称</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品牌</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4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w:t>
            </w:r>
            <w:r>
              <w:rPr>
                <w:sz w:val="21"/>
                <w:b/>
              </w:rPr>
              <w:t>/技术参数</w:t>
            </w:r>
          </w:p>
        </w:tc>
      </w:tr>
      <w:tr>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附件</w:t>
      </w:r>
      <w:r>
        <w:rPr>
          <w:sz w:val="21"/>
          <w:b/>
        </w:rPr>
        <w:t>3</w:t>
      </w:r>
      <w:r>
        <w:rPr>
          <w:sz w:val="21"/>
          <w:b/>
        </w:rPr>
        <w:t>：</w:t>
      </w:r>
      <w:r>
        <w:rPr>
          <w:sz w:val="24"/>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7"/>
        <w:gridCol w:w="1419"/>
        <w:gridCol w:w="1060"/>
        <w:gridCol w:w="1588"/>
        <w:gridCol w:w="2324"/>
        <w:gridCol w:w="894"/>
      </w:tblGrid>
      <w:tr>
        <w:tc>
          <w:tcPr>
            <w:tcW w:type="dxa" w:w="101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货物</w:t>
            </w:r>
            <w:r>
              <w:rPr>
                <w:sz w:val="24"/>
                <w:b/>
              </w:rPr>
              <w:t>及</w:t>
            </w:r>
          </w:p>
          <w:p>
            <w:pPr>
              <w:pStyle w:val="null3"/>
              <w:jc w:val="both"/>
            </w:pPr>
            <w:r>
              <w:rPr>
                <w:sz w:val="24"/>
                <w:b/>
              </w:rPr>
              <w:t>配件名称</w:t>
            </w:r>
          </w:p>
        </w:tc>
        <w:tc>
          <w:tcPr>
            <w:tcW w:type="dxa" w:w="106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质保期</w:t>
            </w:r>
          </w:p>
        </w:tc>
        <w:tc>
          <w:tcPr>
            <w:tcW w:type="dxa" w:w="158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保修响应时间</w:t>
            </w:r>
          </w:p>
        </w:tc>
        <w:tc>
          <w:tcPr>
            <w:tcW w:type="dxa" w:w="232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备注</w:t>
            </w: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1"/>
          <w:b/>
        </w:rPr>
        <w:t>附件</w:t>
      </w:r>
      <w:r>
        <w:rPr>
          <w:sz w:val="21"/>
          <w:b/>
        </w:rPr>
        <w:t>4</w:t>
      </w:r>
      <w:r>
        <w:rPr>
          <w:sz w:val="21"/>
          <w:b/>
        </w:rPr>
        <w:t>：培训计划</w:t>
      </w:r>
    </w:p>
    <w:p>
      <w:pPr>
        <w:pStyle w:val="null3"/>
        <w:ind w:firstLine="422"/>
        <w:jc w:val="both"/>
      </w:pPr>
      <w:r>
        <w:rPr>
          <w:sz w:val="21"/>
          <w:b/>
        </w:rPr>
        <w:t>培训结束后，由甲乙双方技术人员进行验收</w:t>
      </w:r>
    </w:p>
    <w:p>
      <w:pPr>
        <w:pStyle w:val="null3"/>
        <w:spacing w:before="0" w:after="0" w:lineRule="auto" w:line="360"/>
        <w:ind w:left="0" w:right="0"/>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440701-2026-01260</w:t>
      </w:r>
    </w:p>
    <w:p>
      <w:pPr>
        <w:pStyle w:val="null3"/>
        <w:jc w:val="center"/>
        <w:outlineLvl w:val="3"/>
      </w:pPr>
      <w:r>
        <w:rPr>
          <w:sz w:val="24"/>
          <w:b/>
        </w:rPr>
        <w:t>采购项目编号：</w:t>
      </w:r>
      <w:r>
        <w:rPr>
          <w:sz w:val="24"/>
          <w:b/>
        </w:rPr>
        <w:t>JM2026-A061（WYUZB2026-051HW）</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江门市政府采购中心</w:t>
      </w:r>
    </w:p>
    <w:p>
      <w:pPr>
        <w:pStyle w:val="null3"/>
        <w:ind w:firstLine="480"/>
      </w:pPr>
      <w:r>
        <w:rPr/>
        <w:t xml:space="preserve"> 你方组织的</w:t>
      </w:r>
      <w:r>
        <w:rPr>
          <w:u w:val="single"/>
        </w:rPr>
        <w:t>“</w:t>
      </w:r>
      <w:r>
        <w:rPr>
          <w:u w:val="single"/>
        </w:rPr>
        <w:t>“向荣国际财经学堂”创新实训中心建设项目—云终端等设备采购</w:t>
      </w:r>
      <w:r>
        <w:rPr>
          <w:u w:val="single"/>
        </w:rPr>
        <w:t>”</w:t>
      </w:r>
      <w:r>
        <w:rPr/>
        <w:t>项目的招标[采购项目编号为：</w:t>
      </w:r>
      <w:r>
        <w:rPr>
          <w:u w:val="single"/>
        </w:rPr>
        <w:t>JM2026-A061（WYUZB2026-051HW）</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“向荣国际财经学堂”创新实训中心建设项目—云终端等设备采购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江门市政府采购中心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“向荣国际财经学堂”创新实训中心建设项目—云终端等设备采购</w:t>
      </w:r>
      <w:r>
        <w:rPr/>
        <w:t>”项目采购[采购项目编号为</w:t>
      </w:r>
      <w:r>
        <w:rPr/>
        <w:t>JM2026-A061（WYUZB2026-051HW）</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五邑大学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江门市政府采购中心</w:t>
      </w:r>
    </w:p>
    <w:p>
      <w:pPr>
        <w:pStyle w:val="null3"/>
        <w:ind w:firstLine="480"/>
      </w:pPr>
      <w:r>
        <w:rPr/>
        <w:t xml:space="preserve"> 如果我方在贵采购代理机构组织的</w:t>
      </w:r>
      <w:r>
        <w:rPr/>
        <w:t>“向荣国际财经学堂”创新实训中心建设项目—云终端等设备采购</w:t>
      </w:r>
      <w:r>
        <w:rPr/>
        <w:t>招标中获中标（采购项目编号：</w:t>
      </w:r>
      <w:r>
        <w:rPr/>
        <w:t>JM2026-A061（WYUZB2026-051HW）</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江门市政府采购中心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江门市政府采购中心</w:t>
      </w:r>
    </w:p>
    <w:p>
      <w:pPr>
        <w:pStyle w:val="null3"/>
        <w:ind w:firstLine="480"/>
      </w:pPr>
      <w:r>
        <w:rPr/>
        <w:t>我单位已登记并准备参与“</w:t>
      </w:r>
      <w:r>
        <w:rPr/>
        <w:t>“向荣国际财经学堂”创新实训中心建设项目—云终端等设备采购</w:t>
      </w:r>
      <w:r>
        <w:rPr/>
        <w:t>”项目（采购项目编号：</w:t>
      </w:r>
      <w:r>
        <w:rPr/>
        <w:t>JM2026-A061（WYUZB2026-051HW）</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