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山东省立第三医院平板电脑采购项目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SDGP370000000202602005366</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山东省立第三医院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山东舜德项目管理咨询有限公司</w:t>
      </w:r>
    </w:p>
    <w:p>
      <w:pPr>
        <w:pStyle w:val="null5"/>
        <w:jc w:val="center"/>
      </w:pPr>
      <w:r>
        <w:rPr>
          <w:rFonts w:ascii="仿宋_GB2312" w:hAnsi="仿宋_GB2312" w:cs="仿宋_GB2312" w:eastAsia="仿宋_GB2312"/>
        </w:rPr>
        <w:t>2026年06月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山东舜德项目管理咨询有限公司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山东省立第三医院</w:t>
      </w:r>
      <w:r>
        <w:rPr>
          <w:rFonts w:ascii="仿宋_GB2312" w:hAnsi="仿宋_GB2312" w:cs="仿宋_GB2312" w:eastAsia="仿宋_GB2312"/>
        </w:rPr>
        <w:t xml:space="preserve"> （以下简称“采购人”）委托，对</w:t>
      </w:r>
      <w:r>
        <w:rPr>
          <w:rFonts w:ascii="仿宋_GB2312" w:hAnsi="仿宋_GB2312" w:cs="仿宋_GB2312" w:eastAsia="仿宋_GB2312"/>
        </w:rPr>
        <w:t>山东省立第三医院平板电脑采购项目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SDGP370000000202602005366</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山东省立第三医院平板电脑采购项目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随着医院出院患者病历无纸化归档工作在全院范围内的全面推行，现有临床科室平板电脑数量已无法满足实际工作需求。为支撑临床科室日常无纸化归档中的电子签名应用，进一步提升临床工作效率与智慧医疗建设评价水平，医院拟采购一批平板电脑。此举旨在为智慧医疗建设提供有力的硬件保障，实现患者服务体验与医护工作效率的双重提升。</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1、具有独立承担民事责任的能力：事业单位法人证书或营业执照等证明文件，自然人的身份证明（加盖公章）</w:t>
      </w:r>
    </w:p>
    <w:p>
      <w:pPr>
        <w:pStyle w:val="null5"/>
        <w:jc w:val="left"/>
      </w:pPr>
      <w:r>
        <w:rPr>
          <w:rFonts w:ascii="仿宋_GB2312" w:hAnsi="仿宋_GB2312" w:cs="仿宋_GB2312" w:eastAsia="仿宋_GB2312"/>
        </w:rPr>
        <w:t>2、法定代表人身份证明书或法定代表人授权委托书：如授权代表参加投标，须提供法定代表人授权委托书复印件（加盖公章）；如法定代表人参加投标，可只提供法定代表人身份证明书（加盖公章），附： 1、提供授权代表在本单位近6个月任意1个月缴纳社保证明材料（授权代表需为本公司员工，按照国家有关规定无需缴纳社保的可提供相关说明并附劳动合同）。 2、如法定代表人本人投标，提供法定代表人身份证明及近6个月任意1个月缴纳社保证明材料（法人的社保缴纳材料不限于投标公司，按照国家有关规定无需缴纳社保的可提供相关说明）。 3、以上材料未提供或提供不全或无法辨认的，评标委员会有权按无效投标处理。</w:t>
      </w:r>
    </w:p>
    <w:p>
      <w:pPr>
        <w:pStyle w:val="null5"/>
        <w:jc w:val="left"/>
      </w:pPr>
      <w:r>
        <w:rPr>
          <w:rFonts w:ascii="仿宋_GB2312" w:hAnsi="仿宋_GB2312" w:cs="仿宋_GB2312" w:eastAsia="仿宋_GB2312"/>
        </w:rPr>
        <w:t>3、经审计的财务报告或资信证明：供应商应提供2024年或2025年度经审计的财务报告或其在响应文件提交截止时间前3个月内银行出具的资信证明</w:t>
      </w:r>
    </w:p>
    <w:p>
      <w:pPr>
        <w:pStyle w:val="null5"/>
        <w:jc w:val="left"/>
      </w:pPr>
      <w:r>
        <w:rPr>
          <w:rFonts w:ascii="仿宋_GB2312" w:hAnsi="仿宋_GB2312" w:cs="仿宋_GB2312" w:eastAsia="仿宋_GB2312"/>
        </w:rPr>
        <w:t>4、具有履行合同所必需的设备和专业技术能力：供应商须具有履行合同所必需的设备和专业技术能力，须附承诺函或相关证明材料</w:t>
      </w:r>
    </w:p>
    <w:p>
      <w:pPr>
        <w:pStyle w:val="null5"/>
        <w:jc w:val="left"/>
      </w:pPr>
      <w:r>
        <w:rPr>
          <w:rFonts w:ascii="仿宋_GB2312" w:hAnsi="仿宋_GB2312" w:cs="仿宋_GB2312" w:eastAsia="仿宋_GB2312"/>
        </w:rPr>
        <w:t>5、具有依法缴纳税收和社会保障资金的良好记录：供应商须具有依法缴纳税收和社会保障资金的良好记录，供应商应提供缴纳税收、社会保障资金的证明材料，须提供近半年至今任意一个月的依法缴纳税收、社会保障资金凭据； 注：依法免税或不需要缴纳社会保障资金的供应商，须提供相应文件证明其依法免税或不需要缴纳社会保障资金证明材料。</w:t>
      </w:r>
    </w:p>
    <w:p>
      <w:pPr>
        <w:pStyle w:val="null5"/>
        <w:jc w:val="left"/>
      </w:pPr>
      <w:r>
        <w:rPr>
          <w:rFonts w:ascii="仿宋_GB2312" w:hAnsi="仿宋_GB2312" w:cs="仿宋_GB2312" w:eastAsia="仿宋_GB2312"/>
        </w:rPr>
        <w:t>6、参加政府采购活动前三年内，在经营活动中没有重大违法记录。：近三年内（本项目响应文件递交截止日前）供应商在经营活动中没有重大违法记录，供应商须提供书面声明</w:t>
      </w:r>
    </w:p>
    <w:p>
      <w:pPr>
        <w:pStyle w:val="null5"/>
        <w:jc w:val="left"/>
      </w:pPr>
      <w:r>
        <w:rPr>
          <w:rFonts w:ascii="仿宋_GB2312" w:hAnsi="仿宋_GB2312" w:cs="仿宋_GB2312" w:eastAsia="仿宋_GB2312"/>
        </w:rPr>
        <w:t>7、供应商无不良信用记录：通过“信用中国”或“信用山东”、“中国政府采购网”网站查询供应商信用记录，未被列入失信被执行人、重大税收违法案件当事人名单及政府采购严重违法失信行为记录名单的</w:t>
      </w:r>
    </w:p>
    <w:p>
      <w:pPr>
        <w:pStyle w:val="null5"/>
        <w:jc w:val="left"/>
      </w:pPr>
      <w:r>
        <w:rPr>
          <w:rFonts w:ascii="仿宋_GB2312" w:hAnsi="仿宋_GB2312" w:cs="仿宋_GB2312" w:eastAsia="仿宋_GB2312"/>
        </w:rPr>
        <w:t>8、单位负责人为同一人或者存在直接控股、管理关系的不同供应商，不得参加同一合同项下的采购活动。：单位负责人为同一人或者存在直接控股、管理关系的不同供应商，不得参加同一包的投标或者未划分包的同一项目的投标，供应商须提供书面声明</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山东省立第三医院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山东省济南市无影山中路38号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山东省立第三医院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0531-81656816</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山东舜德项目管理咨询有限公司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济南市历下区燕东新路11-1号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陈美玉、刘珂</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0531-88920366、16653132002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采购包1：120,000.00元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90日历日。</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服务费用由成交单位在签订合同前缴纳（成交公告发布后五个工作日内向采购代理机构缴纳），服务费收费标准：100万元(含)以下、100-500万元(含)下浮30%；500-10000万元(含)下浮40%；10000万元以上下浮50%。公司名称：山东舜德项目管理咨询有限公司 开户银行：青岛银行浆水泉路支行 账 号：812070200283866</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山东省立第三医院</w:t>
      </w:r>
      <w:r>
        <w:rPr>
          <w:rFonts w:ascii="仿宋_GB2312" w:hAnsi="仿宋_GB2312" w:cs="仿宋_GB2312" w:eastAsia="仿宋_GB2312"/>
        </w:rPr>
        <w:t xml:space="preserve"> 和 </w:t>
      </w:r>
      <w:r>
        <w:rPr>
          <w:rFonts w:ascii="仿宋_GB2312" w:hAnsi="仿宋_GB2312" w:cs="仿宋_GB2312" w:eastAsia="仿宋_GB2312"/>
        </w:rPr>
        <w:t>山东舜德项目管理咨询有限公司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山东省立第三医院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山东舜德项目管理咨询有限公司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供应商完成货物交付后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按照国家和行业相关标准、本项目采购文件、响应文件以及甲乙双方签订的采购合同进行验收。</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按照国家和行业相关标准、本项目采购文件、响应文件以及甲乙双方签订的采购合同进行验收。</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符合采购文件及合同约定的服务期限、服务方式、实施进度、实施地点和承诺等。</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以本合同约定的技术规格为依据，验收合格的签署《货物验收单》，作为结算依据。 符合国家标准和采购人需求，达到验收标准，通过验收。</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验收不合格的，采购人出具书面整改通知，供应商限期整改并重新验收。</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山东省立第三医院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山东舜德项目管理咨询有限公司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山东舜德项目管理咨询有限公司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联系人：代理机构</w:t>
      </w:r>
    </w:p>
    <w:p>
      <w:pPr>
        <w:pStyle w:val="null5"/>
        <w:jc w:val="left"/>
      </w:pPr>
      <w:r>
        <w:rPr>
          <w:rFonts w:ascii="仿宋_GB2312" w:hAnsi="仿宋_GB2312" w:cs="仿宋_GB2312" w:eastAsia="仿宋_GB2312"/>
        </w:rPr>
        <w:t>联系电话：16653132002</w:t>
      </w:r>
    </w:p>
    <w:p>
      <w:pPr>
        <w:pStyle w:val="null5"/>
        <w:jc w:val="left"/>
      </w:pPr>
      <w:r>
        <w:rPr>
          <w:rFonts w:ascii="仿宋_GB2312" w:hAnsi="仿宋_GB2312" w:cs="仿宋_GB2312" w:eastAsia="仿宋_GB2312"/>
        </w:rPr>
        <w:t>地址：济南市历下区中润世纪财富中心1号楼706室</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120,000.00</w:t>
      </w:r>
    </w:p>
    <w:p>
      <w:pPr>
        <w:pStyle w:val="null5"/>
        <w:jc w:val="left"/>
      </w:pPr>
      <w:r>
        <w:rPr>
          <w:rFonts w:ascii="仿宋_GB2312" w:hAnsi="仿宋_GB2312" w:cs="仿宋_GB2312" w:eastAsia="仿宋_GB2312"/>
        </w:rPr>
        <w:t>采购包最高限价（元）: 120,000.00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平板电脑</w:t>
            </w:r>
          </w:p>
        </w:tc>
        <w:tc>
          <w:tcPr>
            <w:tcW w:type="dxa" w:w="923"/>
          </w:tcPr>
          <w:p>
            <w:pPr>
              <w:pStyle w:val="null5"/>
              <w:jc w:val="right"/>
            </w:pPr>
            <w:r>
              <w:rPr>
                <w:rFonts w:ascii="仿宋_GB2312" w:hAnsi="仿宋_GB2312" w:cs="仿宋_GB2312" w:eastAsia="仿宋_GB2312"/>
              </w:rPr>
              <w:t>40.00（台）</w:t>
            </w:r>
          </w:p>
        </w:tc>
        <w:tc>
          <w:tcPr>
            <w:tcW w:type="dxa" w:w="923"/>
          </w:tcPr>
          <w:p>
            <w:pPr>
              <w:pStyle w:val="null5"/>
              <w:jc w:val="right"/>
            </w:pPr>
            <w:r>
              <w:rPr>
                <w:rFonts w:ascii="仿宋_GB2312" w:hAnsi="仿宋_GB2312" w:cs="仿宋_GB2312" w:eastAsia="仿宋_GB2312"/>
              </w:rPr>
              <w:t>120,000.00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平板电脑</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120,000.00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平板电脑</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平板电脑</w:t>
            </w:r>
          </w:p>
        </w:tc>
        <w:tc>
          <w:tcPr>
            <w:tcW w:type="dxa" w:w="2076"/>
          </w:tcPr>
          <w:p>
            <w:pPr>
              <w:pStyle w:val="null5"/>
              <w:jc w:val="left"/>
            </w:pPr>
            <w:r>
              <w:rPr>
                <w:rFonts w:ascii="仿宋_GB2312" w:hAnsi="仿宋_GB2312" w:cs="仿宋_GB2312" w:eastAsia="仿宋_GB2312"/>
              </w:rPr>
              <w:t>本项目为交钥匙项目</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标的名称：平板电脑</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技术要求</w:t>
            </w:r>
          </w:p>
        </w:tc>
        <w:tc>
          <w:tcPr>
            <w:tcW w:type="dxa" w:w="2076"/>
          </w:tcPr>
          <w:p>
            <w:pPr>
              <w:pStyle w:val="null5"/>
              <w:jc w:val="left"/>
            </w:pPr>
            <w:r>
              <w:rPr>
                <w:rFonts w:ascii="仿宋_GB2312" w:hAnsi="仿宋_GB2312" w:cs="仿宋_GB2312" w:eastAsia="仿宋_GB2312"/>
                <w:sz w:val="20"/>
              </w:rPr>
              <w:t>▲1.CPU处理器：国产化处理器；</w:t>
            </w:r>
          </w:p>
          <w:p>
            <w:pPr>
              <w:pStyle w:val="null5"/>
              <w:jc w:val="left"/>
            </w:pPr>
            <w:r>
              <w:rPr>
                <w:rFonts w:ascii="仿宋_GB2312" w:hAnsi="仿宋_GB2312" w:cs="仿宋_GB2312" w:eastAsia="仿宋_GB2312"/>
                <w:sz w:val="20"/>
              </w:rPr>
              <w:t>2.操作系统：Android11及以上或HarmonyOS4.2及以上；</w:t>
            </w:r>
          </w:p>
          <w:p>
            <w:pPr>
              <w:pStyle w:val="null5"/>
              <w:jc w:val="left"/>
            </w:pPr>
            <w:r>
              <w:rPr>
                <w:rFonts w:ascii="仿宋_GB2312" w:hAnsi="仿宋_GB2312" w:cs="仿宋_GB2312" w:eastAsia="仿宋_GB2312"/>
                <w:sz w:val="20"/>
              </w:rPr>
              <w:t>▲3.内存配置：RAM≥8GB，ROM≥256GB；</w:t>
            </w:r>
          </w:p>
          <w:p>
            <w:pPr>
              <w:pStyle w:val="null5"/>
              <w:jc w:val="left"/>
            </w:pPr>
            <w:r>
              <w:rPr>
                <w:rFonts w:ascii="仿宋_GB2312" w:hAnsi="仿宋_GB2312" w:cs="仿宋_GB2312" w:eastAsia="仿宋_GB2312"/>
                <w:sz w:val="20"/>
              </w:rPr>
              <w:t>▲</w:t>
            </w:r>
            <w:r>
              <w:rPr>
                <w:rFonts w:ascii="仿宋_GB2312" w:hAnsi="仿宋_GB2312" w:cs="仿宋_GB2312" w:eastAsia="仿宋_GB2312"/>
                <w:sz w:val="20"/>
              </w:rPr>
              <w:t>4.屏幕尺寸：≥11.5英寸；</w:t>
            </w:r>
          </w:p>
          <w:p>
            <w:pPr>
              <w:pStyle w:val="null5"/>
              <w:jc w:val="left"/>
            </w:pPr>
            <w:r>
              <w:rPr>
                <w:rFonts w:ascii="仿宋_GB2312" w:hAnsi="仿宋_GB2312" w:cs="仿宋_GB2312" w:eastAsia="仿宋_GB2312"/>
                <w:sz w:val="20"/>
              </w:rPr>
              <w:t>5.屏幕分辨率：分辨率≥2800×1840像素；</w:t>
            </w:r>
          </w:p>
          <w:p>
            <w:pPr>
              <w:pStyle w:val="null5"/>
              <w:jc w:val="left"/>
            </w:pPr>
            <w:r>
              <w:rPr>
                <w:rFonts w:ascii="仿宋_GB2312" w:hAnsi="仿宋_GB2312" w:cs="仿宋_GB2312" w:eastAsia="仿宋_GB2312"/>
                <w:sz w:val="20"/>
              </w:rPr>
              <w:t>6.屏幕亮度：最大屏幕亮度值≥500nits；</w:t>
            </w:r>
          </w:p>
          <w:p>
            <w:pPr>
              <w:pStyle w:val="null5"/>
              <w:jc w:val="left"/>
            </w:pPr>
            <w:r>
              <w:rPr>
                <w:rFonts w:ascii="仿宋_GB2312" w:hAnsi="仿宋_GB2312" w:cs="仿宋_GB2312" w:eastAsia="仿宋_GB2312"/>
                <w:sz w:val="20"/>
              </w:rPr>
              <w:t>7.屏幕类型：IPS屏或OLED屏；</w:t>
            </w:r>
          </w:p>
          <w:p>
            <w:pPr>
              <w:pStyle w:val="null5"/>
              <w:jc w:val="left"/>
            </w:pPr>
            <w:r>
              <w:rPr>
                <w:rFonts w:ascii="仿宋_GB2312" w:hAnsi="仿宋_GB2312" w:cs="仿宋_GB2312" w:eastAsia="仿宋_GB2312"/>
                <w:sz w:val="20"/>
              </w:rPr>
              <w:t>▲8.电池容量：电池典型值容量≥8000mAh，支持快充；</w:t>
            </w:r>
          </w:p>
          <w:p>
            <w:pPr>
              <w:pStyle w:val="null5"/>
              <w:jc w:val="left"/>
            </w:pPr>
            <w:r>
              <w:rPr>
                <w:rFonts w:ascii="仿宋_GB2312" w:hAnsi="仿宋_GB2312" w:cs="仿宋_GB2312" w:eastAsia="仿宋_GB2312"/>
                <w:sz w:val="20"/>
              </w:rPr>
              <w:t>9.电源：输入100~240V 50Hz/60Hz，Type-C充电接口，主机支持最大充电功率≥40W；</w:t>
            </w:r>
          </w:p>
          <w:p>
            <w:pPr>
              <w:pStyle w:val="null5"/>
              <w:jc w:val="left"/>
            </w:pPr>
            <w:r>
              <w:rPr>
                <w:rFonts w:ascii="仿宋_GB2312" w:hAnsi="仿宋_GB2312" w:cs="仿宋_GB2312" w:eastAsia="仿宋_GB2312"/>
                <w:sz w:val="20"/>
              </w:rPr>
              <w:t>▲</w:t>
            </w:r>
            <w:r>
              <w:rPr>
                <w:rFonts w:ascii="仿宋_GB2312" w:hAnsi="仿宋_GB2312" w:cs="仿宋_GB2312" w:eastAsia="仿宋_GB2312"/>
                <w:sz w:val="20"/>
              </w:rPr>
              <w:t>10.摄像头：前置摄像头≥800万像素，后置摄像头≥1300万像素；</w:t>
            </w:r>
          </w:p>
          <w:p>
            <w:pPr>
              <w:pStyle w:val="null5"/>
              <w:jc w:val="left"/>
            </w:pPr>
            <w:r>
              <w:rPr>
                <w:rFonts w:ascii="仿宋_GB2312" w:hAnsi="仿宋_GB2312" w:cs="仿宋_GB2312" w:eastAsia="仿宋_GB2312"/>
                <w:sz w:val="20"/>
              </w:rPr>
              <w:t>11.接口：Type-C接口</w:t>
            </w:r>
            <w:r>
              <w:rPr>
                <w:rFonts w:ascii="仿宋_GB2312" w:hAnsi="仿宋_GB2312" w:cs="仿宋_GB2312" w:eastAsia="仿宋_GB2312"/>
                <w:sz w:val="20"/>
              </w:rPr>
              <w:t>；</w:t>
            </w:r>
          </w:p>
          <w:p>
            <w:pPr>
              <w:pStyle w:val="null5"/>
              <w:jc w:val="left"/>
            </w:pPr>
            <w:r>
              <w:rPr>
                <w:rFonts w:ascii="仿宋_GB2312" w:hAnsi="仿宋_GB2312" w:cs="仿宋_GB2312" w:eastAsia="仿宋_GB2312"/>
                <w:sz w:val="20"/>
              </w:rPr>
              <w:t>12.WIFI：支持802.11 a/b/g/n/ac/ax无线协议；</w:t>
            </w:r>
          </w:p>
          <w:p>
            <w:pPr>
              <w:pStyle w:val="null5"/>
              <w:jc w:val="left"/>
            </w:pPr>
            <w:r>
              <w:rPr>
                <w:rFonts w:ascii="仿宋_GB2312" w:hAnsi="仿宋_GB2312" w:cs="仿宋_GB2312" w:eastAsia="仿宋_GB2312"/>
                <w:sz w:val="20"/>
              </w:rPr>
              <w:t>13.蓝牙：支持蓝牙5.2并向下兼容；</w:t>
            </w:r>
          </w:p>
          <w:p>
            <w:pPr>
              <w:pStyle w:val="null5"/>
              <w:jc w:val="left"/>
            </w:pPr>
            <w:r>
              <w:rPr>
                <w:rFonts w:ascii="仿宋_GB2312" w:hAnsi="仿宋_GB2312" w:cs="仿宋_GB2312" w:eastAsia="仿宋_GB2312"/>
                <w:sz w:val="20"/>
              </w:rPr>
              <w:t>14.后壳材质：塑胶、铝合金、碳纤维、玻璃纤维或其他金属材质；</w:t>
            </w:r>
          </w:p>
          <w:p>
            <w:pPr>
              <w:pStyle w:val="null5"/>
              <w:jc w:val="left"/>
            </w:pPr>
            <w:r>
              <w:rPr>
                <w:rFonts w:ascii="仿宋_GB2312" w:hAnsi="仿宋_GB2312" w:cs="仿宋_GB2312" w:eastAsia="仿宋_GB2312"/>
                <w:sz w:val="20"/>
              </w:rPr>
              <w:t>15.麦克风：内置麦克风≥2个；</w:t>
            </w:r>
          </w:p>
          <w:p>
            <w:pPr>
              <w:pStyle w:val="null5"/>
              <w:jc w:val="left"/>
            </w:pPr>
            <w:r>
              <w:rPr>
                <w:rFonts w:ascii="仿宋_GB2312" w:hAnsi="仿宋_GB2312" w:cs="仿宋_GB2312" w:eastAsia="仿宋_GB2312"/>
                <w:sz w:val="20"/>
              </w:rPr>
              <w:t>16.扬声器：内置扬声器≥4个；</w:t>
            </w:r>
          </w:p>
          <w:p>
            <w:pPr>
              <w:pStyle w:val="null5"/>
              <w:jc w:val="left"/>
            </w:pPr>
            <w:r>
              <w:rPr>
                <w:rFonts w:ascii="仿宋_GB2312" w:hAnsi="仿宋_GB2312" w:cs="仿宋_GB2312" w:eastAsia="仿宋_GB2312"/>
                <w:sz w:val="20"/>
              </w:rPr>
              <w:t>17.传感器：重力感应器、陀螺仪、环境光传感器、霍尔传感器；</w:t>
            </w:r>
          </w:p>
          <w:p>
            <w:pPr>
              <w:pStyle w:val="null5"/>
              <w:jc w:val="left"/>
            </w:pPr>
            <w:r>
              <w:rPr>
                <w:rFonts w:ascii="仿宋_GB2312" w:hAnsi="仿宋_GB2312" w:cs="仿宋_GB2312" w:eastAsia="仿宋_GB2312"/>
                <w:sz w:val="20"/>
              </w:rPr>
              <w:t>18.机身厚度：≤</w:t>
            </w:r>
            <w:r>
              <w:rPr>
                <w:rFonts w:ascii="仿宋_GB2312" w:hAnsi="仿宋_GB2312" w:cs="仿宋_GB2312" w:eastAsia="仿宋_GB2312"/>
                <w:sz w:val="20"/>
              </w:rPr>
              <w:t>8</w:t>
            </w:r>
            <w:r>
              <w:rPr>
                <w:rFonts w:ascii="仿宋_GB2312" w:hAnsi="仿宋_GB2312" w:cs="仿宋_GB2312" w:eastAsia="仿宋_GB2312"/>
                <w:sz w:val="20"/>
              </w:rPr>
              <w:t>mm</w:t>
            </w:r>
            <w:r>
              <w:rPr>
                <w:rFonts w:ascii="仿宋_GB2312" w:hAnsi="仿宋_GB2312" w:cs="仿宋_GB2312" w:eastAsia="仿宋_GB2312"/>
                <w:sz w:val="20"/>
              </w:rPr>
              <w:t>（除摄像头以外的其他区域）；</w:t>
            </w:r>
          </w:p>
          <w:p>
            <w:pPr>
              <w:pStyle w:val="null5"/>
              <w:jc w:val="left"/>
            </w:pPr>
            <w:r>
              <w:rPr>
                <w:rFonts w:ascii="仿宋_GB2312" w:hAnsi="仿宋_GB2312" w:cs="仿宋_GB2312" w:eastAsia="仿宋_GB2312"/>
                <w:sz w:val="20"/>
              </w:rPr>
              <w:t>19.重量：≤</w:t>
            </w:r>
            <w:r>
              <w:rPr>
                <w:rFonts w:ascii="仿宋_GB2312" w:hAnsi="仿宋_GB2312" w:cs="仿宋_GB2312" w:eastAsia="仿宋_GB2312"/>
                <w:sz w:val="20"/>
              </w:rPr>
              <w:t>600</w:t>
            </w:r>
            <w:r>
              <w:rPr>
                <w:rFonts w:ascii="仿宋_GB2312" w:hAnsi="仿宋_GB2312" w:cs="仿宋_GB2312" w:eastAsia="仿宋_GB2312"/>
                <w:sz w:val="20"/>
              </w:rPr>
              <w:t>g；</w:t>
            </w:r>
          </w:p>
          <w:p>
            <w:pPr>
              <w:pStyle w:val="null5"/>
              <w:jc w:val="left"/>
            </w:pPr>
            <w:r>
              <w:rPr>
                <w:rFonts w:ascii="仿宋_GB2312" w:hAnsi="仿宋_GB2312" w:cs="仿宋_GB2312" w:eastAsia="仿宋_GB2312"/>
                <w:sz w:val="20"/>
              </w:rPr>
              <w:t>20.护眼认证</w:t>
            </w:r>
            <w:r>
              <w:rPr>
                <w:rFonts w:ascii="仿宋_GB2312" w:hAnsi="仿宋_GB2312" w:cs="仿宋_GB2312" w:eastAsia="仿宋_GB2312"/>
                <w:sz w:val="20"/>
              </w:rPr>
              <w:t>；</w:t>
            </w:r>
          </w:p>
          <w:p>
            <w:pPr>
              <w:pStyle w:val="null5"/>
              <w:jc w:val="left"/>
            </w:pPr>
            <w:r>
              <w:rPr>
                <w:rFonts w:ascii="仿宋_GB2312" w:hAnsi="仿宋_GB2312" w:cs="仿宋_GB2312" w:eastAsia="仿宋_GB2312"/>
                <w:sz w:val="20"/>
              </w:rPr>
              <w:t>21.产品认证：国家强制认证CCC</w:t>
            </w:r>
            <w:r>
              <w:rPr>
                <w:rFonts w:ascii="仿宋_GB2312" w:hAnsi="仿宋_GB2312" w:cs="仿宋_GB2312" w:eastAsia="仿宋_GB2312"/>
                <w:sz w:val="20"/>
              </w:rPr>
              <w:t>；</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说明</w:t>
            </w:r>
          </w:p>
        </w:tc>
        <w:tc>
          <w:tcPr>
            <w:tcW w:type="dxa" w:w="2076"/>
          </w:tcPr>
          <w:p>
            <w:pPr>
              <w:pStyle w:val="null5"/>
              <w:jc w:val="left"/>
            </w:pPr>
            <w:r>
              <w:rPr>
                <w:rFonts w:ascii="仿宋_GB2312" w:hAnsi="仿宋_GB2312" w:cs="仿宋_GB2312" w:eastAsia="仿宋_GB2312"/>
                <w:sz w:val="20"/>
              </w:rPr>
              <w:t>本项目产品功能要求中的所有名词（除国家标准、行业标准已规定的之外），仅代表采购人对功能的需求，不代表该功能的名称被指定。</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供应商要求</w:t>
            </w:r>
          </w:p>
        </w:tc>
        <w:tc>
          <w:tcPr>
            <w:tcW w:type="dxa" w:w="2076"/>
          </w:tcPr>
          <w:p>
            <w:pPr>
              <w:pStyle w:val="null5"/>
              <w:jc w:val="left"/>
            </w:pPr>
            <w:r>
              <w:rPr>
                <w:rFonts w:ascii="仿宋_GB2312" w:hAnsi="仿宋_GB2312" w:cs="仿宋_GB2312" w:eastAsia="仿宋_GB2312"/>
                <w:sz w:val="20"/>
              </w:rPr>
              <w:t>1.提供1年原厂质保服务，成交供应商在签订合同前须提供所投产品制造商针对本项目出具的原厂售后服务承诺书，提供额外2年供应商免费维保。</w:t>
            </w:r>
          </w:p>
          <w:p>
            <w:pPr>
              <w:pStyle w:val="null5"/>
              <w:jc w:val="left"/>
            </w:pPr>
            <w:r>
              <w:rPr>
                <w:rFonts w:ascii="仿宋_GB2312" w:hAnsi="仿宋_GB2312" w:cs="仿宋_GB2312" w:eastAsia="仿宋_GB2312"/>
                <w:sz w:val="20"/>
              </w:rPr>
              <w:t>2.维保期内中标方须提供不少于1人的专属运维人员，负责本设备的故障修复问题收集并整改。</w:t>
            </w:r>
          </w:p>
          <w:p>
            <w:pPr>
              <w:pStyle w:val="null5"/>
              <w:jc w:val="left"/>
            </w:pPr>
            <w:r>
              <w:rPr>
                <w:rFonts w:ascii="仿宋_GB2312" w:hAnsi="仿宋_GB2312" w:cs="仿宋_GB2312" w:eastAsia="仿宋_GB2312"/>
                <w:sz w:val="20"/>
              </w:rPr>
              <w:t>3.接到报修通知后10分钟内响应，维修时间过长的，48小时内提供备件，保障临床工作正常开展。</w:t>
            </w:r>
          </w:p>
          <w:p>
            <w:pPr>
              <w:pStyle w:val="null5"/>
              <w:jc w:val="left"/>
            </w:pPr>
            <w:r>
              <w:rPr>
                <w:rFonts w:ascii="仿宋_GB2312" w:hAnsi="仿宋_GB2312" w:cs="仿宋_GB2312" w:eastAsia="仿宋_GB2312"/>
                <w:sz w:val="20"/>
              </w:rPr>
              <w:t>4.供应商每年提供不少于四次的现场设备巡检服务。</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服务内容</w:t>
            </w:r>
          </w:p>
        </w:tc>
        <w:tc>
          <w:tcPr>
            <w:tcW w:type="dxa" w:w="4153"/>
          </w:tcPr>
          <w:p>
            <w:pPr>
              <w:pStyle w:val="null5"/>
              <w:jc w:val="left"/>
            </w:pPr>
            <w:r>
              <w:rPr>
                <w:rFonts w:ascii="仿宋_GB2312" w:hAnsi="仿宋_GB2312" w:cs="仿宋_GB2312" w:eastAsia="仿宋_GB2312"/>
              </w:rPr>
              <w:t>详见技术要求</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合同签订后30个日历日内交货，具体实际到货情况以采购人通知为准。</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山东省立第三医院</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 ：提供1年原厂质保服务（提供原厂盖章质保函），提供额外2年供应商免费维保，自验收合格之日起计算。</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付款方式：合同生效之日起甲方向乙方支付合同金额的10%，甲方接收货物并经双方验收合格之日起30个工作日内甲方向乙方支付合同金额的90%</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验收标准：1.数量验收：甲乙双方在交货现场以过磅、点数、检尺等约定方式进行数量验收，采购人应保证设备随到随验。供应商应对在采购人现场的计量数据进行确认。</w:t>
              <w:br/>
              <w:t>2.质量验收：</w:t>
              <w:br/>
              <w:t>（1）进行数量验收的同时，采购人按要求进行尺寸和外观质量验收，尺寸和外观质量符合要求方可卸车，否则不得卸车。</w:t>
              <w:br/>
              <w:t>（2）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br/>
              <w:t>（3）经双方验收合格后，由采购人开具签收单作为最终结算依据。</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产品来源与质量保证：投标人所投产品须为原厂正品，来源渠道合法合规。</w:t>
              <w:br/>
              <w:t>投标人中标后，须在合同签订前提供所投产品原厂出具的售后服务承诺函或正品来源证明。</w:t>
              <w:br/>
              <w:t>投标人须承诺：所供产品享受原厂全国联保服务，质保期内由原厂或原厂授权服务网点提供售后支持。</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供应商响应文件中应附供货及配送方案、保障措施、应急预案、使用指导与技术支持方案、售后服务方案等评审内容，并根据企业实际情况提供可作为加分条件的有效的企业业绩（若有）。：</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rPr>
        <w:t>详见第三章</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详见附件</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事业单位法人证书或营业执照等证明文件，自然人的身份证明（加盖公章）</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法定代表人身份证明书或法定代表人授权委托书</w:t>
            </w:r>
          </w:p>
        </w:tc>
        <w:tc>
          <w:tcPr>
            <w:tcW w:type="dxa" w:w="3322"/>
          </w:tcPr>
          <w:p>
            <w:pPr>
              <w:pStyle w:val="null5"/>
              <w:jc w:val="left"/>
            </w:pPr>
            <w:r>
              <w:rPr>
                <w:rFonts w:ascii="仿宋_GB2312" w:hAnsi="仿宋_GB2312" w:cs="仿宋_GB2312" w:eastAsia="仿宋_GB2312"/>
              </w:rPr>
              <w:t>如授权代表参加投标，须提供法定代表人授权委托书复印件（加盖公章）；如法定代表人参加投标，可只提供法定代表人身份证明书（加盖公章），附： 1、提供授权代表在本单位近6个月任意1个月缴纳社保证明材料（授权代表需为本公司员工，按照国家有关规定无需缴纳社保的可提供相关说明并附劳动合同）。 2、如法定代表人本人投标，提供法定代表人身份证明及近6个月任意1个月缴纳社保证明材料（法人的社保缴纳材料不限于投标公司，按照国家有关规定无需缴纳社保的可提供相关说明）。 3、以上材料未提供或提供不全或无法辨认的，评标委员会有权按无效投标处理。</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经审计的财务报告或资信证明</w:t>
            </w:r>
          </w:p>
        </w:tc>
        <w:tc>
          <w:tcPr>
            <w:tcW w:type="dxa" w:w="3322"/>
          </w:tcPr>
          <w:p>
            <w:pPr>
              <w:pStyle w:val="null5"/>
              <w:jc w:val="left"/>
            </w:pPr>
            <w:r>
              <w:rPr>
                <w:rFonts w:ascii="仿宋_GB2312" w:hAnsi="仿宋_GB2312" w:cs="仿宋_GB2312" w:eastAsia="仿宋_GB2312"/>
              </w:rPr>
              <w:t>供应商应提供2024年或2025年度经审计的财务报告或其在响应文件提交截止时间前3个月内银行出具的资信证明</w:t>
            </w:r>
          </w:p>
        </w:tc>
        <w:tc>
          <w:tcPr>
            <w:tcW w:type="dxa" w:w="1661"/>
          </w:tcPr>
          <w:p>
            <w:pPr>
              <w:pStyle w:val="null5"/>
              <w:jc w:val="left"/>
            </w:pPr>
            <w:r>
              <w:rPr>
                <w:rFonts w:ascii="仿宋_GB2312" w:hAnsi="仿宋_GB2312" w:cs="仿宋_GB2312" w:eastAsia="仿宋_GB2312"/>
              </w:rPr>
              <w:t>经审计的财务报告或资信证明</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供应商须具有履行合同所必需的设备和专业技术能力，须附承诺函或相关证明材料</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具有依法缴纳税收和社会保障资金的良好记录</w:t>
            </w:r>
          </w:p>
        </w:tc>
        <w:tc>
          <w:tcPr>
            <w:tcW w:type="dxa" w:w="3322"/>
          </w:tcPr>
          <w:p>
            <w:pPr>
              <w:pStyle w:val="null5"/>
              <w:jc w:val="left"/>
            </w:pPr>
            <w:r>
              <w:rPr>
                <w:rFonts w:ascii="仿宋_GB2312" w:hAnsi="仿宋_GB2312" w:cs="仿宋_GB2312" w:eastAsia="仿宋_GB2312"/>
              </w:rPr>
              <w:t>供应商须具有依法缴纳税收和社会保障资金的良好记录，供应商应提供缴纳税收、社会保障资金的证明材料，须提供近半年至今任意一个月的依法缴纳税收、社会保障资金凭据； 注：依法免税或不需要缴纳社会保障资金的供应商，须提供相应文件证明其依法免税或不需要缴纳社会保障资金证明材料。</w:t>
            </w:r>
          </w:p>
        </w:tc>
        <w:tc>
          <w:tcPr>
            <w:tcW w:type="dxa" w:w="1661"/>
          </w:tcPr>
          <w:p>
            <w:pPr>
              <w:pStyle w:val="null5"/>
              <w:jc w:val="left"/>
            </w:pPr>
            <w:r>
              <w:rPr>
                <w:rFonts w:ascii="仿宋_GB2312" w:hAnsi="仿宋_GB2312" w:cs="仿宋_GB2312" w:eastAsia="仿宋_GB2312"/>
              </w:rPr>
              <w:t>具有依法缴纳税收和社会保障资金的良好记录</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近三年内（本项目响应文件递交截止日前）供应商在经营活动中没有重大违法记录，供应商须提供书面声明</w:t>
            </w:r>
          </w:p>
        </w:tc>
        <w:tc>
          <w:tcPr>
            <w:tcW w:type="dxa" w:w="1661"/>
          </w:tcPr>
          <w:p>
            <w:pPr>
              <w:pStyle w:val="null5"/>
              <w:jc w:val="left"/>
            </w:pPr>
            <w:r>
              <w:rPr>
                <w:rFonts w:ascii="仿宋_GB2312" w:hAnsi="仿宋_GB2312" w:cs="仿宋_GB2312" w:eastAsia="仿宋_GB2312"/>
              </w:rPr>
              <w:t>参加政府采购活动前三年内，在经营活动中没有重大违法记录</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通过“信用中国”或“信用山东”、“中国政府采购网”网站查询供应商信用记录，未被列入失信被执行人、重大税收违法案件当事人名单及政府采购严重违法失信行为记录名单的</w:t>
            </w:r>
          </w:p>
        </w:tc>
        <w:tc>
          <w:tcPr>
            <w:tcW w:type="dxa" w:w="1661"/>
          </w:tcPr>
          <w:p>
            <w:pPr>
              <w:pStyle w:val="null5"/>
              <w:jc w:val="left"/>
            </w:pPr>
            <w:r>
              <w:rPr>
                <w:rFonts w:ascii="仿宋_GB2312" w:hAnsi="仿宋_GB2312" w:cs="仿宋_GB2312" w:eastAsia="仿宋_GB2312"/>
              </w:rPr>
              <w:t>供应商无不良信用记录</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单位负责人为同一人或者存在直接控股、管理关系的不同供应商，不得参加同一包的投标或者未划分包的同一项目的投标，供应商须提供书面声明</w:t>
            </w:r>
          </w:p>
        </w:tc>
        <w:tc>
          <w:tcPr>
            <w:tcW w:type="dxa" w:w="1661"/>
          </w:tcPr>
          <w:p>
            <w:pPr>
              <w:pStyle w:val="null5"/>
              <w:jc w:val="left"/>
            </w:pPr>
            <w:r>
              <w:rPr>
                <w:rFonts w:ascii="仿宋_GB2312" w:hAnsi="仿宋_GB2312" w:cs="仿宋_GB2312" w:eastAsia="仿宋_GB2312"/>
              </w:rPr>
              <w:t>单位负责人为同一人或者存在直接控股、管理关系的不同供应商，不得参加同一包的投标或者未划分包的同一项目</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供应商承诺函、自觉抵制政府采购领域商业贿赂行为承诺书、封面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环境标志产品明细表、节能产品明细表、强制节能产品明细表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无串通行为的情形承诺函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报价函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其他材料、技术参数响应表</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技术部分66.00分</w:t>
            </w:r>
          </w:p>
          <w:p>
            <w:pPr>
              <w:pStyle w:val="null5"/>
            </w:pPr>
            <w:r>
              <w:rPr>
                <w:rFonts w:ascii="仿宋_GB2312" w:hAnsi="仿宋_GB2312" w:cs="仿宋_GB2312" w:eastAsia="仿宋_GB2312"/>
              </w:rPr>
              <w:t>商务部分4.00分</w:t>
            </w:r>
          </w:p>
          <w:p>
            <w:pPr>
              <w:pStyle w:val="null5"/>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技术参数响应</w:t>
            </w:r>
          </w:p>
        </w:tc>
        <w:tc>
          <w:tcPr>
            <w:tcW w:type="dxa" w:w="2575"/>
          </w:tcPr>
          <w:p>
            <w:pPr>
              <w:pStyle w:val="null5"/>
            </w:pPr>
            <w:r>
              <w:rPr>
                <w:rFonts w:ascii="仿宋_GB2312" w:hAnsi="仿宋_GB2312" w:cs="仿宋_GB2312" w:eastAsia="仿宋_GB2312"/>
              </w:rPr>
              <w:t>根据供应商所提供产品的技术参数进行评审，完全满足磋商文件要求的得30分，标注“▲”的重要技术参数每有一项负偏离扣3分；一般指标每存在一条负偏离扣1分；基本分扣完为止；如果一条中有多项指标出现偏离，只计算一次。需提供相关证明材料，否则评委有权视为负偏离。</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技术参数响应表</w:t>
            </w:r>
          </w:p>
        </w:tc>
      </w:tr>
      <w:tr>
        <w:tc>
          <w:tcPr>
            <w:tcW w:type="dxa" w:w="831"/>
            <w:vMerge/>
          </w:tcPr>
          <w:p/>
        </w:tc>
        <w:tc>
          <w:tcPr>
            <w:tcW w:type="dxa" w:w="1661"/>
          </w:tcPr>
          <w:p>
            <w:pPr>
              <w:pStyle w:val="null5"/>
            </w:pPr>
            <w:r>
              <w:rPr>
                <w:rFonts w:ascii="仿宋_GB2312" w:hAnsi="仿宋_GB2312" w:cs="仿宋_GB2312" w:eastAsia="仿宋_GB2312"/>
              </w:rPr>
              <w:t>供货及配送方案</w:t>
            </w:r>
          </w:p>
        </w:tc>
        <w:tc>
          <w:tcPr>
            <w:tcW w:type="dxa" w:w="2575"/>
          </w:tcPr>
          <w:p>
            <w:pPr>
              <w:pStyle w:val="null5"/>
            </w:pPr>
            <w:r>
              <w:rPr>
                <w:rFonts w:ascii="仿宋_GB2312" w:hAnsi="仿宋_GB2312" w:cs="仿宋_GB2312" w:eastAsia="仿宋_GB2312"/>
              </w:rPr>
              <w:t>根据供应商提供的供货及配送方案，包括①详细的供货方案、②装卸、防护方案、③安装方案、④调试方案4项内容进行评审，以上内容全面、合理的每项得3分，共计12分；每有一处不合理、不完善、无针对性的扣1分，扣完为止，缺项不得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供货及配送方案</w:t>
            </w:r>
          </w:p>
        </w:tc>
      </w:tr>
      <w:tr>
        <w:tc>
          <w:tcPr>
            <w:tcW w:type="dxa" w:w="831"/>
            <w:vMerge/>
          </w:tcPr>
          <w:p/>
        </w:tc>
        <w:tc>
          <w:tcPr>
            <w:tcW w:type="dxa" w:w="1661"/>
          </w:tcPr>
          <w:p>
            <w:pPr>
              <w:pStyle w:val="null5"/>
            </w:pPr>
            <w:r>
              <w:rPr>
                <w:rFonts w:ascii="仿宋_GB2312" w:hAnsi="仿宋_GB2312" w:cs="仿宋_GB2312" w:eastAsia="仿宋_GB2312"/>
              </w:rPr>
              <w:t>保障措施</w:t>
            </w:r>
          </w:p>
        </w:tc>
        <w:tc>
          <w:tcPr>
            <w:tcW w:type="dxa" w:w="2575"/>
          </w:tcPr>
          <w:p>
            <w:pPr>
              <w:pStyle w:val="null5"/>
            </w:pPr>
            <w:r>
              <w:rPr>
                <w:rFonts w:ascii="仿宋_GB2312" w:hAnsi="仿宋_GB2312" w:cs="仿宋_GB2312" w:eastAsia="仿宋_GB2312"/>
              </w:rPr>
              <w:t>根据供应商提供的保障措施，包括①对投标人进度保障、②质量保障措施2项内容进行评审，以上内容全面、合理的每项得4分，共计8分；每有一处不合理、不完善、无针对性的扣1分，扣完为止，缺项不得分。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保障措施</w:t>
            </w:r>
          </w:p>
        </w:tc>
      </w:tr>
      <w:tr>
        <w:tc>
          <w:tcPr>
            <w:tcW w:type="dxa" w:w="831"/>
            <w:vMerge/>
          </w:tcPr>
          <w:p/>
        </w:tc>
        <w:tc>
          <w:tcPr>
            <w:tcW w:type="dxa" w:w="1661"/>
          </w:tcPr>
          <w:p>
            <w:pPr>
              <w:pStyle w:val="null5"/>
            </w:pPr>
            <w:r>
              <w:rPr>
                <w:rFonts w:ascii="仿宋_GB2312" w:hAnsi="仿宋_GB2312" w:cs="仿宋_GB2312" w:eastAsia="仿宋_GB2312"/>
              </w:rPr>
              <w:t>应急预案</w:t>
            </w:r>
          </w:p>
        </w:tc>
        <w:tc>
          <w:tcPr>
            <w:tcW w:type="dxa" w:w="2575"/>
          </w:tcPr>
          <w:p>
            <w:pPr>
              <w:pStyle w:val="null5"/>
            </w:pPr>
            <w:r>
              <w:rPr>
                <w:rFonts w:ascii="仿宋_GB2312" w:hAnsi="仿宋_GB2312" w:cs="仿宋_GB2312" w:eastAsia="仿宋_GB2312"/>
              </w:rPr>
              <w:t>根据供应商提供的应急预案，包括①包括应急场景、②响应时效、③处置流程3项内容进行评审，以上内容全面、合理的每项得2分，共计6分；每有一处不合理、不完善、无针对性的扣1分，扣完为止，缺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应急预案</w:t>
            </w:r>
          </w:p>
        </w:tc>
      </w:tr>
      <w:tr>
        <w:tc>
          <w:tcPr>
            <w:tcW w:type="dxa" w:w="831"/>
            <w:vMerge/>
          </w:tcPr>
          <w:p/>
        </w:tc>
        <w:tc>
          <w:tcPr>
            <w:tcW w:type="dxa" w:w="1661"/>
          </w:tcPr>
          <w:p>
            <w:pPr>
              <w:pStyle w:val="null5"/>
            </w:pPr>
            <w:r>
              <w:rPr>
                <w:rFonts w:ascii="仿宋_GB2312" w:hAnsi="仿宋_GB2312" w:cs="仿宋_GB2312" w:eastAsia="仿宋_GB2312"/>
              </w:rPr>
              <w:t>使用指导与技术支持方案</w:t>
            </w:r>
          </w:p>
        </w:tc>
        <w:tc>
          <w:tcPr>
            <w:tcW w:type="dxa" w:w="2575"/>
          </w:tcPr>
          <w:p>
            <w:pPr>
              <w:pStyle w:val="null5"/>
            </w:pPr>
            <w:r>
              <w:rPr>
                <w:rFonts w:ascii="仿宋_GB2312" w:hAnsi="仿宋_GB2312" w:cs="仿宋_GB2312" w:eastAsia="仿宋_GB2312"/>
              </w:rPr>
              <w:t>根据供应商提供的提供设备使用手册/快速上手指南、现场开箱指导、常见问题解答方案进行评审，方面全面合理得5分，每有一处不合理、不完善、无针对性的扣1分，扣完为止，缺项不得分。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使用指导与技术支持方案</w:t>
            </w:r>
          </w:p>
        </w:tc>
      </w:tr>
      <w:tr>
        <w:tc>
          <w:tcPr>
            <w:tcW w:type="dxa" w:w="831"/>
            <w:vMerge/>
          </w:tcPr>
          <w:p/>
        </w:tc>
        <w:tc>
          <w:tcPr>
            <w:tcW w:type="dxa" w:w="1661"/>
          </w:tcPr>
          <w:p>
            <w:pPr>
              <w:pStyle w:val="null5"/>
            </w:pPr>
            <w:r>
              <w:rPr>
                <w:rFonts w:ascii="仿宋_GB2312" w:hAnsi="仿宋_GB2312" w:cs="仿宋_GB2312" w:eastAsia="仿宋_GB2312"/>
              </w:rPr>
              <w:t>售后服务方案</w:t>
            </w:r>
          </w:p>
        </w:tc>
        <w:tc>
          <w:tcPr>
            <w:tcW w:type="dxa" w:w="2575"/>
          </w:tcPr>
          <w:p>
            <w:pPr>
              <w:pStyle w:val="null5"/>
            </w:pPr>
            <w:r>
              <w:rPr>
                <w:rFonts w:ascii="仿宋_GB2312" w:hAnsi="仿宋_GB2312" w:cs="仿宋_GB2312" w:eastAsia="仿宋_GB2312"/>
              </w:rPr>
              <w:t>根据供应商提供的售后服务方案综合评分，包括：有具体的人员安排、服务计划，提供日常技术支持服务，内容完善的得5分；每有一处不合理、不完善、无针对性的扣1分，扣完为止，缺项不得分。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售后服务方案</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企业业绩</w:t>
            </w:r>
          </w:p>
        </w:tc>
        <w:tc>
          <w:tcPr>
            <w:tcW w:type="dxa" w:w="2575"/>
          </w:tcPr>
          <w:p>
            <w:pPr>
              <w:pStyle w:val="null5"/>
            </w:pPr>
            <w:r>
              <w:rPr>
                <w:rFonts w:ascii="仿宋_GB2312" w:hAnsi="仿宋_GB2312" w:cs="仿宋_GB2312" w:eastAsia="仿宋_GB2312"/>
              </w:rPr>
              <w:t>供应商自2023年1月1日以来同类项目业绩合同（以合同签订时间为准）。每提供一个得2分，最多得4分。 注：提供合同完整扫描件附于投标文件中。</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（1）平板电脑响应报价低于全部通过符合性审查供应商响应报价平均值50%的，即平板电脑响应报价&lt;全部通过符合性审查供应商响应报价平均值×50%。 （2）平板电脑响应报价低于通过符合性审查且报价次低供应商响应报价50%的，即平板电脑响应报价&lt;通过符合性审查且报价次低供应商响应报价×50%。 （3）平板电脑响应报价低于最高限价45%的，即平板电脑响应报价&lt;最高限价×45%。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（1）平板电脑响应报价低于全部通过符合性审查供应商响应报价平均值50%的，即平板电脑响应报价&lt;全部通过符合性审查供应商响应报价平均值×50%。</w:t>
              <w:br/>
              <w:t>（2）平板电脑响应报价低于通过符合性审查且报价次低供应商响应报价50%的，即平板电脑响应报价&lt;通过符合性审查且报价次低供应商响应报价×50%。</w:t>
              <w:br/>
              <w:t>（3）平板电脑响应报价低于最高限价45%的，即平板电脑响应报价&lt;最高限价×45%。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平板式计算机</w:t>
            </w:r>
          </w:p>
        </w:tc>
        <w:tc>
          <w:tcPr>
            <w:tcW w:type="dxa" w:w="3115"/>
          </w:tcPr>
          <w:p>
            <w:pPr>
              <w:pStyle w:val="null5"/>
              <w:jc w:val="left"/>
            </w:pPr>
            <w:r>
              <w:rPr>
                <w:rFonts w:ascii="仿宋_GB2312" w:hAnsi="仿宋_GB2312" w:cs="仿宋_GB2312" w:eastAsia="仿宋_GB2312"/>
              </w:rPr>
              <w:t>平板电脑</w:t>
            </w:r>
          </w:p>
        </w:tc>
        <w:tc>
          <w:tcPr>
            <w:tcW w:type="dxa" w:w="2076"/>
          </w:tcPr>
          <w:p>
            <w:pPr>
              <w:pStyle w:val="null5"/>
              <w:jc w:val="left"/>
            </w:pPr>
            <w:r>
              <w:rPr>
                <w:rFonts w:ascii="仿宋_GB2312" w:hAnsi="仿宋_GB2312" w:cs="仿宋_GB2312" w:eastAsia="仿宋_GB2312"/>
              </w:rPr>
              <w:t>平板电脑</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详见附件：关于本国产品成本占比的承诺函</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详见附件：供应商承诺函</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详见附件：经审计的财务报告或资信证明</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详见附件：具有依法缴纳税收和社会保障资金的良好记录</w:t>
      </w:r>
    </w:p>
    <w:p>
      <w:pPr>
        <w:pStyle w:val="null5"/>
        <w:ind w:firstLine="960"/>
        <w:jc w:val="left"/>
      </w:pPr>
      <w:r>
        <w:rPr>
          <w:rFonts w:ascii="仿宋_GB2312" w:hAnsi="仿宋_GB2312" w:cs="仿宋_GB2312" w:eastAsia="仿宋_GB2312"/>
        </w:rPr>
        <w:t>详见附件：参加政府采购活动前三年内，在经营活动中没有重大违法记录</w:t>
      </w:r>
    </w:p>
    <w:p>
      <w:pPr>
        <w:pStyle w:val="null5"/>
        <w:ind w:firstLine="960"/>
        <w:jc w:val="left"/>
      </w:pPr>
      <w:r>
        <w:rPr>
          <w:rFonts w:ascii="仿宋_GB2312" w:hAnsi="仿宋_GB2312" w:cs="仿宋_GB2312" w:eastAsia="仿宋_GB2312"/>
        </w:rPr>
        <w:t>详见附件：供应商无不良信用记录</w:t>
      </w:r>
    </w:p>
    <w:p>
      <w:pPr>
        <w:pStyle w:val="null5"/>
        <w:ind w:firstLine="960"/>
        <w:jc w:val="left"/>
      </w:pPr>
      <w:r>
        <w:rPr>
          <w:rFonts w:ascii="仿宋_GB2312" w:hAnsi="仿宋_GB2312" w:cs="仿宋_GB2312" w:eastAsia="仿宋_GB2312"/>
        </w:rPr>
        <w:t>详见附件：单位负责人为同一人或者存在直接控股、管理关系的不同供应商，不得参加同一包的投标或者未划分包的同一项目</w:t>
      </w:r>
    </w:p>
    <w:p>
      <w:pPr>
        <w:pStyle w:val="null5"/>
        <w:ind w:firstLine="960"/>
        <w:jc w:val="left"/>
      </w:pPr>
      <w:r>
        <w:rPr>
          <w:rFonts w:ascii="仿宋_GB2312" w:hAnsi="仿宋_GB2312" w:cs="仿宋_GB2312" w:eastAsia="仿宋_GB2312"/>
        </w:rPr>
        <w:t>详见附件：供货及配送方案</w:t>
      </w:r>
    </w:p>
    <w:p>
      <w:pPr>
        <w:pStyle w:val="null5"/>
        <w:ind w:firstLine="960"/>
        <w:jc w:val="left"/>
      </w:pPr>
      <w:r>
        <w:rPr>
          <w:rFonts w:ascii="仿宋_GB2312" w:hAnsi="仿宋_GB2312" w:cs="仿宋_GB2312" w:eastAsia="仿宋_GB2312"/>
        </w:rPr>
        <w:t>详见附件：保障措施</w:t>
      </w:r>
    </w:p>
    <w:p>
      <w:pPr>
        <w:pStyle w:val="null5"/>
        <w:ind w:firstLine="960"/>
        <w:jc w:val="left"/>
      </w:pPr>
      <w:r>
        <w:rPr>
          <w:rFonts w:ascii="仿宋_GB2312" w:hAnsi="仿宋_GB2312" w:cs="仿宋_GB2312" w:eastAsia="仿宋_GB2312"/>
        </w:rPr>
        <w:t>详见附件：应急预案</w:t>
      </w:r>
    </w:p>
    <w:p>
      <w:pPr>
        <w:pStyle w:val="null5"/>
        <w:ind w:firstLine="960"/>
        <w:jc w:val="left"/>
      </w:pPr>
      <w:r>
        <w:rPr>
          <w:rFonts w:ascii="仿宋_GB2312" w:hAnsi="仿宋_GB2312" w:cs="仿宋_GB2312" w:eastAsia="仿宋_GB2312"/>
        </w:rPr>
        <w:t>详见附件：使用指导与技术支持方案</w:t>
      </w:r>
    </w:p>
    <w:p>
      <w:pPr>
        <w:pStyle w:val="null5"/>
        <w:ind w:firstLine="960"/>
        <w:jc w:val="left"/>
      </w:pPr>
      <w:r>
        <w:rPr>
          <w:rFonts w:ascii="仿宋_GB2312" w:hAnsi="仿宋_GB2312" w:cs="仿宋_GB2312" w:eastAsia="仿宋_GB2312"/>
        </w:rPr>
        <w:t>详见附件：售后服务方案</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详见附件：环境标志产品明细表、节能产品明细表、强制节能产品明细表</w:t>
      </w:r>
    </w:p>
    <w:p>
      <w:pPr>
        <w:pStyle w:val="null5"/>
        <w:ind w:firstLine="960"/>
        <w:jc w:val="left"/>
      </w:pPr>
      <w:r>
        <w:rPr>
          <w:rFonts w:ascii="仿宋_GB2312" w:hAnsi="仿宋_GB2312" w:cs="仿宋_GB2312" w:eastAsia="仿宋_GB2312"/>
        </w:rPr>
        <w:t>详见附件：无串通行为的情形承诺函</w:t>
      </w:r>
    </w:p>
    <w:p>
      <w:pPr>
        <w:pStyle w:val="null5"/>
        <w:ind w:firstLine="960"/>
        <w:jc w:val="left"/>
      </w:pPr>
      <w:r>
        <w:rPr>
          <w:rFonts w:ascii="仿宋_GB2312" w:hAnsi="仿宋_GB2312" w:cs="仿宋_GB2312" w:eastAsia="仿宋_GB2312"/>
        </w:rPr>
        <w:t>详见附件：报价函</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