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0" Type="http://schemas.openxmlformats.org/officeDocument/2006/relationships/officeDocument" Target="word/document.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00000c"/>
        <w:keepNext w:val="0"/>
        <w:keepLines w:val="0"/>
        <w:pageBreakBefore w:val="0"/>
        <w:widowControl w:val="1"/>
        <w:shd w:val="clear" w:color="auto" w:fill="FFFFFF"/>
        <w:kinsoku w:val="1"/>
        <w:wordWrap w:val="1"/>
        <w:overflowPunct w:val="1"/>
        <w:topLinePunct w:val="0"/>
        <w:autoSpaceDE w:val="1"/>
        <w:autoSpaceDN w:val="1"/>
        <w:bidi w:val="0"/>
        <w:adjustRightInd w:val="1"/>
        <w:snapToGrid w:val="1"/>
        <w:spacing w:beforeAutospacing="0" w:afterAutospacing="0" w:line="240" w:lineRule="auto"/>
        <w:jc w:val="center"/>
        <w:textAlignment w:val="auto"/>
        <w:rPr>
          <w:rFonts w:hint="default" w:ascii="方正小标宋简体" w:hAnsi="方正小标宋简体" w:eastAsia="方正小标宋简体" w:cs="方正小标宋简体"/>
          <w:b w:val="1"/>
          <w:bCs w:val="1"/>
          <w:w w:val="75"/>
          <w:sz w:val="44"/>
          <w:szCs w:val="44"/>
        </w:rPr>
      </w:pPr>
      <w:r>
        <w:rPr>
          <w:rFonts w:ascii="方正小标宋简体" w:hAnsi="方正小标宋简体" w:eastAsia="方正小标宋简体" w:cs="方正小标宋简体"/>
          <w:b w:val="1"/>
          <w:bCs w:val="1"/>
          <w:w w:val="75"/>
          <w:sz w:val="44"/>
          <w:szCs w:val="44"/>
        </w:rPr>
        <w:t>荣县人民医院</w:t>
      </w:r>
    </w:p>
    <w:p>
      <w:pPr>
        <w:pStyle w:val="00000c"/>
        <w:keepNext w:val="0"/>
        <w:keepLines w:val="0"/>
        <w:pageBreakBefore w:val="0"/>
        <w:widowControl w:val="1"/>
        <w:shd w:val="clear" w:color="auto" w:fill="FFFFFF"/>
        <w:kinsoku w:val="1"/>
        <w:wordWrap w:val="1"/>
        <w:overflowPunct w:val="1"/>
        <w:topLinePunct w:val="0"/>
        <w:autoSpaceDE w:val="1"/>
        <w:autoSpaceDN w:val="1"/>
        <w:bidi w:val="0"/>
        <w:adjustRightInd w:val="1"/>
        <w:snapToGrid w:val="1"/>
        <w:spacing w:beforeAutospacing="0" w:afterAutospacing="0" w:line="240" w:lineRule="auto"/>
        <w:jc w:val="center"/>
        <w:textAlignment w:val="auto"/>
        <w:rPr>
          <w:rFonts w:hint="default" w:ascii="方正小标宋简体" w:hAnsi="方正小标宋简体" w:eastAsia="方正小标宋简体" w:cs="方正小标宋简体"/>
          <w:b w:val="1"/>
          <w:bCs w:val="1"/>
          <w:w w:val="75"/>
          <w:sz w:val="44"/>
          <w:szCs w:val="44"/>
        </w:rPr>
      </w:pPr>
      <w:r>
        <w:rPr>
          <w:rFonts w:ascii="方正小标宋简体" w:hAnsi="方正小标宋简体" w:eastAsia="方正小标宋简体" w:cs="方正小标宋简体"/>
          <w:b w:val="1"/>
          <w:bCs w:val="1"/>
          <w:w w:val="75"/>
          <w:sz w:val="44"/>
          <w:szCs w:val="44"/>
        </w:rPr>
        <w:t>关于</w:t>
      </w:r>
      <w:r>
        <w:rPr>
          <w:rFonts w:hint="eastAsia" w:ascii="方正小标宋简体" w:hAnsi="方正小标宋简体" w:eastAsia="方正小标宋简体" w:cs="方正小标宋简体"/>
          <w:b w:val="1"/>
          <w:bCs w:val="1"/>
          <w:w w:val="75"/>
          <w:sz w:val="44"/>
          <w:szCs w:val="44"/>
          <w:lang w:val="en-US" w:eastAsia="zh-CN"/>
        </w:rPr>
        <w:t>启动</w:t>
      </w:r>
      <w:r>
        <w:rPr>
          <w:rFonts w:ascii="方正小标宋简体" w:hAnsi="方正小标宋简体" w:eastAsia="方正小标宋简体" w:cs="方正小标宋简体"/>
          <w:b w:val="1"/>
          <w:bCs w:val="1"/>
          <w:w w:val="75"/>
          <w:sz w:val="44"/>
          <w:szCs w:val="44"/>
        </w:rPr>
        <w:t>《台式计算机采购项目》（第二次）采购活动的说明</w:t>
      </w:r>
    </w:p>
    <w:p>
      <w:pPr>
        <w:rPr/>
      </w:pPr>
    </w:p>
    <w:p>
      <w:pPr>
        <w:rPr>
          <w:rFonts w:ascii="仿宋" w:hAnsi="仿宋" w:eastAsia="仿宋" w:cs="仿宋"/>
          <w:sz w:val="32"/>
          <w:szCs w:val="32"/>
        </w:rPr>
      </w:pPr>
      <w:r>
        <w:rPr>
          <w:rFonts w:hint="eastAsia" w:ascii="仿宋" w:hAnsi="仿宋" w:eastAsia="仿宋" w:cs="仿宋"/>
          <w:sz w:val="32"/>
          <w:szCs w:val="32"/>
        </w:rPr>
        <w:t>致：荣县政府采购中心</w:t>
      </w:r>
    </w:p>
    <w:p>
      <w:pPr>
        <w:ind w:firstLine="640" w:firstLineChars="200"/>
        <w:rPr>
          <w:rFonts w:ascii="仿宋" w:hAnsi="仿宋" w:eastAsia="仿宋" w:cs="仿宋"/>
          <w:sz w:val="32"/>
          <w:szCs w:val="32"/>
        </w:rPr>
      </w:pPr>
      <w:r>
        <w:rPr>
          <w:rFonts w:hint="eastAsia" w:ascii="仿宋" w:hAnsi="仿宋" w:eastAsia="仿宋" w:cs="仿宋"/>
          <w:sz w:val="32"/>
          <w:szCs w:val="32"/>
        </w:rPr>
        <w:t>我单位委托贵中心开展的《台式计算机采购项目》（项目编号：N5103212026000038）询价采购项目，采购及废标情况说明如下：</w:t>
      </w:r>
    </w:p>
    <w:p>
      <w:pPr>
        <w:ind w:firstLine="640" w:firstLineChars="200"/>
        <w:rPr>
          <w:rFonts w:ascii="仿宋" w:hAnsi="仿宋" w:eastAsia="仿宋" w:cs="仿宋"/>
          <w:sz w:val="32"/>
          <w:szCs w:val="32"/>
        </w:rPr>
      </w:pPr>
      <w:r>
        <w:rPr>
          <w:rFonts w:ascii="仿宋" w:hAnsi="仿宋" w:eastAsia="仿宋" w:cs="仿宋"/>
          <w:sz w:val="32"/>
          <w:szCs w:val="32"/>
        </w:rPr>
        <w:t>本项目首次采购于2026年6月18日完成开标评审，本次共5家供应商递交并解密响应文件。经询价小组评审，发现</w:t>
      </w:r>
      <w:r>
        <w:rPr>
          <w:rFonts w:hint="eastAsia" w:ascii="仿宋" w:hAnsi="仿宋" w:eastAsia="仿宋" w:cs="仿宋"/>
          <w:sz w:val="32"/>
          <w:szCs w:val="32"/>
        </w:rPr>
        <w:t>采购文件</w:t>
      </w:r>
      <w:r>
        <w:rPr>
          <w:rFonts w:ascii="仿宋" w:hAnsi="仿宋" w:eastAsia="仿宋" w:cs="仿宋"/>
          <w:sz w:val="32"/>
          <w:szCs w:val="32"/>
        </w:rPr>
        <w:t>存在重大缺陷导致评审工作无法进行，依据《中华人民共和国政府采购法》第三十六条及相关规定，本项目予以废标。</w:t>
      </w:r>
    </w:p>
    <w:p>
      <w:pPr>
        <w:ind w:firstLine="643" w:firstLineChars="200"/>
        <w:rPr>
          <w:rFonts w:ascii="仿宋" w:hAnsi="仿宋" w:eastAsia="仿宋" w:cs="仿宋"/>
          <w:sz w:val="32"/>
          <w:szCs w:val="32"/>
        </w:rPr>
      </w:pPr>
      <w:r>
        <w:rPr>
          <w:rFonts w:hint="eastAsia" w:ascii="楷体" w:hAnsi="楷体" w:eastAsia="楷体" w:cs="楷体"/>
          <w:b w:val="1"/>
          <w:bCs w:val="1"/>
          <w:sz w:val="32"/>
          <w:szCs w:val="32"/>
        </w:rPr>
        <w:t>一、更正的原因和理由</w:t>
      </w:r>
    </w:p>
    <w:p>
      <w:pPr>
        <w:ind w:firstLine="640" w:firstLineChars="200"/>
        <w:rPr>
          <w:rFonts w:ascii="仿宋" w:hAnsi="仿宋" w:eastAsia="仿宋" w:cs="仿宋"/>
          <w:sz w:val="32"/>
          <w:szCs w:val="32"/>
        </w:rPr>
      </w:pPr>
      <w:r>
        <w:rPr>
          <w:rFonts w:ascii="仿宋" w:hAnsi="仿宋" w:eastAsia="仿宋" w:cs="仿宋"/>
          <w:sz w:val="32"/>
          <w:szCs w:val="32"/>
        </w:rPr>
        <w:t>为进一步规范采购标准、优化技术参数、保障市场公平竞争，同时精准匹配本项目计算机设备实际使用需求，我单位组织专业人员对采购文件开展全面复核修订，优化完善相关技术参数、评审标准及服务要求，授权贵中心启动本项目重新采购活动。我单位对本次修订、更正后的采购文件技术参数、服务要求承担全部主体责任。</w:t>
      </w:r>
    </w:p>
    <w:p>
      <w:pPr>
        <w:ind w:firstLine="643" w:firstLineChars="200"/>
        <w:rPr>
          <w:rFonts w:ascii="仿宋" w:hAnsi="仿宋" w:eastAsia="仿宋" w:cs="仿宋"/>
          <w:sz w:val="32"/>
          <w:szCs w:val="32"/>
        </w:rPr>
      </w:pPr>
      <w:r>
        <w:rPr>
          <w:rFonts w:hint="eastAsia" w:ascii="楷体" w:hAnsi="楷体" w:eastAsia="楷体" w:cs="楷体"/>
          <w:b w:val="1"/>
          <w:bCs w:val="1"/>
          <w:sz w:val="32"/>
          <w:szCs w:val="32"/>
        </w:rPr>
        <w:t>二、重启采购活动、更正采购需求的法律法规依据</w:t>
      </w:r>
    </w:p>
    <w:p>
      <w:pPr>
        <w:ind w:firstLine="640" w:firstLineChars="200"/>
        <w:rPr>
          <w:rFonts w:ascii="仿宋" w:hAnsi="仿宋" w:eastAsia="仿宋" w:cs="仿宋"/>
          <w:sz w:val="32"/>
          <w:szCs w:val="32"/>
        </w:rPr>
      </w:pPr>
      <w:r>
        <w:rPr>
          <w:rFonts w:ascii="仿宋" w:hAnsi="仿宋" w:eastAsia="仿宋" w:cs="仿宋"/>
          <w:sz w:val="32"/>
          <w:szCs w:val="32"/>
        </w:rPr>
        <w:t>一是采购文件存在重大缺陷，强制节能认证要求适用错误。本项目采购产品中包含工作站设备。经核查，根据《关于印发节能产品政府采购品目清单的通知》（财库〔2019〕19号）规定，政府强制采购节能产品品目清单中明确列示的强制采购产品包括台式计算机（A02010104）、便携式计算机（A02010105）、平板式微型计算机（A02010107）等，但工作站未列入该强制采购品目清单。</w:t>
      </w:r>
      <w:r>
        <w:rPr>
          <w:rFonts w:hint="eastAsia" w:ascii="仿宋" w:hAnsi="仿宋" w:eastAsia="仿宋" w:cs="仿宋"/>
          <w:sz w:val="32"/>
          <w:szCs w:val="32"/>
        </w:rPr>
        <w:t>采购文件</w:t>
      </w:r>
      <w:r>
        <w:rPr>
          <w:rFonts w:ascii="仿宋" w:hAnsi="仿宋" w:eastAsia="仿宋" w:cs="仿宋"/>
          <w:sz w:val="32"/>
          <w:szCs w:val="32"/>
        </w:rPr>
        <w:t>要求工作站提供强制节能认证证书，属于超出法定强制采购范围增设资格门槛，构成采购文件的重大缺陷。</w:t>
      </w:r>
    </w:p>
    <w:p>
      <w:pPr>
        <w:ind w:firstLine="640" w:firstLineChars="200"/>
        <w:rPr>
          <w:rFonts w:ascii="仿宋" w:hAnsi="仿宋" w:eastAsia="仿宋" w:cs="仿宋"/>
          <w:sz w:val="32"/>
          <w:szCs w:val="32"/>
        </w:rPr>
      </w:pPr>
      <w:r>
        <w:rPr>
          <w:rFonts w:ascii="仿宋" w:hAnsi="仿宋" w:eastAsia="仿宋" w:cs="仿宋"/>
          <w:sz w:val="32"/>
          <w:szCs w:val="32"/>
        </w:rPr>
        <w:t>二是消除采购隐性壁垒，保障市场公平竞争。严格落实政府采购公平竞争相关规定，原采购文件将工作站纳入强制节能认证范围，客观上限制了不具备该认证但产品性能满足项目需求的潜在供应商参与竞争，存在扩大强制采购范围、设置不合理条件限制供应商参与采购活动的情形。为坚决杜绝限制性、歧视性准入条款，破除采购隐性壁垒，确保采购规则公开公允、适配广大市场主体，保障所有合规供应商平等参与竞争，须对采购文件予以更正。</w:t>
      </w:r>
    </w:p>
    <w:p>
      <w:pPr>
        <w:ind w:firstLine="640" w:firstLineChars="200"/>
        <w:rPr>
          <w:rFonts w:ascii="仿宋" w:hAnsi="仿宋" w:eastAsia="仿宋" w:cs="仿宋"/>
          <w:sz w:val="32"/>
          <w:szCs w:val="32"/>
        </w:rPr>
      </w:pPr>
      <w:r>
        <w:rPr>
          <w:rFonts w:ascii="仿宋" w:hAnsi="仿宋" w:eastAsia="仿宋" w:cs="仿宋"/>
          <w:sz w:val="32"/>
          <w:szCs w:val="32"/>
        </w:rPr>
        <w:t>三是贴合项目实际需求，完善细化采购标准。本项目为计算机设备采购，涉及台式计算机、工作站等设备，对技术性能、兼容性及售后服务要求较高。原采购文件部分技术参数条款表述不够精确、强制节能认证适用范围界定不清，存在重大缺陷。为精准筛选具备专业技术能力和综合履约能力强的优质供应商，切实提升设备采购质量与服务保障水平，结合项目实际工作需要，对本项目技术参数予以重新设定和补充完善。</w:t>
      </w:r>
    </w:p>
    <w:p>
      <w:pPr>
        <w:ind w:firstLine="640" w:firstLineChars="200"/>
        <w:rPr>
          <w:rFonts w:ascii="仿宋" w:hAnsi="仿宋" w:eastAsia="仿宋" w:cs="仿宋"/>
          <w:sz w:val="32"/>
          <w:szCs w:val="32"/>
        </w:rPr>
      </w:pPr>
      <w:r>
        <w:rPr>
          <w:rFonts w:ascii="仿宋" w:hAnsi="仿宋" w:eastAsia="仿宋" w:cs="仿宋"/>
          <w:sz w:val="32"/>
          <w:szCs w:val="32"/>
        </w:rPr>
        <w:t>为严格落实政府采购需求管理相关规定，贴合本项目计算机设备实际需求，进一步规范、细化、完善采购文件内容，修正原有条款短板，确保采购需求科学合理、贴合实操、公平公正、无隐性壁垒。我单位依规对本项目采购文件技术参数、评审标准进行优化更正。因本次调整涉及项目技术参数及评审标准，对潜在供应商投标响应造成影响，依法重新启动本次采购活动。</w:t>
      </w:r>
    </w:p>
    <w:p>
      <w:pPr>
        <w:ind w:firstLine="640" w:firstLineChars="200"/>
        <w:rPr>
          <w:rFonts w:ascii="仿宋" w:hAnsi="仿宋" w:eastAsia="仿宋" w:cs="仿宋"/>
          <w:sz w:val="32"/>
          <w:szCs w:val="32"/>
        </w:rPr>
      </w:pPr>
      <w:r>
        <w:rPr>
          <w:rFonts w:ascii="仿宋" w:hAnsi="仿宋" w:eastAsia="仿宋" w:cs="仿宋"/>
          <w:sz w:val="32"/>
          <w:szCs w:val="32"/>
        </w:rPr>
        <w:t>本次文件更正及采购重启工作，严格遵循《中华人民共和国政府采购法》</w:t>
      </w:r>
      <w:r>
        <w:rPr>
          <w:rFonts w:hint="eastAsia" w:ascii="仿宋" w:hAnsi="仿宋" w:eastAsia="仿宋" w:cs="仿宋"/>
          <w:sz w:val="32"/>
          <w:szCs w:val="32"/>
        </w:rPr>
        <w:t>、</w:t>
      </w:r>
      <w:r>
        <w:rPr>
          <w:rFonts w:ascii="仿宋" w:hAnsi="仿宋" w:eastAsia="仿宋" w:cs="仿宋"/>
          <w:sz w:val="32"/>
          <w:szCs w:val="32"/>
        </w:rPr>
        <w:t>《关于印发节能产品政府采购品目清单的通知》（财库〔2019〕19号）及</w:t>
      </w:r>
      <w:r>
        <w:rPr>
          <w:rFonts w:hint="eastAsia" w:ascii="仿宋" w:hAnsi="仿宋" w:eastAsia="仿宋" w:cs="仿宋"/>
          <w:sz w:val="32"/>
          <w:szCs w:val="32"/>
        </w:rPr>
        <w:t>政府采购需求管理、地方政府采购规范性文件相关规定，程序合规、依据充分。</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更正内容如下：</w:t>
      </w:r>
    </w:p>
    <w:p>
      <w:pPr>
        <w:spacing w:line="360" w:lineRule="auto"/>
        <w:ind w:firstLine="602" w:firstLineChars="200"/>
        <w:rPr>
          <w:rFonts w:hint="eastAsia" w:ascii="仿宋" w:hAnsi="仿宋" w:eastAsia="仿宋" w:cs="仿宋"/>
          <w:b w:val="1"/>
          <w:bCs w:val="1"/>
          <w:sz w:val="30"/>
          <w:szCs w:val="30"/>
        </w:rPr>
      </w:pPr>
      <w:r>
        <w:rPr>
          <w:rFonts w:hint="eastAsia" w:ascii="仿宋" w:hAnsi="仿宋" w:eastAsia="仿宋" w:cs="仿宋"/>
          <w:b w:val="1"/>
          <w:bCs w:val="1"/>
          <w:sz w:val="30"/>
          <w:szCs w:val="30"/>
        </w:rPr>
        <w:t>1.采购内容：</w:t>
      </w:r>
    </w:p>
    <w:p>
      <w:pPr>
        <w:spacing w:line="360" w:lineRule="auto"/>
        <w:ind w:firstLine="600" w:firstLineChars="200"/>
        <w:rPr>
          <w:rFonts w:hint="eastAsia" w:ascii="仿宋" w:hAnsi="仿宋" w:eastAsia="仿宋" w:cs="仿宋"/>
          <w:sz w:val="32"/>
          <w:szCs w:val="32"/>
        </w:rPr>
      </w:pPr>
      <w:r>
        <w:rPr>
          <w:rFonts w:hint="eastAsia" w:ascii="宋体" w:hAnsi="宋体" w:eastAsia="宋体" w:cs="宋体"/>
          <w:sz w:val="30"/>
          <w:szCs w:val="30"/>
          <w:highlight w:val="yellow"/>
        </w:rPr>
        <w:t>原采购文件</w:t>
      </w:r>
      <w:r>
        <w:rPr>
          <w:rFonts w:hint="eastAsia" w:ascii="宋体" w:hAnsi="宋体" w:eastAsia="宋体" w:cs="宋体"/>
          <w:sz w:val="30"/>
          <w:szCs w:val="30"/>
          <w:highlight w:val="yellow"/>
          <w:lang w:val="en-US" w:eastAsia="zh-CN"/>
        </w:rPr>
        <w:t>:</w:t>
      </w:r>
    </w:p>
    <w:tbl>
      <w:tblPr>
        <w:tblStyle w:val="000010"/>
        <w:tblW w:w="0" w:type="auto"/>
        <w:jc w:val="center"/>
        <w:tblLayout w:type="fixed"/>
        <w:tblCellMar>
          <w:top w:w="0" w:type="dxa"/>
          <w:left w:w="108" w:type="dxa"/>
          <w:bottom w:w="0" w:type="dxa"/>
          <w:right w:w="108" w:type="dxa"/>
        </w:tblCellMar>
      </w:tblPr>
      <w:tblGrid>
        <w:gridCol w:w="450"/>
        <w:gridCol w:w="1170"/>
        <w:gridCol w:w="1379"/>
        <w:gridCol w:w="430"/>
        <w:gridCol w:w="420"/>
        <w:gridCol w:w="795"/>
        <w:gridCol w:w="935"/>
        <w:gridCol w:w="805"/>
        <w:gridCol w:w="703"/>
        <w:gridCol w:w="645"/>
        <w:gridCol w:w="718"/>
        <w:gridCol w:w="882"/>
        <w:gridCol w:w="894"/>
      </w:tblGrid>
      <w:tr>
        <w:trPr>
          <w:trHeight w:val="1407"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采购品目名称</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标的名称</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单位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标的金额单价（元）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最高限价总价（元）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所属行业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是否涉及核心产品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是否涉及采购进口产品</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是否涉及强制采购节能产品</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是否涉及优先采购节能产品</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是否涉及优先采购环境标志产品</w:t>
            </w:r>
          </w:p>
        </w:tc>
      </w:tr>
      <w:tr>
        <w:trPr>
          <w:trHeight w:val="389"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A02010105</w:t>
            </w:r>
          </w:p>
          <w:p>
            <w:pPr>
              <w:keepNext w:val="0"/>
              <w:keepLines w:val="0"/>
              <w:widowControl w:val="1"/>
              <w:suppressLineNumbers w:val="0"/>
              <w:jc w:val="center"/>
              <w:textAlignment w:val="center"/>
              <w:rPr>
                <w:rFonts w:hint="default"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rPr>
              <w:t>台式计算机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default"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highlight w:val="none"/>
                <w:lang w:val="en-US" w:eastAsia="zh-CN"/>
              </w:rPr>
              <w:t>图形工作站</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11000.00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11000.00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工业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eastAsia="zh-CN"/>
              </w:rPr>
            </w:pPr>
            <w:r>
              <w:rPr>
                <w:rFonts w:hint="eastAsia" w:ascii="楷体" w:hAnsi="楷体" w:eastAsia="楷体" w:cs="楷体"/>
                <w:color w:val="000000"/>
                <w:kern w:val="0"/>
                <w:sz w:val="21"/>
                <w:szCs w:val="21"/>
                <w:lang w:val="en-US" w:eastAsia="zh-CN"/>
              </w:rPr>
              <w:t>是</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否</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eastAsia="zh-CN"/>
              </w:rPr>
            </w:pPr>
            <w:r>
              <w:rPr>
                <w:rFonts w:hint="eastAsia" w:ascii="楷体" w:hAnsi="楷体" w:eastAsia="楷体" w:cs="楷体"/>
                <w:color w:val="000000"/>
                <w:kern w:val="0"/>
                <w:sz w:val="21"/>
                <w:szCs w:val="21"/>
                <w:lang w:val="en-US" w:eastAsia="zh-CN"/>
              </w:rPr>
              <w:t>是</w:t>
            </w:r>
          </w:p>
        </w:tc>
      </w:tr>
    </w:tbl>
    <w:p>
      <w:pPr>
        <w:numPr>
          <w:ilvl w:val="0"/>
          <w:numId w:val="0"/>
        </w:numPr>
        <w:ind w:firstLine="602" w:firstLineChars="200"/>
        <w:rPr>
          <w:rFonts w:hint="eastAsia" w:ascii="宋体" w:hAnsi="宋体" w:eastAsia="宋体" w:cs="宋体"/>
          <w:b w:val="1"/>
          <w:bCs w:val="1"/>
          <w:sz w:val="30"/>
          <w:szCs w:val="30"/>
          <w:highlight w:val="cyan"/>
        </w:rPr>
      </w:pPr>
      <w:r>
        <w:rPr>
          <w:rFonts w:hint="eastAsia" w:ascii="宋体" w:hAnsi="宋体" w:eastAsia="宋体" w:cs="宋体"/>
          <w:b w:val="1"/>
          <w:bCs w:val="1"/>
          <w:sz w:val="30"/>
          <w:szCs w:val="30"/>
          <w:highlight w:val="cyan"/>
        </w:rPr>
        <w:t>更正为：</w:t>
      </w:r>
    </w:p>
    <w:tbl>
      <w:tblPr>
        <w:tblStyle w:val="000010"/>
        <w:tblW w:w="0" w:type="auto"/>
        <w:jc w:val="center"/>
        <w:tblLayout w:type="fixed"/>
        <w:tblCellMar>
          <w:top w:w="0" w:type="dxa"/>
          <w:left w:w="108" w:type="dxa"/>
          <w:bottom w:w="0" w:type="dxa"/>
          <w:right w:w="108" w:type="dxa"/>
        </w:tblCellMar>
      </w:tblPr>
      <w:tblGrid>
        <w:gridCol w:w="450"/>
        <w:gridCol w:w="1170"/>
        <w:gridCol w:w="1379"/>
        <w:gridCol w:w="430"/>
        <w:gridCol w:w="420"/>
        <w:gridCol w:w="795"/>
        <w:gridCol w:w="935"/>
        <w:gridCol w:w="805"/>
        <w:gridCol w:w="666"/>
        <w:gridCol w:w="760"/>
        <w:gridCol w:w="645"/>
        <w:gridCol w:w="864"/>
        <w:gridCol w:w="914"/>
      </w:tblGrid>
      <w:tr>
        <w:trPr>
          <w:trHeight w:val="1407"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采购品目名称</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标的名称</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单位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标的金额单价（元）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最高限价总价（元）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所属行业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是否涉及核心产品</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是否涉及采购进口产品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是否涉及强制采购节能产品</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是否涉及优先采购节能产品</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240" w:lineRule="exact"/>
              <w:jc w:val="center"/>
              <w:textAlignment w:val="auto"/>
              <w:rPr>
                <w:rFonts w:hint="eastAsia"/>
                <w:b w:val="1"/>
                <w:bCs w:val="1"/>
                <w:color w:val="0000FF"/>
                <w:lang w:val="en-US" w:eastAsia="zh-CN"/>
              </w:rPr>
            </w:pPr>
            <w:r>
              <w:rPr>
                <w:rFonts w:hint="eastAsia"/>
                <w:b w:val="1"/>
                <w:bCs w:val="1"/>
                <w:color w:val="0000FF"/>
                <w:lang w:val="en-US" w:eastAsia="zh-CN"/>
              </w:rPr>
              <w:t>是否涉及优先采购环境标志产品</w:t>
            </w:r>
          </w:p>
        </w:tc>
      </w:tr>
      <w:tr>
        <w:trPr>
          <w:trHeight w:val="389"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1"/>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A02010105</w:t>
            </w:r>
          </w:p>
          <w:p>
            <w:pPr>
              <w:keepNext w:val="0"/>
              <w:keepLines w:val="0"/>
              <w:widowControl w:val="1"/>
              <w:suppressLineNumbers w:val="0"/>
              <w:jc w:val="center"/>
              <w:textAlignment w:val="center"/>
              <w:rPr>
                <w:rFonts w:hint="default"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rPr>
              <w:t>台式计算机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default"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highlight w:val="none"/>
                <w:lang w:val="en-US" w:eastAsia="zh-CN"/>
              </w:rPr>
              <w:t>图形工作站</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11000.00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11000.00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工业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否</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eastAsia="zh-CN"/>
              </w:rPr>
            </w:pPr>
            <w:r>
              <w:rPr>
                <w:rFonts w:hint="eastAsia" w:ascii="楷体" w:hAnsi="楷体" w:eastAsia="楷体" w:cs="楷体"/>
                <w:b w:val="1"/>
                <w:bCs w:val="1"/>
                <w:color w:val="FF0000"/>
                <w:kern w:val="0"/>
                <w:sz w:val="21"/>
                <w:szCs w:val="21"/>
                <w:lang w:val="en-US" w:eastAsia="zh-CN"/>
              </w:rPr>
              <w:t>否</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1"/>
              <w:suppressLineNumbers w:val="0"/>
              <w:jc w:val="center"/>
              <w:textAlignment w:val="center"/>
              <w:rPr>
                <w:rFonts w:hint="eastAsia" w:ascii="楷体" w:hAnsi="楷体" w:eastAsia="楷体" w:cs="楷体"/>
                <w:color w:val="000000"/>
                <w:kern w:val="0"/>
                <w:sz w:val="21"/>
                <w:szCs w:val="21"/>
                <w:lang w:eastAsia="zh-CN"/>
              </w:rPr>
            </w:pPr>
            <w:r>
              <w:rPr>
                <w:rFonts w:hint="eastAsia" w:ascii="楷体" w:hAnsi="楷体" w:eastAsia="楷体" w:cs="楷体"/>
                <w:color w:val="000000"/>
                <w:kern w:val="0"/>
                <w:sz w:val="21"/>
                <w:szCs w:val="21"/>
                <w:lang w:val="en-US" w:eastAsia="zh-CN"/>
              </w:rPr>
              <w:t>是</w:t>
            </w:r>
          </w:p>
        </w:tc>
      </w:tr>
    </w:tbl>
    <w:p>
      <w:pPr>
        <w:spacing w:line="360" w:lineRule="auto"/>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w:t>
      </w:r>
      <w:r>
        <w:rPr>
          <w:rFonts w:hint="eastAsia" w:ascii="宋体" w:hAnsi="宋体" w:cs="宋体"/>
          <w:sz w:val="30"/>
          <w:szCs w:val="30"/>
        </w:rPr>
        <w:t>采购标的技术</w:t>
      </w:r>
      <w:r>
        <w:rPr>
          <w:rFonts w:hint="eastAsia" w:ascii="宋体" w:hAnsi="宋体" w:eastAsia="宋体" w:cs="宋体"/>
          <w:sz w:val="30"/>
          <w:szCs w:val="30"/>
        </w:rPr>
        <w:t>要求</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highlight w:val="yellow"/>
        </w:rPr>
        <w:t>原采购文件</w:t>
      </w:r>
      <w:r>
        <w:rPr>
          <w:rFonts w:hint="eastAsia" w:ascii="宋体" w:hAnsi="宋体" w:eastAsia="宋体" w:cs="宋体"/>
          <w:sz w:val="30"/>
          <w:szCs w:val="30"/>
          <w:highlight w:val="yellow"/>
          <w:lang w:val="en-US" w:eastAsia="zh-CN"/>
        </w:rPr>
        <w:t>:</w:t>
      </w:r>
    </w:p>
    <w:tbl>
      <w:tblPr>
        <w:tblStyle w:val="0000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798"/>
        <w:gridCol w:w="721"/>
        <w:gridCol w:w="8195"/>
      </w:tblGrid>
      <w:tr>
        <w:trPr>
          <w:jc w:val="center"/>
        </w:trPr>
        <w:tc>
          <w:tcPr>
            <w:tcW w:w="462"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序号</w:t>
            </w:r>
          </w:p>
        </w:tc>
        <w:tc>
          <w:tcPr>
            <w:tcW w:w="798"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标的名称</w:t>
            </w:r>
          </w:p>
        </w:tc>
        <w:tc>
          <w:tcPr>
            <w:tcW w:w="721"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星号指标</w:t>
            </w:r>
          </w:p>
        </w:tc>
        <w:tc>
          <w:tcPr>
            <w:tcW w:w="8195" w:type="dxa"/>
            <w:vAlign w:val="center"/>
          </w:tcPr>
          <w:p>
            <w:pPr>
              <w:wordWrap w:val="0"/>
              <w:jc w:val="center"/>
              <w:rPr>
                <w:rFonts w:ascii="楷体" w:hAnsi="楷体" w:eastAsia="楷体" w:cs="楷体"/>
                <w:sz w:val="24"/>
                <w:highlight w:val="magenta"/>
              </w:rPr>
            </w:pPr>
            <w:r>
              <w:rPr>
                <w:rFonts w:hint="eastAsia" w:ascii="楷体" w:hAnsi="楷体" w:eastAsia="楷体" w:cs="楷体"/>
                <w:sz w:val="24"/>
              </w:rPr>
              <w:t>技术参数与性能指标要求</w:t>
            </w:r>
          </w:p>
        </w:tc>
      </w:tr>
      <w:tr>
        <w:trPr>
          <w:jc w:val="center"/>
        </w:trPr>
        <w:tc>
          <w:tcPr>
            <w:tcW w:w="462" w:type="dxa"/>
            <w:shd w:val="clear" w:color="auto" w:fill="auto"/>
            <w:vAlign w:val="center"/>
          </w:tcPr>
          <w:p>
            <w:pPr>
              <w:widowControl w:val="1"/>
              <w:jc w:val="center"/>
              <w:textAlignment w:val="top"/>
              <w:rPr>
                <w:rFonts w:ascii="楷体" w:hAnsi="楷体" w:eastAsia="楷体" w:cs="楷体"/>
                <w:sz w:val="24"/>
              </w:rPr>
            </w:pPr>
            <w:r>
              <w:rPr>
                <w:rFonts w:hint="eastAsia" w:ascii="楷体" w:hAnsi="楷体" w:eastAsia="楷体" w:cs="楷体"/>
                <w:sz w:val="24"/>
              </w:rPr>
              <w:t>1</w:t>
            </w:r>
          </w:p>
        </w:tc>
        <w:tc>
          <w:tcPr>
            <w:tcW w:w="798" w:type="dxa"/>
            <w:shd w:val="clear" w:color="auto" w:fill="auto"/>
            <w:vAlign w:val="center"/>
          </w:tcPr>
          <w:p>
            <w:pPr>
              <w:widowControl w:val="1"/>
              <w:jc w:val="center"/>
              <w:textAlignment w:val="center"/>
              <w:rPr>
                <w:rFonts w:ascii="楷体" w:hAnsi="楷体" w:eastAsia="楷体" w:cs="楷体"/>
                <w:sz w:val="24"/>
              </w:rPr>
            </w:pPr>
            <w:r>
              <w:rPr>
                <w:rFonts w:hint="eastAsia" w:ascii="楷体" w:hAnsi="楷体" w:eastAsia="楷体" w:cs="楷体"/>
                <w:kern w:val="0"/>
                <w:sz w:val="24"/>
              </w:rPr>
              <w:t>台式计算机</w:t>
            </w:r>
          </w:p>
        </w:tc>
        <w:tc>
          <w:tcPr>
            <w:tcW w:w="721" w:type="dxa"/>
            <w:shd w:val="clear" w:color="auto" w:fill="auto"/>
            <w:vAlign w:val="center"/>
          </w:tcPr>
          <w:p>
            <w:pPr>
              <w:widowControl w:val="1"/>
              <w:jc w:val="center"/>
              <w:textAlignment w:val="center"/>
              <w:rPr>
                <w:rFonts w:ascii="楷体" w:hAnsi="楷体" w:eastAsia="楷体" w:cs="楷体"/>
                <w:kern w:val="0"/>
                <w:sz w:val="24"/>
                <w:lang w:bidi="ar"/>
              </w:rPr>
            </w:pPr>
            <w:r>
              <w:rPr>
                <w:rFonts w:hint="eastAsia" w:ascii="仿宋" w:hAnsi="仿宋" w:eastAsia="仿宋" w:cs="仿宋"/>
                <w:b w:val="1"/>
                <w:bCs w:val="1"/>
                <w:sz w:val="30"/>
                <w:szCs w:val="30"/>
              </w:rPr>
              <w:t>★</w:t>
            </w:r>
          </w:p>
        </w:tc>
        <w:tc>
          <w:tcPr>
            <w:tcW w:w="8195" w:type="dxa"/>
            <w:shd w:val="clear" w:color="auto" w:fill="auto"/>
            <w:vAlign w:val="center"/>
          </w:tcPr>
          <w:p>
            <w:pPr>
              <w:pStyle w:val="00001c"/>
              <w:jc w:val="both"/>
              <w:rPr>
                <w:rFonts w:hint="default" w:ascii="仿宋_GB2312" w:hAnsi="仿宋_GB2312" w:eastAsia="仿宋_GB2312" w:cs="仿宋_GB2312"/>
                <w:kern w:val="2"/>
                <w:sz w:val="24"/>
                <w:szCs w:val="22"/>
                <w:lang w:eastAsia="zh-CN"/>
              </w:rPr>
            </w:pPr>
            <w:r>
              <w:rPr>
                <w:rFonts w:ascii="仿宋_GB2312" w:hAnsi="仿宋_GB2312" w:eastAsia="仿宋_GB2312" w:cs="仿宋_GB2312"/>
                <w:kern w:val="2"/>
                <w:sz w:val="24"/>
                <w:szCs w:val="22"/>
              </w:rPr>
              <w:t>1、CPU 规格：物理核心数≥14 个，CPU 线程数≥20，CPU 主频≥2.5GHz，CPU 睿频≥4.8GHz，CPU 三级缓存≥24MB，CPU 支持的内存最高速率≥3200MT/s。投标人须在投标文件中载明台式计算机的 CPU 信息，包含 CPU 型号、物理核心数、主频、末级缓存容量、线程数、热设计功耗及内存的最高速率、通道数和位宽。</w:t>
            </w:r>
          </w:p>
          <w:p>
            <w:pPr>
              <w:pStyle w:val="00001c"/>
              <w:jc w:val="both"/>
              <w:rPr>
                <w:rFonts w:hint="default"/>
                <w:kern w:val="2"/>
                <w:sz w:val="21"/>
                <w:szCs w:val="22"/>
              </w:rPr>
            </w:pPr>
            <w:r>
              <w:rPr>
                <w:rFonts w:ascii="仿宋_GB2312" w:hAnsi="仿宋_GB2312" w:eastAsia="仿宋_GB2312" w:cs="仿宋_GB2312"/>
                <w:kern w:val="2"/>
                <w:sz w:val="24"/>
                <w:szCs w:val="22"/>
              </w:rPr>
              <w:t>2、内存规格：内存配置容量≥16GB，内存类型为 DDR4 及以上，内存条配置数量≥1。</w:t>
            </w:r>
          </w:p>
          <w:p>
            <w:pPr>
              <w:pStyle w:val="00001c"/>
              <w:jc w:val="both"/>
              <w:rPr>
                <w:rFonts w:hint="default"/>
                <w:kern w:val="2"/>
                <w:sz w:val="21"/>
                <w:szCs w:val="22"/>
              </w:rPr>
            </w:pPr>
            <w:r>
              <w:rPr>
                <w:rFonts w:ascii="仿宋_GB2312" w:hAnsi="仿宋_GB2312" w:eastAsia="仿宋_GB2312" w:cs="仿宋_GB2312"/>
                <w:kern w:val="2"/>
                <w:sz w:val="24"/>
                <w:szCs w:val="22"/>
              </w:rPr>
              <w:t>3、主板集成可信平台模块（TPM 2.0）、有线网卡、音频模块，主板的互联拓扑可通过处理器或交换电路实现；主板支持 DDR4 内存，配置≥2 个内存插槽；主板接口：≥2 个 SATA 接口、≥1 个 M.2 接口、≥1 个 PCIe x1、≥1 个 PCIe x16；单内存插槽最大可支持容量≥16GB，内存插槽满配时提供的最高内存总容量≥64GB。投标人须在投标文件中载明主板相关 SATA、M.2、USB 接口的数量及占用状态。</w:t>
            </w:r>
          </w:p>
          <w:p>
            <w:pPr>
              <w:pStyle w:val="00001c"/>
              <w:jc w:val="both"/>
              <w:rPr>
                <w:rFonts w:hint="default"/>
                <w:kern w:val="2"/>
                <w:sz w:val="21"/>
                <w:szCs w:val="22"/>
              </w:rPr>
            </w:pPr>
            <w:r>
              <w:rPr>
                <w:rFonts w:ascii="仿宋_GB2312" w:hAnsi="仿宋_GB2312" w:eastAsia="仿宋_GB2312" w:cs="仿宋_GB2312"/>
                <w:kern w:val="2"/>
                <w:sz w:val="24"/>
                <w:szCs w:val="22"/>
              </w:rPr>
              <w:t>4、存储设备规格：固态盘数量≥1 个，固态存储容量≥512GB，采用 M.2 NVMe 接口，支持机械硬盘扩展，支持硬盘故障前自检和告警。存储设备其他参数要求：a) 固态盘应符合 SJ/T11654 相关规定；b) 机械硬盘准备时间应不大于 30s，侧面固定螺丝孔数量可为 4 孔或 6 孔，工作状态环境温度应满足 5-55℃，其它参数应符合 GB/T12628 相关规定。</w:t>
            </w:r>
          </w:p>
          <w:p>
            <w:pPr>
              <w:pStyle w:val="00001c"/>
              <w:jc w:val="both"/>
              <w:rPr>
                <w:rFonts w:hint="default"/>
                <w:kern w:val="2"/>
                <w:sz w:val="21"/>
                <w:szCs w:val="22"/>
              </w:rPr>
            </w:pPr>
            <w:r>
              <w:rPr>
                <w:rFonts w:ascii="仿宋_GB2312" w:hAnsi="仿宋_GB2312" w:eastAsia="仿宋_GB2312" w:cs="仿宋_GB2312"/>
                <w:kern w:val="2"/>
                <w:sz w:val="24"/>
                <w:szCs w:val="22"/>
              </w:rPr>
              <w:t>5、显卡规格：显卡类型：集成显卡。</w:t>
            </w:r>
          </w:p>
          <w:p>
            <w:pPr>
              <w:pStyle w:val="00001c"/>
              <w:jc w:val="both"/>
              <w:rPr>
                <w:rFonts w:hint="default"/>
                <w:kern w:val="2"/>
                <w:sz w:val="21"/>
                <w:szCs w:val="22"/>
              </w:rPr>
            </w:pPr>
            <w:r>
              <w:rPr>
                <w:rFonts w:ascii="仿宋_GB2312" w:hAnsi="仿宋_GB2312" w:eastAsia="仿宋_GB2312" w:cs="仿宋_GB2312"/>
                <w:kern w:val="2"/>
                <w:sz w:val="24"/>
                <w:szCs w:val="22"/>
              </w:rPr>
              <w:t>6、显示设备规格：显示屏尺寸≥23.8 英寸、宽屏 LED 背光 IPS 液晶显示器；显示屏屏占比≥80%，显示屏分辨率 ≥1920×1080，显示屏屏幕比例 16:9，显示器外观颜色：黑色。显示屏开启防蓝光模式后，蓝光加权辐射亮度比应≤0.0012W/(cd・sr)（瓦每坎特拉每球面度）；显示屏应支持低频闪≤-35dB，具备防炫目效果，显示屏镜面反射率≤10%。</w:t>
            </w:r>
          </w:p>
          <w:p>
            <w:pPr>
              <w:pStyle w:val="00001c"/>
              <w:jc w:val="both"/>
              <w:rPr>
                <w:rFonts w:hint="default"/>
                <w:kern w:val="2"/>
                <w:sz w:val="21"/>
                <w:szCs w:val="22"/>
              </w:rPr>
            </w:pPr>
            <w:r>
              <w:rPr>
                <w:rFonts w:ascii="仿宋_GB2312" w:hAnsi="仿宋_GB2312" w:eastAsia="仿宋_GB2312" w:cs="仿宋_GB2312"/>
                <w:kern w:val="2"/>
                <w:sz w:val="24"/>
                <w:szCs w:val="22"/>
              </w:rPr>
              <w:t>7、外设规格：配置有线键盘、有线鼠标各≥1 个，均为黑色。键盘为 104 键，键程 2.3-4.0mm，按键压力 0.54N±0.14N，连接线长度≥1.5 米；鼠标 DPI 分辨率为 800-1600，连接线长度≥1.5 米，鼠标其它参数应符合 GB/T26245 的相关规定。</w:t>
            </w:r>
            <w:r>
              <w:rPr>
                <w:rFonts w:ascii="仿宋" w:hAnsi="仿宋" w:eastAsia="仿宋" w:cs="仿宋"/>
                <w:b w:val="1"/>
                <w:bCs w:val="1"/>
                <w:kern w:val="2"/>
                <w:sz w:val="24"/>
                <w:szCs w:val="24"/>
              </w:rPr>
              <w:t>（</w:t>
            </w:r>
            <w:r>
              <w:rPr>
                <w:rFonts w:ascii="仿宋_GB2312" w:hAnsi="仿宋_GB2312" w:eastAsia="仿宋_GB2312" w:cs="仿宋_GB2312"/>
                <w:b w:val="1"/>
                <w:bCs w:val="1"/>
                <w:kern w:val="2"/>
                <w:sz w:val="24"/>
                <w:szCs w:val="22"/>
              </w:rPr>
              <w:t>说明：</w:t>
            </w:r>
            <w:r>
              <w:rPr>
                <w:rFonts w:ascii="仿宋" w:hAnsi="仿宋" w:eastAsia="仿宋" w:cs="仿宋"/>
                <w:b w:val="1"/>
                <w:bCs w:val="1"/>
                <w:kern w:val="2"/>
                <w:sz w:val="24"/>
                <w:szCs w:val="24"/>
                <w:lang w:eastAsia="zh-CN"/>
              </w:rPr>
              <w:t>供应商</w:t>
            </w:r>
            <w:r>
              <w:rPr>
                <w:rFonts w:ascii="仿宋" w:hAnsi="仿宋" w:eastAsia="仿宋" w:cs="仿宋"/>
                <w:b w:val="1"/>
                <w:bCs w:val="1"/>
                <w:kern w:val="2"/>
                <w:sz w:val="24"/>
                <w:szCs w:val="24"/>
              </w:rPr>
              <w:t>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8、网络设备规格：集成 PCIe 1000M 有线网卡≥1 块。</w:t>
            </w:r>
          </w:p>
          <w:p>
            <w:pPr>
              <w:pStyle w:val="00001c"/>
              <w:jc w:val="both"/>
              <w:rPr>
                <w:rFonts w:hint="default"/>
                <w:kern w:val="2"/>
                <w:sz w:val="21"/>
                <w:szCs w:val="22"/>
              </w:rPr>
            </w:pPr>
            <w:r>
              <w:rPr>
                <w:rFonts w:ascii="仿宋_GB2312" w:hAnsi="仿宋_GB2312" w:eastAsia="仿宋_GB2312" w:cs="仿宋_GB2312"/>
                <w:kern w:val="2"/>
                <w:sz w:val="24"/>
                <w:szCs w:val="22"/>
              </w:rPr>
              <w:t>9、外部接口规格：≥</w:t>
            </w:r>
            <w:r>
              <w:rPr>
                <w:rFonts w:ascii="仿宋_GB2312" w:hAnsi="仿宋_GB2312" w:eastAsia="仿宋_GB2312" w:cs="仿宋_GB2312"/>
                <w:kern w:val="2"/>
                <w:sz w:val="24"/>
                <w:szCs w:val="22"/>
                <w:lang w:eastAsia="zh-CN"/>
              </w:rPr>
              <w:t>8</w:t>
            </w:r>
            <w:r>
              <w:rPr>
                <w:rFonts w:ascii="仿宋_GB2312" w:hAnsi="仿宋_GB2312" w:eastAsia="仿宋_GB2312" w:cs="仿宋_GB2312"/>
                <w:kern w:val="2"/>
                <w:sz w:val="24"/>
                <w:szCs w:val="22"/>
              </w:rPr>
              <w:t>个 USB 接口（其中 USB 3.2 及以上端口≥</w:t>
            </w:r>
            <w:r>
              <w:rPr>
                <w:rFonts w:ascii="仿宋_GB2312" w:hAnsi="仿宋_GB2312" w:eastAsia="仿宋_GB2312" w:cs="仿宋_GB2312"/>
                <w:kern w:val="2"/>
                <w:sz w:val="24"/>
                <w:szCs w:val="22"/>
                <w:lang w:eastAsia="zh-CN"/>
              </w:rPr>
              <w:t>6</w:t>
            </w:r>
            <w:r>
              <w:rPr>
                <w:rFonts w:ascii="仿宋_GB2312" w:hAnsi="仿宋_GB2312" w:eastAsia="仿宋_GB2312" w:cs="仿宋_GB2312"/>
                <w:kern w:val="2"/>
                <w:sz w:val="24"/>
                <w:szCs w:val="22"/>
              </w:rPr>
              <w:t xml:space="preserve"> 个，含 1 个 USB-C 端口）；视频接口数量：≥2 个（HDMI、DP、VGA 等接口任选两种及以上）；音频接口数量：≥3 个（前置 1 个耳麦通用插孔，后置 1 个音频输入、1 个音频输出，支持 3.5mm 孔径 3 段式或 4 段式接口）；HDMI、DP、USB-C 接口支持音视频同步输出。</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10、整机基础规格：</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①整机外观：a) 产品表面不应有凹痕、划伤、裂缝、变形和污染等。表面涂层均匀，不应起泡、龟裂、脱落和磨损，金属零部件无锈蚀及其它机械损伤；b) 产品表面说明功能的文字、符号、标志，应清晰、端正、牢固。在产品显著位置设置运行状态指示灯，供应商须提供指示灯详细参数。</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②整机结构:⑴机箱应符合 GB/T4208、GB/T26246 相关规定，机箱防护等级满足 GB/T4208 中 IP20 要求；⑵产品内部结构应符合通用部件的安装需求；⑶所有输入输出接口应符合相关国家或行业标准；⑷产品零部件应紧固无松动，可插拔部件应可靠连接，开关、按钮和其它控制部件应灵活可靠，布局应方便使用；⑸所有 I/O 连接器及需插接线缆的部位应预留采购人操作空间，方便插拔解锁与插拔线缆；⑹可插拔板卡插槽部位应预留安装、拆卸或更换板卡空间；⑺拆装可能接触到的金属剪口或金属尖角部位应做防划伤处理，以保证安全；⑻整机内部走线规整，固线结构和位置合理可靠并做防割线处理，便于理线和插拔操作，走线不得影响系统各主要部件组装和拆卸；⑼如需通过孔走线，过线孔应做防割线处理；⑽各插头位置和插拔方向合理，做到插拔无障碍设计，具备防呆设计，有效避免误操作；⑾各主要部件拆装无障碍，使用常规工具拆装，无特殊拆装工具需求；⑿各主要部件拆装步骤精简，各部件拆装互不干扰；⒀对于整机或零部件外表面为高亮面的，应粘贴保护膜，保护膜粘贴牢固，运输、组装等过程不易脱落，撕下无残留；⒁其它要求应符合 GB/T9813.1 的相关规定。</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③整机噪音：产品工作在空闲状态下，声功率级应不超过 45dB。</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④整机散热：在环境温度 25℃及处理器满载情况下，产品表面温度应符合如下要求：a) 出风口在机箱后面板情况下，出风口温度不高于 55℃;b) 可触及面温度不高于 45℃。</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⑤外观尺寸：机身材质为塑料 / 金属，机身颜色为黑色；机箱体积 15 升～30L。</w:t>
            </w:r>
          </w:p>
          <w:p>
            <w:pPr>
              <w:pStyle w:val="00001c"/>
              <w:jc w:val="both"/>
              <w:rPr>
                <w:rFonts w:hint="default"/>
                <w:strike w:val="1"/>
                <w:kern w:val="2"/>
                <w:sz w:val="21"/>
                <w:szCs w:val="22"/>
              </w:rPr>
            </w:pP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1</w:t>
            </w:r>
            <w:r>
              <w:rPr>
                <w:rFonts w:ascii="仿宋_GB2312" w:hAnsi="仿宋_GB2312" w:eastAsia="仿宋_GB2312" w:cs="仿宋_GB2312"/>
                <w:kern w:val="2"/>
                <w:sz w:val="24"/>
                <w:szCs w:val="22"/>
                <w:lang w:eastAsia="zh-CN"/>
              </w:rPr>
              <w:t>1</w:t>
            </w:r>
            <w:r>
              <w:rPr>
                <w:rFonts w:ascii="仿宋_GB2312" w:hAnsi="仿宋_GB2312" w:eastAsia="仿宋_GB2312" w:cs="仿宋_GB2312"/>
                <w:kern w:val="2"/>
                <w:sz w:val="24"/>
                <w:szCs w:val="22"/>
              </w:rPr>
              <w:t>、显卡性能：显示分辨率≥1920×1080，显卡显示芯片核心频率≥300MHz，显存等效频率≥1000MT/s；显卡支持 2 块屏幕同时显示，单屏分辨率不低于 1920×1080。</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1</w:t>
            </w:r>
            <w:r>
              <w:rPr>
                <w:rFonts w:ascii="仿宋_GB2312" w:hAnsi="仿宋_GB2312" w:eastAsia="仿宋_GB2312" w:cs="仿宋_GB2312"/>
                <w:kern w:val="2"/>
                <w:sz w:val="24"/>
                <w:szCs w:val="22"/>
                <w:lang w:eastAsia="zh-CN"/>
              </w:rPr>
              <w:t>2</w:t>
            </w:r>
            <w:r>
              <w:rPr>
                <w:rFonts w:ascii="仿宋_GB2312" w:hAnsi="仿宋_GB2312" w:eastAsia="仿宋_GB2312" w:cs="仿宋_GB2312"/>
                <w:kern w:val="2"/>
                <w:sz w:val="24"/>
                <w:szCs w:val="22"/>
              </w:rPr>
              <w:t>、显示设备性能：显示屏刷新率≥75Hz，显示屏位深≥8 位，显示屏色域≥99% sRGB，显示屏色准△E≤4，显示屏响应时间≤8ms，显示屏亮度≥250 尼特，显示屏亮度一致性≥70%，显示屏对比度≥1000：1；显示屏其他参数应符合 SJ/T11292 的相关规定。</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1</w:t>
            </w:r>
            <w:r>
              <w:rPr>
                <w:rFonts w:ascii="仿宋_GB2312" w:hAnsi="仿宋_GB2312" w:eastAsia="仿宋_GB2312" w:cs="仿宋_GB2312"/>
                <w:kern w:val="2"/>
                <w:sz w:val="24"/>
                <w:szCs w:val="22"/>
                <w:lang w:eastAsia="zh-CN"/>
              </w:rPr>
              <w:t>3</w:t>
            </w:r>
            <w:r>
              <w:rPr>
                <w:rFonts w:ascii="仿宋_GB2312" w:hAnsi="仿宋_GB2312" w:eastAsia="仿宋_GB2312" w:cs="仿宋_GB2312"/>
                <w:kern w:val="2"/>
                <w:sz w:val="24"/>
                <w:szCs w:val="22"/>
              </w:rPr>
              <w:t>、网络设备性能：有线网卡最高速率不低于 1000Mbps，支持 10Mbps、100Mbps、1000Mbps 速率自适应。</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1</w:t>
            </w:r>
            <w:r>
              <w:rPr>
                <w:rFonts w:ascii="仿宋_GB2312" w:hAnsi="仿宋_GB2312" w:eastAsia="仿宋_GB2312" w:cs="仿宋_GB2312"/>
                <w:kern w:val="2"/>
                <w:sz w:val="24"/>
                <w:szCs w:val="22"/>
                <w:lang w:eastAsia="zh-CN"/>
              </w:rPr>
              <w:t>4</w:t>
            </w:r>
            <w:r>
              <w:rPr>
                <w:rFonts w:ascii="仿宋_GB2312" w:hAnsi="仿宋_GB2312" w:eastAsia="仿宋_GB2312" w:cs="仿宋_GB2312"/>
                <w:kern w:val="2"/>
                <w:sz w:val="24"/>
                <w:szCs w:val="22"/>
              </w:rPr>
              <w:t>、主板功能：内存扩展接口≥2 个；主板支持 USB 瞬间过流保护、防静电保护；可实现 USB 外设连接、音频扩展、PCIe 板卡扩展、外接显示器、存储扩容等功能，整机 I/O 接口可正常外接 USB 设备、显示器、音频设备等内外设备。</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1</w:t>
            </w:r>
            <w:r>
              <w:rPr>
                <w:rFonts w:ascii="仿宋_GB2312" w:hAnsi="仿宋_GB2312" w:eastAsia="仿宋_GB2312" w:cs="仿宋_GB2312"/>
                <w:kern w:val="2"/>
                <w:sz w:val="24"/>
                <w:szCs w:val="22"/>
                <w:lang w:eastAsia="zh-CN"/>
              </w:rPr>
              <w:t>5</w:t>
            </w:r>
            <w:r>
              <w:rPr>
                <w:rFonts w:ascii="仿宋_GB2312" w:hAnsi="仿宋_GB2312" w:eastAsia="仿宋_GB2312" w:cs="仿宋_GB2312"/>
                <w:kern w:val="2"/>
                <w:sz w:val="24"/>
                <w:szCs w:val="22"/>
              </w:rPr>
              <w:t>、显卡功能：显卡外接显示接口至少支持 VGA、HDMI、DVI、DP、Type-C 中 1 种显示接口，并与显示器接口相匹配。</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lang w:eastAsia="zh-CN"/>
              </w:rPr>
              <w:t>16</w:t>
            </w:r>
            <w:r>
              <w:rPr>
                <w:rFonts w:ascii="仿宋_GB2312" w:hAnsi="仿宋_GB2312" w:eastAsia="仿宋_GB2312" w:cs="仿宋_GB2312"/>
                <w:kern w:val="2"/>
                <w:sz w:val="24"/>
                <w:szCs w:val="22"/>
              </w:rPr>
              <w:t>、显示设备功能：显示器视频接口与主机视频接口相匹配；标配显示器支架；配备 OSD 选单按钮，可调节色彩、模式、色温、亮度、对比度；背部设置 1 个三合一按钮，可一键调整显示器亮度、分辨率、音量；显示器带有独立防盗密码保护功能。</w:t>
            </w:r>
            <w:r>
              <w:rPr>
                <w:rFonts w:ascii="仿宋_GB2312" w:hAnsi="仿宋_GB2312" w:eastAsia="仿宋_GB2312" w:cs="仿宋_GB2312"/>
                <w:b w:val="1"/>
                <w:bCs w:val="1"/>
                <w:kern w:val="2"/>
                <w:sz w:val="24"/>
                <w:szCs w:val="22"/>
              </w:rPr>
              <w:t>（说明：供应商在响应文件中提供产品彩页或技术白皮书等有效证明材料）</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1</w:t>
            </w:r>
            <w:r>
              <w:rPr>
                <w:rFonts w:ascii="仿宋_GB2312" w:hAnsi="仿宋_GB2312" w:eastAsia="仿宋_GB2312" w:cs="仿宋_GB2312"/>
                <w:kern w:val="2"/>
                <w:sz w:val="24"/>
                <w:szCs w:val="22"/>
                <w:lang w:eastAsia="zh-CN"/>
              </w:rPr>
              <w:t>7</w:t>
            </w:r>
            <w:r>
              <w:rPr>
                <w:rFonts w:ascii="仿宋_GB2312" w:hAnsi="仿宋_GB2312" w:eastAsia="仿宋_GB2312" w:cs="仿宋_GB2312"/>
                <w:kern w:val="2"/>
                <w:sz w:val="24"/>
                <w:szCs w:val="22"/>
              </w:rPr>
              <w:t>、网络设备功能：支持网络连接、启停、访问与数据交换，具备数据传输、数据流量及异常日志记录功能；有线网卡采用 RJ45 接口，有线网卡、无线网卡、蓝牙模块支持物理拆装。</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1</w:t>
            </w:r>
            <w:r>
              <w:rPr>
                <w:rFonts w:ascii="仿宋_GB2312" w:hAnsi="仿宋_GB2312" w:eastAsia="仿宋_GB2312" w:cs="仿宋_GB2312"/>
                <w:kern w:val="2"/>
                <w:sz w:val="24"/>
                <w:szCs w:val="22"/>
                <w:lang w:eastAsia="zh-CN"/>
              </w:rPr>
              <w:t>8</w:t>
            </w:r>
            <w:r>
              <w:rPr>
                <w:rFonts w:ascii="仿宋_GB2312" w:hAnsi="仿宋_GB2312" w:eastAsia="仿宋_GB2312" w:cs="仿宋_GB2312"/>
                <w:kern w:val="2"/>
                <w:sz w:val="24"/>
                <w:szCs w:val="22"/>
              </w:rPr>
              <w:t>、中文信息处理要求：中文信息处理符合 GB18030 的相关规定。</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lang w:eastAsia="zh-CN"/>
              </w:rPr>
              <w:t>19</w:t>
            </w:r>
            <w:r>
              <w:rPr>
                <w:rFonts w:ascii="仿宋_GB2312" w:hAnsi="仿宋_GB2312" w:eastAsia="仿宋_GB2312" w:cs="仿宋_GB2312"/>
                <w:kern w:val="2"/>
                <w:sz w:val="24"/>
                <w:szCs w:val="22"/>
              </w:rPr>
              <w:t>、操作系统及软件功能：支持操作系统、固件的备份与还原；可通过网络、闪存盘完成操作系统、驱动、固件升级；BIOS 可关闭以太网、USB 等通讯接口；支持查看固件版本、内存、主板、处理器、系统时间等信息；支持自定义启动顺序、设置/修改/验证开机口令、开启/关闭网络引导功能。</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2</w:t>
            </w:r>
            <w:r>
              <w:rPr>
                <w:rFonts w:ascii="仿宋_GB2312" w:hAnsi="仿宋_GB2312" w:eastAsia="仿宋_GB2312" w:cs="仿宋_GB2312"/>
                <w:kern w:val="2"/>
                <w:sz w:val="24"/>
                <w:szCs w:val="22"/>
                <w:lang w:eastAsia="zh-CN"/>
              </w:rPr>
              <w:t>0</w:t>
            </w:r>
            <w:r>
              <w:rPr>
                <w:rFonts w:ascii="仿宋_GB2312" w:hAnsi="仿宋_GB2312" w:eastAsia="仿宋_GB2312" w:cs="仿宋_GB2312"/>
                <w:kern w:val="2"/>
                <w:sz w:val="24"/>
                <w:szCs w:val="22"/>
              </w:rPr>
              <w:t>、存储设备可靠性：512GB 固态硬盘 TBW 寿命≥200TB。</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2</w:t>
            </w:r>
            <w:r>
              <w:rPr>
                <w:rFonts w:ascii="仿宋_GB2312" w:hAnsi="仿宋_GB2312" w:eastAsia="仿宋_GB2312" w:cs="仿宋_GB2312"/>
                <w:kern w:val="2"/>
                <w:sz w:val="24"/>
                <w:szCs w:val="22"/>
                <w:lang w:eastAsia="zh-CN"/>
              </w:rPr>
              <w:t>1</w:t>
            </w:r>
            <w:r>
              <w:rPr>
                <w:rFonts w:ascii="仿宋_GB2312" w:hAnsi="仿宋_GB2312" w:eastAsia="仿宋_GB2312" w:cs="仿宋_GB2312"/>
                <w:kern w:val="2"/>
                <w:sz w:val="24"/>
                <w:szCs w:val="22"/>
              </w:rPr>
              <w:t>、显示设备可靠性：显示屏屏幕失效点符合GB/T9813.2的要求。</w:t>
            </w:r>
            <w:r>
              <w:rPr>
                <w:rFonts w:ascii="仿宋" w:hAnsi="仿宋" w:eastAsia="仿宋" w:cs="仿宋"/>
                <w:b w:val="1"/>
                <w:bCs w:val="1"/>
                <w:kern w:val="2"/>
                <w:sz w:val="24"/>
                <w:szCs w:val="24"/>
              </w:rPr>
              <w:t>（</w:t>
            </w:r>
            <w:r>
              <w:rPr>
                <w:rFonts w:ascii="仿宋_GB2312" w:hAnsi="仿宋_GB2312" w:eastAsia="仿宋_GB2312" w:cs="仿宋_GB2312"/>
                <w:b w:val="1"/>
                <w:bCs w:val="1"/>
                <w:kern w:val="2"/>
                <w:sz w:val="24"/>
                <w:szCs w:val="22"/>
              </w:rPr>
              <w:t>说明：</w:t>
            </w:r>
            <w:r>
              <w:rPr>
                <w:rFonts w:ascii="仿宋" w:hAnsi="仿宋" w:eastAsia="仿宋" w:cs="仿宋"/>
                <w:b w:val="1"/>
                <w:bCs w:val="1"/>
                <w:kern w:val="2"/>
                <w:sz w:val="24"/>
                <w:szCs w:val="24"/>
                <w:lang w:eastAsia="zh-CN"/>
              </w:rPr>
              <w:t>供应商</w:t>
            </w:r>
            <w:r>
              <w:rPr>
                <w:rFonts w:ascii="仿宋" w:hAnsi="仿宋" w:eastAsia="仿宋" w:cs="仿宋"/>
                <w:b w:val="1"/>
                <w:bCs w:val="1"/>
                <w:kern w:val="2"/>
                <w:sz w:val="24"/>
                <w:szCs w:val="24"/>
              </w:rPr>
              <w:t>在响应文件中提供承诺函，格式自拟）</w:t>
            </w:r>
          </w:p>
          <w:p>
            <w:pPr>
              <w:pStyle w:val="00001c"/>
              <w:jc w:val="both"/>
              <w:rPr>
                <w:rFonts w:hint="default" w:eastAsia="宋体"/>
                <w:strike w:val="1"/>
                <w:kern w:val="2"/>
                <w:sz w:val="21"/>
                <w:szCs w:val="22"/>
                <w:lang w:eastAsia="zh-CN"/>
              </w:rPr>
            </w:pPr>
            <w:r>
              <w:rPr>
                <w:rFonts w:ascii="仿宋_GB2312" w:hAnsi="仿宋_GB2312" w:eastAsia="仿宋_GB2312" w:cs="仿宋_GB2312"/>
                <w:kern w:val="2"/>
                <w:sz w:val="24"/>
                <w:szCs w:val="22"/>
              </w:rPr>
              <w:t>2</w:t>
            </w:r>
            <w:r>
              <w:rPr>
                <w:rFonts w:ascii="仿宋_GB2312" w:hAnsi="仿宋_GB2312" w:eastAsia="仿宋_GB2312" w:cs="仿宋_GB2312"/>
                <w:kern w:val="2"/>
                <w:sz w:val="24"/>
                <w:szCs w:val="22"/>
                <w:lang w:eastAsia="zh-CN"/>
              </w:rPr>
              <w:t>2</w:t>
            </w:r>
            <w:r>
              <w:rPr>
                <w:rFonts w:ascii="仿宋_GB2312" w:hAnsi="仿宋_GB2312" w:eastAsia="仿宋_GB2312" w:cs="仿宋_GB2312"/>
                <w:kern w:val="2"/>
                <w:sz w:val="24"/>
                <w:szCs w:val="22"/>
              </w:rPr>
              <w:t>、兼容要求：支持流式、版式、浏览器、邮件客户端、解压、多媒体、图形图像处理等常用软件；兼容不少于 3 个厂商的数据库产品、不少于 3 个厂商的中间件产品、不少于 3 个厂商的云计算及大数据平台。</w:t>
            </w:r>
            <w:r>
              <w:rPr>
                <w:rFonts w:ascii="仿宋" w:hAnsi="仿宋" w:eastAsia="仿宋" w:cs="仿宋"/>
                <w:b w:val="1"/>
                <w:bCs w:val="1"/>
                <w:kern w:val="2"/>
                <w:sz w:val="24"/>
                <w:szCs w:val="24"/>
              </w:rPr>
              <w:t>（</w:t>
            </w:r>
            <w:r>
              <w:rPr>
                <w:rFonts w:ascii="仿宋_GB2312" w:hAnsi="仿宋_GB2312" w:eastAsia="仿宋_GB2312" w:cs="仿宋_GB2312"/>
                <w:b w:val="1"/>
                <w:bCs w:val="1"/>
                <w:kern w:val="2"/>
                <w:sz w:val="24"/>
                <w:szCs w:val="22"/>
              </w:rPr>
              <w:t>说明：</w:t>
            </w:r>
            <w:r>
              <w:rPr>
                <w:rFonts w:ascii="仿宋" w:hAnsi="仿宋" w:eastAsia="仿宋" w:cs="仿宋"/>
                <w:b w:val="1"/>
                <w:bCs w:val="1"/>
                <w:kern w:val="2"/>
                <w:sz w:val="24"/>
                <w:szCs w:val="24"/>
                <w:lang w:eastAsia="zh-CN"/>
              </w:rPr>
              <w:t>供应商</w:t>
            </w:r>
            <w:r>
              <w:rPr>
                <w:rFonts w:ascii="仿宋" w:hAnsi="仿宋" w:eastAsia="仿宋" w:cs="仿宋"/>
                <w:b w:val="1"/>
                <w:bCs w:val="1"/>
                <w:kern w:val="2"/>
                <w:sz w:val="24"/>
                <w:szCs w:val="24"/>
              </w:rPr>
              <w:t>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2</w:t>
            </w:r>
            <w:r>
              <w:rPr>
                <w:rFonts w:ascii="仿宋_GB2312" w:hAnsi="仿宋_GB2312" w:eastAsia="仿宋_GB2312" w:cs="仿宋_GB2312"/>
                <w:kern w:val="2"/>
                <w:sz w:val="24"/>
                <w:szCs w:val="22"/>
                <w:lang w:eastAsia="zh-CN"/>
              </w:rPr>
              <w:t>3</w:t>
            </w:r>
            <w:r>
              <w:rPr>
                <w:rFonts w:ascii="仿宋_GB2312" w:hAnsi="仿宋_GB2312" w:eastAsia="仿宋_GB2312" w:cs="仿宋_GB2312"/>
                <w:kern w:val="2"/>
                <w:sz w:val="24"/>
                <w:szCs w:val="22"/>
              </w:rPr>
              <w:t>、外设可靠性：键盘按键寿命≥1000 万次，鼠标按键寿命≥500 万次；键盘、鼠标线材经 ±60° 弯折测试不少于 3000 次，测试后功能、外观完好；机箱风扇寿命≥4 万小时。</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2</w:t>
            </w:r>
            <w:r>
              <w:rPr>
                <w:rFonts w:ascii="仿宋_GB2312" w:hAnsi="仿宋_GB2312" w:eastAsia="仿宋_GB2312" w:cs="仿宋_GB2312"/>
                <w:kern w:val="2"/>
                <w:sz w:val="24"/>
                <w:szCs w:val="22"/>
                <w:lang w:eastAsia="zh-CN"/>
              </w:rPr>
              <w:t>4</w:t>
            </w:r>
            <w:r>
              <w:rPr>
                <w:rFonts w:ascii="仿宋_GB2312" w:hAnsi="仿宋_GB2312" w:eastAsia="仿宋_GB2312" w:cs="仿宋_GB2312"/>
                <w:kern w:val="2"/>
                <w:sz w:val="24"/>
                <w:szCs w:val="22"/>
              </w:rPr>
              <w:t>、整机可靠性要求：电磁兼容抗扰度符合 GB/T9254.2；气候、振动、冲击、碰撞、运输包装件跌落等环境适应性均符合 GB/T9813.1；整机 MTBF (m1)≥</w:t>
            </w:r>
            <w:r>
              <w:rPr>
                <w:rFonts w:ascii="仿宋_GB2312" w:hAnsi="仿宋_GB2312" w:eastAsia="仿宋_GB2312" w:cs="仿宋_GB2312"/>
                <w:kern w:val="2"/>
                <w:sz w:val="24"/>
                <w:szCs w:val="22"/>
                <w:lang w:eastAsia="zh-CN"/>
              </w:rPr>
              <w:t>110</w:t>
            </w:r>
            <w:r>
              <w:rPr>
                <w:rFonts w:ascii="仿宋_GB2312" w:hAnsi="仿宋_GB2312" w:eastAsia="仿宋_GB2312" w:cs="仿宋_GB2312"/>
                <w:kern w:val="2"/>
                <w:sz w:val="24"/>
                <w:szCs w:val="22"/>
              </w:rPr>
              <w:t>万小时。</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lang w:eastAsia="zh-CN"/>
              </w:rPr>
              <w:t>25</w:t>
            </w:r>
            <w:r>
              <w:rPr>
                <w:rFonts w:ascii="仿宋_GB2312" w:hAnsi="仿宋_GB2312" w:eastAsia="仿宋_GB2312" w:cs="仿宋_GB2312"/>
                <w:kern w:val="2"/>
                <w:sz w:val="24"/>
                <w:szCs w:val="22"/>
              </w:rPr>
              <w:t>、整机安全性要求：密码算法要求：CPU 芯片符合 GM/T0008，或芯片密码模块符合 GB/T37092、GM/T0028（满足其一即可）。信息安全基本要求：a) 产品应符合 GB/T39276 第 5.2 条规定；b) 生产厂商应建立漏洞跟踪表，产品相关漏洞可查询；c) 产品不得包含已知恶意代码、高危漏洞，无未声明指令、功能、接口。支持固件安全启动，启动需通过校验；产品限用物质限量符合 GB/T26572 规定。</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lang w:eastAsia="zh-CN"/>
              </w:rPr>
            </w:pPr>
            <w:r>
              <w:rPr>
                <w:rFonts w:ascii="仿宋_GB2312" w:hAnsi="仿宋_GB2312" w:eastAsia="仿宋_GB2312" w:cs="仿宋_GB2312"/>
                <w:kern w:val="2"/>
                <w:sz w:val="24"/>
                <w:szCs w:val="22"/>
                <w:lang w:eastAsia="zh-CN"/>
              </w:rPr>
              <w:t>26、电源：额定功率≥180W，配备电源管理系统；电源适配器电线组件应符合 GB/T 15934 的要求。</w:t>
            </w:r>
            <w:r>
              <w:rPr>
                <w:rFonts w:ascii="仿宋_GB2312" w:hAnsi="仿宋_GB2312" w:eastAsia="仿宋_GB2312" w:cs="仿宋_GB2312"/>
                <w:b w:val="1"/>
                <w:bCs w:val="1"/>
                <w:kern w:val="2"/>
                <w:sz w:val="24"/>
                <w:szCs w:val="22"/>
                <w:lang w:eastAsia="zh-CN"/>
              </w:rPr>
              <w:t>（说明：供应商在响应文件中提供产品彩页或技术白皮书等有效证明材料）</w:t>
            </w:r>
          </w:p>
          <w:p>
            <w:pPr>
              <w:pStyle w:val="00001c"/>
              <w:jc w:val="both"/>
              <w:rPr>
                <w:rFonts w:hint="default" w:ascii="仿宋" w:hAnsi="仿宋" w:eastAsia="仿宋" w:cs="仿宋"/>
                <w:kern w:val="2"/>
                <w:sz w:val="24"/>
                <w:szCs w:val="24"/>
              </w:rPr>
            </w:pPr>
            <w:r>
              <w:rPr>
                <w:rFonts w:ascii="仿宋" w:hAnsi="仿宋" w:eastAsia="仿宋" w:cs="仿宋"/>
                <w:kern w:val="2"/>
                <w:sz w:val="24"/>
                <w:szCs w:val="24"/>
                <w:lang w:eastAsia="zh-CN"/>
              </w:rPr>
              <w:t>27、</w:t>
            </w:r>
            <w:r>
              <w:rPr>
                <w:rFonts w:ascii="仿宋" w:hAnsi="仿宋" w:eastAsia="仿宋" w:cs="仿宋"/>
                <w:kern w:val="2"/>
                <w:sz w:val="24"/>
                <w:szCs w:val="24"/>
              </w:rPr>
              <w:t>随机预装电脑终端管理系统软件，需具备以下全部功能：1. 硬件性能优化、硬件运行诊断；2. 故障排除向导；3. 病毒查杀、系统安全检测；4. 驱动更新；5. 网络修复诊断；6. 自动识别设备品牌、型号、序列号、保修起止信息。</w:t>
            </w:r>
            <w:r>
              <w:rPr>
                <w:rFonts w:ascii="仿宋" w:hAnsi="仿宋" w:eastAsia="仿宋" w:cs="仿宋"/>
                <w:b w:val="1"/>
                <w:bCs w:val="1"/>
                <w:kern w:val="2"/>
                <w:sz w:val="24"/>
                <w:szCs w:val="24"/>
              </w:rPr>
              <w:t>（说明：供应商在响应文件中提供以上 6 项功能截图）</w:t>
            </w:r>
          </w:p>
          <w:p>
            <w:pPr>
              <w:widowControl w:val="1"/>
              <w:snapToGrid w:val="0"/>
              <w:rPr>
                <w:rFonts w:ascii="仿宋" w:hAnsi="仿宋" w:eastAsia="仿宋" w:cs="仿宋"/>
                <w:kern w:val="0"/>
                <w:sz w:val="24"/>
              </w:rPr>
            </w:pPr>
            <w:r>
              <w:rPr>
                <w:rFonts w:hint="eastAsia" w:ascii="仿宋" w:hAnsi="仿宋" w:eastAsia="仿宋" w:cs="仿宋"/>
                <w:kern w:val="0"/>
                <w:sz w:val="24"/>
              </w:rPr>
              <w:t>28、本项目所投台式计算机主机、显示器属于《节能产品政府采购品目清单》（财库〔2019〕19 号）强制采购节能产品，所投产品须具备国家确定的认证机构出具、处于有效期内的节能产品认证证书；证书认证型号须与响应产品规格型号完全一致，证书有效期须覆盖本项目投标（响应）截止时间。证明材料提交（二选一）：</w:t>
            </w:r>
          </w:p>
          <w:p>
            <w:pPr>
              <w:widowControl w:val="1"/>
              <w:snapToGrid w:val="0"/>
              <w:rPr>
                <w:rFonts w:ascii="仿宋" w:hAnsi="仿宋" w:eastAsia="仿宋" w:cs="仿宋"/>
                <w:kern w:val="0"/>
                <w:sz w:val="24"/>
              </w:rPr>
            </w:pPr>
            <w:r>
              <w:rPr>
                <w:rFonts w:hint="eastAsia" w:ascii="仿宋" w:hAnsi="仿宋" w:eastAsia="仿宋" w:cs="仿宋"/>
                <w:kern w:val="0"/>
                <w:sz w:val="24"/>
              </w:rPr>
              <w:t>（1）节能产品认证证书原件完整扫描件（需包含证书主页、产品型号附表页）；</w:t>
            </w:r>
          </w:p>
          <w:p>
            <w:pPr>
              <w:widowControl w:val="1"/>
              <w:snapToGrid w:val="0"/>
              <w:rPr>
                <w:rFonts w:ascii="仿宋" w:hAnsi="仿宋" w:eastAsia="仿宋" w:cs="仿宋"/>
                <w:kern w:val="0"/>
                <w:sz w:val="24"/>
              </w:rPr>
            </w:pPr>
            <w:r>
              <w:rPr>
                <w:rFonts w:hint="eastAsia" w:ascii="仿宋" w:hAnsi="仿宋" w:eastAsia="仿宋" w:cs="仿宋"/>
                <w:kern w:val="0"/>
                <w:sz w:val="24"/>
              </w:rPr>
              <w:t>（2）全国认证认可信息公共服务平台（http://cx.cnca.cn）认证信息完整截图，截图必须清晰显示：证书编号、认证机构名称、响应产品规格型号、证书有效截止日期、认证依据标准及技术要求。</w:t>
            </w:r>
          </w:p>
          <w:p>
            <w:pPr>
              <w:widowControl w:val="1"/>
              <w:snapToGrid w:val="0"/>
              <w:ind w:firstLine="480" w:firstLineChars="200"/>
              <w:rPr>
                <w:rFonts w:ascii="楷体" w:hAnsi="楷体" w:eastAsia="楷体" w:cs="楷体"/>
                <w:kern w:val="0"/>
                <w:sz w:val="24"/>
              </w:rPr>
            </w:pPr>
            <w:r>
              <w:rPr>
                <w:rFonts w:hint="eastAsia" w:ascii="仿宋" w:hAnsi="仿宋" w:eastAsia="仿宋" w:cs="仿宋"/>
                <w:kern w:val="0"/>
                <w:sz w:val="24"/>
              </w:rPr>
              <w:t>本项不得以承诺函、说明函等材料替代有效节能产品认证证书及对应佐证资料。供应商对所提供全部资料的真实性、合法性负责，若存在伪造、变造证明材料等违法违规情形，按政府采购相关法律法规严肃处理。</w:t>
            </w:r>
          </w:p>
        </w:tc>
      </w:tr>
      <w:tr>
        <w:trPr>
          <w:jc w:val="center"/>
        </w:trPr>
        <w:tc>
          <w:tcPr>
            <w:tcW w:w="462" w:type="dxa"/>
            <w:vAlign w:val="center"/>
          </w:tcPr>
          <w:p>
            <w:pPr>
              <w:widowControl w:val="1"/>
              <w:jc w:val="center"/>
              <w:textAlignment w:val="top"/>
              <w:rPr>
                <w:rFonts w:ascii="楷体" w:hAnsi="楷体" w:eastAsia="楷体" w:cs="楷体"/>
                <w:sz w:val="24"/>
              </w:rPr>
            </w:pPr>
            <w:r>
              <w:rPr>
                <w:rFonts w:hint="eastAsia" w:ascii="楷体" w:hAnsi="楷体" w:eastAsia="楷体" w:cs="楷体"/>
                <w:sz w:val="24"/>
              </w:rPr>
              <w:t>2</w:t>
            </w:r>
          </w:p>
        </w:tc>
        <w:tc>
          <w:tcPr>
            <w:tcW w:w="798"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图形工作站</w:t>
            </w:r>
          </w:p>
        </w:tc>
        <w:tc>
          <w:tcPr>
            <w:tcW w:w="721" w:type="dxa"/>
            <w:shd w:val="clear" w:color="auto" w:fill="auto"/>
            <w:vAlign w:val="center"/>
          </w:tcPr>
          <w:p>
            <w:pPr>
              <w:widowControl w:val="1"/>
              <w:jc w:val="center"/>
              <w:textAlignment w:val="center"/>
              <w:rPr>
                <w:rFonts w:ascii="楷体" w:hAnsi="楷体" w:eastAsia="楷体" w:cs="楷体"/>
                <w:kern w:val="0"/>
                <w:sz w:val="24"/>
                <w:lang w:bidi="ar"/>
              </w:rPr>
            </w:pPr>
            <w:r>
              <w:rPr>
                <w:rFonts w:hint="eastAsia" w:ascii="仿宋" w:hAnsi="仿宋" w:eastAsia="仿宋" w:cs="仿宋"/>
                <w:b w:val="1"/>
                <w:bCs w:val="1"/>
                <w:sz w:val="30"/>
                <w:szCs w:val="30"/>
              </w:rPr>
              <w:t>★</w:t>
            </w:r>
          </w:p>
        </w:tc>
        <w:tc>
          <w:tcPr>
            <w:tcW w:w="8195" w:type="dxa"/>
            <w:shd w:val="clear" w:color="auto" w:fill="auto"/>
            <w:vAlign w:val="center"/>
          </w:tcPr>
          <w:p>
            <w:pPr>
              <w:pStyle w:val="00001c"/>
              <w:jc w:val="both"/>
              <w:rPr>
                <w:rFonts w:hint="default"/>
                <w:kern w:val="2"/>
                <w:sz w:val="21"/>
                <w:szCs w:val="22"/>
              </w:rPr>
            </w:pPr>
            <w:r>
              <w:rPr>
                <w:rFonts w:ascii="仿宋_GB2312" w:hAnsi="仿宋_GB2312" w:eastAsia="仿宋_GB2312" w:cs="仿宋_GB2312"/>
                <w:kern w:val="2"/>
                <w:sz w:val="24"/>
                <w:szCs w:val="22"/>
              </w:rPr>
              <w:t>1、物理核心数≥20个，CPU线程数≥28，基础主频≥2.1GHz，睿频≥5.4GHz，三级缓存≥33MB，支持DDR5内存最高速率≥4800MT/s。投标人须在投标文件中载明计算机的CPU信息，包含CPU型号、物理核心数、主频、末级缓存容量、线程数、热设计功耗及内存的最高速率、通道数和位宽。</w:t>
            </w:r>
          </w:p>
          <w:p>
            <w:pPr>
              <w:pStyle w:val="00001c"/>
              <w:jc w:val="both"/>
              <w:rPr>
                <w:rFonts w:hint="default"/>
                <w:kern w:val="2"/>
                <w:sz w:val="21"/>
                <w:szCs w:val="22"/>
              </w:rPr>
            </w:pPr>
            <w:r>
              <w:rPr>
                <w:rFonts w:ascii="仿宋_GB2312" w:hAnsi="仿宋_GB2312" w:eastAsia="仿宋_GB2312" w:cs="仿宋_GB2312"/>
                <w:kern w:val="2"/>
                <w:sz w:val="24"/>
                <w:szCs w:val="22"/>
              </w:rPr>
              <w:t>2、内存规格：内存配置容量≥32GB，内存类型为DDR5及以上，内存条配置数量≥1根。</w:t>
            </w:r>
          </w:p>
          <w:p>
            <w:pPr>
              <w:widowControl w:val="1"/>
              <w:jc w:val="left"/>
              <w:rPr/>
            </w:pPr>
            <w:r>
              <w:rPr>
                <w:rFonts w:ascii="仿宋_GB2312" w:hAnsi="仿宋_GB2312" w:eastAsia="仿宋_GB2312" w:cs="仿宋_GB2312"/>
                <w:sz w:val="24"/>
              </w:rPr>
              <w:t>3</w:t>
            </w:r>
            <w:r>
              <w:rPr>
                <w:rFonts w:hint="eastAsia" w:ascii="仿宋_GB2312" w:hAnsi="仿宋_GB2312" w:eastAsia="仿宋_GB2312" w:cs="仿宋_GB2312"/>
                <w:kern w:val="0"/>
                <w:sz w:val="24"/>
              </w:rPr>
              <w:t>、主板规格：主板集成资源扩展模块、计算处理模块、音频扩展模块，主板的互联拓扑可通过处理器或交换电路实现；支持DDR5及以上内存。板载扩展接口：≥1个PCIe 3 x4（x16接口）、≥1个PCIe 3 x4（x4接口）、≥1个PCIe 3 x1（x4接口）、≥1个PCIe 5 x16（x16接口）、≥1个WLAN专用M.2 2230 PCIe 3 X1接口、≥3个M.2 2280接口。单内存插槽最大可支持容量≥32GB，内存插槽满配最高总容量≥128GB，满足采购人自行安装影像图像采集卡使用需求。投标人须在投标文件中载明台式计算机的主板所支持的CPU、内存的型号和数量，以及主板相关SATA、M.2、USB接口的数量及占用状态。</w:t>
            </w:r>
          </w:p>
          <w:p>
            <w:pPr>
              <w:widowControl w:val="1"/>
              <w:jc w:val="left"/>
              <w:rPr/>
            </w:pPr>
            <w:r>
              <w:rPr>
                <w:rFonts w:ascii="仿宋_GB2312" w:hAnsi="仿宋_GB2312" w:eastAsia="仿宋_GB2312" w:cs="仿宋_GB2312"/>
                <w:sz w:val="24"/>
              </w:rPr>
              <w:t>4</w:t>
            </w:r>
            <w:r>
              <w:rPr>
                <w:rFonts w:hint="eastAsia" w:ascii="仿宋_GB2312" w:hAnsi="仿宋_GB2312" w:eastAsia="仿宋_GB2312" w:cs="仿宋_GB2312"/>
                <w:kern w:val="0"/>
                <w:sz w:val="24"/>
              </w:rPr>
              <w:t>、存储设备规格：配置固态盘数量≥1个，固态存储容量≥1TB，支持UFS/SATA/PCIe/NVMe等主流接口协议；固态存储采用插卡或板载形态，兼容M.2、2.5寸SATA、mSATA标准插卡形态。存储设备其他参数要求：a)固态盘应符合SJ/T11654相关规定；b)机械硬盘准备时间≤30s，侧面固定螺丝孔为4孔或6孔，工作环境温度5℃-55℃，其它参数符合GB/T12628相关规定。</w:t>
            </w:r>
          </w:p>
          <w:p>
            <w:pPr>
              <w:widowControl w:val="1"/>
              <w:jc w:val="left"/>
              <w:rPr>
                <w:rFonts w:ascii="仿宋" w:hAnsi="仿宋" w:eastAsia="仿宋" w:cs="仿宋"/>
              </w:rPr>
            </w:pPr>
            <w:r>
              <w:rPr>
                <w:rFonts w:hint="eastAsia" w:ascii="仿宋" w:hAnsi="仿宋" w:eastAsia="仿宋" w:cs="仿宋"/>
                <w:sz w:val="24"/>
              </w:rPr>
              <w:t>5、</w:t>
            </w:r>
            <w:r>
              <w:rPr>
                <w:rFonts w:hint="eastAsia" w:ascii="仿宋" w:hAnsi="仿宋" w:eastAsia="仿宋" w:cs="仿宋"/>
                <w:kern w:val="0"/>
                <w:sz w:val="24"/>
                <w:lang w:bidi="ar"/>
              </w:rPr>
              <w:t>显卡规格：配备独立显卡，显存容量≥8GB GDDR7，GPU基准频率≥2.28GHz，GPU加速频率≥2.50GHz，显存位宽≥128bit，显存等效速率≥28Gbps。</w:t>
            </w:r>
          </w:p>
          <w:p>
            <w:pPr>
              <w:pStyle w:val="00001c"/>
              <w:jc w:val="both"/>
              <w:rPr>
                <w:rFonts w:hint="default"/>
                <w:kern w:val="2"/>
                <w:sz w:val="21"/>
                <w:szCs w:val="22"/>
              </w:rPr>
            </w:pPr>
            <w:r>
              <w:rPr>
                <w:rFonts w:ascii="仿宋_GB2312" w:hAnsi="仿宋_GB2312" w:eastAsia="仿宋_GB2312" w:cs="仿宋_GB2312"/>
                <w:kern w:val="2"/>
                <w:sz w:val="24"/>
                <w:szCs w:val="22"/>
              </w:rPr>
              <w:t>6、显示设备规格：本项目采购标的不含显示设备。</w:t>
            </w:r>
          </w:p>
          <w:p>
            <w:pPr>
              <w:widowControl w:val="1"/>
              <w:jc w:val="left"/>
              <w:rPr/>
            </w:pPr>
            <w:r>
              <w:rPr>
                <w:rFonts w:ascii="仿宋_GB2312" w:hAnsi="仿宋_GB2312" w:eastAsia="仿宋_GB2312" w:cs="仿宋_GB2312"/>
                <w:sz w:val="24"/>
              </w:rPr>
              <w:t>7、</w:t>
            </w:r>
            <w:r>
              <w:rPr>
                <w:rFonts w:hint="eastAsia" w:ascii="仿宋_GB2312" w:hAnsi="仿宋_GB2312" w:eastAsia="仿宋_GB2312" w:cs="仿宋_GB2312"/>
                <w:kern w:val="0"/>
                <w:sz w:val="24"/>
              </w:rPr>
              <w:t>外设规格：配置有线104键黑色键盘、有线黑色鼠标各不少于1个；键盘键程2.3-4.0mm，按键压力0.54N±0.14N，连接线长度≥1.5米；鼠标DPI分辨率800-1600，连接线长度≥1.5米，鼠标其余参数符合GB/T26245相关规定。</w:t>
            </w:r>
            <w:r>
              <w:rPr>
                <w:rFonts w:hint="eastAsia" w:ascii="仿宋_GB2312" w:hAnsi="仿宋_GB2312" w:eastAsia="仿宋_GB2312" w:cs="仿宋_GB2312"/>
                <w:b w:val="1"/>
                <w:bCs w:val="1"/>
                <w:kern w:val="0"/>
                <w:sz w:val="24"/>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8、网络设备规格：集成千兆自适应有线以太网卡≥1块。</w:t>
            </w:r>
          </w:p>
          <w:p>
            <w:pPr>
              <w:pStyle w:val="00001c"/>
              <w:jc w:val="both"/>
              <w:rPr>
                <w:rFonts w:hint="default"/>
                <w:kern w:val="2"/>
                <w:sz w:val="21"/>
                <w:szCs w:val="22"/>
              </w:rPr>
            </w:pPr>
            <w:r>
              <w:rPr>
                <w:rFonts w:ascii="仿宋_GB2312" w:hAnsi="仿宋_GB2312" w:eastAsia="仿宋_GB2312" w:cs="仿宋_GB2312"/>
                <w:kern w:val="2"/>
                <w:sz w:val="24"/>
                <w:szCs w:val="22"/>
              </w:rPr>
              <w:t>9、外部接口规格：配备≥</w:t>
            </w:r>
            <w:r>
              <w:rPr>
                <w:rFonts w:ascii="仿宋_GB2312" w:hAnsi="仿宋_GB2312" w:eastAsia="仿宋_GB2312" w:cs="仿宋_GB2312"/>
                <w:kern w:val="2"/>
                <w:sz w:val="24"/>
                <w:szCs w:val="22"/>
                <w:lang w:eastAsia="zh-CN"/>
              </w:rPr>
              <w:t>8</w:t>
            </w:r>
            <w:r>
              <w:rPr>
                <w:rFonts w:ascii="仿宋_GB2312" w:hAnsi="仿宋_GB2312" w:eastAsia="仿宋_GB2312" w:cs="仿宋_GB2312"/>
                <w:kern w:val="2"/>
                <w:sz w:val="24"/>
                <w:szCs w:val="22"/>
              </w:rPr>
              <w:t>个USB接口</w:t>
            </w:r>
            <w:r>
              <w:rPr>
                <w:rFonts w:ascii="仿宋_GB2312" w:hAnsi="仿宋_GB2312" w:eastAsia="仿宋_GB2312" w:cs="仿宋_GB2312"/>
                <w:kern w:val="2"/>
                <w:sz w:val="24"/>
                <w:szCs w:val="22"/>
                <w:lang w:eastAsia="zh-CN"/>
              </w:rPr>
              <w:t>，</w:t>
            </w:r>
            <w:r>
              <w:rPr>
                <w:rFonts w:ascii="仿宋_GB2312" w:hAnsi="仿宋_GB2312" w:eastAsia="仿宋_GB2312" w:cs="仿宋_GB2312"/>
                <w:kern w:val="2"/>
                <w:sz w:val="24"/>
                <w:szCs w:val="22"/>
              </w:rPr>
              <w:t>机箱前板至少包括 2 个 USB3.0 及以上接口（前置1个SuperSpeed USB Type-C 20Gbps速率端口）、≥2个DP接口、≥1个通用音频插孔、≥1个音频输入接口、≥1个音频输出接口；支持3.5mm孔径3段式/4段式音频接口，DP接口支持音视频同步输出。</w:t>
            </w:r>
          </w:p>
          <w:p>
            <w:pPr>
              <w:widowControl w:val="1"/>
              <w:jc w:val="left"/>
              <w:rPr>
                <w:rFonts w:ascii="仿宋" w:hAnsi="仿宋" w:eastAsia="仿宋" w:cs="仿宋"/>
                <w:kern w:val="0"/>
                <w:sz w:val="24"/>
                <w:lang w:bidi="ar"/>
              </w:rPr>
            </w:pPr>
            <w:r>
              <w:rPr>
                <w:rFonts w:hint="eastAsia" w:ascii="仿宋" w:hAnsi="仿宋" w:eastAsia="仿宋" w:cs="仿宋"/>
                <w:sz w:val="24"/>
              </w:rPr>
              <w:t>10、</w:t>
            </w:r>
            <w:r>
              <w:rPr>
                <w:rFonts w:hint="eastAsia" w:ascii="仿宋" w:hAnsi="仿宋" w:eastAsia="仿宋" w:cs="仿宋"/>
                <w:kern w:val="0"/>
                <w:sz w:val="24"/>
                <w:lang w:bidi="ar"/>
              </w:rPr>
              <w:t>整机基础规格：</w:t>
            </w:r>
          </w:p>
          <w:p>
            <w:pPr>
              <w:widowControl w:val="1"/>
              <w:jc w:val="left"/>
              <w:rPr>
                <w:rFonts w:ascii="仿宋" w:hAnsi="仿宋" w:eastAsia="仿宋" w:cs="仿宋"/>
                <w:kern w:val="0"/>
                <w:sz w:val="24"/>
                <w:lang w:bidi="ar"/>
              </w:rPr>
            </w:pPr>
            <w:r>
              <w:rPr>
                <w:rFonts w:hint="eastAsia" w:ascii="仿宋" w:hAnsi="仿宋" w:eastAsia="仿宋" w:cs="仿宋"/>
                <w:kern w:val="0"/>
                <w:sz w:val="24"/>
                <w:lang w:bidi="ar"/>
              </w:rPr>
              <w:t>①整机外观：a)产品表面无凹痕、划伤、裂缝、变形、污染，表面涂层均匀，无起泡、龟裂、脱落、磨损，金属零部件无锈蚀及机械损伤；b)产品功能文字、符号、标志清晰、端正、牢固；产品显著位置配备运行状态指示灯，供应商须提供指示灯详细参数。</w:t>
            </w:r>
          </w:p>
          <w:p>
            <w:pPr>
              <w:widowControl w:val="1"/>
              <w:jc w:val="left"/>
              <w:rPr>
                <w:rFonts w:ascii="仿宋" w:hAnsi="仿宋" w:eastAsia="仿宋" w:cs="仿宋"/>
                <w:kern w:val="0"/>
                <w:sz w:val="24"/>
                <w:lang w:bidi="ar"/>
              </w:rPr>
            </w:pPr>
            <w:r>
              <w:rPr>
                <w:rFonts w:hint="eastAsia" w:ascii="仿宋" w:hAnsi="仿宋" w:eastAsia="仿宋" w:cs="仿宋"/>
                <w:kern w:val="0"/>
                <w:sz w:val="24"/>
                <w:lang w:bidi="ar"/>
              </w:rPr>
              <w:t>②整机结构：机箱符合GB/T4208、GB/T26246、GB/T9813.1相关规定，防护等级满足IP20；内部结构适配通用部件安装标准，所有接口符合国家/行业标准；零部件紧固无松动，可插拔部件连接可靠，开关按键灵活易用；I/O接口、板卡插槽预留充足拆装操作空间；金属尖角、剪口做防划伤处理；内部走线规整、做防割线防护，过线孔防割处理；插头具备防呆、无障碍插拔设计；主要部件可通过常规工具拆装，拆装互不干扰；高亮面部件粘贴牢固保护膜，撕下无残留。</w:t>
            </w:r>
          </w:p>
          <w:p>
            <w:pPr>
              <w:widowControl w:val="1"/>
              <w:jc w:val="left"/>
              <w:rPr>
                <w:rFonts w:ascii="仿宋" w:hAnsi="仿宋" w:eastAsia="仿宋" w:cs="仿宋"/>
                <w:kern w:val="0"/>
                <w:sz w:val="24"/>
                <w:lang w:bidi="ar"/>
              </w:rPr>
            </w:pPr>
            <w:r>
              <w:rPr>
                <w:rFonts w:hint="eastAsia" w:ascii="仿宋" w:hAnsi="仿宋" w:eastAsia="仿宋" w:cs="仿宋"/>
                <w:kern w:val="0"/>
                <w:sz w:val="24"/>
                <w:lang w:bidi="ar"/>
              </w:rPr>
              <w:t>③整机噪音：空闲状态下声功率级≤45dB（原4.5Bel换算修正，适配行业通用单位）。</w:t>
            </w:r>
          </w:p>
          <w:p>
            <w:pPr>
              <w:widowControl w:val="1"/>
              <w:jc w:val="left"/>
              <w:rPr>
                <w:rFonts w:ascii="仿宋" w:hAnsi="仿宋" w:eastAsia="仿宋" w:cs="仿宋"/>
                <w:kern w:val="0"/>
                <w:sz w:val="24"/>
                <w:lang w:bidi="ar"/>
              </w:rPr>
            </w:pPr>
            <w:r>
              <w:rPr>
                <w:rFonts w:hint="eastAsia" w:ascii="仿宋" w:hAnsi="仿宋" w:eastAsia="仿宋" w:cs="仿宋"/>
                <w:kern w:val="0"/>
                <w:sz w:val="24"/>
                <w:lang w:bidi="ar"/>
              </w:rPr>
              <w:t>④整机散热：环境温度25℃、处理器满载工况下，机箱后置出风口温度≤55℃，机身可触及面温度≤45℃。</w:t>
            </w:r>
          </w:p>
          <w:p>
            <w:pPr>
              <w:widowControl w:val="1"/>
              <w:jc w:val="left"/>
              <w:rPr>
                <w:rFonts w:ascii="仿宋" w:hAnsi="仿宋" w:eastAsia="仿宋" w:cs="仿宋"/>
                <w:kern w:val="0"/>
                <w:sz w:val="24"/>
                <w:lang w:bidi="ar"/>
              </w:rPr>
            </w:pPr>
            <w:r>
              <w:rPr>
                <w:rFonts w:hint="eastAsia" w:ascii="仿宋" w:hAnsi="仿宋" w:eastAsia="仿宋" w:cs="仿宋"/>
                <w:kern w:val="0"/>
                <w:sz w:val="24"/>
                <w:lang w:bidi="ar"/>
              </w:rPr>
              <w:t>⑤能效与机身参数：整机能效达到GB28380标准2级及以上；机身材质为塑料/金属，颜色为黑色；机箱容积≥23L，支持免工具拆装访问主板及内存。</w:t>
            </w:r>
          </w:p>
          <w:p>
            <w:pPr>
              <w:widowControl w:val="1"/>
              <w:jc w:val="left"/>
              <w:rPr/>
            </w:pPr>
            <w:r>
              <w:rPr>
                <w:rFonts w:hint="eastAsia" w:ascii="仿宋" w:hAnsi="仿宋" w:eastAsia="仿宋" w:cs="仿宋"/>
                <w:b w:val="1"/>
                <w:bCs w:val="1"/>
                <w:kern w:val="0"/>
                <w:sz w:val="24"/>
                <w:lang w:bidi="ar"/>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11、显卡性能：显卡最大支持7680×4320@60Hz或4K@240Hz视频输出，显存带宽≥448GB/s。</w:t>
            </w:r>
            <w:r>
              <w:rPr>
                <w:rFonts w:ascii="仿宋_GB2312" w:hAnsi="仿宋_GB2312" w:eastAsia="仿宋_GB2312" w:cs="仿宋_GB2312"/>
                <w:b w:val="1"/>
                <w:bCs w:val="1"/>
                <w:kern w:val="2"/>
                <w:sz w:val="24"/>
                <w:szCs w:val="22"/>
              </w:rPr>
              <w:t>（说明：供应商在响应文件中提供承诺函，格式自拟）</w:t>
            </w:r>
          </w:p>
          <w:p>
            <w:pPr>
              <w:widowControl w:val="1"/>
              <w:jc w:val="left"/>
              <w:rPr>
                <w:rFonts w:ascii="仿宋" w:hAnsi="仿宋" w:eastAsia="仿宋" w:cs="仿宋"/>
                <w:b w:val="1"/>
                <w:bCs w:val="1"/>
              </w:rPr>
            </w:pPr>
            <w:r>
              <w:rPr>
                <w:rFonts w:hint="eastAsia" w:ascii="仿宋" w:hAnsi="仿宋" w:eastAsia="仿宋" w:cs="仿宋"/>
                <w:sz w:val="24"/>
              </w:rPr>
              <w:t>12、</w:t>
            </w:r>
            <w:r>
              <w:rPr>
                <w:rFonts w:hint="eastAsia" w:ascii="仿宋" w:hAnsi="仿宋" w:eastAsia="仿宋" w:cs="仿宋"/>
                <w:kern w:val="0"/>
                <w:sz w:val="24"/>
                <w:lang w:bidi="ar"/>
              </w:rPr>
              <w:t>网络设备性能：有线网卡最高速率≥1000Mbps，支持10/100/1000Mbps速率自适应。</w:t>
            </w:r>
            <w:r>
              <w:rPr>
                <w:rFonts w:hint="eastAsia" w:ascii="仿宋" w:hAnsi="仿宋" w:eastAsia="仿宋" w:cs="仿宋"/>
                <w:b w:val="1"/>
                <w:bCs w:val="1"/>
                <w:kern w:val="0"/>
                <w:sz w:val="24"/>
                <w:lang w:bidi="ar"/>
              </w:rPr>
              <w:t>（说明：供应商在响应文件中提供承诺函，格式自拟）</w:t>
            </w:r>
          </w:p>
          <w:p>
            <w:pPr>
              <w:widowControl w:val="1"/>
              <w:jc w:val="left"/>
              <w:rPr>
                <w:rFonts w:ascii="仿宋" w:hAnsi="仿宋" w:eastAsia="仿宋" w:cs="仿宋"/>
                <w:b w:val="1"/>
                <w:bCs w:val="1"/>
                <w:kern w:val="0"/>
                <w:sz w:val="24"/>
                <w:lang w:bidi="ar"/>
              </w:rPr>
            </w:pPr>
            <w:r>
              <w:rPr>
                <w:rFonts w:ascii="仿宋_GB2312" w:hAnsi="仿宋_GB2312" w:eastAsia="仿宋_GB2312" w:cs="仿宋_GB2312"/>
                <w:sz w:val="24"/>
              </w:rPr>
              <w:t>1</w:t>
            </w:r>
            <w:r>
              <w:rPr>
                <w:rFonts w:hint="eastAsia" w:ascii="仿宋" w:hAnsi="仿宋" w:eastAsia="仿宋" w:cs="仿宋"/>
                <w:kern w:val="0"/>
                <w:sz w:val="24"/>
                <w:lang w:bidi="ar"/>
              </w:rPr>
              <w:t>3、主板功能：配备≥2个内存扩展接口；主板支持USB瞬间过流保护、防静电保护功能；可实现USB外设连接、音频扩展、PCIe板卡扩展、外接显示设备、存储扩容等功能，整机I/O接口可稳定外接各类内外设备。</w:t>
            </w:r>
            <w:r>
              <w:rPr>
                <w:rFonts w:hint="eastAsia" w:ascii="仿宋" w:hAnsi="仿宋" w:eastAsia="仿宋" w:cs="仿宋"/>
                <w:b w:val="1"/>
                <w:bCs w:val="1"/>
                <w:kern w:val="0"/>
                <w:sz w:val="24"/>
                <w:lang w:bidi="ar"/>
              </w:rPr>
              <w:t>（说明：供应商在响应文件中提供承诺函，格式自拟）</w:t>
            </w:r>
          </w:p>
          <w:p>
            <w:pPr>
              <w:widowControl w:val="1"/>
              <w:jc w:val="left"/>
              <w:rPr>
                <w:rFonts w:ascii="仿宋" w:hAnsi="仿宋" w:eastAsia="仿宋" w:cs="仿宋"/>
                <w:kern w:val="0"/>
                <w:sz w:val="24"/>
                <w:lang w:bidi="ar"/>
              </w:rPr>
            </w:pPr>
            <w:r>
              <w:rPr>
                <w:rFonts w:hint="eastAsia" w:ascii="仿宋" w:hAnsi="仿宋" w:eastAsia="仿宋" w:cs="仿宋"/>
                <w:kern w:val="0"/>
                <w:sz w:val="24"/>
                <w:lang w:bidi="ar"/>
              </w:rPr>
              <w:t>14、显卡功能：显卡外接显示接口至少支持VGA、HDMI、DVI、DP、Type-C其中一种，支持音视频同步输出。</w:t>
            </w:r>
          </w:p>
          <w:p>
            <w:pPr>
              <w:widowControl w:val="1"/>
              <w:jc w:val="left"/>
              <w:rPr>
                <w:rFonts w:ascii="仿宋" w:hAnsi="仿宋" w:eastAsia="仿宋" w:cs="仿宋"/>
                <w:kern w:val="0"/>
                <w:sz w:val="24"/>
                <w:lang w:bidi="ar"/>
              </w:rPr>
            </w:pPr>
            <w:r>
              <w:rPr>
                <w:rFonts w:ascii="仿宋_GB2312" w:hAnsi="仿宋_GB2312" w:eastAsia="仿宋_GB2312" w:cs="仿宋_GB2312"/>
                <w:sz w:val="24"/>
              </w:rPr>
              <w:t>1</w:t>
            </w:r>
            <w:r>
              <w:rPr>
                <w:rFonts w:hint="eastAsia" w:ascii="仿宋" w:hAnsi="仿宋" w:eastAsia="仿宋" w:cs="仿宋"/>
                <w:kern w:val="0"/>
                <w:sz w:val="24"/>
                <w:lang w:bidi="ar"/>
              </w:rPr>
              <w:t>5、网络设备功能：支持网络启停、网络访问、数据交换功能；具备数据传输、流量统计、异常日志记录能力；有线网卡采用RJ45接口，无线网卡、蓝牙模块支持物理拆装。</w:t>
            </w:r>
            <w:r>
              <w:rPr>
                <w:rFonts w:hint="eastAsia" w:ascii="仿宋" w:hAnsi="仿宋" w:eastAsia="仿宋" w:cs="仿宋"/>
                <w:b w:val="1"/>
                <w:bCs w:val="1"/>
                <w:kern w:val="0"/>
                <w:sz w:val="24"/>
                <w:lang w:bidi="ar"/>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lang w:eastAsia="zh-CN"/>
              </w:rPr>
              <w:t>16</w:t>
            </w:r>
            <w:r>
              <w:rPr>
                <w:rFonts w:ascii="仿宋_GB2312" w:hAnsi="仿宋_GB2312" w:eastAsia="仿宋_GB2312" w:cs="仿宋_GB2312"/>
                <w:kern w:val="2"/>
                <w:sz w:val="24"/>
                <w:szCs w:val="22"/>
              </w:rPr>
              <w:t>、中文信息处理要求：设备中文信息处理功能符合GB18030相关规定。</w:t>
            </w:r>
            <w:r>
              <w:rPr>
                <w:rFonts w:ascii="仿宋_GB2312" w:hAnsi="仿宋_GB2312" w:eastAsia="仿宋_GB2312" w:cs="仿宋_GB2312"/>
                <w:b w:val="1"/>
                <w:bCs w:val="1"/>
                <w:kern w:val="2"/>
                <w:sz w:val="24"/>
                <w:szCs w:val="22"/>
              </w:rPr>
              <w:t>（说明：供应商在响应文件中提供承诺函，格式自拟）</w:t>
            </w:r>
          </w:p>
          <w:p>
            <w:pPr>
              <w:widowControl w:val="1"/>
              <w:jc w:val="left"/>
              <w:rPr>
                <w:rFonts w:ascii="仿宋_GB2312" w:hAnsi="仿宋_GB2312" w:eastAsia="仿宋_GB2312" w:cs="仿宋_GB2312"/>
                <w:kern w:val="0"/>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7、操作系统及软件功能：支持操作系统、固件的备份与还原；可通过网络、闪存盘完成系统、驱动、固件升级；BIOS支持关闭以太网、USB等通讯接口；可查询固件版本、硬件参数、系统时间；支持自定义启动顺序、设置/修改/验证开机口令、启停网络引导功能。</w:t>
            </w:r>
            <w:r>
              <w:rPr>
                <w:rFonts w:hint="eastAsia" w:ascii="仿宋_GB2312" w:hAnsi="仿宋_GB2312" w:eastAsia="仿宋_GB2312" w:cs="仿宋_GB2312"/>
                <w:b w:val="1"/>
                <w:bCs w:val="1"/>
                <w:kern w:val="0"/>
                <w:sz w:val="24"/>
              </w:rPr>
              <w:t>（说明：供应商在响应文件中提供承诺函，格式自拟）</w:t>
            </w:r>
          </w:p>
          <w:p>
            <w:pPr>
              <w:widowControl w:val="1"/>
              <w:jc w:val="left"/>
              <w:rPr>
                <w:rFonts w:ascii="仿宋_GB2312" w:hAnsi="仿宋_GB2312" w:eastAsia="仿宋_GB2312" w:cs="仿宋_GB2312"/>
                <w:b w:val="1"/>
                <w:bCs w:val="1"/>
                <w:kern w:val="0"/>
                <w:sz w:val="24"/>
              </w:rPr>
            </w:pPr>
            <w:r>
              <w:rPr>
                <w:rFonts w:hint="eastAsia" w:ascii="仿宋_GB2312" w:hAnsi="仿宋_GB2312" w:eastAsia="仿宋_GB2312" w:cs="仿宋_GB2312"/>
                <w:sz w:val="24"/>
              </w:rPr>
              <w:t>18</w:t>
            </w:r>
            <w:r>
              <w:rPr>
                <w:rFonts w:hint="eastAsia" w:ascii="仿宋_GB2312" w:hAnsi="仿宋_GB2312" w:eastAsia="仿宋_GB2312" w:cs="仿宋_GB2312"/>
                <w:kern w:val="0"/>
                <w:sz w:val="24"/>
              </w:rPr>
              <w:t>、存储设备可靠性：1TB容量固态硬盘TBW使用寿命≥400TB。</w:t>
            </w:r>
            <w:r>
              <w:rPr>
                <w:rFonts w:hint="eastAsia" w:ascii="仿宋_GB2312" w:hAnsi="仿宋_GB2312" w:eastAsia="仿宋_GB2312" w:cs="仿宋_GB2312"/>
                <w:b w:val="1"/>
                <w:bCs w:val="1"/>
                <w:kern w:val="0"/>
                <w:sz w:val="24"/>
              </w:rPr>
              <w:t>（说明：供应商在响应文件中提供承诺函，格式自拟）</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lang w:eastAsia="zh-CN"/>
              </w:rPr>
              <w:t>19</w:t>
            </w:r>
            <w:r>
              <w:rPr>
                <w:rFonts w:ascii="仿宋_GB2312" w:hAnsi="仿宋_GB2312" w:eastAsia="仿宋_GB2312" w:cs="仿宋_GB2312"/>
                <w:kern w:val="2"/>
                <w:sz w:val="24"/>
                <w:szCs w:val="22"/>
              </w:rPr>
              <w:t>、兼容要求：支持流式、版式、浏览器、邮件客户端、解压、多媒体、图形图像处理等常用软件；兼容不少于3个主流厂商数据库、中间件、云计算及大数据平台产品。</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2</w:t>
            </w:r>
            <w:r>
              <w:rPr>
                <w:rFonts w:ascii="仿宋_GB2312" w:hAnsi="仿宋_GB2312" w:eastAsia="仿宋_GB2312" w:cs="仿宋_GB2312"/>
                <w:kern w:val="2"/>
                <w:sz w:val="24"/>
                <w:szCs w:val="22"/>
                <w:lang w:eastAsia="zh-CN"/>
              </w:rPr>
              <w:t>0</w:t>
            </w:r>
            <w:r>
              <w:rPr>
                <w:rFonts w:ascii="仿宋_GB2312" w:hAnsi="仿宋_GB2312" w:eastAsia="仿宋_GB2312" w:cs="仿宋_GB2312"/>
                <w:kern w:val="2"/>
                <w:sz w:val="24"/>
                <w:szCs w:val="22"/>
              </w:rPr>
              <w:t>、外设可靠性：键盘按键寿命≥1000万次，鼠标按键寿命≥500万次；键鼠线材经±60°弯折测试≥3000次，测试后功能、外观完好；机箱风扇使用寿命≥4万小时。</w:t>
            </w:r>
            <w:r>
              <w:rPr>
                <w:rFonts w:ascii="仿宋_GB2312" w:hAnsi="仿宋_GB2312" w:eastAsia="仿宋_GB2312" w:cs="仿宋_GB2312"/>
                <w:b w:val="1"/>
                <w:bCs w:val="1"/>
                <w:kern w:val="2"/>
                <w:sz w:val="24"/>
                <w:szCs w:val="22"/>
              </w:rPr>
              <w:t>（说明：供应商在响应文件中提供承诺函，格式自拟）</w:t>
            </w:r>
          </w:p>
          <w:p>
            <w:pPr>
              <w:widowControl w:val="1"/>
              <w:jc w:val="left"/>
              <w:rPr/>
            </w:pPr>
            <w:r>
              <w:rPr>
                <w:rFonts w:ascii="仿宋_GB2312" w:hAnsi="仿宋_GB2312" w:eastAsia="仿宋_GB2312" w:cs="仿宋_GB2312"/>
                <w:sz w:val="24"/>
              </w:rPr>
              <w:t>2</w:t>
            </w:r>
            <w:r>
              <w:rPr>
                <w:rFonts w:hint="eastAsia" w:ascii="仿宋_GB2312" w:hAnsi="仿宋_GB2312" w:eastAsia="仿宋_GB2312" w:cs="仿宋_GB2312"/>
                <w:kern w:val="0"/>
                <w:sz w:val="24"/>
              </w:rPr>
              <w:t>1、整机可靠性要求：设备电磁兼容抗扰度符合GB/T9254.2；气候、振动、冲击、碰撞、运输跌落等环境适应性符合GB/T9813.1；整机MTBF(m1)≥3万小时。</w:t>
            </w:r>
            <w:r>
              <w:rPr>
                <w:rFonts w:ascii="仿宋" w:hAnsi="仿宋" w:eastAsia="仿宋" w:cs="仿宋"/>
                <w:b w:val="1"/>
                <w:bCs w:val="1"/>
                <w:sz w:val="24"/>
              </w:rPr>
              <w:t>（</w:t>
            </w:r>
            <w:r>
              <w:rPr>
                <w:rFonts w:ascii="仿宋_GB2312" w:hAnsi="仿宋_GB2312" w:eastAsia="仿宋_GB2312" w:cs="仿宋_GB2312"/>
                <w:b w:val="1"/>
                <w:bCs w:val="1"/>
                <w:sz w:val="24"/>
              </w:rPr>
              <w:t>说明：</w:t>
            </w:r>
            <w:r>
              <w:rPr>
                <w:rFonts w:ascii="仿宋" w:hAnsi="仿宋" w:eastAsia="仿宋" w:cs="仿宋"/>
                <w:b w:val="1"/>
                <w:bCs w:val="1"/>
                <w:sz w:val="24"/>
              </w:rPr>
              <w:t>供应商在响应文件中提供承诺函，格式自拟）</w:t>
            </w:r>
          </w:p>
          <w:p>
            <w:pPr>
              <w:widowControl w:val="1"/>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2、整机安全性要求：密码算法满足以下标准其一即可：CPU芯片符合GM/T0008，或芯片密码模块符合GB/T37092、GM/T0028；产品符合GB/T39276第5.2条信息安全要求；厂商建立漏洞跟踪台账，产品漏洞可查询；产品无已知恶意代码、高危漏洞，无未声明指令、功能、接口；支持固件安全启动校验功能；产品限用物质符合GB/T26572限量标准。</w:t>
            </w:r>
            <w:r>
              <w:rPr>
                <w:rFonts w:hint="eastAsia" w:ascii="仿宋_GB2312" w:hAnsi="仿宋_GB2312" w:eastAsia="仿宋_GB2312" w:cs="仿宋_GB2312"/>
                <w:b w:val="1"/>
                <w:bCs w:val="1"/>
                <w:kern w:val="0"/>
                <w:sz w:val="24"/>
              </w:rPr>
              <w:t>（说明：供应商在响应文件中提供承诺函，格式自拟）</w:t>
            </w:r>
          </w:p>
          <w:p>
            <w:pPr>
              <w:widowControl w:val="1"/>
              <w:jc w:val="left"/>
              <w:rPr>
                <w:rFonts w:ascii="仿宋_GB2312" w:hAnsi="仿宋_GB2312" w:eastAsia="仿宋_GB2312" w:cs="仿宋_GB2312"/>
                <w:kern w:val="0"/>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3、电源：配备≥700W高效节能电源，具备完善电源管理功能，电源电线组件符合GB/T15934标准要求。</w:t>
            </w:r>
            <w:r>
              <w:rPr>
                <w:rFonts w:hint="eastAsia" w:ascii="仿宋_GB2312" w:hAnsi="仿宋_GB2312" w:eastAsia="仿宋_GB2312" w:cs="仿宋_GB2312"/>
                <w:b w:val="1"/>
                <w:bCs w:val="1"/>
                <w:sz w:val="24"/>
              </w:rPr>
              <w:t>（说明：供应商在响应文件中提供承诺函，格式自拟）</w:t>
            </w:r>
          </w:p>
          <w:p>
            <w:pPr>
              <w:widowControl w:val="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24、节能认证要求：本项目所投台式计算机主机属于《节能产品政府采购品目清单》（财库〔2019〕19号）强制采购品类，所投产品须提供国家认证机构出具、有效期覆盖投标截止时间的节能产品认证资料，证书型号与投标产品完全一致。证明材料二选一：</w:t>
            </w:r>
          </w:p>
          <w:p>
            <w:pPr>
              <w:widowControl w:val="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①节能产品认证证书完整扫描件（含主页、产品型号附表页）；</w:t>
            </w:r>
          </w:p>
          <w:p>
            <w:pPr>
              <w:widowControl w:val="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②全国认证认可信息公共服务平台（http://cx.cnca.cn）完整截图，清晰显示证书编号、认证机构、产品型号、有效期、认证依据标准。</w:t>
            </w:r>
          </w:p>
          <w:p>
            <w:pPr>
              <w:widowControl w:val="1"/>
              <w:snapToGrid w:val="0"/>
              <w:ind w:firstLine="480" w:firstLineChars="200"/>
              <w:jc w:val="left"/>
              <w:rPr>
                <w:rFonts w:ascii="仿宋" w:hAnsi="仿宋" w:eastAsia="仿宋" w:cs="仿宋"/>
                <w:b w:val="1"/>
                <w:bCs w:val="1"/>
                <w:sz w:val="24"/>
              </w:rPr>
            </w:pPr>
            <w:r>
              <w:rPr>
                <w:rFonts w:hint="eastAsia" w:ascii="仿宋" w:hAnsi="仿宋" w:eastAsia="仿宋" w:cs="仿宋"/>
                <w:sz w:val="24"/>
              </w:rPr>
              <w:t>本项不得以承诺函、说明函等材料替代有效节能产品认证证书及对应佐证资料。供应商对所提供全部资料的真实性、合法性负责，若存在伪造、变造证明材料等违法违规情形，按政府采购相关法律法规严肃处理。</w:t>
            </w:r>
          </w:p>
        </w:tc>
      </w:tr>
    </w:tbl>
    <w:p>
      <w:pPr>
        <w:spacing w:line="360" w:lineRule="auto"/>
        <w:ind w:firstLine="602" w:firstLineChars="200"/>
        <w:rPr>
          <w:rFonts w:hint="eastAsia" w:ascii="宋体" w:hAnsi="宋体" w:eastAsia="宋体" w:cs="宋体"/>
          <w:b w:val="1"/>
          <w:bCs w:val="1"/>
          <w:sz w:val="30"/>
          <w:szCs w:val="30"/>
          <w:highlight w:val="cyan"/>
        </w:rPr>
      </w:pPr>
      <w:r>
        <w:rPr>
          <w:rFonts w:hint="eastAsia" w:ascii="宋体" w:hAnsi="宋体" w:eastAsia="宋体" w:cs="宋体"/>
          <w:b w:val="1"/>
          <w:bCs w:val="1"/>
          <w:sz w:val="30"/>
          <w:szCs w:val="30"/>
          <w:highlight w:val="cyan"/>
        </w:rPr>
        <w:t>更正为：</w:t>
      </w:r>
    </w:p>
    <w:tbl>
      <w:tblPr>
        <w:tblStyle w:val="0000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799"/>
        <w:gridCol w:w="846"/>
        <w:gridCol w:w="8076"/>
      </w:tblGrid>
      <w:tr>
        <w:trPr>
          <w:jc w:val="center"/>
        </w:trPr>
        <w:tc>
          <w:tcPr>
            <w:tcW w:w="460"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序号</w:t>
            </w:r>
          </w:p>
        </w:tc>
        <w:tc>
          <w:tcPr>
            <w:tcW w:w="799"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标的名称</w:t>
            </w:r>
          </w:p>
        </w:tc>
        <w:tc>
          <w:tcPr>
            <w:tcW w:w="846"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星号指标</w:t>
            </w:r>
          </w:p>
        </w:tc>
        <w:tc>
          <w:tcPr>
            <w:tcW w:w="8076" w:type="dxa"/>
            <w:vAlign w:val="center"/>
          </w:tcPr>
          <w:p>
            <w:pPr>
              <w:wordWrap w:val="0"/>
              <w:jc w:val="center"/>
              <w:rPr>
                <w:rFonts w:ascii="楷体" w:hAnsi="楷体" w:eastAsia="楷体" w:cs="楷体"/>
                <w:sz w:val="24"/>
                <w:highlight w:val="magenta"/>
              </w:rPr>
            </w:pPr>
            <w:r>
              <w:rPr>
                <w:rFonts w:hint="eastAsia" w:ascii="楷体" w:hAnsi="楷体" w:eastAsia="楷体" w:cs="楷体"/>
                <w:sz w:val="24"/>
              </w:rPr>
              <w:t>技术参数与性能指标要求</w:t>
            </w:r>
          </w:p>
        </w:tc>
      </w:tr>
      <w:tr>
        <w:trPr>
          <w:jc w:val="center"/>
        </w:trPr>
        <w:tc>
          <w:tcPr>
            <w:tcW w:w="460" w:type="dxa"/>
            <w:shd w:val="clear" w:color="auto" w:fill="auto"/>
            <w:vAlign w:val="center"/>
          </w:tcPr>
          <w:p>
            <w:pPr>
              <w:widowControl w:val="1"/>
              <w:jc w:val="center"/>
              <w:textAlignment w:val="top"/>
              <w:rPr>
                <w:rFonts w:ascii="楷体" w:hAnsi="楷体" w:eastAsia="楷体" w:cs="楷体"/>
                <w:sz w:val="24"/>
              </w:rPr>
            </w:pPr>
            <w:r>
              <w:rPr>
                <w:rFonts w:hint="eastAsia" w:ascii="楷体" w:hAnsi="楷体" w:eastAsia="楷体" w:cs="楷体"/>
                <w:sz w:val="24"/>
              </w:rPr>
              <w:t>1</w:t>
            </w:r>
          </w:p>
        </w:tc>
        <w:tc>
          <w:tcPr>
            <w:tcW w:w="799" w:type="dxa"/>
            <w:shd w:val="clear" w:color="auto" w:fill="auto"/>
            <w:vAlign w:val="center"/>
          </w:tcPr>
          <w:p>
            <w:pPr>
              <w:widowControl w:val="1"/>
              <w:jc w:val="center"/>
              <w:textAlignment w:val="center"/>
              <w:rPr>
                <w:rFonts w:ascii="楷体" w:hAnsi="楷体" w:eastAsia="楷体" w:cs="楷体"/>
                <w:sz w:val="24"/>
              </w:rPr>
            </w:pPr>
            <w:r>
              <w:rPr>
                <w:rFonts w:hint="eastAsia" w:ascii="楷体" w:hAnsi="楷体" w:eastAsia="楷体" w:cs="楷体"/>
                <w:kern w:val="0"/>
                <w:sz w:val="24"/>
              </w:rPr>
              <w:t>台式计算机</w:t>
            </w:r>
          </w:p>
        </w:tc>
        <w:tc>
          <w:tcPr>
            <w:tcW w:w="846" w:type="dxa"/>
            <w:shd w:val="clear" w:color="auto" w:fill="auto"/>
            <w:vAlign w:val="center"/>
          </w:tcPr>
          <w:p>
            <w:pPr>
              <w:widowControl w:val="1"/>
              <w:jc w:val="center"/>
              <w:textAlignment w:val="center"/>
              <w:rPr>
                <w:rFonts w:ascii="楷体" w:hAnsi="楷体" w:eastAsia="楷体" w:cs="楷体"/>
                <w:kern w:val="0"/>
                <w:sz w:val="24"/>
                <w:lang w:bidi="ar"/>
              </w:rPr>
            </w:pPr>
            <w:r>
              <w:rPr>
                <w:rFonts w:hint="eastAsia" w:ascii="仿宋" w:hAnsi="仿宋" w:eastAsia="仿宋" w:cs="仿宋"/>
                <w:b w:val="1"/>
                <w:bCs w:val="1"/>
                <w:sz w:val="30"/>
                <w:szCs w:val="30"/>
              </w:rPr>
              <w:t>★</w:t>
            </w:r>
          </w:p>
        </w:tc>
        <w:tc>
          <w:tcPr>
            <w:tcW w:w="8076" w:type="dxa"/>
            <w:shd w:val="clear" w:color="auto" w:fill="auto"/>
            <w:vAlign w:val="center"/>
          </w:tcPr>
          <w:p>
            <w:pPr>
              <w:pStyle w:val="00001c"/>
              <w:jc w:val="both"/>
              <w:rPr>
                <w:rFonts w:hint="eastAsia" w:ascii="仿宋_GB2312" w:hAnsi="仿宋_GB2312" w:eastAsia="仿宋_GB2312" w:cs="仿宋_GB2312"/>
                <w:color w:val="FF0000"/>
                <w:kern w:val="2"/>
                <w:sz w:val="24"/>
                <w:szCs w:val="22"/>
                <w:lang w:eastAsia="zh-CN"/>
              </w:rPr>
            </w:pPr>
            <w:r>
              <w:rPr>
                <w:rFonts w:hint="eastAsia" w:ascii="仿宋_GB2312" w:hAnsi="仿宋_GB2312" w:eastAsia="仿宋_GB2312" w:cs="仿宋_GB2312"/>
                <w:color w:val="FF0000"/>
                <w:kern w:val="2"/>
                <w:sz w:val="24"/>
                <w:szCs w:val="22"/>
              </w:rPr>
              <w:t>本项目所有国标、行标均采用现行最新有效版本</w:t>
            </w:r>
            <w:r>
              <w:rPr>
                <w:rFonts w:hint="eastAsia" w:ascii="仿宋_GB2312" w:hAnsi="仿宋_GB2312" w:eastAsia="仿宋_GB2312" w:cs="仿宋_GB2312"/>
                <w:color w:val="FF0000"/>
                <w:kern w:val="2"/>
                <w:sz w:val="24"/>
                <w:szCs w:val="22"/>
                <w:lang w:eastAsia="zh-CN"/>
              </w:rPr>
              <w:t>。</w:t>
            </w:r>
          </w:p>
          <w:p>
            <w:pPr>
              <w:pStyle w:val="00001c"/>
              <w:jc w:val="both"/>
              <w:rPr>
                <w:rFonts w:hint="default"/>
                <w:kern w:val="2"/>
                <w:sz w:val="21"/>
                <w:szCs w:val="22"/>
                <w:lang w:eastAsia="zh-CN"/>
              </w:rPr>
            </w:pPr>
            <w:r>
              <w:rPr>
                <w:rFonts w:ascii="仿宋_GB2312" w:hAnsi="仿宋_GB2312" w:eastAsia="仿宋_GB2312" w:cs="仿宋_GB2312"/>
                <w:kern w:val="2"/>
                <w:sz w:val="24"/>
                <w:szCs w:val="22"/>
              </w:rPr>
              <w:t>1、CPU 规格：物理核心数≥14 个，CPU 线程数≥20，CPU 主频≥2.5GHz，CPU 睿频≥4.8GHz，CPU 三级缓存≥24MB，CPU 支持的内存最高速率≥3200MT/s。投标人须在投标文件中载明台式计算机的 CPU 信息，包含 CPU 型号、物理核心数、主频、末级缓存容量、线程数、热设计功耗及内存的最高速率、通道数和位宽。</w:t>
            </w:r>
          </w:p>
          <w:p>
            <w:pPr>
              <w:pStyle w:val="00001c"/>
              <w:jc w:val="both"/>
              <w:rPr>
                <w:rFonts w:hint="default"/>
                <w:kern w:val="2"/>
                <w:sz w:val="21"/>
                <w:szCs w:val="22"/>
              </w:rPr>
            </w:pPr>
            <w:r>
              <w:rPr>
                <w:rFonts w:ascii="仿宋_GB2312" w:hAnsi="仿宋_GB2312" w:eastAsia="仿宋_GB2312" w:cs="仿宋_GB2312"/>
                <w:kern w:val="2"/>
                <w:sz w:val="24"/>
                <w:szCs w:val="22"/>
              </w:rPr>
              <w:t>2、内存规格：内存配置容量≥16GB，内存类型为 DDR4 及以上，内存条配置数量≥1。</w:t>
            </w:r>
          </w:p>
          <w:p>
            <w:pPr>
              <w:pStyle w:val="00001c"/>
              <w:jc w:val="both"/>
              <w:rPr>
                <w:rFonts w:hint="default"/>
                <w:kern w:val="2"/>
                <w:sz w:val="21"/>
                <w:szCs w:val="22"/>
              </w:rPr>
            </w:pPr>
            <w:r>
              <w:rPr>
                <w:rFonts w:ascii="仿宋_GB2312" w:hAnsi="仿宋_GB2312" w:eastAsia="仿宋_GB2312" w:cs="仿宋_GB2312"/>
                <w:kern w:val="2"/>
                <w:sz w:val="24"/>
                <w:szCs w:val="22"/>
              </w:rPr>
              <w:t>3、主板集成可信平台模块（TPM 2.0）、有线网卡、音频模块，主板的互联拓扑可通过处理器或交换电路实现；主板支持 DDR4 内存，配置≥2 个内存插槽；主板接口：≥2 个 SATA 接口、≥1 个 M.2 接口、≥1 个 PCIe x1、≥1 个 PCIe x16；单内存插槽最大可支持容量≥16GB，内存插槽满配时提供的最高内存总容量≥64GB。投标人须在投标文件中载明主板相关 SATA、M.2、USB 接口的数量及占用状态。</w:t>
            </w:r>
          </w:p>
          <w:p>
            <w:pPr>
              <w:pStyle w:val="00001c"/>
              <w:jc w:val="both"/>
              <w:rPr>
                <w:rFonts w:hint="default"/>
                <w:kern w:val="2"/>
                <w:sz w:val="21"/>
                <w:szCs w:val="22"/>
              </w:rPr>
            </w:pPr>
            <w:r>
              <w:rPr>
                <w:rFonts w:ascii="仿宋_GB2312" w:hAnsi="仿宋_GB2312" w:eastAsia="仿宋_GB2312" w:cs="仿宋_GB2312"/>
                <w:kern w:val="2"/>
                <w:sz w:val="24"/>
                <w:szCs w:val="22"/>
              </w:rPr>
              <w:t xml:space="preserve">4、存储设备规格：固态盘数量≥1 个，固态存储容量≥512GB，采用 M.2 NVMe 接口，支持机械硬盘扩展，支持硬盘故障前自检和告警。存储设备其他参数要求：a) 固态盘应符合 </w:t>
            </w:r>
            <w:r>
              <w:rPr>
                <w:rFonts w:ascii="仿宋_GB2312" w:hAnsi="仿宋_GB2312" w:eastAsia="仿宋_GB2312" w:cs="仿宋_GB2312"/>
                <w:color w:val="FF0000"/>
                <w:kern w:val="2"/>
                <w:sz w:val="24"/>
                <w:szCs w:val="22"/>
              </w:rPr>
              <w:t>SJ/T11654</w:t>
            </w:r>
            <w:r>
              <w:rPr>
                <w:rFonts w:hint="eastAsia" w:ascii="仿宋_GB2312" w:hAnsi="仿宋_GB2312" w:eastAsia="仿宋_GB2312" w:cs="仿宋_GB2312"/>
                <w:color w:val="FF0000"/>
                <w:kern w:val="2"/>
                <w:sz w:val="24"/>
                <w:szCs w:val="22"/>
              </w:rPr>
              <w:t>-2016</w:t>
            </w:r>
            <w:r>
              <w:rPr>
                <w:rFonts w:ascii="仿宋_GB2312" w:hAnsi="仿宋_GB2312" w:eastAsia="仿宋_GB2312" w:cs="仿宋_GB2312"/>
                <w:kern w:val="2"/>
                <w:sz w:val="24"/>
                <w:szCs w:val="22"/>
              </w:rPr>
              <w:t xml:space="preserve"> 相关规定；b) 机械硬盘准备时间应不大于 30s，侧面固定螺丝孔数量可为 4 孔或 6 孔，工作状态环境温度应满足 5-55℃，其它参数应符合 </w:t>
            </w:r>
            <w:r>
              <w:rPr>
                <w:rFonts w:ascii="仿宋_GB2312" w:hAnsi="仿宋_GB2312" w:eastAsia="仿宋_GB2312" w:cs="仿宋_GB2312"/>
                <w:color w:val="FF0000"/>
                <w:kern w:val="2"/>
                <w:sz w:val="24"/>
                <w:szCs w:val="22"/>
              </w:rPr>
              <w:t>GB/T12628</w:t>
            </w:r>
            <w:r>
              <w:rPr>
                <w:rFonts w:hint="eastAsia" w:ascii="仿宋_GB2312" w:hAnsi="仿宋_GB2312" w:eastAsia="仿宋_GB2312" w:cs="仿宋_GB2312"/>
                <w:color w:val="FF0000"/>
                <w:kern w:val="2"/>
                <w:sz w:val="24"/>
                <w:szCs w:val="22"/>
              </w:rPr>
              <w:t>-2008</w:t>
            </w:r>
            <w:r>
              <w:rPr>
                <w:rFonts w:ascii="仿宋_GB2312" w:hAnsi="仿宋_GB2312" w:eastAsia="仿宋_GB2312" w:cs="仿宋_GB2312"/>
                <w:kern w:val="2"/>
                <w:sz w:val="24"/>
                <w:szCs w:val="22"/>
              </w:rPr>
              <w:t xml:space="preserve"> 相关规定。</w:t>
            </w:r>
          </w:p>
          <w:p>
            <w:pPr>
              <w:pStyle w:val="00001c"/>
              <w:jc w:val="both"/>
              <w:rPr>
                <w:rFonts w:hint="default"/>
                <w:kern w:val="2"/>
                <w:sz w:val="21"/>
                <w:szCs w:val="22"/>
              </w:rPr>
            </w:pPr>
            <w:r>
              <w:rPr>
                <w:rFonts w:ascii="仿宋_GB2312" w:hAnsi="仿宋_GB2312" w:eastAsia="仿宋_GB2312" w:cs="仿宋_GB2312"/>
                <w:kern w:val="2"/>
                <w:sz w:val="24"/>
                <w:szCs w:val="22"/>
              </w:rPr>
              <w:t>5、显卡规格：显卡类型：集成显卡。</w:t>
            </w:r>
          </w:p>
          <w:p>
            <w:pPr>
              <w:pStyle w:val="00001c"/>
              <w:jc w:val="both"/>
              <w:rPr>
                <w:rFonts w:hint="default"/>
                <w:kern w:val="2"/>
                <w:sz w:val="21"/>
                <w:szCs w:val="22"/>
              </w:rPr>
            </w:pPr>
            <w:r>
              <w:rPr>
                <w:rFonts w:ascii="仿宋_GB2312" w:hAnsi="仿宋_GB2312" w:eastAsia="仿宋_GB2312" w:cs="仿宋_GB2312"/>
                <w:kern w:val="2"/>
                <w:sz w:val="24"/>
                <w:szCs w:val="22"/>
              </w:rPr>
              <w:t>6、显示设备规格：显示屏尺寸≥23.8 英寸、宽屏 LED 背光 IPS 液晶显示器；显示屏屏占比≥80%，显示屏分辨率 ≥1920×1080，显示屏屏幕比例 16:9，显示器外观颜色：黑色。显示屏开启防蓝光模式后，蓝光加权辐射亮度比应≤0.0012W/(cd・sr)（瓦每坎特拉每球面度）；显示屏应支持低频闪≤-35dB，具备防炫目效果，显示屏镜面反射率≤10%。</w:t>
            </w:r>
          </w:p>
          <w:p>
            <w:pPr>
              <w:pStyle w:val="00001c"/>
              <w:jc w:val="both"/>
              <w:rPr>
                <w:rFonts w:hint="default"/>
                <w:kern w:val="2"/>
                <w:sz w:val="21"/>
                <w:szCs w:val="22"/>
              </w:rPr>
            </w:pPr>
            <w:r>
              <w:rPr>
                <w:rFonts w:ascii="仿宋_GB2312" w:hAnsi="仿宋_GB2312" w:eastAsia="仿宋_GB2312" w:cs="仿宋_GB2312"/>
                <w:kern w:val="2"/>
                <w:sz w:val="24"/>
                <w:szCs w:val="22"/>
              </w:rPr>
              <w:t xml:space="preserve">7、外设规格：配置有线键盘、有线鼠标各≥1 个，均为黑色。键盘为 104 键，键程 2.3-4.0mm，按键压力 0.54N±0.14N，连接线长度≥1.5 米；鼠标 DPI 分辨率为 800-1600，连接线长度≥1.5 米，鼠标其它参数应符合 </w:t>
            </w:r>
            <w:r>
              <w:rPr>
                <w:rFonts w:ascii="仿宋_GB2312" w:hAnsi="仿宋_GB2312" w:eastAsia="仿宋_GB2312" w:cs="仿宋_GB2312"/>
                <w:color w:val="FF0000"/>
                <w:kern w:val="2"/>
                <w:sz w:val="24"/>
                <w:szCs w:val="22"/>
              </w:rPr>
              <w:t>GB/T26245</w:t>
            </w:r>
            <w:r>
              <w:rPr>
                <w:rFonts w:hint="eastAsia" w:ascii="仿宋_GB2312" w:hAnsi="仿宋_GB2312" w:eastAsia="仿宋_GB2312" w:cs="仿宋_GB2312"/>
                <w:color w:val="FF0000"/>
                <w:kern w:val="2"/>
                <w:sz w:val="24"/>
                <w:szCs w:val="22"/>
              </w:rPr>
              <w:t>-2010</w:t>
            </w:r>
            <w:r>
              <w:rPr>
                <w:rFonts w:ascii="仿宋_GB2312" w:hAnsi="仿宋_GB2312" w:eastAsia="仿宋_GB2312" w:cs="仿宋_GB2312"/>
                <w:kern w:val="2"/>
                <w:sz w:val="24"/>
                <w:szCs w:val="22"/>
              </w:rPr>
              <w:t xml:space="preserve"> 的相关规定。</w:t>
            </w:r>
            <w:r>
              <w:rPr>
                <w:rFonts w:ascii="仿宋" w:hAnsi="仿宋" w:eastAsia="仿宋" w:cs="仿宋"/>
                <w:b w:val="1"/>
                <w:bCs w:val="1"/>
                <w:kern w:val="2"/>
                <w:sz w:val="24"/>
                <w:szCs w:val="24"/>
              </w:rPr>
              <w:t>（</w:t>
            </w:r>
            <w:r>
              <w:rPr>
                <w:rFonts w:ascii="仿宋_GB2312" w:hAnsi="仿宋_GB2312" w:eastAsia="仿宋_GB2312" w:cs="仿宋_GB2312"/>
                <w:b w:val="1"/>
                <w:bCs w:val="1"/>
                <w:kern w:val="2"/>
                <w:sz w:val="24"/>
                <w:szCs w:val="22"/>
              </w:rPr>
              <w:t>说明：</w:t>
            </w:r>
            <w:r>
              <w:rPr>
                <w:rFonts w:ascii="仿宋" w:hAnsi="仿宋" w:eastAsia="仿宋" w:cs="仿宋"/>
                <w:b w:val="1"/>
                <w:bCs w:val="1"/>
                <w:kern w:val="2"/>
                <w:sz w:val="24"/>
                <w:szCs w:val="24"/>
                <w:lang w:eastAsia="zh-CN"/>
              </w:rPr>
              <w:t>供应商</w:t>
            </w:r>
            <w:r>
              <w:rPr>
                <w:rFonts w:ascii="仿宋" w:hAnsi="仿宋" w:eastAsia="仿宋" w:cs="仿宋"/>
                <w:b w:val="1"/>
                <w:bCs w:val="1"/>
                <w:kern w:val="2"/>
                <w:sz w:val="24"/>
                <w:szCs w:val="24"/>
              </w:rPr>
              <w:t>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8、网络设备规格：集成 PCIe 1000M 有线网卡≥1 块。</w:t>
            </w:r>
          </w:p>
          <w:p>
            <w:pPr>
              <w:pStyle w:val="00001c"/>
              <w:jc w:val="both"/>
              <w:rPr>
                <w:rFonts w:hint="default" w:ascii="仿宋" w:hAnsi="仿宋" w:eastAsia="仿宋" w:cs="仿宋"/>
                <w:b w:val="1"/>
                <w:bCs w:val="1"/>
                <w:kern w:val="2"/>
                <w:sz w:val="24"/>
                <w:szCs w:val="24"/>
              </w:rPr>
            </w:pPr>
            <w:r>
              <w:rPr>
                <w:rFonts w:ascii="仿宋_GB2312" w:hAnsi="仿宋_GB2312" w:eastAsia="仿宋_GB2312" w:cs="仿宋_GB2312"/>
                <w:kern w:val="2"/>
                <w:sz w:val="24"/>
                <w:szCs w:val="22"/>
              </w:rPr>
              <w:t>9、外部接口规格：≥</w:t>
            </w:r>
            <w:r>
              <w:rPr>
                <w:rFonts w:ascii="仿宋_GB2312" w:hAnsi="仿宋_GB2312" w:eastAsia="仿宋_GB2312" w:cs="仿宋_GB2312"/>
                <w:kern w:val="2"/>
                <w:sz w:val="24"/>
                <w:szCs w:val="22"/>
                <w:lang w:eastAsia="zh-CN"/>
              </w:rPr>
              <w:t>8</w:t>
            </w:r>
            <w:r>
              <w:rPr>
                <w:rFonts w:ascii="仿宋_GB2312" w:hAnsi="仿宋_GB2312" w:eastAsia="仿宋_GB2312" w:cs="仿宋_GB2312"/>
                <w:kern w:val="2"/>
                <w:sz w:val="24"/>
                <w:szCs w:val="22"/>
              </w:rPr>
              <w:t>个 USB 接口（其中 USB 3.2 及以上端口≥</w:t>
            </w:r>
            <w:r>
              <w:rPr>
                <w:rFonts w:ascii="仿宋_GB2312" w:hAnsi="仿宋_GB2312" w:eastAsia="仿宋_GB2312" w:cs="仿宋_GB2312"/>
                <w:kern w:val="2"/>
                <w:sz w:val="24"/>
                <w:szCs w:val="22"/>
                <w:lang w:eastAsia="zh-CN"/>
              </w:rPr>
              <w:t>6</w:t>
            </w:r>
            <w:r>
              <w:rPr>
                <w:rFonts w:ascii="仿宋_GB2312" w:hAnsi="仿宋_GB2312" w:eastAsia="仿宋_GB2312" w:cs="仿宋_GB2312"/>
                <w:kern w:val="2"/>
                <w:sz w:val="24"/>
                <w:szCs w:val="22"/>
              </w:rPr>
              <w:t xml:space="preserve"> 个，含 1 个 USB-C 端口）；视频接口数量：≥2 个（HDMI、DP、VGA 等接口任选两种及以上）；音频接口数量：≥3 个（前置 1 个耳麦通用插孔，后置 1 个音频输入、1 个音频输出，支持 3.5mm 孔径 3 段式或 4 段式接口）；HDMI、DP、USB-C 接口支持音视频同步输出。</w:t>
            </w:r>
            <w:r>
              <w:rPr>
                <w:rFonts w:ascii="仿宋_GB2312" w:hAnsi="仿宋_GB2312" w:eastAsia="仿宋_GB2312" w:cs="仿宋_GB2312"/>
                <w:b w:val="1"/>
                <w:bCs w:val="1"/>
                <w:color w:val="FF0000"/>
                <w:kern w:val="2"/>
                <w:sz w:val="24"/>
                <w:szCs w:val="22"/>
                <w:lang w:eastAsia="zh-CN"/>
              </w:rPr>
              <w:t>（</w:t>
            </w:r>
            <w:r>
              <w:rPr>
                <w:rFonts w:ascii="仿宋" w:hAnsi="仿宋" w:eastAsia="仿宋" w:cs="仿宋"/>
                <w:b w:val="1"/>
                <w:bCs w:val="1"/>
                <w:color w:val="FF0000"/>
                <w:kern w:val="2"/>
                <w:sz w:val="24"/>
                <w:szCs w:val="24"/>
                <w:lang w:eastAsia="zh-CN"/>
              </w:rPr>
              <w:t>说明：供应商在响应文件中提供产品彩页或</w:t>
            </w:r>
            <w:r>
              <w:rPr>
                <w:rFonts w:hint="eastAsia" w:ascii="仿宋" w:hAnsi="仿宋" w:eastAsia="仿宋" w:cs="仿宋"/>
                <w:b w:val="1"/>
                <w:bCs w:val="1"/>
                <w:color w:val="FF0000"/>
                <w:kern w:val="2"/>
                <w:sz w:val="24"/>
                <w:szCs w:val="24"/>
                <w:lang w:val="en-US" w:eastAsia="zh-CN"/>
              </w:rPr>
              <w:t>技术参数</w:t>
            </w:r>
            <w:r>
              <w:rPr>
                <w:rFonts w:ascii="仿宋" w:hAnsi="仿宋" w:eastAsia="仿宋" w:cs="仿宋"/>
                <w:b w:val="1"/>
                <w:bCs w:val="1"/>
                <w:color w:val="FF0000"/>
                <w:kern w:val="2"/>
                <w:sz w:val="24"/>
                <w:szCs w:val="24"/>
                <w:lang w:eastAsia="zh-CN"/>
              </w:rPr>
              <w:t>说明书</w:t>
            </w:r>
            <w:r>
              <w:rPr>
                <w:rFonts w:hint="eastAsia" w:ascii="仿宋" w:hAnsi="仿宋" w:eastAsia="仿宋" w:cs="仿宋"/>
                <w:b w:val="1"/>
                <w:bCs w:val="1"/>
                <w:color w:val="FF0000"/>
                <w:kern w:val="2"/>
                <w:sz w:val="24"/>
                <w:szCs w:val="24"/>
                <w:lang w:val="en-US" w:eastAsia="zh-CN"/>
              </w:rPr>
              <w:t>或技术白皮书</w:t>
            </w:r>
            <w:r>
              <w:rPr>
                <w:rFonts w:ascii="仿宋" w:hAnsi="仿宋" w:eastAsia="仿宋" w:cs="仿宋"/>
                <w:b w:val="1"/>
                <w:bCs w:val="1"/>
                <w:color w:val="FF0000"/>
                <w:kern w:val="2"/>
                <w:sz w:val="24"/>
                <w:szCs w:val="24"/>
                <w:lang w:eastAsia="zh-CN"/>
              </w:rPr>
              <w:t>等有效证明材料）</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10、整机基础规格：</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①整机外观：a) 产品表面不应有凹痕、划伤、裂缝、变形和污染等。表面涂层均匀，不应起泡、龟裂、脱落和磨损，金属零部件无锈蚀及其它机械损伤；b) 产品表面说明功能的文字、符号、标志，应清晰、端正、牢固。在产品显著位置设置运行状态指示灯，供应商须提供指示灯详细参数。</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②整机结构:⑴机箱应符合</w:t>
            </w:r>
            <w:r>
              <w:rPr>
                <w:rFonts w:ascii="仿宋_GB2312" w:hAnsi="仿宋_GB2312" w:eastAsia="仿宋_GB2312" w:cs="仿宋_GB2312"/>
                <w:color w:val="FF0000"/>
                <w:kern w:val="2"/>
                <w:sz w:val="24"/>
                <w:szCs w:val="22"/>
              </w:rPr>
              <w:t xml:space="preserve"> GB/T4208</w:t>
            </w:r>
            <w:r>
              <w:rPr>
                <w:rFonts w:hint="eastAsia" w:ascii="仿宋_GB2312" w:hAnsi="仿宋_GB2312" w:eastAsia="仿宋_GB2312" w:cs="仿宋_GB2312"/>
                <w:color w:val="FF0000"/>
                <w:kern w:val="2"/>
                <w:sz w:val="24"/>
                <w:szCs w:val="22"/>
              </w:rPr>
              <w:t>-2017</w:t>
            </w:r>
            <w:r>
              <w:rPr>
                <w:rFonts w:ascii="仿宋_GB2312" w:hAnsi="仿宋_GB2312" w:eastAsia="仿宋_GB2312" w:cs="仿宋_GB2312"/>
                <w:color w:val="FF0000"/>
                <w:kern w:val="2"/>
                <w:sz w:val="24"/>
                <w:szCs w:val="22"/>
              </w:rPr>
              <w:t>、GB/T26246</w:t>
            </w:r>
            <w:r>
              <w:rPr>
                <w:rFonts w:hint="eastAsia" w:ascii="仿宋_GB2312" w:hAnsi="仿宋_GB2312" w:eastAsia="仿宋_GB2312" w:cs="仿宋_GB2312"/>
                <w:color w:val="FF0000"/>
                <w:kern w:val="2"/>
                <w:sz w:val="24"/>
                <w:szCs w:val="22"/>
              </w:rPr>
              <w:t>-2010</w:t>
            </w:r>
            <w:r>
              <w:rPr>
                <w:rFonts w:ascii="仿宋_GB2312" w:hAnsi="仿宋_GB2312" w:eastAsia="仿宋_GB2312" w:cs="仿宋_GB2312"/>
                <w:kern w:val="2"/>
                <w:sz w:val="24"/>
                <w:szCs w:val="22"/>
              </w:rPr>
              <w:t xml:space="preserve"> 相关规定，机箱防护等级满足 </w:t>
            </w:r>
            <w:r>
              <w:rPr>
                <w:rFonts w:ascii="仿宋_GB2312" w:hAnsi="仿宋_GB2312" w:eastAsia="仿宋_GB2312" w:cs="仿宋_GB2312"/>
                <w:color w:val="FF0000"/>
                <w:kern w:val="2"/>
                <w:sz w:val="24"/>
                <w:szCs w:val="22"/>
              </w:rPr>
              <w:t>GB/T4208</w:t>
            </w:r>
            <w:r>
              <w:rPr>
                <w:rFonts w:hint="eastAsia" w:ascii="仿宋_GB2312" w:hAnsi="仿宋_GB2312" w:eastAsia="仿宋_GB2312" w:cs="仿宋_GB2312"/>
                <w:color w:val="FF0000"/>
                <w:kern w:val="2"/>
                <w:sz w:val="24"/>
                <w:szCs w:val="22"/>
              </w:rPr>
              <w:t>-2017</w:t>
            </w:r>
            <w:r>
              <w:rPr>
                <w:rFonts w:ascii="仿宋_GB2312" w:hAnsi="仿宋_GB2312" w:eastAsia="仿宋_GB2312" w:cs="仿宋_GB2312"/>
                <w:kern w:val="2"/>
                <w:sz w:val="24"/>
                <w:szCs w:val="22"/>
              </w:rPr>
              <w:t xml:space="preserve"> 中 IP20 要求；⑵产品内部结构应符合通用部件的安装需求；⑶所有输入输出接口应符合相关国家或行业标准；⑷产品零部件应紧固无松动，可插拔部件应可靠连接，开关、按钮和其它控制部件应灵活可靠，布局应方便使用；⑸所有 I/O 连接器及需插接线缆的部位应预留采购人操作空间，方便插拔解锁与插拔线缆；⑹可插拔板卡插槽部位应预留安装、拆卸或更换板卡空间；⑺拆装可能接触到的金属剪口或金属尖角部位应做防划伤处理，以保证安全；⑻整机内部走线规整，固线结构和位置合理可靠并做防割线处理，便于理线和插拔操作，走线不得影响系统各主要部件组装和拆卸；⑼如需通过孔走线，过线孔应做防割线处理；⑽各插头位置和插拔方向合理，做到插拔无障碍设计，具备防呆设计，有效避免误操作；⑾各主要部件拆装无障碍，使用常规工具拆装，无特殊拆装工具需求；⑿各主要部件拆装步骤精简，各部件拆装互不干扰；⒀对于整机或零部件外表面为高亮面的，应粘贴保护膜，保护膜粘贴牢固，运输、组装等过程不易脱落，撕下无残留；⒁其它要求应符合 </w:t>
            </w:r>
            <w:r>
              <w:rPr>
                <w:rFonts w:ascii="仿宋_GB2312" w:hAnsi="仿宋_GB2312" w:eastAsia="仿宋_GB2312" w:cs="仿宋_GB2312"/>
                <w:color w:val="FF0000"/>
                <w:kern w:val="2"/>
                <w:sz w:val="24"/>
                <w:szCs w:val="22"/>
              </w:rPr>
              <w:t>GB/T9813.1</w:t>
            </w:r>
            <w:r>
              <w:rPr>
                <w:rFonts w:hint="eastAsia" w:ascii="仿宋_GB2312" w:hAnsi="仿宋_GB2312" w:eastAsia="仿宋_GB2312" w:cs="仿宋_GB2312"/>
                <w:color w:val="FF0000"/>
                <w:kern w:val="2"/>
                <w:sz w:val="24"/>
                <w:szCs w:val="22"/>
              </w:rPr>
              <w:t>-2016</w:t>
            </w:r>
            <w:r>
              <w:rPr>
                <w:rFonts w:ascii="仿宋_GB2312" w:hAnsi="仿宋_GB2312" w:eastAsia="仿宋_GB2312" w:cs="仿宋_GB2312"/>
                <w:color w:val="FF0000"/>
                <w:kern w:val="2"/>
                <w:sz w:val="24"/>
                <w:szCs w:val="22"/>
              </w:rPr>
              <w:t xml:space="preserve"> </w:t>
            </w:r>
            <w:r>
              <w:rPr>
                <w:rFonts w:ascii="仿宋_GB2312" w:hAnsi="仿宋_GB2312" w:eastAsia="仿宋_GB2312" w:cs="仿宋_GB2312"/>
                <w:kern w:val="2"/>
                <w:sz w:val="24"/>
                <w:szCs w:val="22"/>
              </w:rPr>
              <w:t>的相关规定。</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③整机噪音：产品工作在空闲状态下，声功率级应不超过 45dB。</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④整机散热：在环境温度 25℃及处理器满载情况下，产品表面温度应符合如下要求：a) 出风口在机箱后面板情况下，出风口温度不高于 55℃;b) 可触及面温度不高于 45℃。</w:t>
            </w:r>
          </w:p>
          <w:p>
            <w:pPr>
              <w:pStyle w:val="00001c"/>
              <w:jc w:val="both"/>
              <w:rPr>
                <w:rFonts w:hint="default"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11、主机</w:t>
            </w:r>
            <w:r>
              <w:rPr>
                <w:rFonts w:ascii="仿宋_GB2312" w:hAnsi="仿宋_GB2312" w:eastAsia="仿宋_GB2312" w:cs="仿宋_GB2312"/>
                <w:color w:val="FF0000"/>
                <w:kern w:val="2"/>
                <w:sz w:val="24"/>
                <w:szCs w:val="22"/>
              </w:rPr>
              <w:t>外观尺寸：机身材质为塑料 / 金属，机身颜色为黑色；机箱体积 15 升～30L。</w:t>
            </w:r>
          </w:p>
          <w:p>
            <w:pPr>
              <w:pStyle w:val="00001c"/>
              <w:jc w:val="both"/>
              <w:rPr>
                <w:rFonts w:ascii="仿宋" w:hAnsi="仿宋" w:eastAsia="仿宋" w:cs="仿宋"/>
                <w:b w:val="1"/>
                <w:bCs w:val="1"/>
                <w:color w:val="FF0000"/>
                <w:kern w:val="2"/>
                <w:sz w:val="24"/>
                <w:szCs w:val="24"/>
                <w:lang w:eastAsia="zh-CN"/>
              </w:rPr>
            </w:pPr>
            <w:r>
              <w:rPr>
                <w:rFonts w:ascii="仿宋_GB2312" w:hAnsi="仿宋_GB2312" w:eastAsia="仿宋_GB2312" w:cs="仿宋_GB2312"/>
                <w:b w:val="1"/>
                <w:bCs w:val="1"/>
                <w:color w:val="FF0000"/>
                <w:kern w:val="2"/>
                <w:sz w:val="24"/>
                <w:szCs w:val="22"/>
                <w:lang w:eastAsia="zh-CN"/>
              </w:rPr>
              <w:t>（</w:t>
            </w:r>
            <w:r>
              <w:rPr>
                <w:rFonts w:ascii="仿宋" w:hAnsi="仿宋" w:eastAsia="仿宋" w:cs="仿宋"/>
                <w:b w:val="1"/>
                <w:bCs w:val="1"/>
                <w:color w:val="FF0000"/>
                <w:kern w:val="2"/>
                <w:sz w:val="24"/>
                <w:szCs w:val="24"/>
                <w:lang w:eastAsia="zh-CN"/>
              </w:rPr>
              <w:t>说明：供应商在响应文件中提供产品彩页或</w:t>
            </w:r>
            <w:r>
              <w:rPr>
                <w:rFonts w:hint="eastAsia" w:ascii="仿宋" w:hAnsi="仿宋" w:eastAsia="仿宋" w:cs="仿宋"/>
                <w:b w:val="1"/>
                <w:bCs w:val="1"/>
                <w:color w:val="FF0000"/>
                <w:kern w:val="2"/>
                <w:sz w:val="24"/>
                <w:szCs w:val="24"/>
                <w:lang w:val="en-US" w:eastAsia="zh-CN"/>
              </w:rPr>
              <w:t>技术参数</w:t>
            </w:r>
            <w:r>
              <w:rPr>
                <w:rFonts w:ascii="仿宋" w:hAnsi="仿宋" w:eastAsia="仿宋" w:cs="仿宋"/>
                <w:b w:val="1"/>
                <w:bCs w:val="1"/>
                <w:color w:val="FF0000"/>
                <w:kern w:val="2"/>
                <w:sz w:val="24"/>
                <w:szCs w:val="24"/>
                <w:lang w:eastAsia="zh-CN"/>
              </w:rPr>
              <w:t>说明书</w:t>
            </w:r>
            <w:r>
              <w:rPr>
                <w:rFonts w:hint="eastAsia" w:ascii="仿宋" w:hAnsi="仿宋" w:eastAsia="仿宋" w:cs="仿宋"/>
                <w:b w:val="1"/>
                <w:bCs w:val="1"/>
                <w:color w:val="FF0000"/>
                <w:kern w:val="2"/>
                <w:sz w:val="24"/>
                <w:szCs w:val="24"/>
                <w:lang w:val="en-US" w:eastAsia="zh-CN"/>
              </w:rPr>
              <w:t>或技术白皮书</w:t>
            </w:r>
            <w:r>
              <w:rPr>
                <w:rFonts w:ascii="仿宋" w:hAnsi="仿宋" w:eastAsia="仿宋" w:cs="仿宋"/>
                <w:b w:val="1"/>
                <w:bCs w:val="1"/>
                <w:color w:val="FF0000"/>
                <w:kern w:val="2"/>
                <w:sz w:val="24"/>
                <w:szCs w:val="24"/>
                <w:lang w:eastAsia="zh-CN"/>
              </w:rPr>
              <w:t>等有效证明材料）</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1</w:t>
            </w:r>
            <w:r>
              <w:rPr>
                <w:rFonts w:hint="eastAsia" w:ascii="仿宋_GB2312" w:hAnsi="仿宋_GB2312" w:eastAsia="仿宋_GB2312" w:cs="仿宋_GB2312"/>
                <w:kern w:val="2"/>
                <w:sz w:val="24"/>
                <w:szCs w:val="22"/>
                <w:lang w:val="en-US" w:eastAsia="zh-CN"/>
              </w:rPr>
              <w:t>2</w:t>
            </w:r>
            <w:r>
              <w:rPr>
                <w:rFonts w:ascii="仿宋_GB2312" w:hAnsi="仿宋_GB2312" w:eastAsia="仿宋_GB2312" w:cs="仿宋_GB2312"/>
                <w:kern w:val="2"/>
                <w:sz w:val="24"/>
                <w:szCs w:val="22"/>
              </w:rPr>
              <w:t>、显卡性能：显示分辨率≥1920×1080，显卡显示芯片核心频率≥300MHz，显存等效频率≥1000MT/s；显卡支持 2 块屏幕同时显示，单屏分辨率不低于 1920×1080。</w:t>
            </w:r>
          </w:p>
          <w:p>
            <w:pPr>
              <w:pStyle w:val="00001c"/>
              <w:jc w:val="both"/>
              <w:rPr>
                <w:rFonts w:hint="default" w:ascii="仿宋_GB2312" w:hAnsi="仿宋_GB2312" w:eastAsia="仿宋_GB2312" w:cs="仿宋_GB2312"/>
                <w:kern w:val="2"/>
                <w:sz w:val="24"/>
                <w:szCs w:val="22"/>
              </w:rPr>
            </w:pPr>
            <w:r>
              <w:rPr>
                <w:rFonts w:ascii="仿宋_GB2312" w:hAnsi="仿宋_GB2312" w:eastAsia="仿宋_GB2312" w:cs="仿宋_GB2312"/>
                <w:kern w:val="2"/>
                <w:sz w:val="24"/>
                <w:szCs w:val="22"/>
              </w:rPr>
              <w:t>1</w:t>
            </w:r>
            <w:r>
              <w:rPr>
                <w:rFonts w:hint="eastAsia" w:ascii="仿宋_GB2312" w:hAnsi="仿宋_GB2312" w:eastAsia="仿宋_GB2312" w:cs="仿宋_GB2312"/>
                <w:kern w:val="2"/>
                <w:sz w:val="24"/>
                <w:szCs w:val="22"/>
                <w:lang w:val="en-US" w:eastAsia="zh-CN"/>
              </w:rPr>
              <w:t>3</w:t>
            </w:r>
            <w:r>
              <w:rPr>
                <w:rFonts w:ascii="仿宋_GB2312" w:hAnsi="仿宋_GB2312" w:eastAsia="仿宋_GB2312" w:cs="仿宋_GB2312"/>
                <w:kern w:val="2"/>
                <w:sz w:val="24"/>
                <w:szCs w:val="22"/>
              </w:rPr>
              <w:t xml:space="preserve">、显示设备性能：显示屏刷新率≥75Hz，显示屏位深≥8 位，显示屏色域≥99% sRGB，显示屏色准△E≤4，显示屏响应时间≤8ms，显示屏亮度≥250 尼特，显示屏亮度一致性≥70%，显示屏对比度≥1000：1；显示屏其他参数应符合 </w:t>
            </w:r>
            <w:r>
              <w:rPr>
                <w:rFonts w:ascii="仿宋_GB2312" w:hAnsi="仿宋_GB2312" w:eastAsia="仿宋_GB2312" w:cs="仿宋_GB2312"/>
                <w:color w:val="FF0000"/>
                <w:kern w:val="2"/>
                <w:sz w:val="24"/>
                <w:szCs w:val="22"/>
              </w:rPr>
              <w:t>SJ/T11292</w:t>
            </w:r>
            <w:r>
              <w:rPr>
                <w:rFonts w:hint="eastAsia" w:ascii="仿宋_GB2312" w:hAnsi="仿宋_GB2312" w:eastAsia="仿宋_GB2312" w:cs="仿宋_GB2312"/>
                <w:color w:val="FF0000"/>
                <w:kern w:val="2"/>
                <w:sz w:val="24"/>
                <w:szCs w:val="22"/>
              </w:rPr>
              <w:t>-2016</w:t>
            </w:r>
            <w:r>
              <w:rPr>
                <w:rFonts w:ascii="仿宋_GB2312" w:hAnsi="仿宋_GB2312" w:eastAsia="仿宋_GB2312" w:cs="仿宋_GB2312"/>
                <w:kern w:val="2"/>
                <w:sz w:val="24"/>
                <w:szCs w:val="22"/>
              </w:rPr>
              <w:t xml:space="preserve"> 的相关规定。</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1</w:t>
            </w:r>
            <w:r>
              <w:rPr>
                <w:rFonts w:hint="eastAsia" w:ascii="仿宋_GB2312" w:hAnsi="仿宋_GB2312" w:eastAsia="仿宋_GB2312" w:cs="仿宋_GB2312"/>
                <w:kern w:val="2"/>
                <w:sz w:val="24"/>
                <w:szCs w:val="22"/>
                <w:lang w:val="en-US" w:eastAsia="zh-CN"/>
              </w:rPr>
              <w:t>4</w:t>
            </w:r>
            <w:r>
              <w:rPr>
                <w:rFonts w:ascii="仿宋_GB2312" w:hAnsi="仿宋_GB2312" w:eastAsia="仿宋_GB2312" w:cs="仿宋_GB2312"/>
                <w:kern w:val="2"/>
                <w:sz w:val="24"/>
                <w:szCs w:val="22"/>
              </w:rPr>
              <w:t>、网络设备性能：有线网卡最高速率不低于 1000Mbps，支持 10Mbps、100Mbps、1000Mbps 速率自适应。</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1</w:t>
            </w:r>
            <w:r>
              <w:rPr>
                <w:rFonts w:hint="eastAsia" w:ascii="仿宋_GB2312" w:hAnsi="仿宋_GB2312" w:eastAsia="仿宋_GB2312" w:cs="仿宋_GB2312"/>
                <w:kern w:val="2"/>
                <w:sz w:val="24"/>
                <w:szCs w:val="22"/>
                <w:lang w:val="en-US" w:eastAsia="zh-CN"/>
              </w:rPr>
              <w:t>5</w:t>
            </w:r>
            <w:r>
              <w:rPr>
                <w:rFonts w:ascii="仿宋_GB2312" w:hAnsi="仿宋_GB2312" w:eastAsia="仿宋_GB2312" w:cs="仿宋_GB2312"/>
                <w:kern w:val="2"/>
                <w:sz w:val="24"/>
                <w:szCs w:val="22"/>
              </w:rPr>
              <w:t>、主板功能：内存扩展接口≥2 个；主板支持 USB 瞬间过流保护、防静电保护；可实现 USB 外设连接、音频扩展、PCIe 板卡扩展、外接显示器、存储扩容等功能，整机 I/O 接口可正常外接 USB 设备、显示器、音频设备等内外设备。</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1</w:t>
            </w:r>
            <w:r>
              <w:rPr>
                <w:rFonts w:hint="eastAsia" w:ascii="仿宋_GB2312" w:hAnsi="仿宋_GB2312" w:eastAsia="仿宋_GB2312" w:cs="仿宋_GB2312"/>
                <w:kern w:val="2"/>
                <w:sz w:val="24"/>
                <w:szCs w:val="22"/>
                <w:lang w:val="en-US" w:eastAsia="zh-CN"/>
              </w:rPr>
              <w:t>6</w:t>
            </w:r>
            <w:r>
              <w:rPr>
                <w:rFonts w:ascii="仿宋_GB2312" w:hAnsi="仿宋_GB2312" w:eastAsia="仿宋_GB2312" w:cs="仿宋_GB2312"/>
                <w:kern w:val="2"/>
                <w:sz w:val="24"/>
                <w:szCs w:val="22"/>
              </w:rPr>
              <w:t>、显卡功能：显卡外接显示接口至少支持 VGA、HDMI、DVI、DP、Type-C 中 1 种显示接口，并与显示器接口相匹配。</w:t>
            </w:r>
          </w:p>
          <w:p>
            <w:pPr>
              <w:pStyle w:val="00001c"/>
              <w:jc w:val="both"/>
              <w:rPr>
                <w:rFonts w:hint="default" w:ascii="仿宋_GB2312" w:hAnsi="仿宋_GB2312" w:eastAsia="仿宋_GB2312" w:cs="仿宋_GB2312"/>
                <w:b w:val="1"/>
                <w:bCs w:val="1"/>
                <w:color w:val="FF0000"/>
                <w:kern w:val="2"/>
                <w:sz w:val="24"/>
                <w:szCs w:val="22"/>
              </w:rPr>
            </w:pPr>
            <w:r>
              <w:rPr>
                <w:rFonts w:ascii="仿宋_GB2312" w:hAnsi="仿宋_GB2312" w:eastAsia="仿宋_GB2312" w:cs="仿宋_GB2312"/>
                <w:kern w:val="2"/>
                <w:sz w:val="24"/>
                <w:szCs w:val="22"/>
                <w:lang w:eastAsia="zh-CN"/>
              </w:rPr>
              <w:t>1</w:t>
            </w:r>
            <w:r>
              <w:rPr>
                <w:rFonts w:hint="eastAsia" w:ascii="仿宋_GB2312" w:hAnsi="仿宋_GB2312" w:eastAsia="仿宋_GB2312" w:cs="仿宋_GB2312"/>
                <w:kern w:val="2"/>
                <w:sz w:val="24"/>
                <w:szCs w:val="22"/>
                <w:lang w:val="en-US" w:eastAsia="zh-CN"/>
              </w:rPr>
              <w:t>7</w:t>
            </w:r>
            <w:r>
              <w:rPr>
                <w:rFonts w:ascii="仿宋_GB2312" w:hAnsi="仿宋_GB2312" w:eastAsia="仿宋_GB2312" w:cs="仿宋_GB2312"/>
                <w:kern w:val="2"/>
                <w:sz w:val="24"/>
                <w:szCs w:val="22"/>
              </w:rPr>
              <w:t>、显示设备功能：显示器视频接口与主机视频接口相匹配；标配显示器支架；配备 OSD 选单按钮，可调节色彩、模式、色温、亮度、对比度；背部设置 1 个三合一按钮，可一键调整显示器亮度、分辨率、音量；显示器带有独立防盗密码保护功能。</w:t>
            </w:r>
            <w:r>
              <w:rPr>
                <w:rFonts w:ascii="仿宋_GB2312" w:hAnsi="仿宋_GB2312" w:eastAsia="仿宋_GB2312" w:cs="仿宋_GB2312"/>
                <w:b w:val="1"/>
                <w:bCs w:val="1"/>
                <w:color w:val="FF0000"/>
                <w:kern w:val="2"/>
                <w:sz w:val="24"/>
                <w:szCs w:val="22"/>
                <w:lang w:eastAsia="zh-CN"/>
              </w:rPr>
              <w:t>（</w:t>
            </w:r>
            <w:r>
              <w:rPr>
                <w:rFonts w:ascii="仿宋" w:hAnsi="仿宋" w:eastAsia="仿宋" w:cs="仿宋"/>
                <w:b w:val="1"/>
                <w:bCs w:val="1"/>
                <w:color w:val="FF0000"/>
                <w:kern w:val="2"/>
                <w:sz w:val="24"/>
                <w:szCs w:val="24"/>
                <w:lang w:eastAsia="zh-CN"/>
              </w:rPr>
              <w:t>说明：供应商在响应文件中提供产品彩页或</w:t>
            </w:r>
            <w:r>
              <w:rPr>
                <w:rFonts w:hint="eastAsia" w:ascii="仿宋" w:hAnsi="仿宋" w:eastAsia="仿宋" w:cs="仿宋"/>
                <w:b w:val="1"/>
                <w:bCs w:val="1"/>
                <w:color w:val="FF0000"/>
                <w:kern w:val="2"/>
                <w:sz w:val="24"/>
                <w:szCs w:val="24"/>
                <w:lang w:val="en-US" w:eastAsia="zh-CN"/>
              </w:rPr>
              <w:t>技术参数</w:t>
            </w:r>
            <w:r>
              <w:rPr>
                <w:rFonts w:ascii="仿宋" w:hAnsi="仿宋" w:eastAsia="仿宋" w:cs="仿宋"/>
                <w:b w:val="1"/>
                <w:bCs w:val="1"/>
                <w:color w:val="FF0000"/>
                <w:kern w:val="2"/>
                <w:sz w:val="24"/>
                <w:szCs w:val="24"/>
                <w:lang w:eastAsia="zh-CN"/>
              </w:rPr>
              <w:t>说明书</w:t>
            </w:r>
            <w:r>
              <w:rPr>
                <w:rFonts w:hint="eastAsia" w:ascii="仿宋" w:hAnsi="仿宋" w:eastAsia="仿宋" w:cs="仿宋"/>
                <w:b w:val="1"/>
                <w:bCs w:val="1"/>
                <w:color w:val="FF0000"/>
                <w:kern w:val="2"/>
                <w:sz w:val="24"/>
                <w:szCs w:val="24"/>
                <w:lang w:val="en-US" w:eastAsia="zh-CN"/>
              </w:rPr>
              <w:t>或技术白皮书</w:t>
            </w:r>
            <w:r>
              <w:rPr>
                <w:rFonts w:ascii="仿宋" w:hAnsi="仿宋" w:eastAsia="仿宋" w:cs="仿宋"/>
                <w:b w:val="1"/>
                <w:bCs w:val="1"/>
                <w:color w:val="FF0000"/>
                <w:kern w:val="2"/>
                <w:sz w:val="24"/>
                <w:szCs w:val="24"/>
                <w:lang w:eastAsia="zh-CN"/>
              </w:rPr>
              <w:t>等有效证明材料）</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1</w:t>
            </w:r>
            <w:r>
              <w:rPr>
                <w:rFonts w:hint="eastAsia" w:ascii="仿宋_GB2312" w:hAnsi="仿宋_GB2312" w:eastAsia="仿宋_GB2312" w:cs="仿宋_GB2312"/>
                <w:kern w:val="2"/>
                <w:sz w:val="24"/>
                <w:szCs w:val="22"/>
                <w:lang w:val="en-US" w:eastAsia="zh-CN"/>
              </w:rPr>
              <w:t>8</w:t>
            </w:r>
            <w:r>
              <w:rPr>
                <w:rFonts w:ascii="仿宋_GB2312" w:hAnsi="仿宋_GB2312" w:eastAsia="仿宋_GB2312" w:cs="仿宋_GB2312"/>
                <w:kern w:val="2"/>
                <w:sz w:val="24"/>
                <w:szCs w:val="22"/>
              </w:rPr>
              <w:t>、网络设备功能：支持网络连接、启停、访问与数据交换，具备数据传输、数据流量及异常日志记录功能；有线网卡采用 RJ45 接口，有线网卡、无线网卡、蓝牙模块支持物理拆装。</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1</w:t>
            </w:r>
            <w:r>
              <w:rPr>
                <w:rFonts w:hint="eastAsia" w:ascii="仿宋_GB2312" w:hAnsi="仿宋_GB2312" w:eastAsia="仿宋_GB2312" w:cs="仿宋_GB2312"/>
                <w:kern w:val="2"/>
                <w:sz w:val="24"/>
                <w:szCs w:val="22"/>
                <w:lang w:val="en-US" w:eastAsia="zh-CN"/>
              </w:rPr>
              <w:t>9</w:t>
            </w:r>
            <w:r>
              <w:rPr>
                <w:rFonts w:ascii="仿宋_GB2312" w:hAnsi="仿宋_GB2312" w:eastAsia="仿宋_GB2312" w:cs="仿宋_GB2312"/>
                <w:kern w:val="2"/>
                <w:sz w:val="24"/>
                <w:szCs w:val="22"/>
              </w:rPr>
              <w:t xml:space="preserve">、中文信息处理要求：中文信息处理符合 </w:t>
            </w:r>
            <w:r>
              <w:rPr>
                <w:rFonts w:ascii="仿宋_GB2312" w:hAnsi="仿宋_GB2312" w:eastAsia="仿宋_GB2312" w:cs="仿宋_GB2312"/>
                <w:color w:val="FF0000"/>
                <w:kern w:val="2"/>
                <w:sz w:val="24"/>
                <w:szCs w:val="22"/>
              </w:rPr>
              <w:t>GB18030</w:t>
            </w:r>
            <w:r>
              <w:rPr>
                <w:rFonts w:hint="eastAsia" w:ascii="仿宋_GB2312" w:hAnsi="仿宋_GB2312" w:eastAsia="仿宋_GB2312" w:cs="仿宋_GB2312"/>
                <w:color w:val="FF0000"/>
                <w:kern w:val="2"/>
                <w:sz w:val="24"/>
                <w:szCs w:val="22"/>
              </w:rPr>
              <w:t>-2022</w:t>
            </w:r>
            <w:r>
              <w:rPr>
                <w:rFonts w:ascii="仿宋_GB2312" w:hAnsi="仿宋_GB2312" w:eastAsia="仿宋_GB2312" w:cs="仿宋_GB2312"/>
                <w:kern w:val="2"/>
                <w:sz w:val="24"/>
                <w:szCs w:val="22"/>
              </w:rPr>
              <w:t xml:space="preserve"> 的相关规定。</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hint="eastAsia" w:ascii="仿宋_GB2312" w:hAnsi="仿宋_GB2312" w:eastAsia="仿宋_GB2312" w:cs="仿宋_GB2312"/>
                <w:kern w:val="2"/>
                <w:sz w:val="24"/>
                <w:szCs w:val="22"/>
                <w:lang w:val="en-US" w:eastAsia="zh-CN"/>
              </w:rPr>
              <w:t>20</w:t>
            </w:r>
            <w:r>
              <w:rPr>
                <w:rFonts w:ascii="仿宋_GB2312" w:hAnsi="仿宋_GB2312" w:eastAsia="仿宋_GB2312" w:cs="仿宋_GB2312"/>
                <w:kern w:val="2"/>
                <w:sz w:val="24"/>
                <w:szCs w:val="22"/>
              </w:rPr>
              <w:t>、操作系统及软件功能：</w:t>
            </w:r>
            <w:r>
              <w:rPr>
                <w:rFonts w:ascii="仿宋_GB2312" w:hAnsi="仿宋_GB2312" w:eastAsia="仿宋_GB2312" w:cs="仿宋_GB2312"/>
                <w:color w:val="FF0000"/>
                <w:kern w:val="2"/>
                <w:sz w:val="24"/>
                <w:szCs w:val="22"/>
              </w:rPr>
              <w:t>预装windows正版操作系统</w:t>
            </w:r>
            <w:r>
              <w:rPr>
                <w:rFonts w:ascii="仿宋_GB2312" w:hAnsi="仿宋_GB2312" w:eastAsia="仿宋_GB2312" w:cs="仿宋_GB2312"/>
                <w:color w:val="FF0000"/>
                <w:kern w:val="2"/>
                <w:sz w:val="24"/>
                <w:szCs w:val="22"/>
                <w:lang w:eastAsia="zh-CN"/>
              </w:rPr>
              <w:t>；</w:t>
            </w:r>
            <w:r>
              <w:rPr>
                <w:rFonts w:ascii="仿宋_GB2312" w:hAnsi="仿宋_GB2312" w:eastAsia="仿宋_GB2312" w:cs="仿宋_GB2312"/>
                <w:kern w:val="2"/>
                <w:sz w:val="24"/>
                <w:szCs w:val="22"/>
              </w:rPr>
              <w:t>支持操作系统、固件的备份与还原；可通过网络、闪存盘完成操作系统、驱动、固件升级；BIOS 可关闭以太网、USB 等通讯接口；支持查看固件版本、内存、主板、处理器、系统时间等信息；支持自定义启动顺序、设置/修改/验证开机口令、开启/关闭网络引导功能。</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ascii="仿宋_GB2312" w:hAnsi="仿宋_GB2312" w:eastAsia="仿宋_GB2312" w:cs="仿宋_GB2312"/>
                <w:kern w:val="2"/>
                <w:sz w:val="24"/>
                <w:szCs w:val="22"/>
              </w:rPr>
            </w:pPr>
            <w:r>
              <w:rPr>
                <w:rFonts w:hint="eastAsia" w:ascii="仿宋_GB2312" w:hAnsi="仿宋_GB2312" w:eastAsia="仿宋_GB2312" w:cs="仿宋_GB2312"/>
                <w:kern w:val="2"/>
                <w:sz w:val="24"/>
                <w:szCs w:val="22"/>
                <w:lang w:val="en-US" w:eastAsia="zh-CN"/>
              </w:rPr>
              <w:t>21</w:t>
            </w:r>
            <w:r>
              <w:rPr>
                <w:rFonts w:ascii="仿宋_GB2312" w:hAnsi="仿宋_GB2312" w:eastAsia="仿宋_GB2312" w:cs="仿宋_GB2312"/>
                <w:kern w:val="2"/>
                <w:sz w:val="24"/>
                <w:szCs w:val="22"/>
              </w:rPr>
              <w:t>、存储设备可靠性：512GB 固态硬盘 TBW 寿命≥200TB。</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kern w:val="2"/>
                <w:sz w:val="21"/>
                <w:szCs w:val="22"/>
              </w:rPr>
            </w:pPr>
            <w:r>
              <w:rPr>
                <w:rFonts w:ascii="仿宋_GB2312" w:hAnsi="仿宋_GB2312" w:eastAsia="仿宋_GB2312" w:cs="仿宋_GB2312"/>
                <w:kern w:val="2"/>
                <w:sz w:val="24"/>
                <w:szCs w:val="22"/>
              </w:rPr>
              <w:t>2</w:t>
            </w:r>
            <w:r>
              <w:rPr>
                <w:rFonts w:hint="eastAsia" w:ascii="仿宋_GB2312" w:hAnsi="仿宋_GB2312" w:eastAsia="仿宋_GB2312" w:cs="仿宋_GB2312"/>
                <w:kern w:val="2"/>
                <w:sz w:val="24"/>
                <w:szCs w:val="22"/>
                <w:lang w:val="en-US" w:eastAsia="zh-CN"/>
              </w:rPr>
              <w:t>2</w:t>
            </w:r>
            <w:r>
              <w:rPr>
                <w:rFonts w:ascii="仿宋_GB2312" w:hAnsi="仿宋_GB2312" w:eastAsia="仿宋_GB2312" w:cs="仿宋_GB2312"/>
                <w:kern w:val="2"/>
                <w:sz w:val="24"/>
                <w:szCs w:val="22"/>
              </w:rPr>
              <w:t>、显示设备可靠性：显示屏屏幕失效点符合</w:t>
            </w:r>
            <w:r>
              <w:rPr>
                <w:rFonts w:ascii="仿宋_GB2312" w:hAnsi="仿宋_GB2312" w:eastAsia="仿宋_GB2312" w:cs="仿宋_GB2312"/>
                <w:color w:val="FF0000"/>
                <w:kern w:val="2"/>
                <w:sz w:val="24"/>
                <w:szCs w:val="22"/>
              </w:rPr>
              <w:t>GB/T9813.2</w:t>
            </w:r>
            <w:r>
              <w:rPr>
                <w:rFonts w:hint="eastAsia" w:ascii="仿宋_GB2312" w:hAnsi="仿宋_GB2312" w:eastAsia="仿宋_GB2312" w:cs="仿宋_GB2312"/>
                <w:color w:val="FF0000"/>
                <w:kern w:val="2"/>
                <w:sz w:val="24"/>
                <w:szCs w:val="22"/>
              </w:rPr>
              <w:t>-2016</w:t>
            </w:r>
            <w:r>
              <w:rPr>
                <w:rFonts w:ascii="仿宋_GB2312" w:hAnsi="仿宋_GB2312" w:eastAsia="仿宋_GB2312" w:cs="仿宋_GB2312"/>
                <w:kern w:val="2"/>
                <w:sz w:val="24"/>
                <w:szCs w:val="22"/>
              </w:rPr>
              <w:t>的要求。</w:t>
            </w:r>
            <w:r>
              <w:rPr>
                <w:rFonts w:ascii="仿宋" w:hAnsi="仿宋" w:eastAsia="仿宋" w:cs="仿宋"/>
                <w:b w:val="1"/>
                <w:bCs w:val="1"/>
                <w:kern w:val="2"/>
                <w:sz w:val="24"/>
                <w:szCs w:val="24"/>
              </w:rPr>
              <w:t>（</w:t>
            </w:r>
            <w:r>
              <w:rPr>
                <w:rFonts w:ascii="仿宋_GB2312" w:hAnsi="仿宋_GB2312" w:eastAsia="仿宋_GB2312" w:cs="仿宋_GB2312"/>
                <w:b w:val="1"/>
                <w:bCs w:val="1"/>
                <w:kern w:val="2"/>
                <w:sz w:val="24"/>
                <w:szCs w:val="22"/>
              </w:rPr>
              <w:t>说明：</w:t>
            </w:r>
            <w:r>
              <w:rPr>
                <w:rFonts w:ascii="仿宋" w:hAnsi="仿宋" w:eastAsia="仿宋" w:cs="仿宋"/>
                <w:b w:val="1"/>
                <w:bCs w:val="1"/>
                <w:kern w:val="2"/>
                <w:sz w:val="24"/>
                <w:szCs w:val="24"/>
                <w:lang w:eastAsia="zh-CN"/>
              </w:rPr>
              <w:t>供应商</w:t>
            </w:r>
            <w:r>
              <w:rPr>
                <w:rFonts w:ascii="仿宋" w:hAnsi="仿宋" w:eastAsia="仿宋" w:cs="仿宋"/>
                <w:b w:val="1"/>
                <w:bCs w:val="1"/>
                <w:kern w:val="2"/>
                <w:sz w:val="24"/>
                <w:szCs w:val="24"/>
              </w:rPr>
              <w:t>在响应文件中提供承诺函，格式自拟）</w:t>
            </w:r>
          </w:p>
          <w:p>
            <w:pPr>
              <w:pStyle w:val="00001c"/>
              <w:jc w:val="both"/>
              <w:rPr>
                <w:rFonts w:hint="default" w:eastAsia="宋体"/>
                <w:strike w:val="1"/>
                <w:kern w:val="2"/>
                <w:sz w:val="21"/>
                <w:szCs w:val="22"/>
                <w:lang w:eastAsia="zh-CN"/>
              </w:rPr>
            </w:pPr>
            <w:r>
              <w:rPr>
                <w:rFonts w:ascii="仿宋_GB2312" w:hAnsi="仿宋_GB2312" w:eastAsia="仿宋_GB2312" w:cs="仿宋_GB2312"/>
                <w:kern w:val="2"/>
                <w:sz w:val="24"/>
                <w:szCs w:val="22"/>
              </w:rPr>
              <w:t>2</w:t>
            </w:r>
            <w:r>
              <w:rPr>
                <w:rFonts w:hint="eastAsia" w:ascii="仿宋_GB2312" w:hAnsi="仿宋_GB2312" w:eastAsia="仿宋_GB2312" w:cs="仿宋_GB2312"/>
                <w:kern w:val="2"/>
                <w:sz w:val="24"/>
                <w:szCs w:val="22"/>
                <w:lang w:val="en-US" w:eastAsia="zh-CN"/>
              </w:rPr>
              <w:t>3</w:t>
            </w:r>
            <w:r>
              <w:rPr>
                <w:rFonts w:ascii="仿宋_GB2312" w:hAnsi="仿宋_GB2312" w:eastAsia="仿宋_GB2312" w:cs="仿宋_GB2312"/>
                <w:kern w:val="2"/>
                <w:sz w:val="24"/>
                <w:szCs w:val="22"/>
              </w:rPr>
              <w:t>、兼容要求：支持流式、版式、浏览器、邮件客户端、解压、多媒体、图形图像处理等常用软件；兼容不少于 3 个厂商的数据库产品、不少于 3 个厂商的中间件产品、不少于 3 个厂商的云计算及大数据平台。</w:t>
            </w:r>
            <w:r>
              <w:rPr>
                <w:rFonts w:ascii="仿宋" w:hAnsi="仿宋" w:eastAsia="仿宋" w:cs="仿宋"/>
                <w:b w:val="1"/>
                <w:bCs w:val="1"/>
                <w:kern w:val="2"/>
                <w:sz w:val="24"/>
                <w:szCs w:val="24"/>
              </w:rPr>
              <w:t>（</w:t>
            </w:r>
            <w:r>
              <w:rPr>
                <w:rFonts w:ascii="仿宋_GB2312" w:hAnsi="仿宋_GB2312" w:eastAsia="仿宋_GB2312" w:cs="仿宋_GB2312"/>
                <w:b w:val="1"/>
                <w:bCs w:val="1"/>
                <w:kern w:val="2"/>
                <w:sz w:val="24"/>
                <w:szCs w:val="22"/>
              </w:rPr>
              <w:t>说明：</w:t>
            </w:r>
            <w:r>
              <w:rPr>
                <w:rFonts w:ascii="仿宋" w:hAnsi="仿宋" w:eastAsia="仿宋" w:cs="仿宋"/>
                <w:b w:val="1"/>
                <w:bCs w:val="1"/>
                <w:kern w:val="2"/>
                <w:sz w:val="24"/>
                <w:szCs w:val="24"/>
                <w:lang w:eastAsia="zh-CN"/>
              </w:rPr>
              <w:t>供应商</w:t>
            </w:r>
            <w:r>
              <w:rPr>
                <w:rFonts w:ascii="仿宋" w:hAnsi="仿宋" w:eastAsia="仿宋" w:cs="仿宋"/>
                <w:b w:val="1"/>
                <w:bCs w:val="1"/>
                <w:kern w:val="2"/>
                <w:sz w:val="24"/>
                <w:szCs w:val="24"/>
              </w:rPr>
              <w:t>在响应文件中提供承诺函，格式自拟）</w:t>
            </w:r>
          </w:p>
          <w:p>
            <w:pPr>
              <w:pStyle w:val="00001c"/>
              <w:jc w:val="both"/>
              <w:rPr>
                <w:rFonts w:hint="default" w:ascii="仿宋_GB2312" w:hAnsi="仿宋_GB2312" w:eastAsia="仿宋_GB2312" w:cs="仿宋_GB2312"/>
                <w:b w:val="1"/>
                <w:bCs w:val="1"/>
                <w:kern w:val="2"/>
                <w:sz w:val="24"/>
                <w:szCs w:val="22"/>
              </w:rPr>
            </w:pPr>
            <w:r>
              <w:rPr>
                <w:rFonts w:ascii="仿宋_GB2312" w:hAnsi="仿宋_GB2312" w:eastAsia="仿宋_GB2312" w:cs="仿宋_GB2312"/>
                <w:kern w:val="2"/>
                <w:sz w:val="24"/>
                <w:szCs w:val="22"/>
              </w:rPr>
              <w:t>2</w:t>
            </w:r>
            <w:r>
              <w:rPr>
                <w:rFonts w:hint="eastAsia" w:ascii="仿宋_GB2312" w:hAnsi="仿宋_GB2312" w:eastAsia="仿宋_GB2312" w:cs="仿宋_GB2312"/>
                <w:kern w:val="2"/>
                <w:sz w:val="24"/>
                <w:szCs w:val="22"/>
                <w:lang w:val="en-US" w:eastAsia="zh-CN"/>
              </w:rPr>
              <w:t>4</w:t>
            </w:r>
            <w:r>
              <w:rPr>
                <w:rFonts w:ascii="仿宋_GB2312" w:hAnsi="仿宋_GB2312" w:eastAsia="仿宋_GB2312" w:cs="仿宋_GB2312"/>
                <w:kern w:val="2"/>
                <w:sz w:val="24"/>
                <w:szCs w:val="22"/>
              </w:rPr>
              <w:t>、外设可靠性：键盘按键寿命≥1000 万次，鼠标按键寿命≥500 万次；键盘、鼠标线材经 ±60° 弯折测试不少于 3000 次，测试后功能、外观完好；机箱风扇寿命≥4 万小时。</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eastAsia" w:ascii="仿宋_GB2312" w:hAnsi="仿宋_GB2312" w:eastAsia="仿宋_GB2312" w:cs="仿宋_GB2312"/>
                <w:color w:val="FF0000"/>
                <w:kern w:val="2"/>
                <w:sz w:val="24"/>
                <w:szCs w:val="22"/>
                <w:lang w:val="en-US" w:eastAsia="zh-CN"/>
              </w:rPr>
            </w:pPr>
            <w:r>
              <w:rPr>
                <w:rFonts w:ascii="仿宋_GB2312" w:hAnsi="仿宋_GB2312" w:eastAsia="仿宋_GB2312" w:cs="仿宋_GB2312"/>
                <w:color w:val="FF0000"/>
                <w:kern w:val="2"/>
                <w:sz w:val="24"/>
                <w:szCs w:val="22"/>
              </w:rPr>
              <w:t>2</w:t>
            </w:r>
            <w:r>
              <w:rPr>
                <w:rFonts w:hint="eastAsia" w:ascii="仿宋_GB2312" w:hAnsi="仿宋_GB2312" w:eastAsia="仿宋_GB2312" w:cs="仿宋_GB2312"/>
                <w:color w:val="FF0000"/>
                <w:kern w:val="2"/>
                <w:sz w:val="24"/>
                <w:szCs w:val="22"/>
                <w:lang w:val="en-US" w:eastAsia="zh-CN"/>
              </w:rPr>
              <w:t>5</w:t>
            </w:r>
            <w:r>
              <w:rPr>
                <w:rFonts w:ascii="仿宋_GB2312" w:hAnsi="仿宋_GB2312" w:eastAsia="仿宋_GB2312" w:cs="仿宋_GB2312"/>
                <w:color w:val="FF0000"/>
                <w:kern w:val="2"/>
                <w:sz w:val="24"/>
                <w:szCs w:val="22"/>
              </w:rPr>
              <w:t>、</w:t>
            </w:r>
            <w:r>
              <w:rPr>
                <w:rFonts w:hint="eastAsia" w:ascii="仿宋_GB2312" w:hAnsi="仿宋_GB2312" w:eastAsia="仿宋_GB2312" w:cs="仿宋_GB2312"/>
                <w:color w:val="FF0000"/>
                <w:kern w:val="2"/>
                <w:sz w:val="24"/>
                <w:szCs w:val="22"/>
              </w:rPr>
              <w:t>整机可靠性要求</w:t>
            </w:r>
            <w:r>
              <w:rPr>
                <w:rFonts w:hint="eastAsia" w:ascii="仿宋_GB2312" w:hAnsi="仿宋_GB2312" w:eastAsia="仿宋_GB2312" w:cs="仿宋_GB2312"/>
                <w:color w:val="FF0000"/>
                <w:kern w:val="2"/>
                <w:sz w:val="24"/>
                <w:szCs w:val="22"/>
                <w:lang w:val="en-US" w:eastAsia="zh-CN"/>
              </w:rPr>
              <w:t>:</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（1）</w:t>
            </w:r>
            <w:r>
              <w:rPr>
                <w:rFonts w:hint="eastAsia" w:ascii="仿宋_GB2312" w:hAnsi="仿宋_GB2312" w:eastAsia="仿宋_GB2312" w:cs="仿宋_GB2312"/>
                <w:color w:val="FF0000"/>
                <w:kern w:val="2"/>
                <w:sz w:val="24"/>
                <w:szCs w:val="22"/>
              </w:rPr>
              <w:t>电磁兼容</w:t>
            </w:r>
            <w:r>
              <w:rPr>
                <w:rFonts w:hint="eastAsia" w:ascii="仿宋_GB2312" w:hAnsi="仿宋_GB2312" w:eastAsia="仿宋_GB2312" w:cs="仿宋_GB2312"/>
                <w:color w:val="FF0000"/>
                <w:kern w:val="2"/>
                <w:sz w:val="24"/>
                <w:szCs w:val="22"/>
                <w:lang w:eastAsia="zh-CN"/>
              </w:rPr>
              <w:t>性要求的</w:t>
            </w:r>
            <w:r>
              <w:rPr>
                <w:rFonts w:hint="eastAsia" w:ascii="仿宋_GB2312" w:hAnsi="仿宋_GB2312" w:eastAsia="仿宋_GB2312" w:cs="仿宋_GB2312"/>
                <w:color w:val="FF0000"/>
                <w:kern w:val="2"/>
                <w:sz w:val="24"/>
                <w:szCs w:val="22"/>
              </w:rPr>
              <w:t>抗扰度符合 GB/T9254.2-2021；</w:t>
            </w:r>
          </w:p>
          <w:p>
            <w:pPr>
              <w:pStyle w:val="00001c"/>
              <w:jc w:val="both"/>
              <w:rPr>
                <w:rFonts w:hint="eastAsia" w:ascii="仿宋_GB2312" w:hAnsi="仿宋_GB2312" w:eastAsia="仿宋_GB2312" w:cs="仿宋_GB2312"/>
                <w:color w:val="FF0000"/>
                <w:kern w:val="2"/>
                <w:sz w:val="24"/>
                <w:szCs w:val="22"/>
                <w:lang w:eastAsia="zh-CN"/>
              </w:rPr>
            </w:pPr>
            <w:r>
              <w:rPr>
                <w:rFonts w:hint="eastAsia" w:ascii="仿宋_GB2312" w:hAnsi="仿宋_GB2312" w:eastAsia="仿宋_GB2312" w:cs="仿宋_GB2312"/>
                <w:color w:val="FF0000"/>
                <w:kern w:val="2"/>
                <w:sz w:val="24"/>
                <w:szCs w:val="22"/>
                <w:lang w:val="en-US" w:eastAsia="zh-CN"/>
              </w:rPr>
              <w:t>（2）环境条件要求的</w:t>
            </w:r>
            <w:r>
              <w:rPr>
                <w:rFonts w:hint="eastAsia" w:ascii="仿宋_GB2312" w:hAnsi="仿宋_GB2312" w:eastAsia="仿宋_GB2312" w:cs="仿宋_GB2312"/>
                <w:color w:val="FF0000"/>
                <w:kern w:val="2"/>
                <w:sz w:val="24"/>
                <w:szCs w:val="22"/>
              </w:rPr>
              <w:t>气候</w:t>
            </w:r>
            <w:r>
              <w:rPr>
                <w:rFonts w:hint="eastAsia" w:ascii="仿宋_GB2312" w:hAnsi="仿宋_GB2312" w:eastAsia="仿宋_GB2312" w:cs="仿宋_GB2312"/>
                <w:color w:val="FF0000"/>
                <w:kern w:val="2"/>
                <w:sz w:val="24"/>
                <w:szCs w:val="22"/>
                <w:lang w:eastAsia="zh-CN"/>
              </w:rPr>
              <w:t>环境适应性符合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（3）环境条件要求的振动</w:t>
            </w:r>
            <w:r>
              <w:rPr>
                <w:rFonts w:hint="eastAsia" w:ascii="仿宋_GB2312" w:hAnsi="仿宋_GB2312" w:eastAsia="仿宋_GB2312" w:cs="仿宋_GB2312"/>
                <w:color w:val="FF0000"/>
                <w:kern w:val="2"/>
                <w:sz w:val="24"/>
                <w:szCs w:val="22"/>
                <w:lang w:eastAsia="zh-CN"/>
              </w:rPr>
              <w:t>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（4）环境条件要求的</w:t>
            </w:r>
            <w:r>
              <w:rPr>
                <w:rFonts w:hint="eastAsia" w:ascii="仿宋_GB2312" w:hAnsi="仿宋_GB2312" w:eastAsia="仿宋_GB2312" w:cs="仿宋_GB2312"/>
                <w:color w:val="FF0000"/>
                <w:kern w:val="2"/>
                <w:sz w:val="24"/>
                <w:szCs w:val="22"/>
                <w:lang w:eastAsia="zh-CN"/>
              </w:rPr>
              <w:t>冲击适应性符合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（5）环境条件要求的</w:t>
            </w:r>
            <w:r>
              <w:rPr>
                <w:rFonts w:hint="eastAsia" w:ascii="仿宋_GB2312" w:hAnsi="仿宋_GB2312" w:eastAsia="仿宋_GB2312" w:cs="仿宋_GB2312"/>
                <w:color w:val="FF0000"/>
                <w:kern w:val="2"/>
                <w:sz w:val="24"/>
                <w:szCs w:val="22"/>
                <w:lang w:eastAsia="zh-CN"/>
              </w:rPr>
              <w:t>碰撞适应性符合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left"/>
              <w:rPr>
                <w:rFonts w:hint="default" w:ascii="仿宋_GB2312" w:hAnsi="仿宋_GB2312" w:eastAsia="仿宋_GB2312" w:cs="仿宋_GB2312"/>
                <w:b w:val="1"/>
                <w:bCs w:val="1"/>
                <w:color w:val="FF0000"/>
                <w:kern w:val="2"/>
                <w:sz w:val="24"/>
                <w:szCs w:val="22"/>
              </w:rPr>
            </w:pPr>
            <w:r>
              <w:rPr>
                <w:rFonts w:hint="eastAsia" w:ascii="仿宋_GB2312" w:hAnsi="仿宋_GB2312" w:eastAsia="仿宋_GB2312" w:cs="仿宋_GB2312"/>
                <w:color w:val="FF0000"/>
                <w:kern w:val="2"/>
                <w:sz w:val="24"/>
                <w:szCs w:val="22"/>
                <w:lang w:val="en-US" w:eastAsia="zh-CN"/>
              </w:rPr>
              <w:t>（6）环境条件要求的</w:t>
            </w:r>
            <w:r>
              <w:rPr>
                <w:rFonts w:hint="eastAsia" w:ascii="仿宋_GB2312" w:hAnsi="仿宋_GB2312" w:eastAsia="仿宋_GB2312" w:cs="仿宋_GB2312"/>
                <w:color w:val="FF0000"/>
                <w:kern w:val="2"/>
                <w:sz w:val="24"/>
                <w:szCs w:val="22"/>
              </w:rPr>
              <w:t>运输包装件跌落符合 GB/T9813.1-2016；</w:t>
            </w:r>
          </w:p>
          <w:p>
            <w:pPr>
              <w:rPr>
                <w:rFonts w:hint="eastAsia" w:ascii="仿宋_GB2312" w:hAnsi="仿宋_GB2312" w:eastAsia="仿宋_GB2312" w:cs="仿宋_GB2312"/>
                <w:color w:val="FF0000"/>
                <w:sz w:val="24"/>
                <w:szCs w:val="22"/>
                <w:lang w:val="en-US" w:eastAsia="zh-CN"/>
              </w:rPr>
            </w:pPr>
            <w:r>
              <w:rPr>
                <w:rFonts w:hint="eastAsia" w:ascii="仿宋_GB2312" w:hAnsi="仿宋_GB2312" w:eastAsia="仿宋_GB2312" w:cs="仿宋_GB2312"/>
                <w:color w:val="FF0000"/>
                <w:sz w:val="24"/>
                <w:szCs w:val="22"/>
                <w:lang w:val="en-US" w:eastAsia="zh-CN"/>
              </w:rPr>
              <w:t>（7）此项目台式机用于医院业务，具有7×24小时不间断运行的特征，整机 MTBF (m1)≥110万小时。</w:t>
            </w:r>
          </w:p>
          <w:p>
            <w:pPr>
              <w:rPr>
                <w:rFonts w:hint="eastAsia" w:ascii="仿宋" w:hAnsi="仿宋" w:eastAsia="仿宋" w:cs="仿宋"/>
                <w:b w:val="1"/>
                <w:bCs w:val="1"/>
                <w:color w:val="FF0000"/>
                <w:kern w:val="2"/>
                <w:sz w:val="24"/>
                <w:szCs w:val="24"/>
                <w:lang w:val="en-US" w:eastAsia="zh-CN" w:bidi="ar-SA"/>
              </w:rPr>
            </w:pPr>
            <w:r>
              <w:rPr>
                <w:rFonts w:hint="eastAsia" w:ascii="仿宋" w:hAnsi="仿宋" w:eastAsia="仿宋" w:cs="仿宋"/>
                <w:b w:val="1"/>
                <w:bCs w:val="1"/>
                <w:color w:val="FF0000"/>
                <w:kern w:val="2"/>
                <w:sz w:val="24"/>
                <w:szCs w:val="24"/>
                <w:lang w:val="en-US" w:eastAsia="zh-CN" w:bidi="ar-SA"/>
              </w:rPr>
              <w:t>（说明：1-7项提供单独承诺函，承诺函格式自拟并加盖供应商电子印章）</w:t>
            </w:r>
          </w:p>
          <w:p>
            <w:pPr>
              <w:pStyle w:val="00001c"/>
              <w:jc w:val="both"/>
              <w:rPr>
                <w:rFonts w:hint="default" w:ascii="仿宋_GB2312" w:hAnsi="仿宋_GB2312" w:eastAsia="仿宋_GB2312" w:cs="仿宋_GB2312"/>
                <w:kern w:val="2"/>
                <w:sz w:val="24"/>
                <w:szCs w:val="22"/>
              </w:rPr>
            </w:pPr>
            <w:r>
              <w:rPr>
                <w:rFonts w:hint="eastAsia" w:ascii="仿宋_GB2312" w:hAnsi="仿宋_GB2312" w:eastAsia="仿宋_GB2312" w:cs="仿宋_GB2312"/>
                <w:kern w:val="2"/>
                <w:sz w:val="24"/>
                <w:szCs w:val="22"/>
                <w:lang w:val="en-US" w:eastAsia="zh-CN"/>
              </w:rPr>
              <w:t>26</w:t>
            </w:r>
            <w:r>
              <w:rPr>
                <w:rFonts w:ascii="仿宋_GB2312" w:hAnsi="仿宋_GB2312" w:eastAsia="仿宋_GB2312" w:cs="仿宋_GB2312"/>
                <w:kern w:val="2"/>
                <w:sz w:val="24"/>
                <w:szCs w:val="22"/>
              </w:rPr>
              <w:t>、整机安全性要求：密码算法要求：CPU 芯片符合</w:t>
            </w:r>
            <w:r>
              <w:rPr>
                <w:rFonts w:ascii="仿宋_GB2312" w:hAnsi="仿宋_GB2312" w:eastAsia="仿宋_GB2312" w:cs="仿宋_GB2312"/>
                <w:color w:val="FF0000"/>
                <w:kern w:val="2"/>
                <w:sz w:val="24"/>
                <w:szCs w:val="22"/>
              </w:rPr>
              <w:t xml:space="preserve"> GM/T0008</w:t>
            </w:r>
            <w:r>
              <w:rPr>
                <w:rFonts w:hint="eastAsia" w:ascii="仿宋_GB2312" w:hAnsi="仿宋_GB2312" w:eastAsia="仿宋_GB2312" w:cs="仿宋_GB2312"/>
                <w:color w:val="FF0000"/>
                <w:kern w:val="2"/>
                <w:sz w:val="24"/>
                <w:szCs w:val="22"/>
              </w:rPr>
              <w:t>-2012</w:t>
            </w:r>
            <w:r>
              <w:rPr>
                <w:rFonts w:ascii="仿宋_GB2312" w:hAnsi="仿宋_GB2312" w:eastAsia="仿宋_GB2312" w:cs="仿宋_GB2312"/>
                <w:kern w:val="2"/>
                <w:sz w:val="24"/>
                <w:szCs w:val="22"/>
              </w:rPr>
              <w:t xml:space="preserve">，或芯片密码模块符合 </w:t>
            </w:r>
            <w:r>
              <w:rPr>
                <w:rFonts w:ascii="仿宋_GB2312" w:hAnsi="仿宋_GB2312" w:eastAsia="仿宋_GB2312" w:cs="仿宋_GB2312"/>
                <w:color w:val="FF0000"/>
                <w:kern w:val="2"/>
                <w:sz w:val="24"/>
                <w:szCs w:val="22"/>
              </w:rPr>
              <w:t>GB/T37092</w:t>
            </w:r>
            <w:r>
              <w:rPr>
                <w:rFonts w:hint="eastAsia" w:ascii="仿宋_GB2312" w:hAnsi="仿宋_GB2312" w:eastAsia="仿宋_GB2312" w:cs="仿宋_GB2312"/>
                <w:color w:val="FF0000"/>
                <w:kern w:val="2"/>
                <w:sz w:val="24"/>
                <w:szCs w:val="22"/>
              </w:rPr>
              <w:t>-2018</w:t>
            </w:r>
            <w:r>
              <w:rPr>
                <w:rFonts w:ascii="仿宋_GB2312" w:hAnsi="仿宋_GB2312" w:eastAsia="仿宋_GB2312" w:cs="仿宋_GB2312"/>
                <w:color w:val="FF0000"/>
                <w:kern w:val="2"/>
                <w:sz w:val="24"/>
                <w:szCs w:val="22"/>
              </w:rPr>
              <w:t>、GM/T0028</w:t>
            </w:r>
            <w:r>
              <w:rPr>
                <w:rFonts w:hint="eastAsia" w:ascii="仿宋_GB2312" w:hAnsi="仿宋_GB2312" w:eastAsia="仿宋_GB2312" w:cs="仿宋_GB2312"/>
                <w:color w:val="FF0000"/>
                <w:kern w:val="2"/>
                <w:sz w:val="24"/>
                <w:szCs w:val="22"/>
              </w:rPr>
              <w:t>-2024</w:t>
            </w:r>
            <w:r>
              <w:rPr>
                <w:rFonts w:ascii="仿宋_GB2312" w:hAnsi="仿宋_GB2312" w:eastAsia="仿宋_GB2312" w:cs="仿宋_GB2312"/>
                <w:kern w:val="2"/>
                <w:sz w:val="24"/>
                <w:szCs w:val="22"/>
              </w:rPr>
              <w:t>（满足其一即可）。信息安全基本要求：a) 产品应符合</w:t>
            </w:r>
            <w:r>
              <w:rPr>
                <w:rFonts w:ascii="仿宋_GB2312" w:hAnsi="仿宋_GB2312" w:eastAsia="仿宋_GB2312" w:cs="仿宋_GB2312"/>
                <w:color w:val="FF0000"/>
                <w:kern w:val="2"/>
                <w:sz w:val="24"/>
                <w:szCs w:val="22"/>
              </w:rPr>
              <w:t xml:space="preserve"> GB/T39276</w:t>
            </w:r>
            <w:r>
              <w:rPr>
                <w:rFonts w:hint="eastAsia" w:ascii="仿宋_GB2312" w:hAnsi="仿宋_GB2312" w:eastAsia="仿宋_GB2312" w:cs="仿宋_GB2312"/>
                <w:color w:val="FF0000"/>
                <w:kern w:val="2"/>
                <w:sz w:val="24"/>
                <w:szCs w:val="22"/>
              </w:rPr>
              <w:t>-2020</w:t>
            </w:r>
            <w:r>
              <w:rPr>
                <w:rFonts w:ascii="仿宋_GB2312" w:hAnsi="仿宋_GB2312" w:eastAsia="仿宋_GB2312" w:cs="仿宋_GB2312"/>
                <w:color w:val="FF0000"/>
                <w:kern w:val="2"/>
                <w:sz w:val="24"/>
                <w:szCs w:val="22"/>
              </w:rPr>
              <w:t xml:space="preserve"> </w:t>
            </w:r>
            <w:r>
              <w:rPr>
                <w:rFonts w:ascii="仿宋_GB2312" w:hAnsi="仿宋_GB2312" w:eastAsia="仿宋_GB2312" w:cs="仿宋_GB2312"/>
                <w:kern w:val="2"/>
                <w:sz w:val="24"/>
                <w:szCs w:val="22"/>
              </w:rPr>
              <w:t>第 5.2 条规定；b) 生产厂商应建立漏洞跟踪表，产品相关漏洞可查询；c) 产品不得包含已知恶意代码、高危漏洞，无未声明指令、功能、接口。支持固件安全启动，启动需通过校验；产品限用物质限量符合</w:t>
            </w:r>
            <w:r>
              <w:rPr>
                <w:rFonts w:ascii="仿宋_GB2312" w:hAnsi="仿宋_GB2312" w:eastAsia="仿宋_GB2312" w:cs="仿宋_GB2312"/>
                <w:color w:val="FF0000"/>
                <w:kern w:val="2"/>
                <w:sz w:val="24"/>
                <w:szCs w:val="22"/>
              </w:rPr>
              <w:t xml:space="preserve"> GB/T26572</w:t>
            </w:r>
            <w:r>
              <w:rPr>
                <w:rFonts w:hint="eastAsia" w:ascii="仿宋_GB2312" w:hAnsi="仿宋_GB2312" w:eastAsia="仿宋_GB2312" w:cs="仿宋_GB2312"/>
                <w:color w:val="FF0000"/>
                <w:kern w:val="2"/>
                <w:sz w:val="24"/>
                <w:szCs w:val="22"/>
              </w:rPr>
              <w:t>-2011</w:t>
            </w:r>
            <w:r>
              <w:rPr>
                <w:rFonts w:ascii="仿宋_GB2312" w:hAnsi="仿宋_GB2312" w:eastAsia="仿宋_GB2312" w:cs="仿宋_GB2312"/>
                <w:kern w:val="2"/>
                <w:sz w:val="24"/>
                <w:szCs w:val="22"/>
              </w:rPr>
              <w:t xml:space="preserve"> 规定。</w:t>
            </w:r>
            <w:r>
              <w:rPr>
                <w:rFonts w:ascii="仿宋_GB2312" w:hAnsi="仿宋_GB2312" w:eastAsia="仿宋_GB2312" w:cs="仿宋_GB2312"/>
                <w:b w:val="1"/>
                <w:bCs w:val="1"/>
                <w:kern w:val="2"/>
                <w:sz w:val="24"/>
                <w:szCs w:val="22"/>
              </w:rPr>
              <w:t>（说明：供应商在响应文件中提供承诺函，格式自拟）</w:t>
            </w:r>
          </w:p>
          <w:p>
            <w:pPr>
              <w:pStyle w:val="00001c"/>
              <w:jc w:val="both"/>
              <w:rPr>
                <w:rFonts w:hint="default"/>
                <w:b w:val="1"/>
                <w:bCs w:val="1"/>
                <w:color w:val="FF0000"/>
                <w:kern w:val="2"/>
                <w:sz w:val="28"/>
                <w:szCs w:val="28"/>
              </w:rPr>
            </w:pPr>
            <w:r>
              <w:rPr>
                <w:rFonts w:hint="eastAsia" w:ascii="仿宋_GB2312" w:hAnsi="仿宋_GB2312" w:eastAsia="仿宋_GB2312" w:cs="仿宋_GB2312"/>
                <w:kern w:val="2"/>
                <w:sz w:val="24"/>
                <w:szCs w:val="22"/>
                <w:lang w:val="en-US" w:eastAsia="zh-CN"/>
              </w:rPr>
              <w:t>27</w:t>
            </w:r>
            <w:r>
              <w:rPr>
                <w:rFonts w:ascii="仿宋_GB2312" w:hAnsi="仿宋_GB2312" w:eastAsia="仿宋_GB2312" w:cs="仿宋_GB2312"/>
                <w:kern w:val="2"/>
                <w:sz w:val="24"/>
                <w:szCs w:val="22"/>
                <w:lang w:eastAsia="zh-CN"/>
              </w:rPr>
              <w:t>、电源：额定功率≥180W，配备电源管理系统；电源适配器电线组件应符合 GB/T 15934</w:t>
            </w:r>
            <w:r>
              <w:rPr>
                <w:rFonts w:hint="eastAsia" w:ascii="仿宋_GB2312" w:hAnsi="仿宋_GB2312" w:eastAsia="仿宋_GB2312" w:cs="仿宋_GB2312"/>
                <w:kern w:val="2"/>
                <w:sz w:val="24"/>
                <w:szCs w:val="22"/>
                <w:lang w:eastAsia="zh-CN"/>
              </w:rPr>
              <w:t>-2024</w:t>
            </w:r>
            <w:r>
              <w:rPr>
                <w:rFonts w:ascii="仿宋_GB2312" w:hAnsi="仿宋_GB2312" w:eastAsia="仿宋_GB2312" w:cs="仿宋_GB2312"/>
                <w:kern w:val="2"/>
                <w:sz w:val="24"/>
                <w:szCs w:val="22"/>
                <w:lang w:eastAsia="zh-CN"/>
              </w:rPr>
              <w:t xml:space="preserve"> 的要求。</w:t>
            </w:r>
            <w:r>
              <w:rPr>
                <w:rFonts w:ascii="仿宋_GB2312" w:hAnsi="仿宋_GB2312" w:eastAsia="仿宋_GB2312" w:cs="仿宋_GB2312"/>
                <w:b w:val="1"/>
                <w:bCs w:val="1"/>
                <w:color w:val="FF0000"/>
                <w:kern w:val="2"/>
                <w:sz w:val="24"/>
                <w:szCs w:val="22"/>
                <w:lang w:eastAsia="zh-CN"/>
              </w:rPr>
              <w:t>（</w:t>
            </w:r>
            <w:r>
              <w:rPr>
                <w:rFonts w:ascii="仿宋" w:hAnsi="仿宋" w:eastAsia="仿宋" w:cs="仿宋"/>
                <w:b w:val="1"/>
                <w:bCs w:val="1"/>
                <w:color w:val="FF0000"/>
                <w:kern w:val="2"/>
                <w:sz w:val="24"/>
                <w:szCs w:val="24"/>
                <w:lang w:eastAsia="zh-CN"/>
              </w:rPr>
              <w:t>说明：供应商在响应文件中提供产品彩页或</w:t>
            </w:r>
            <w:r>
              <w:rPr>
                <w:rFonts w:hint="eastAsia" w:ascii="仿宋" w:hAnsi="仿宋" w:eastAsia="仿宋" w:cs="仿宋"/>
                <w:b w:val="1"/>
                <w:bCs w:val="1"/>
                <w:color w:val="FF0000"/>
                <w:kern w:val="2"/>
                <w:sz w:val="24"/>
                <w:szCs w:val="24"/>
                <w:lang w:val="en-US" w:eastAsia="zh-CN"/>
              </w:rPr>
              <w:t>技术参数</w:t>
            </w:r>
            <w:r>
              <w:rPr>
                <w:rFonts w:ascii="仿宋" w:hAnsi="仿宋" w:eastAsia="仿宋" w:cs="仿宋"/>
                <w:b w:val="1"/>
                <w:bCs w:val="1"/>
                <w:color w:val="FF0000"/>
                <w:kern w:val="2"/>
                <w:sz w:val="24"/>
                <w:szCs w:val="24"/>
                <w:lang w:eastAsia="zh-CN"/>
              </w:rPr>
              <w:t>说明书</w:t>
            </w:r>
            <w:r>
              <w:rPr>
                <w:rFonts w:hint="eastAsia" w:ascii="仿宋" w:hAnsi="仿宋" w:eastAsia="仿宋" w:cs="仿宋"/>
                <w:b w:val="1"/>
                <w:bCs w:val="1"/>
                <w:color w:val="FF0000"/>
                <w:kern w:val="2"/>
                <w:sz w:val="24"/>
                <w:szCs w:val="24"/>
                <w:lang w:val="en-US" w:eastAsia="zh-CN"/>
              </w:rPr>
              <w:t>或技术白皮书</w:t>
            </w:r>
            <w:r>
              <w:rPr>
                <w:rFonts w:ascii="仿宋" w:hAnsi="仿宋" w:eastAsia="仿宋" w:cs="仿宋"/>
                <w:b w:val="1"/>
                <w:bCs w:val="1"/>
                <w:color w:val="FF0000"/>
                <w:kern w:val="2"/>
                <w:sz w:val="24"/>
                <w:szCs w:val="24"/>
                <w:lang w:eastAsia="zh-CN"/>
              </w:rPr>
              <w:t>等有效证明材料）</w:t>
            </w:r>
          </w:p>
          <w:p>
            <w:pPr>
              <w:pStyle w:val="00001c"/>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rPr>
              <w:t>28</w:t>
            </w:r>
            <w:r>
              <w:rPr>
                <w:rFonts w:ascii="仿宋" w:hAnsi="仿宋" w:eastAsia="仿宋" w:cs="仿宋"/>
                <w:kern w:val="2"/>
                <w:sz w:val="24"/>
                <w:szCs w:val="24"/>
                <w:lang w:eastAsia="zh-CN"/>
              </w:rPr>
              <w:t>、</w:t>
            </w:r>
            <w:r>
              <w:rPr>
                <w:rFonts w:hint="eastAsia" w:ascii="仿宋" w:hAnsi="仿宋" w:eastAsia="仿宋" w:cs="仿宋"/>
                <w:color w:val="FF0000"/>
                <w:kern w:val="2"/>
                <w:sz w:val="24"/>
                <w:szCs w:val="24"/>
              </w:rPr>
              <w:t>终端需配套硬件运维管理工具</w:t>
            </w:r>
            <w:r>
              <w:rPr>
                <w:rFonts w:hint="eastAsia" w:ascii="仿宋" w:hAnsi="仿宋" w:eastAsia="仿宋" w:cs="仿宋"/>
                <w:kern w:val="2"/>
                <w:sz w:val="24"/>
                <w:szCs w:val="24"/>
              </w:rPr>
              <w:t>，具备以下全部功能：</w:t>
            </w:r>
            <w:r>
              <w:rPr>
                <w:rFonts w:ascii="仿宋" w:hAnsi="仿宋" w:eastAsia="仿宋" w:cs="仿宋"/>
                <w:kern w:val="2"/>
                <w:sz w:val="24"/>
                <w:szCs w:val="24"/>
              </w:rPr>
              <w:t>1. 硬件性能优化、硬件运行诊断；2. 故障排除向导；3. 病毒查杀、系统安全检测；4. 驱动更新；5. 网络修复诊断；6. 自动识别设备品牌、型号、序列号、保修起止信息。</w:t>
            </w:r>
            <w:r>
              <w:rPr>
                <w:rFonts w:ascii="仿宋" w:hAnsi="仿宋" w:eastAsia="仿宋" w:cs="仿宋"/>
                <w:b w:val="1"/>
                <w:bCs w:val="1"/>
                <w:kern w:val="2"/>
                <w:sz w:val="24"/>
                <w:szCs w:val="24"/>
              </w:rPr>
              <w:t>（说明：供应商在响应文件中提供以上 6 项</w:t>
            </w:r>
            <w:r>
              <w:rPr>
                <w:rFonts w:ascii="仿宋" w:hAnsi="仿宋" w:eastAsia="仿宋" w:cs="仿宋"/>
                <w:b w:val="1"/>
                <w:bCs w:val="1"/>
                <w:kern w:val="2"/>
                <w:sz w:val="24"/>
                <w:szCs w:val="24"/>
                <w:lang w:eastAsia="zh-CN"/>
              </w:rPr>
              <w:t>软件</w:t>
            </w:r>
            <w:r>
              <w:rPr>
                <w:rFonts w:ascii="仿宋" w:hAnsi="仿宋" w:eastAsia="仿宋" w:cs="仿宋"/>
                <w:b w:val="1"/>
                <w:bCs w:val="1"/>
                <w:kern w:val="2"/>
                <w:sz w:val="24"/>
                <w:szCs w:val="24"/>
              </w:rPr>
              <w:t>功能截图）</w:t>
            </w:r>
          </w:p>
          <w:p>
            <w:pPr>
              <w:widowControl w:val="1"/>
              <w:snapToGrid w:val="0"/>
              <w:rPr>
                <w:rFonts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、本项目所投台式计算机主机、显示器属于《节能产品政府采购品目清单》（财库〔2019〕19 号）强制采购节能产品，所投产品须具备国家确定的认证机构出具、处于有效期内的节能产品认证证书；证书认证型号须与响应产品规格型号完全一致，证书有效期须覆盖本项目投标（响应）截止时间。证明材料提交（二选一）：</w:t>
            </w:r>
          </w:p>
          <w:p>
            <w:pPr>
              <w:widowControl w:val="1"/>
              <w:snapToGrid w:val="0"/>
              <w:rPr>
                <w:rFonts w:ascii="仿宋" w:hAnsi="仿宋" w:eastAsia="仿宋" w:cs="仿宋"/>
                <w:kern w:val="0"/>
                <w:sz w:val="24"/>
              </w:rPr>
            </w:pPr>
            <w:r>
              <w:rPr>
                <w:rFonts w:hint="eastAsia" w:ascii="仿宋" w:hAnsi="仿宋" w:eastAsia="仿宋" w:cs="仿宋"/>
                <w:kern w:val="0"/>
                <w:sz w:val="24"/>
              </w:rPr>
              <w:t>（1）节能产品认证证书原件完整扫描件（需包含证书主页、产品型号附表页）；</w:t>
            </w:r>
          </w:p>
          <w:p>
            <w:pPr>
              <w:widowControl w:val="1"/>
              <w:snapToGrid w:val="0"/>
              <w:rPr>
                <w:rFonts w:hint="eastAsia" w:ascii="仿宋" w:hAnsi="仿宋" w:eastAsia="仿宋" w:cs="仿宋"/>
                <w:kern w:val="0"/>
                <w:sz w:val="24"/>
              </w:rPr>
            </w:pPr>
            <w:r>
              <w:rPr>
                <w:rFonts w:hint="eastAsia" w:ascii="仿宋" w:hAnsi="仿宋" w:eastAsia="仿宋" w:cs="仿宋"/>
                <w:kern w:val="0"/>
                <w:sz w:val="24"/>
              </w:rPr>
              <w:t>（2）全国认证认可信息公共服务平台（http://cx.cnca.cn）认证信息完整截图，截图必须清晰显示：证书编号、认证机构名称、响应产品规格型号、证书有效截止日期、认证依据标准及技术要求。</w:t>
            </w:r>
          </w:p>
          <w:p>
            <w:pPr>
              <w:widowControl w:val="1"/>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本项不得以承诺函、说明函等材料替代有效节能产品认证证书及对应佐证资料。供应商对所提供全部资料的真实性、合法性负责，若存在伪造、变造证明材料等违法违规情形，按政府采购相关法律法规严肃处理。</w:t>
            </w:r>
          </w:p>
          <w:p>
            <w:pPr>
              <w:widowControl w:val="1"/>
              <w:snapToGrid w:val="0"/>
              <w:rPr>
                <w:rFonts w:hint="eastAsia" w:ascii="仿宋" w:hAnsi="仿宋" w:eastAsia="仿宋" w:cs="仿宋"/>
                <w:kern w:val="0"/>
                <w:sz w:val="24"/>
              </w:rPr>
            </w:pPr>
            <w:r>
              <w:rPr>
                <w:rFonts w:hint="eastAsia" w:ascii="仿宋" w:hAnsi="仿宋" w:eastAsia="仿宋" w:cs="仿宋"/>
                <w:color w:val="FF0000"/>
                <w:kern w:val="0"/>
                <w:sz w:val="24"/>
                <w:lang w:val="en-US" w:eastAsia="zh-CN"/>
              </w:rPr>
              <w:t>30.除上述要求外，还应符合财政部、工业和信息化部《台式计算机政府采购需求标准（2023 年版）》（（财库〔2023〕29号）文中规定的带*的其他内容。</w:t>
            </w:r>
          </w:p>
        </w:tc>
      </w:tr>
      <w:tr>
        <w:trPr>
          <w:jc w:val="center"/>
        </w:trPr>
        <w:tc>
          <w:tcPr>
            <w:tcW w:w="460" w:type="dxa"/>
            <w:vAlign w:val="center"/>
          </w:tcPr>
          <w:p>
            <w:pPr>
              <w:widowControl w:val="1"/>
              <w:jc w:val="center"/>
              <w:textAlignment w:val="top"/>
              <w:rPr>
                <w:rFonts w:ascii="楷体" w:hAnsi="楷体" w:eastAsia="楷体" w:cs="楷体"/>
                <w:sz w:val="24"/>
              </w:rPr>
            </w:pPr>
            <w:r>
              <w:rPr>
                <w:rFonts w:hint="eastAsia" w:ascii="楷体" w:hAnsi="楷体" w:eastAsia="楷体" w:cs="楷体"/>
                <w:sz w:val="24"/>
              </w:rPr>
              <w:t>2</w:t>
            </w:r>
          </w:p>
        </w:tc>
        <w:tc>
          <w:tcPr>
            <w:tcW w:w="799" w:type="dxa"/>
            <w:vAlign w:val="center"/>
          </w:tcPr>
          <w:p>
            <w:pPr>
              <w:widowControl w:val="1"/>
              <w:jc w:val="center"/>
              <w:textAlignment w:val="center"/>
              <w:rPr>
                <w:rFonts w:ascii="楷体" w:hAnsi="楷体" w:eastAsia="楷体" w:cs="楷体"/>
                <w:sz w:val="24"/>
              </w:rPr>
            </w:pPr>
            <w:r>
              <w:rPr>
                <w:rFonts w:hint="eastAsia" w:ascii="楷体" w:hAnsi="楷体" w:eastAsia="楷体" w:cs="楷体"/>
                <w:sz w:val="24"/>
              </w:rPr>
              <w:t>图形工作站</w:t>
            </w:r>
          </w:p>
        </w:tc>
        <w:tc>
          <w:tcPr>
            <w:tcW w:w="846" w:type="dxa"/>
            <w:shd w:val="clear" w:color="auto" w:fill="auto"/>
            <w:vAlign w:val="center"/>
          </w:tcPr>
          <w:p>
            <w:pPr>
              <w:widowControl w:val="1"/>
              <w:jc w:val="center"/>
              <w:textAlignment w:val="center"/>
              <w:rPr>
                <w:rFonts w:ascii="楷体" w:hAnsi="楷体" w:eastAsia="楷体" w:cs="楷体"/>
                <w:kern w:val="0"/>
                <w:sz w:val="24"/>
                <w:lang w:bidi="ar"/>
              </w:rPr>
            </w:pPr>
            <w:r>
              <w:rPr>
                <w:rFonts w:hint="eastAsia" w:ascii="仿宋" w:hAnsi="仿宋" w:eastAsia="仿宋" w:cs="仿宋"/>
                <w:b w:val="1"/>
                <w:bCs w:val="1"/>
                <w:sz w:val="30"/>
                <w:szCs w:val="30"/>
              </w:rPr>
              <w:t>★</w:t>
            </w:r>
          </w:p>
        </w:tc>
        <w:tc>
          <w:tcPr>
            <w:tcW w:w="8076" w:type="dxa"/>
            <w:shd w:val="clear" w:color="auto" w:fill="auto"/>
            <w:vAlign w:val="center"/>
          </w:tcPr>
          <w:p>
            <w:pPr>
              <w:widowControl w:val="1"/>
              <w:jc w:val="left"/>
              <w:rPr>
                <w:rFonts w:hint="eastAsia" w:ascii="仿宋_GB2312" w:hAnsi="仿宋_GB2312" w:eastAsia="仿宋_GB2312" w:cs="仿宋_GB2312"/>
                <w:color w:val="FF0000"/>
                <w:sz w:val="24"/>
                <w:szCs w:val="22"/>
                <w:lang w:eastAsia="zh-CN"/>
              </w:rPr>
            </w:pPr>
            <w:r>
              <w:rPr>
                <w:rFonts w:hint="eastAsia" w:ascii="仿宋_GB2312" w:hAnsi="仿宋_GB2312" w:eastAsia="仿宋_GB2312" w:cs="仿宋_GB2312"/>
                <w:color w:val="FF0000"/>
                <w:sz w:val="24"/>
                <w:szCs w:val="22"/>
              </w:rPr>
              <w:t>本项目所有国标、行标均采用现行最新有效版本</w:t>
            </w:r>
            <w:r>
              <w:rPr>
                <w:rFonts w:hint="eastAsia" w:ascii="仿宋_GB2312" w:hAnsi="仿宋_GB2312" w:eastAsia="仿宋_GB2312" w:cs="仿宋_GB2312"/>
                <w:color w:val="FF0000"/>
                <w:sz w:val="24"/>
                <w:szCs w:val="22"/>
                <w:lang w:eastAsia="zh-CN"/>
              </w:rPr>
              <w:t>。</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1、CPU 规格：物理核心数≥20个，CPU线程数≥28，基础主频≥2.2GHz，睿频≥5.6GHz，三级缓存≥33MB，支持DDR5内存最高速率≥4800MT/s。投标人须在投标文件中载明计算机的CPU信息，包含CPU型号、物理核心数、主频、末级缓存容量、线程数、热设计功耗及内存的最高速率、通道数和位宽。</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2、内存规格：内存配置容量≥32GB，内存类型为DDR5及以上，内存条配置数量≥1根，</w:t>
            </w:r>
            <w:r>
              <w:rPr>
                <w:rFonts w:hint="eastAsia" w:ascii="仿宋_GB2312" w:hAnsi="仿宋_GB2312" w:eastAsia="仿宋_GB2312" w:cs="仿宋_GB2312"/>
                <w:color w:val="FF0000"/>
                <w:sz w:val="24"/>
                <w:szCs w:val="22"/>
              </w:rPr>
              <w:t>内存性能：内存读写速率≥4800MT/s。</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3、主板规格：主板集成资源扩展模块、计算处理模块、音频扩展模块，主板的互联拓扑可通过处理器或交换电路实现；支持DDR5及以上内存。板载扩展接口：≥1个PCIe 3 x4（x16接口）、≥1个PCIe 3 x4（x4接口）、≥1个PCIe 3 x1（x4接口）、≥1个PCIe 5 x16（x16接口）、≥1个WLAN专用M.2 2230 PCIe 3 X1接口、≥3个M.2 2280接口。单内存插槽最大可支持容量≥32GB，内存插槽满配最高总容量≥128GB，满足采购人自行安装影像图像采集卡使用需求。投标人须在投标文件中载明主板所支持的CPU、内存的型号和数量，以及主板相关SATA、M.2、USB接口的数量及占用状态。</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4、存储设备规格：配置固态盘数量≥1个，</w:t>
            </w:r>
            <w:r>
              <w:rPr>
                <w:rFonts w:hint="eastAsia" w:ascii="仿宋_GB2312" w:hAnsi="仿宋_GB2312" w:eastAsia="仿宋_GB2312" w:cs="仿宋_GB2312"/>
                <w:color w:val="FF0000"/>
                <w:sz w:val="24"/>
                <w:szCs w:val="22"/>
              </w:rPr>
              <w:t>本项目采购标的不含机械硬盘；</w:t>
            </w:r>
            <w:r>
              <w:rPr>
                <w:rFonts w:hint="eastAsia" w:ascii="仿宋_GB2312" w:hAnsi="仿宋_GB2312" w:eastAsia="仿宋_GB2312" w:cs="仿宋_GB2312"/>
                <w:sz w:val="24"/>
                <w:szCs w:val="22"/>
              </w:rPr>
              <w:t>固态存储容量≥1TB，支持UFS/SATA/PCIe/NVMe等主流接口协议；固态存储采用插卡或板载形态，兼容M.2、2.5寸SATA、mSATA标准插卡形态。存储设备其他参数要求：a)固态盘应符合</w:t>
            </w:r>
            <w:r>
              <w:rPr>
                <w:rFonts w:hint="eastAsia" w:ascii="仿宋_GB2312" w:hAnsi="仿宋_GB2312" w:eastAsia="仿宋_GB2312" w:cs="仿宋_GB2312"/>
                <w:color w:val="FF0000"/>
                <w:sz w:val="24"/>
                <w:szCs w:val="22"/>
              </w:rPr>
              <w:t>SJ/T11654-2016</w:t>
            </w:r>
            <w:r>
              <w:rPr>
                <w:rFonts w:hint="eastAsia" w:ascii="仿宋_GB2312" w:hAnsi="仿宋_GB2312" w:eastAsia="仿宋_GB2312" w:cs="仿宋_GB2312"/>
                <w:sz w:val="24"/>
                <w:szCs w:val="22"/>
              </w:rPr>
              <w:t>相关规定；b)机械硬盘准备时间≤30s，侧面固定螺丝孔为4孔或6孔，工作环境温度5℃-55℃，其它参数符合</w:t>
            </w:r>
            <w:r>
              <w:rPr>
                <w:rFonts w:hint="eastAsia" w:ascii="仿宋_GB2312" w:hAnsi="仿宋_GB2312" w:eastAsia="仿宋_GB2312" w:cs="仿宋_GB2312"/>
                <w:color w:val="FF0000"/>
                <w:sz w:val="24"/>
                <w:szCs w:val="22"/>
              </w:rPr>
              <w:t>GB/T12628-2008</w:t>
            </w:r>
            <w:r>
              <w:rPr>
                <w:rFonts w:hint="eastAsia" w:ascii="仿宋_GB2312" w:hAnsi="仿宋_GB2312" w:eastAsia="仿宋_GB2312" w:cs="仿宋_GB2312"/>
                <w:sz w:val="24"/>
                <w:szCs w:val="22"/>
              </w:rPr>
              <w:tab/>
              <w:t>相关规定。</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5、显卡规格：配备独立显卡，显存容量≥8GB GDDR7，GPU基准频率≥2.28GHz，GPU加速频率≥2.50GHz，显存位宽≥128bit，显存等效速率≥28Gbps。</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6、显示设备规格：本项目采购标的不含显示设备。</w:t>
            </w:r>
          </w:p>
          <w:p>
            <w:pPr>
              <w:widowControl w:val="1"/>
              <w:jc w:val="left"/>
              <w:rPr>
                <w:rFonts w:ascii="仿宋" w:hAnsi="仿宋" w:eastAsia="仿宋" w:cs="仿宋"/>
                <w:b w:val="1"/>
                <w:bCs w:val="1"/>
                <w:sz w:val="24"/>
                <w:lang w:eastAsia="zh-Hans"/>
              </w:rPr>
            </w:pPr>
            <w:r>
              <w:rPr>
                <w:rFonts w:hint="eastAsia" w:ascii="仿宋_GB2312" w:hAnsi="仿宋_GB2312" w:eastAsia="仿宋_GB2312" w:cs="仿宋_GB2312"/>
                <w:sz w:val="24"/>
                <w:szCs w:val="22"/>
              </w:rPr>
              <w:t>7、外设规格：配置有线104键黑色键盘、有线黑色鼠标各不少于1个；键盘键程2.3-4.0mm，按键压力0.54N±0.14N，连接线长度≥1.5米；鼠标DPI分辨率800-1600，连接线长度≥1.5米，鼠标其余参数符合</w:t>
            </w:r>
            <w:r>
              <w:rPr>
                <w:rFonts w:hint="eastAsia" w:ascii="仿宋_GB2312" w:hAnsi="仿宋_GB2312" w:eastAsia="仿宋_GB2312" w:cs="仿宋_GB2312"/>
                <w:color w:val="FF0000"/>
                <w:sz w:val="24"/>
                <w:szCs w:val="22"/>
              </w:rPr>
              <w:t>GB/T26245-2010</w:t>
            </w:r>
            <w:r>
              <w:rPr>
                <w:rFonts w:hint="eastAsia" w:ascii="仿宋_GB2312" w:hAnsi="仿宋_GB2312" w:eastAsia="仿宋_GB2312" w:cs="仿宋_GB2312"/>
                <w:sz w:val="24"/>
                <w:szCs w:val="22"/>
              </w:rPr>
              <w:t>相关规定。</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8、网络设备规格：集成千兆自适应有线以太网卡≥1块。</w:t>
            </w:r>
          </w:p>
          <w:p>
            <w:pPr>
              <w:pStyle w:val="00001c"/>
              <w:jc w:val="both"/>
              <w:rPr>
                <w:rFonts w:hint="default" w:ascii="仿宋_GB2312" w:hAnsi="仿宋_GB2312" w:eastAsia="仿宋_GB2312" w:cs="仿宋_GB2312"/>
                <w:b w:val="1"/>
                <w:bCs w:val="1"/>
                <w:color w:val="FF0000"/>
                <w:kern w:val="2"/>
                <w:sz w:val="24"/>
                <w:szCs w:val="22"/>
              </w:rPr>
            </w:pPr>
            <w:r>
              <w:rPr>
                <w:rFonts w:hint="eastAsia" w:ascii="仿宋_GB2312" w:hAnsi="仿宋_GB2312" w:eastAsia="仿宋_GB2312" w:cs="仿宋_GB2312"/>
                <w:kern w:val="2"/>
                <w:sz w:val="24"/>
                <w:szCs w:val="22"/>
              </w:rPr>
              <w:t>9、外部接口规格：配备≥8个USB接口，机箱前板至少包括2 个 USB3.0 及以上接口（前置1个SuperSpeed USB Type-C 20Gbps速率端口）、≥2个DP接口、≥1个通用音频插孔、≥1个音频输入接口、≥1个音频输出接口；支持3.5mm孔径3段式/4段式音频接口，DP接口支持音视频同步输出。</w:t>
            </w:r>
            <w:r>
              <w:rPr>
                <w:rFonts w:ascii="仿宋_GB2312" w:hAnsi="仿宋_GB2312" w:eastAsia="仿宋_GB2312" w:cs="仿宋_GB2312"/>
                <w:b w:val="1"/>
                <w:bCs w:val="1"/>
                <w:color w:val="FF0000"/>
                <w:kern w:val="2"/>
                <w:sz w:val="24"/>
                <w:szCs w:val="22"/>
                <w:lang w:eastAsia="zh-CN"/>
              </w:rPr>
              <w:t>（</w:t>
            </w:r>
            <w:r>
              <w:rPr>
                <w:rFonts w:ascii="仿宋" w:hAnsi="仿宋" w:eastAsia="仿宋" w:cs="仿宋"/>
                <w:b w:val="1"/>
                <w:bCs w:val="1"/>
                <w:color w:val="FF0000"/>
                <w:kern w:val="2"/>
                <w:sz w:val="24"/>
                <w:szCs w:val="24"/>
                <w:lang w:eastAsia="zh-CN"/>
              </w:rPr>
              <w:t>说明：供应商在响应文件中提供产品彩页或</w:t>
            </w:r>
            <w:r>
              <w:rPr>
                <w:rFonts w:hint="eastAsia" w:ascii="仿宋" w:hAnsi="仿宋" w:eastAsia="仿宋" w:cs="仿宋"/>
                <w:b w:val="1"/>
                <w:bCs w:val="1"/>
                <w:color w:val="FF0000"/>
                <w:kern w:val="2"/>
                <w:sz w:val="24"/>
                <w:szCs w:val="24"/>
                <w:lang w:val="en-US" w:eastAsia="zh-CN"/>
              </w:rPr>
              <w:t>技术参数</w:t>
            </w:r>
            <w:r>
              <w:rPr>
                <w:rFonts w:ascii="仿宋" w:hAnsi="仿宋" w:eastAsia="仿宋" w:cs="仿宋"/>
                <w:b w:val="1"/>
                <w:bCs w:val="1"/>
                <w:color w:val="FF0000"/>
                <w:kern w:val="2"/>
                <w:sz w:val="24"/>
                <w:szCs w:val="24"/>
                <w:lang w:eastAsia="zh-CN"/>
              </w:rPr>
              <w:t>说明书</w:t>
            </w:r>
            <w:r>
              <w:rPr>
                <w:rFonts w:hint="eastAsia" w:ascii="仿宋" w:hAnsi="仿宋" w:eastAsia="仿宋" w:cs="仿宋"/>
                <w:b w:val="1"/>
                <w:bCs w:val="1"/>
                <w:color w:val="FF0000"/>
                <w:kern w:val="2"/>
                <w:sz w:val="24"/>
                <w:szCs w:val="24"/>
                <w:lang w:val="en-US" w:eastAsia="zh-CN"/>
              </w:rPr>
              <w:t>或技术白皮书</w:t>
            </w:r>
            <w:r>
              <w:rPr>
                <w:rFonts w:ascii="仿宋" w:hAnsi="仿宋" w:eastAsia="仿宋" w:cs="仿宋"/>
                <w:b w:val="1"/>
                <w:bCs w:val="1"/>
                <w:color w:val="FF0000"/>
                <w:kern w:val="2"/>
                <w:sz w:val="24"/>
                <w:szCs w:val="24"/>
                <w:lang w:eastAsia="zh-CN"/>
              </w:rPr>
              <w:t>等有效证明材料）</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10、整机基础规格：</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①整机外观：a)产品表面无凹痕、划伤、裂缝、变形、污染，表面涂层均匀，无起泡、龟裂、脱落、磨损，金属零部件无锈蚀及机械损伤；b)产品功能文字、符号、标志清晰、端正、牢固；产品显著位置配备运行状态指示灯，供应商须提供指示灯详细参数。</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②整机结构：⑴机箱符合</w:t>
            </w:r>
            <w:r>
              <w:rPr>
                <w:rFonts w:hint="eastAsia" w:ascii="仿宋_GB2312" w:hAnsi="仿宋_GB2312" w:eastAsia="仿宋_GB2312" w:cs="仿宋_GB2312"/>
                <w:color w:val="FF0000"/>
                <w:sz w:val="24"/>
                <w:szCs w:val="22"/>
              </w:rPr>
              <w:t>GB/T4208-2017、GB/T26246-2010</w:t>
            </w:r>
            <w:r>
              <w:rPr>
                <w:rFonts w:hint="eastAsia" w:ascii="仿宋_GB2312" w:hAnsi="仿宋_GB2312" w:eastAsia="仿宋_GB2312" w:cs="仿宋_GB2312"/>
                <w:sz w:val="24"/>
                <w:szCs w:val="22"/>
              </w:rPr>
              <w:t>相关规定，机箱防护等级满足</w:t>
            </w:r>
            <w:r>
              <w:rPr>
                <w:rFonts w:hint="eastAsia" w:ascii="仿宋_GB2312" w:hAnsi="仿宋_GB2312" w:eastAsia="仿宋_GB2312" w:cs="仿宋_GB2312"/>
                <w:color w:val="FF0000"/>
                <w:sz w:val="24"/>
                <w:szCs w:val="22"/>
              </w:rPr>
              <w:t>GB/T4208-2017</w:t>
            </w:r>
            <w:r>
              <w:rPr>
                <w:rFonts w:hint="eastAsia" w:ascii="仿宋_GB2312" w:hAnsi="仿宋_GB2312" w:eastAsia="仿宋_GB2312" w:cs="仿宋_GB2312"/>
                <w:sz w:val="24"/>
                <w:szCs w:val="22"/>
              </w:rPr>
              <w:t xml:space="preserve"> 中IP20要求；⑵产品内部结构应符合通用部件的安装需求；⑶所有输入输出接口应符合相关国家或行业标准；⑷产品零部件应紧固无松动，可插拔部件应可靠连接，开关、按钮和其它控制部件应灵活可靠，布局应方便使用；⑸所有 I/O 连接器及需插接线缆的部位应预留采购人操作空间，方便插拔解锁与插拔线缆；⑹可插拔板卡插槽部位应预留安装、拆卸或更换板卡空间；⑺拆装可能接触到的金属剪口或金属尖角部位应做防划伤处理，以保证安全；⑻整机内部走线规整，固线结构和位置合理可靠并做防割线处理，便于理线和插拔操作，走线不得影响系统各主要部件组装和拆卸；⑼如需通过孔走线，过线孔应做防割线处理；⑽各插头位置和插拔方向合理，做到插拔无障碍设计，具备防呆设计，有效避免误操作；⑾各主要部件拆装无障碍，使用常规工具拆装，无特殊拆装工具需求；⑿各主要部件拆装步骤精简，各部件拆装互不干扰；⒀对于整机或零部件外表面为高亮面的，应粘贴保护膜，保护膜粘贴牢固，运输、组装等过程不易脱落，撕下无残留；⒁其它要求应符合 </w:t>
            </w:r>
            <w:r>
              <w:rPr>
                <w:rFonts w:hint="eastAsia" w:ascii="仿宋_GB2312" w:hAnsi="仿宋_GB2312" w:eastAsia="仿宋_GB2312" w:cs="仿宋_GB2312"/>
                <w:color w:val="FF0000"/>
                <w:sz w:val="24"/>
                <w:szCs w:val="22"/>
              </w:rPr>
              <w:t>GB/T9813.1-2016</w:t>
            </w:r>
            <w:r>
              <w:rPr>
                <w:rFonts w:hint="eastAsia" w:ascii="仿宋_GB2312" w:hAnsi="仿宋_GB2312" w:eastAsia="仿宋_GB2312" w:cs="仿宋_GB2312"/>
                <w:sz w:val="24"/>
                <w:szCs w:val="22"/>
              </w:rPr>
              <w:t xml:space="preserve"> 的相关规定。</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③整机噪音：空闲状态下声功率级≤45dB（原4.5Bel换算修正，适配行业通用单位）。</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④整机散热：环境温度25℃、处理器满载工况下，机箱后置出风口温度≤55℃，机身可触及面温度≤45℃。</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⑤能效与机身参数：整机能效达到</w:t>
            </w:r>
            <w:r>
              <w:rPr>
                <w:rFonts w:hint="eastAsia" w:ascii="仿宋_GB2312" w:hAnsi="仿宋_GB2312" w:eastAsia="仿宋_GB2312" w:cs="仿宋_GB2312"/>
                <w:color w:val="FF0000"/>
                <w:sz w:val="24"/>
                <w:szCs w:val="22"/>
              </w:rPr>
              <w:t>GB28380-2025</w:t>
            </w:r>
            <w:r>
              <w:rPr>
                <w:rFonts w:hint="eastAsia" w:ascii="仿宋_GB2312" w:hAnsi="仿宋_GB2312" w:eastAsia="仿宋_GB2312" w:cs="仿宋_GB2312"/>
                <w:sz w:val="24"/>
                <w:szCs w:val="22"/>
              </w:rPr>
              <w:t>标准2级及以上；机身材质为塑料/金属，颜色为黑色；机箱容积23L~40L，支持免工具拆装访问主板及内存。</w:t>
            </w:r>
          </w:p>
          <w:p>
            <w:pPr>
              <w:widowControl w:val="1"/>
              <w:jc w:val="left"/>
              <w:rPr>
                <w:rFonts w:ascii="仿宋_GB2312" w:hAnsi="仿宋_GB2312" w:eastAsia="仿宋_GB2312" w:cs="仿宋_GB2312"/>
                <w:sz w:val="24"/>
                <w:szCs w:val="22"/>
              </w:rPr>
            </w:pPr>
            <w:r>
              <w:rPr>
                <w:rFonts w:hint="eastAsia" w:ascii="仿宋" w:hAnsi="仿宋" w:eastAsia="仿宋" w:cs="仿宋"/>
                <w:b w:val="1"/>
                <w:bCs w:val="1"/>
                <w:sz w:val="24"/>
                <w:lang w:eastAsia="zh-Hans"/>
              </w:rPr>
              <w:t>（说明：供应商在响应文件中提供承诺函，格式自拟）</w:t>
            </w:r>
          </w:p>
          <w:p>
            <w:pPr>
              <w:widowControl w:val="1"/>
              <w:jc w:val="left"/>
              <w:rPr>
                <w:rFonts w:ascii="仿宋" w:hAnsi="仿宋" w:eastAsia="仿宋" w:cs="仿宋"/>
                <w:b w:val="1"/>
                <w:bCs w:val="1"/>
                <w:sz w:val="24"/>
                <w:lang w:eastAsia="zh-Hans"/>
              </w:rPr>
            </w:pPr>
            <w:r>
              <w:rPr>
                <w:rFonts w:hint="eastAsia" w:ascii="仿宋_GB2312" w:hAnsi="仿宋_GB2312" w:eastAsia="仿宋_GB2312" w:cs="仿宋_GB2312"/>
                <w:sz w:val="24"/>
                <w:szCs w:val="22"/>
              </w:rPr>
              <w:t>11、显卡性能：显卡最大支持7680×4320@60Hz或4K@240Hz视频输出，显存带宽≥448GB/s，</w:t>
            </w:r>
            <w:r>
              <w:rPr>
                <w:rFonts w:hint="eastAsia" w:ascii="仿宋_GB2312" w:hAnsi="仿宋_GB2312" w:eastAsia="仿宋_GB2312" w:cs="仿宋_GB2312"/>
                <w:color w:val="FF0000"/>
                <w:sz w:val="24"/>
                <w:szCs w:val="22"/>
              </w:rPr>
              <w:t>显卡显示芯片核心频率≥800MHz，显存等效频率≥1600MT/s；显卡支持 2 块屏幕同时显示，单屏分辨率不低于 2560×1440。</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 w:hAnsi="仿宋" w:eastAsia="仿宋" w:cs="仿宋"/>
                <w:b w:val="1"/>
                <w:bCs w:val="1"/>
                <w:sz w:val="24"/>
                <w:lang w:eastAsia="zh-Hans"/>
              </w:rPr>
            </w:pPr>
            <w:r>
              <w:rPr>
                <w:rFonts w:hint="eastAsia" w:ascii="仿宋_GB2312" w:hAnsi="仿宋_GB2312" w:eastAsia="仿宋_GB2312" w:cs="仿宋_GB2312"/>
                <w:sz w:val="24"/>
                <w:szCs w:val="22"/>
              </w:rPr>
              <w:t>12、网络设备性能：有线网卡最高速率≥1000Mbps，支持10/100/1000Mbps速率自适应。</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13、主板功能：</w:t>
            </w:r>
            <w:r>
              <w:rPr>
                <w:rFonts w:hint="eastAsia" w:ascii="仿宋_GB2312" w:hAnsi="仿宋_GB2312" w:eastAsia="仿宋_GB2312" w:cs="仿宋_GB2312"/>
                <w:color w:val="FF0000"/>
                <w:sz w:val="24"/>
                <w:szCs w:val="22"/>
              </w:rPr>
              <w:t>配备≥4个内存扩展接口</w:t>
            </w:r>
            <w:r>
              <w:rPr>
                <w:rFonts w:hint="eastAsia" w:ascii="仿宋_GB2312" w:hAnsi="仿宋_GB2312" w:eastAsia="仿宋_GB2312" w:cs="仿宋_GB2312"/>
                <w:sz w:val="24"/>
                <w:szCs w:val="22"/>
              </w:rPr>
              <w:t>；主板支持USB瞬间过流保护、防静电保护功能；可实现USB外设连接、音频扩展、PCIe板卡扩展、</w:t>
            </w:r>
            <w:r>
              <w:rPr>
                <w:rFonts w:hint="eastAsia" w:ascii="仿宋_GB2312" w:hAnsi="仿宋_GB2312" w:eastAsia="仿宋_GB2312" w:cs="仿宋_GB2312"/>
                <w:color w:val="FF0000"/>
                <w:sz w:val="24"/>
                <w:szCs w:val="22"/>
              </w:rPr>
              <w:t>基于HDMI/VGA/Type-C/DVI/DP 等接口外接显示设备、</w:t>
            </w:r>
            <w:r>
              <w:rPr>
                <w:rFonts w:hint="eastAsia" w:ascii="仿宋_GB2312" w:hAnsi="仿宋_GB2312" w:eastAsia="仿宋_GB2312" w:cs="仿宋_GB2312"/>
                <w:sz w:val="24"/>
                <w:szCs w:val="22"/>
              </w:rPr>
              <w:t>存储扩容等功能，</w:t>
            </w:r>
            <w:r>
              <w:rPr>
                <w:rFonts w:hint="eastAsia" w:ascii="仿宋_GB2312" w:hAnsi="仿宋_GB2312" w:eastAsia="仿宋_GB2312" w:cs="仿宋_GB2312"/>
                <w:color w:val="FF0000"/>
                <w:sz w:val="24"/>
                <w:szCs w:val="22"/>
              </w:rPr>
              <w:t>工作站I/O接口应具备外接标准USB设备、显示器、音频设备等内外部设备能力。</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14、显卡功能：显卡外接显示接口至少支持VGA、HDMI、DVI、DP、Type-C其中一种，支持音视频同步输出。</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15、网络设备功能：支持网络启停、网络访问、数据交换功能；具备数据传输、流量统计、异常日志记录能力；有线网卡采用RJ45接口，无线网卡、蓝牙模块支持物理拆装。</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 w:hAnsi="仿宋" w:eastAsia="仿宋" w:cs="仿宋"/>
                <w:b w:val="1"/>
                <w:bCs w:val="1"/>
                <w:sz w:val="24"/>
                <w:lang w:eastAsia="zh-Hans"/>
              </w:rPr>
            </w:pPr>
            <w:r>
              <w:rPr>
                <w:rFonts w:hint="eastAsia" w:ascii="仿宋_GB2312" w:hAnsi="仿宋_GB2312" w:eastAsia="仿宋_GB2312" w:cs="仿宋_GB2312"/>
                <w:sz w:val="24"/>
                <w:szCs w:val="22"/>
              </w:rPr>
              <w:t>16、中文信息处理要求：设备中文信息处理功能符合</w:t>
            </w:r>
            <w:r>
              <w:rPr>
                <w:rFonts w:hint="eastAsia" w:ascii="仿宋_GB2312" w:hAnsi="仿宋_GB2312" w:eastAsia="仿宋_GB2312" w:cs="仿宋_GB2312"/>
                <w:color w:val="FF0000"/>
                <w:sz w:val="24"/>
                <w:szCs w:val="22"/>
              </w:rPr>
              <w:t>GB18030-2022</w:t>
            </w:r>
            <w:r>
              <w:rPr>
                <w:rFonts w:hint="eastAsia" w:ascii="仿宋_GB2312" w:hAnsi="仿宋_GB2312" w:eastAsia="仿宋_GB2312" w:cs="仿宋_GB2312"/>
                <w:sz w:val="24"/>
                <w:szCs w:val="22"/>
              </w:rPr>
              <w:t>相关规定。（</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 w:hAnsi="仿宋" w:eastAsia="仿宋" w:cs="仿宋"/>
                <w:b w:val="1"/>
                <w:bCs w:val="1"/>
                <w:sz w:val="24"/>
                <w:lang w:eastAsia="zh-Hans"/>
              </w:rPr>
            </w:pPr>
            <w:r>
              <w:rPr>
                <w:rFonts w:hint="eastAsia" w:ascii="仿宋_GB2312" w:hAnsi="仿宋_GB2312" w:eastAsia="仿宋_GB2312" w:cs="仿宋_GB2312"/>
                <w:sz w:val="24"/>
                <w:szCs w:val="22"/>
              </w:rPr>
              <w:t>17、操作系统及软件功能：</w:t>
            </w:r>
            <w:r>
              <w:rPr>
                <w:rFonts w:hint="eastAsia" w:ascii="仿宋_GB2312" w:hAnsi="仿宋_GB2312" w:eastAsia="仿宋_GB2312" w:cs="仿宋_GB2312"/>
                <w:color w:val="FF0000"/>
                <w:sz w:val="24"/>
                <w:szCs w:val="22"/>
                <w:lang w:val="en-US" w:eastAsia="zh-CN"/>
              </w:rPr>
              <w:t>预装正版windows操作系统；</w:t>
            </w:r>
            <w:r>
              <w:rPr>
                <w:rFonts w:hint="eastAsia" w:ascii="仿宋_GB2312" w:hAnsi="仿宋_GB2312" w:eastAsia="仿宋_GB2312" w:cs="仿宋_GB2312"/>
                <w:sz w:val="24"/>
                <w:szCs w:val="22"/>
              </w:rPr>
              <w:t>支持操作系统、固件的备份与还原；可通过网络、闪存盘完成系统、驱动、固件升级；BIOS支持关闭以太网、USB等通讯接口；可查询固件版本、硬件参数、系统时间；支持自定义启动顺序、设置/修改/验证开机口令、启停网络引导功能。</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18、存储设备可靠性：1TB容量固态硬盘TBW使用寿命≥400TB。</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19、兼容要求：支持流式、版式、浏览器、邮件客户端、解压、多媒体、图形图像处理等常用软件；兼容不少于3个主流厂商数据库、中间件、云计算及大数据平台产品。</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20、外设可靠性：键盘按键寿命≥1000万次，鼠标按键寿命≥500万次；键鼠线材经±60°弯折测试≥3000次，测试后功能、外观完好；机箱风扇使用寿命≥4万小时。</w:t>
            </w:r>
            <w:r>
              <w:rPr>
                <w:rFonts w:hint="eastAsia" w:ascii="仿宋" w:hAnsi="仿宋" w:eastAsia="仿宋" w:cs="仿宋"/>
                <w:b w:val="1"/>
                <w:bCs w:val="1"/>
                <w:sz w:val="24"/>
                <w:lang w:eastAsia="zh-Hans"/>
              </w:rPr>
              <w:t>（说明：供应商在响应文件中提供承诺函，格式自拟）</w:t>
            </w:r>
          </w:p>
          <w:p>
            <w:pPr>
              <w:pStyle w:val="00001c"/>
              <w:jc w:val="both"/>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21、整机可靠性要求：</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（1）</w:t>
            </w:r>
            <w:r>
              <w:rPr>
                <w:rFonts w:hint="eastAsia" w:ascii="仿宋_GB2312" w:hAnsi="仿宋_GB2312" w:eastAsia="仿宋_GB2312" w:cs="仿宋_GB2312"/>
                <w:color w:val="FF0000"/>
                <w:kern w:val="2"/>
                <w:sz w:val="24"/>
                <w:szCs w:val="22"/>
              </w:rPr>
              <w:t>电磁兼容</w:t>
            </w:r>
            <w:r>
              <w:rPr>
                <w:rFonts w:hint="eastAsia" w:ascii="仿宋_GB2312" w:hAnsi="仿宋_GB2312" w:eastAsia="仿宋_GB2312" w:cs="仿宋_GB2312"/>
                <w:color w:val="FF0000"/>
                <w:kern w:val="2"/>
                <w:sz w:val="24"/>
                <w:szCs w:val="22"/>
                <w:lang w:eastAsia="zh-CN"/>
              </w:rPr>
              <w:t>性要求的</w:t>
            </w:r>
            <w:r>
              <w:rPr>
                <w:rFonts w:hint="eastAsia" w:ascii="仿宋_GB2312" w:hAnsi="仿宋_GB2312" w:eastAsia="仿宋_GB2312" w:cs="仿宋_GB2312"/>
                <w:color w:val="FF0000"/>
                <w:kern w:val="2"/>
                <w:sz w:val="24"/>
                <w:szCs w:val="22"/>
              </w:rPr>
              <w:t>抗扰度符合 GB/T9254.2-2021；</w:t>
            </w:r>
          </w:p>
          <w:p>
            <w:pPr>
              <w:pStyle w:val="00001c"/>
              <w:jc w:val="both"/>
              <w:rPr>
                <w:rFonts w:hint="eastAsia" w:ascii="仿宋_GB2312" w:hAnsi="仿宋_GB2312" w:eastAsia="仿宋_GB2312" w:cs="仿宋_GB2312"/>
                <w:color w:val="FF0000"/>
                <w:kern w:val="2"/>
                <w:sz w:val="24"/>
                <w:szCs w:val="22"/>
                <w:lang w:eastAsia="zh-CN"/>
              </w:rPr>
            </w:pPr>
            <w:r>
              <w:rPr>
                <w:rFonts w:hint="eastAsia" w:ascii="仿宋_GB2312" w:hAnsi="仿宋_GB2312" w:eastAsia="仿宋_GB2312" w:cs="仿宋_GB2312"/>
                <w:color w:val="FF0000"/>
                <w:kern w:val="2"/>
                <w:sz w:val="24"/>
                <w:szCs w:val="22"/>
                <w:lang w:val="en-US" w:eastAsia="zh-CN"/>
              </w:rPr>
              <w:t>（2）环境条件要求的</w:t>
            </w:r>
            <w:r>
              <w:rPr>
                <w:rFonts w:hint="eastAsia" w:ascii="仿宋_GB2312" w:hAnsi="仿宋_GB2312" w:eastAsia="仿宋_GB2312" w:cs="仿宋_GB2312"/>
                <w:color w:val="FF0000"/>
                <w:kern w:val="2"/>
                <w:sz w:val="24"/>
                <w:szCs w:val="22"/>
              </w:rPr>
              <w:t>气候</w:t>
            </w:r>
            <w:r>
              <w:rPr>
                <w:rFonts w:hint="eastAsia" w:ascii="仿宋_GB2312" w:hAnsi="仿宋_GB2312" w:eastAsia="仿宋_GB2312" w:cs="仿宋_GB2312"/>
                <w:color w:val="FF0000"/>
                <w:kern w:val="2"/>
                <w:sz w:val="24"/>
                <w:szCs w:val="22"/>
                <w:lang w:eastAsia="zh-CN"/>
              </w:rPr>
              <w:t>环境适应性符合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（3）环境条件要求的振动</w:t>
            </w:r>
            <w:r>
              <w:rPr>
                <w:rFonts w:hint="eastAsia" w:ascii="仿宋_GB2312" w:hAnsi="仿宋_GB2312" w:eastAsia="仿宋_GB2312" w:cs="仿宋_GB2312"/>
                <w:color w:val="FF0000"/>
                <w:kern w:val="2"/>
                <w:sz w:val="24"/>
                <w:szCs w:val="22"/>
                <w:lang w:eastAsia="zh-CN"/>
              </w:rPr>
              <w:t>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（4）环境条件要求的</w:t>
            </w:r>
            <w:r>
              <w:rPr>
                <w:rFonts w:hint="eastAsia" w:ascii="仿宋_GB2312" w:hAnsi="仿宋_GB2312" w:eastAsia="仿宋_GB2312" w:cs="仿宋_GB2312"/>
                <w:color w:val="FF0000"/>
                <w:kern w:val="2"/>
                <w:sz w:val="24"/>
                <w:szCs w:val="22"/>
                <w:lang w:eastAsia="zh-CN"/>
              </w:rPr>
              <w:t>冲击适应性符合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both"/>
              <w:rPr>
                <w:rFonts w:hint="eastAsia" w:ascii="仿宋_GB2312" w:hAnsi="仿宋_GB2312" w:eastAsia="仿宋_GB2312" w:cs="仿宋_GB2312"/>
                <w:color w:val="FF0000"/>
                <w:kern w:val="2"/>
                <w:sz w:val="24"/>
                <w:szCs w:val="22"/>
              </w:rPr>
            </w:pPr>
            <w:r>
              <w:rPr>
                <w:rFonts w:hint="eastAsia" w:ascii="仿宋_GB2312" w:hAnsi="仿宋_GB2312" w:eastAsia="仿宋_GB2312" w:cs="仿宋_GB2312"/>
                <w:color w:val="FF0000"/>
                <w:kern w:val="2"/>
                <w:sz w:val="24"/>
                <w:szCs w:val="22"/>
                <w:lang w:val="en-US" w:eastAsia="zh-CN"/>
              </w:rPr>
              <w:t>（5）环境条件要求的</w:t>
            </w:r>
            <w:r>
              <w:rPr>
                <w:rFonts w:hint="eastAsia" w:ascii="仿宋_GB2312" w:hAnsi="仿宋_GB2312" w:eastAsia="仿宋_GB2312" w:cs="仿宋_GB2312"/>
                <w:color w:val="FF0000"/>
                <w:kern w:val="2"/>
                <w:sz w:val="24"/>
                <w:szCs w:val="22"/>
                <w:lang w:eastAsia="zh-CN"/>
              </w:rPr>
              <w:t>碰撞适应性符合</w:t>
            </w:r>
            <w:r>
              <w:rPr>
                <w:rFonts w:hint="eastAsia" w:ascii="仿宋_GB2312" w:hAnsi="仿宋_GB2312" w:eastAsia="仿宋_GB2312" w:cs="仿宋_GB2312"/>
                <w:color w:val="FF0000"/>
                <w:kern w:val="2"/>
                <w:sz w:val="24"/>
                <w:szCs w:val="22"/>
              </w:rPr>
              <w:t>GB/T9813.1-2016</w:t>
            </w:r>
            <w:r>
              <w:rPr>
                <w:rFonts w:hint="eastAsia" w:ascii="仿宋_GB2312" w:hAnsi="仿宋_GB2312" w:eastAsia="仿宋_GB2312" w:cs="仿宋_GB2312"/>
                <w:color w:val="FF0000"/>
                <w:kern w:val="2"/>
                <w:sz w:val="24"/>
                <w:szCs w:val="22"/>
                <w:lang w:eastAsia="zh-CN"/>
              </w:rPr>
              <w:t>；</w:t>
            </w:r>
          </w:p>
          <w:p>
            <w:pPr>
              <w:pStyle w:val="00001c"/>
              <w:jc w:val="left"/>
              <w:rPr>
                <w:rFonts w:hint="default" w:ascii="仿宋_GB2312" w:hAnsi="仿宋_GB2312" w:eastAsia="仿宋_GB2312" w:cs="仿宋_GB2312"/>
                <w:b w:val="1"/>
                <w:bCs w:val="1"/>
                <w:color w:val="FF0000"/>
                <w:kern w:val="2"/>
                <w:sz w:val="24"/>
                <w:szCs w:val="22"/>
              </w:rPr>
            </w:pPr>
            <w:r>
              <w:rPr>
                <w:rFonts w:hint="eastAsia" w:ascii="仿宋_GB2312" w:hAnsi="仿宋_GB2312" w:eastAsia="仿宋_GB2312" w:cs="仿宋_GB2312"/>
                <w:color w:val="FF0000"/>
                <w:kern w:val="2"/>
                <w:sz w:val="24"/>
                <w:szCs w:val="22"/>
                <w:lang w:val="en-US" w:eastAsia="zh-CN"/>
              </w:rPr>
              <w:t>（6）环境条件要求的</w:t>
            </w:r>
            <w:r>
              <w:rPr>
                <w:rFonts w:hint="eastAsia" w:ascii="仿宋_GB2312" w:hAnsi="仿宋_GB2312" w:eastAsia="仿宋_GB2312" w:cs="仿宋_GB2312"/>
                <w:color w:val="FF0000"/>
                <w:kern w:val="2"/>
                <w:sz w:val="24"/>
                <w:szCs w:val="22"/>
              </w:rPr>
              <w:t>运输包装件跌落符合 GB/T9813.1-2016；</w:t>
            </w:r>
          </w:p>
          <w:p>
            <w:pPr>
              <w:rPr>
                <w:rFonts w:hint="eastAsia" w:ascii="仿宋_GB2312" w:hAnsi="仿宋_GB2312" w:eastAsia="仿宋_GB2312" w:cs="仿宋_GB2312"/>
                <w:color w:val="FF0000"/>
                <w:sz w:val="24"/>
                <w:szCs w:val="22"/>
                <w:lang w:val="en-US" w:eastAsia="zh-CN"/>
              </w:rPr>
            </w:pPr>
            <w:r>
              <w:rPr>
                <w:rFonts w:hint="eastAsia" w:ascii="仿宋_GB2312" w:hAnsi="仿宋_GB2312" w:eastAsia="仿宋_GB2312" w:cs="仿宋_GB2312"/>
                <w:color w:val="FF0000"/>
                <w:sz w:val="24"/>
                <w:szCs w:val="22"/>
                <w:lang w:val="en-US" w:eastAsia="zh-CN"/>
              </w:rPr>
              <w:t>（7）此项目台式机用于医院业务，具有7×24小时不间断运行的特征，整机 MTBF (m1)≥3万小时。</w:t>
            </w:r>
          </w:p>
          <w:p>
            <w:pPr>
              <w:widowControl w:val="1"/>
              <w:jc w:val="left"/>
              <w:rPr>
                <w:rFonts w:ascii="仿宋_GB2312" w:hAnsi="仿宋_GB2312" w:eastAsia="仿宋_GB2312" w:cs="仿宋_GB2312"/>
                <w:sz w:val="24"/>
                <w:szCs w:val="22"/>
              </w:rPr>
            </w:pPr>
            <w:r>
              <w:rPr>
                <w:rFonts w:hint="eastAsia" w:ascii="仿宋" w:hAnsi="仿宋" w:eastAsia="仿宋" w:cs="仿宋"/>
                <w:b w:val="1"/>
                <w:bCs w:val="1"/>
                <w:color w:val="FF0000"/>
                <w:sz w:val="24"/>
                <w:lang w:eastAsia="zh-Hans"/>
              </w:rPr>
              <w:t>（说明：</w:t>
            </w:r>
            <w:r>
              <w:rPr>
                <w:rFonts w:hint="eastAsia" w:ascii="仿宋" w:hAnsi="仿宋" w:eastAsia="仿宋" w:cs="仿宋"/>
                <w:b w:val="1"/>
                <w:bCs w:val="1"/>
                <w:color w:val="FF0000"/>
                <w:kern w:val="2"/>
                <w:sz w:val="24"/>
                <w:szCs w:val="24"/>
                <w:lang w:val="en-US" w:eastAsia="zh-CN" w:bidi="ar-SA"/>
              </w:rPr>
              <w:t>1-7项提供单独承诺函，承诺函格式自拟并加盖供应商电子印章</w:t>
            </w:r>
            <w:r>
              <w:rPr>
                <w:rFonts w:hint="eastAsia" w:ascii="仿宋" w:hAnsi="仿宋" w:eastAsia="仿宋" w:cs="仿宋"/>
                <w:b w:val="1"/>
                <w:bCs w:val="1"/>
                <w:sz w:val="24"/>
                <w:lang w:eastAsia="zh-Hans"/>
              </w:rPr>
              <w:t>）</w:t>
            </w:r>
          </w:p>
          <w:p>
            <w:pPr>
              <w:widowControl w:val="1"/>
              <w:jc w:val="left"/>
              <w:rPr>
                <w:rFonts w:ascii="仿宋" w:hAnsi="仿宋" w:eastAsia="仿宋" w:cs="仿宋"/>
                <w:b w:val="1"/>
                <w:bCs w:val="1"/>
                <w:sz w:val="24"/>
                <w:lang w:eastAsia="zh-Hans"/>
              </w:rPr>
            </w:pPr>
            <w:r>
              <w:rPr>
                <w:rFonts w:hint="eastAsia" w:ascii="仿宋_GB2312" w:hAnsi="仿宋_GB2312" w:eastAsia="仿宋_GB2312" w:cs="仿宋_GB2312"/>
                <w:sz w:val="24"/>
                <w:szCs w:val="22"/>
              </w:rPr>
              <w:t>22、整机安全性要求：密码算法满足以下标准其一即可：CPU芯片符合</w:t>
            </w:r>
            <w:r>
              <w:rPr>
                <w:rFonts w:hint="eastAsia" w:ascii="仿宋_GB2312" w:hAnsi="仿宋_GB2312" w:eastAsia="仿宋_GB2312" w:cs="仿宋_GB2312"/>
                <w:color w:val="FF0000"/>
                <w:sz w:val="24"/>
                <w:szCs w:val="22"/>
              </w:rPr>
              <w:t>GM/T0008-2012</w:t>
            </w:r>
            <w:r>
              <w:rPr>
                <w:rFonts w:hint="eastAsia" w:ascii="仿宋_GB2312" w:hAnsi="仿宋_GB2312" w:eastAsia="仿宋_GB2312" w:cs="仿宋_GB2312"/>
                <w:sz w:val="24"/>
                <w:szCs w:val="22"/>
              </w:rPr>
              <w:t>，或芯片密码模块符合</w:t>
            </w:r>
            <w:r>
              <w:rPr>
                <w:rFonts w:hint="eastAsia" w:ascii="仿宋_GB2312" w:hAnsi="仿宋_GB2312" w:eastAsia="仿宋_GB2312" w:cs="仿宋_GB2312"/>
                <w:color w:val="FF0000"/>
                <w:sz w:val="24"/>
                <w:szCs w:val="22"/>
              </w:rPr>
              <w:t>GB/T37092-2018、GM/T0028-20</w:t>
            </w:r>
            <w:r>
              <w:rPr>
                <w:rFonts w:hint="eastAsia" w:ascii="仿宋_GB2312" w:hAnsi="仿宋_GB2312" w:eastAsia="仿宋_GB2312" w:cs="仿宋_GB2312"/>
                <w:color w:val="FF0000"/>
                <w:sz w:val="24"/>
                <w:szCs w:val="22"/>
              </w:rPr>
              <w:t>2</w:t>
            </w:r>
            <w:r>
              <w:rPr>
                <w:rFonts w:hint="eastAsia" w:ascii="仿宋_GB2312" w:hAnsi="仿宋_GB2312" w:eastAsia="仿宋_GB2312" w:cs="仿宋_GB2312"/>
                <w:color w:val="FF0000"/>
                <w:sz w:val="24"/>
                <w:szCs w:val="22"/>
              </w:rPr>
              <w:t>4；</w:t>
            </w:r>
            <w:r>
              <w:rPr>
                <w:rFonts w:hint="eastAsia" w:ascii="仿宋_GB2312" w:hAnsi="仿宋_GB2312" w:eastAsia="仿宋_GB2312" w:cs="仿宋_GB2312"/>
                <w:sz w:val="24"/>
                <w:szCs w:val="22"/>
              </w:rPr>
              <w:t>产品符合</w:t>
            </w:r>
            <w:r>
              <w:rPr>
                <w:rFonts w:hint="eastAsia" w:ascii="仿宋_GB2312" w:hAnsi="仿宋_GB2312" w:eastAsia="仿宋_GB2312" w:cs="仿宋_GB2312"/>
                <w:color w:val="FF0000"/>
                <w:sz w:val="24"/>
                <w:szCs w:val="22"/>
              </w:rPr>
              <w:t>GB/T39276-2020</w:t>
            </w:r>
            <w:r>
              <w:rPr>
                <w:rFonts w:hint="eastAsia" w:ascii="仿宋_GB2312" w:hAnsi="仿宋_GB2312" w:eastAsia="仿宋_GB2312" w:cs="仿宋_GB2312"/>
                <w:sz w:val="24"/>
                <w:szCs w:val="22"/>
              </w:rPr>
              <w:t>第5.2条信息安全要求；厂商建立漏洞跟踪台账，产品漏洞可查询；产品无已知恶意代码、高危漏洞，无未声明指令、功能、接口；支持固件安全启动校验功能；产品限用物质符合</w:t>
            </w:r>
            <w:r>
              <w:rPr>
                <w:rFonts w:hint="eastAsia" w:ascii="仿宋_GB2312" w:hAnsi="仿宋_GB2312" w:eastAsia="仿宋_GB2312" w:cs="仿宋_GB2312"/>
                <w:color w:val="FF0000"/>
                <w:sz w:val="24"/>
                <w:szCs w:val="22"/>
              </w:rPr>
              <w:t>GB/T26572-2011</w:t>
            </w:r>
            <w:r>
              <w:rPr>
                <w:rFonts w:hint="eastAsia" w:ascii="仿宋_GB2312" w:hAnsi="仿宋_GB2312" w:eastAsia="仿宋_GB2312" w:cs="仿宋_GB2312"/>
                <w:sz w:val="24"/>
                <w:szCs w:val="22"/>
              </w:rPr>
              <w:t>限量标准。</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 w:hAnsi="仿宋" w:eastAsia="仿宋" w:cs="仿宋"/>
                <w:b w:val="1"/>
                <w:bCs w:val="1"/>
                <w:sz w:val="24"/>
                <w:lang w:eastAsia="zh-Hans"/>
              </w:rPr>
            </w:pPr>
            <w:r>
              <w:rPr>
                <w:rFonts w:hint="eastAsia" w:ascii="仿宋_GB2312" w:hAnsi="仿宋_GB2312" w:eastAsia="仿宋_GB2312" w:cs="仿宋_GB2312"/>
                <w:sz w:val="24"/>
                <w:szCs w:val="22"/>
              </w:rPr>
              <w:t>23、电源：配备≥700W高效节能电源，具备完善电源管理功能，电源电线组件符合</w:t>
            </w:r>
            <w:r>
              <w:rPr>
                <w:rFonts w:hint="eastAsia" w:ascii="仿宋_GB2312" w:hAnsi="仿宋_GB2312" w:eastAsia="仿宋_GB2312" w:cs="仿宋_GB2312"/>
                <w:color w:val="FF0000"/>
                <w:sz w:val="24"/>
                <w:szCs w:val="22"/>
              </w:rPr>
              <w:t>GB/T15934-2024</w:t>
            </w:r>
            <w:r>
              <w:rPr>
                <w:rFonts w:hint="eastAsia" w:ascii="仿宋_GB2312" w:hAnsi="仿宋_GB2312" w:eastAsia="仿宋_GB2312" w:cs="仿宋_GB2312"/>
                <w:sz w:val="24"/>
                <w:szCs w:val="22"/>
              </w:rPr>
              <w:t>标准要求。</w:t>
            </w:r>
            <w:r>
              <w:rPr>
                <w:rFonts w:hint="eastAsia" w:ascii="仿宋" w:hAnsi="仿宋" w:eastAsia="仿宋" w:cs="仿宋"/>
                <w:b w:val="1"/>
                <w:bCs w:val="1"/>
                <w:sz w:val="24"/>
                <w:lang w:eastAsia="zh-Hans"/>
              </w:rPr>
              <w:t>（说明：供应商在响应文件中提供承诺函，格式自拟）</w:t>
            </w:r>
          </w:p>
          <w:p>
            <w:pPr>
              <w:widowControl w:val="1"/>
              <w:jc w:val="left"/>
              <w:rPr>
                <w:rFonts w:ascii="仿宋_GB2312" w:hAnsi="仿宋_GB2312" w:eastAsia="仿宋_GB2312" w:cs="仿宋_GB2312"/>
                <w:color w:val="FF0000"/>
                <w:sz w:val="24"/>
                <w:szCs w:val="22"/>
              </w:rPr>
            </w:pPr>
            <w:r>
              <w:rPr>
                <w:rFonts w:hint="eastAsia" w:ascii="仿宋_GB2312" w:hAnsi="仿宋_GB2312" w:eastAsia="仿宋_GB2312" w:cs="仿宋_GB2312"/>
                <w:color w:val="FF0000"/>
                <w:sz w:val="24"/>
                <w:szCs w:val="22"/>
              </w:rPr>
              <w:t>24、摄像头设备规格：本项目采购标的不含摄像头设备。</w:t>
            </w:r>
          </w:p>
          <w:p>
            <w:pPr>
              <w:widowControl w:val="1"/>
              <w:jc w:val="left"/>
              <w:rPr>
                <w:rFonts w:hint="eastAsia" w:ascii="仿宋_GB2312" w:hAnsi="仿宋_GB2312" w:eastAsia="仿宋_GB2312" w:cs="仿宋_GB2312"/>
                <w:color w:val="FF0000"/>
                <w:sz w:val="24"/>
                <w:szCs w:val="22"/>
              </w:rPr>
            </w:pPr>
            <w:r>
              <w:rPr>
                <w:rFonts w:hint="eastAsia" w:ascii="仿宋_GB2312" w:hAnsi="仿宋_GB2312" w:eastAsia="仿宋_GB2312" w:cs="仿宋_GB2312"/>
                <w:color w:val="FF0000"/>
                <w:sz w:val="24"/>
                <w:szCs w:val="22"/>
              </w:rPr>
              <w:t>25、扬声器设备规格：本项目采购标的不含扬声器设备。</w:t>
            </w:r>
          </w:p>
          <w:p>
            <w:pPr>
              <w:widowControl w:val="1"/>
              <w:jc w:val="left"/>
              <w:rPr>
                <w:rFonts w:hint="default" w:ascii="仿宋_GB2312" w:hAnsi="仿宋_GB2312" w:eastAsia="仿宋_GB2312" w:cs="仿宋_GB2312"/>
                <w:color w:val="FF0000"/>
                <w:sz w:val="24"/>
                <w:szCs w:val="22"/>
                <w:lang w:val="en-US" w:eastAsia="zh-CN"/>
              </w:rPr>
            </w:pPr>
            <w:r>
              <w:rPr>
                <w:rFonts w:hint="eastAsia" w:ascii="仿宋_GB2312" w:hAnsi="仿宋_GB2312" w:eastAsia="仿宋_GB2312" w:cs="仿宋_GB2312"/>
                <w:color w:val="FF0000"/>
                <w:sz w:val="24"/>
                <w:szCs w:val="22"/>
                <w:lang w:val="en-US" w:eastAsia="zh-CN"/>
              </w:rPr>
              <w:t>26.除上述要求外，还应符合财政部、工业和信息化部《工作站政府采购需求标准（2023 年版）》（（财库〔2023〕32号）文中规定的带*的其他内容。</w:t>
            </w:r>
          </w:p>
        </w:tc>
      </w:tr>
    </w:tbl>
    <w:p>
      <w:pPr>
        <w:pStyle w:val="000012"/>
        <w:spacing w:line="360" w:lineRule="auto"/>
        <w:ind w:firstLine="301" w:firstLineChars="100"/>
        <w:rPr>
          <w:rFonts w:hint="eastAsia" w:ascii="宋体" w:hAnsi="宋体" w:eastAsia="宋体" w:cs="宋体"/>
          <w:b w:val="1"/>
          <w:bCs w:val="1"/>
          <w:sz w:val="30"/>
          <w:szCs w:val="30"/>
        </w:rPr>
      </w:pPr>
      <w:r>
        <w:rPr>
          <w:rFonts w:hint="eastAsia" w:ascii="宋体" w:hAnsi="宋体" w:eastAsia="宋体" w:cs="宋体"/>
          <w:b w:val="1"/>
          <w:bCs w:val="1"/>
          <w:sz w:val="30"/>
          <w:szCs w:val="30"/>
          <w:lang w:val="en-US" w:eastAsia="zh-CN"/>
        </w:rPr>
        <w:t>3</w:t>
      </w:r>
      <w:r>
        <w:rPr>
          <w:rFonts w:hint="eastAsia" w:ascii="宋体" w:hAnsi="宋体" w:eastAsia="宋体" w:cs="宋体"/>
          <w:b w:val="1"/>
          <w:bCs w:val="1"/>
          <w:sz w:val="30"/>
          <w:szCs w:val="30"/>
        </w:rPr>
        <w:t>.采购标的商务要求</w:t>
      </w:r>
    </w:p>
    <w:p>
      <w:pPr>
        <w:spacing w:line="360" w:lineRule="auto"/>
        <w:ind w:firstLine="600" w:firstLineChars="200"/>
        <w:rPr>
          <w:rFonts w:hint="eastAsia" w:ascii="宋体" w:hAnsi="宋体" w:eastAsia="宋体" w:cs="宋体"/>
          <w:b w:val="1"/>
          <w:bCs w:val="1"/>
          <w:sz w:val="30"/>
          <w:szCs w:val="30"/>
        </w:rPr>
      </w:pPr>
      <w:r>
        <w:rPr>
          <w:rFonts w:hint="eastAsia" w:ascii="宋体" w:hAnsi="宋体" w:eastAsia="宋体" w:cs="宋体"/>
          <w:sz w:val="30"/>
          <w:szCs w:val="30"/>
          <w:highlight w:val="yellow"/>
        </w:rPr>
        <w:t>原采购文件</w:t>
      </w:r>
      <w:r>
        <w:rPr>
          <w:rFonts w:hint="eastAsia" w:ascii="宋体" w:hAnsi="宋体" w:eastAsia="宋体" w:cs="宋体"/>
          <w:sz w:val="30"/>
          <w:szCs w:val="30"/>
          <w:highlight w:val="yellow"/>
          <w:lang w:val="en-US" w:eastAsia="zh-CN"/>
        </w:rPr>
        <w:t>:</w:t>
      </w:r>
    </w:p>
    <w:tbl>
      <w:tblPr>
        <w:tblStyle w:val="0000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829"/>
        <w:gridCol w:w="1195"/>
        <w:gridCol w:w="8106"/>
      </w:tblGrid>
      <w:tr>
        <w:trPr>
          <w:trHeight w:val="915" w:hRule="atLeast"/>
          <w:jc w:val="center"/>
        </w:trPr>
        <w:tc>
          <w:tcPr>
            <w:tcW w:w="498"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序号</w:t>
            </w:r>
          </w:p>
        </w:tc>
        <w:tc>
          <w:tcPr>
            <w:tcW w:w="829"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符号标识</w:t>
            </w:r>
          </w:p>
        </w:tc>
        <w:tc>
          <w:tcPr>
            <w:tcW w:w="1195"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jc w:val="center"/>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商务要求名称</w:t>
            </w:r>
          </w:p>
        </w:tc>
        <w:tc>
          <w:tcPr>
            <w:tcW w:w="8106"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jc w:val="center"/>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商务要求内容</w:t>
            </w:r>
          </w:p>
        </w:tc>
      </w:tr>
      <w:tr>
        <w:trPr>
          <w:trHeight w:val="443" w:hRule="atLeast"/>
          <w:jc w:val="center"/>
        </w:trPr>
        <w:tc>
          <w:tcPr>
            <w:tcW w:w="498" w:type="dxa"/>
            <w:vAlign w:val="center"/>
          </w:tcPr>
          <w:p>
            <w:pPr>
              <w:adjustRightInd w:val="0"/>
              <w:snapToGrid w:val="0"/>
              <w:spacing w:line="360" w:lineRule="auto"/>
              <w:jc w:val="center"/>
              <w:rPr>
                <w:rFonts w:ascii="宋体" w:hAnsi="宋体" w:eastAsia="宋体" w:cs="宋体"/>
                <w:sz w:val="28"/>
                <w:szCs w:val="28"/>
              </w:rPr>
            </w:pPr>
            <w:r>
              <w:rPr>
                <w:rFonts w:hint="eastAsia" w:ascii="宋体" w:hAnsi="宋体" w:cs="宋体"/>
                <w:sz w:val="28"/>
                <w:szCs w:val="28"/>
              </w:rPr>
              <w:t>5</w:t>
            </w:r>
          </w:p>
        </w:tc>
        <w:tc>
          <w:tcPr>
            <w:tcW w:w="829" w:type="dxa"/>
            <w:vAlign w:val="center"/>
          </w:tcPr>
          <w:p>
            <w:pPr>
              <w:adjustRightInd w:val="0"/>
              <w:snapToGrid w:val="0"/>
              <w:spacing w:line="360" w:lineRule="auto"/>
              <w:jc w:val="center"/>
              <w:rPr>
                <w:rFonts w:ascii="宋体" w:hAnsi="宋体" w:eastAsia="宋体" w:cs="宋体"/>
                <w:color w:val="FF0000"/>
                <w:sz w:val="28"/>
                <w:szCs w:val="28"/>
              </w:rPr>
            </w:pPr>
            <w:r>
              <w:rPr>
                <w:rFonts w:hint="eastAsia" w:ascii="宋体" w:hAnsi="宋体" w:eastAsia="宋体" w:cs="宋体"/>
                <w:color w:val="FF0000"/>
                <w:sz w:val="28"/>
                <w:szCs w:val="28"/>
              </w:rPr>
              <w:t>★</w:t>
            </w:r>
          </w:p>
        </w:tc>
        <w:tc>
          <w:tcPr>
            <w:tcW w:w="1195" w:type="dxa"/>
            <w:vAlign w:val="center"/>
          </w:tcPr>
          <w:p>
            <w:pPr>
              <w:adjustRightInd w:val="0"/>
              <w:snapToGrid w:val="0"/>
              <w:spacing w:line="360" w:lineRule="auto"/>
              <w:jc w:val="center"/>
              <w:rPr>
                <w:rFonts w:ascii="宋体" w:hAnsi="宋体" w:cs="宋体"/>
                <w:sz w:val="28"/>
                <w:szCs w:val="28"/>
              </w:rPr>
            </w:pPr>
            <w:r>
              <w:rPr>
                <w:sz w:val="28"/>
                <w:szCs w:val="28"/>
              </w:rPr>
              <w:t>验收交付标准和方法</w:t>
            </w:r>
          </w:p>
        </w:tc>
        <w:tc>
          <w:tcPr>
            <w:tcW w:w="8106" w:type="dxa"/>
          </w:tcPr>
          <w:p>
            <w:pPr>
              <w:spacing w:line="520" w:lineRule="exact"/>
              <w:rPr>
                <w:rFonts w:ascii="宋体" w:hAnsi="宋体" w:eastAsia="宋体" w:cs="宋体"/>
                <w:sz w:val="28"/>
                <w:szCs w:val="28"/>
              </w:rPr>
            </w:pPr>
            <w:r>
              <w:rPr>
                <w:rFonts w:hint="eastAsia" w:ascii="宋体" w:hAnsi="宋体" w:cs="宋体"/>
                <w:sz w:val="28"/>
                <w:szCs w:val="28"/>
              </w:rPr>
              <w:t>1、</w:t>
            </w:r>
            <w:r>
              <w:rPr>
                <w:rFonts w:hint="eastAsia" w:ascii="宋体" w:hAnsi="宋体" w:eastAsia="宋体" w:cs="宋体"/>
                <w:sz w:val="28"/>
                <w:szCs w:val="28"/>
              </w:rPr>
              <w:t>验收交付标准</w:t>
            </w:r>
          </w:p>
          <w:p>
            <w:pPr>
              <w:spacing w:line="520" w:lineRule="exact"/>
              <w:rPr>
                <w:rFonts w:ascii="宋体" w:hAnsi="宋体" w:eastAsia="宋体" w:cs="宋体"/>
                <w:sz w:val="28"/>
                <w:szCs w:val="28"/>
              </w:rPr>
            </w:pPr>
            <w:r>
              <w:rPr>
                <w:rFonts w:hint="eastAsia" w:ascii="宋体" w:hAnsi="宋体" w:eastAsia="宋体" w:cs="宋体"/>
                <w:sz w:val="28"/>
                <w:szCs w:val="28"/>
              </w:rPr>
              <w:t>（1）设备的规格型号（含主板、CPU、内存、硬盘、显示器等配置）、数量、质量标准等，需与采购合同约定及成交供应商响应文件内容完全一致。</w:t>
            </w:r>
          </w:p>
          <w:p>
            <w:pPr>
              <w:spacing w:line="520" w:lineRule="exact"/>
              <w:rPr>
                <w:rFonts w:ascii="宋体" w:hAnsi="宋体" w:eastAsia="宋体" w:cs="宋体"/>
                <w:sz w:val="28"/>
                <w:szCs w:val="28"/>
              </w:rPr>
            </w:pPr>
            <w:r>
              <w:rPr>
                <w:rFonts w:hint="eastAsia" w:ascii="宋体" w:hAnsi="宋体" w:eastAsia="宋体" w:cs="宋体"/>
                <w:sz w:val="28"/>
                <w:szCs w:val="28"/>
              </w:rPr>
              <w:t>（2）主机、显示器、键鼠等全套设备外观无破损、划痕、变形等外部损坏，原厂包装完整无缺，配件齐全无遗漏。</w:t>
            </w:r>
          </w:p>
          <w:p>
            <w:pPr>
              <w:spacing w:line="520" w:lineRule="exact"/>
              <w:rPr>
                <w:rFonts w:ascii="宋体" w:hAnsi="宋体" w:eastAsia="宋体" w:cs="宋体"/>
                <w:sz w:val="28"/>
                <w:szCs w:val="28"/>
              </w:rPr>
            </w:pPr>
            <w:r>
              <w:rPr>
                <w:rFonts w:hint="eastAsia" w:ascii="宋体" w:hAnsi="宋体" w:eastAsia="宋体" w:cs="宋体"/>
                <w:sz w:val="28"/>
                <w:szCs w:val="28"/>
              </w:rPr>
              <w:t>（3）已完成安装调试工作，硬件部件（CPU、内存、硬盘等）运行正常，接口（USB、视频、音频等）功能完好，操作系统及驱动程序安装到位，各项使用功能均能正常实现。</w:t>
            </w:r>
          </w:p>
          <w:p>
            <w:pPr>
              <w:spacing w:line="520" w:lineRule="exact"/>
              <w:rPr>
                <w:rFonts w:ascii="宋体" w:hAnsi="宋体" w:eastAsia="宋体" w:cs="宋体"/>
                <w:sz w:val="28"/>
                <w:szCs w:val="28"/>
              </w:rPr>
            </w:pPr>
            <w:r>
              <w:rPr>
                <w:rFonts w:hint="eastAsia" w:ascii="宋体" w:hAnsi="宋体" w:eastAsia="宋体" w:cs="宋体"/>
                <w:sz w:val="28"/>
                <w:szCs w:val="28"/>
              </w:rPr>
              <w:t>（4）产品说明书、保修卡、技术参数文档、合格证书、安装调试记录等必要文件资料齐全完整，可满足后续使用及维护需求。</w:t>
            </w:r>
          </w:p>
          <w:p>
            <w:pPr>
              <w:spacing w:line="520" w:lineRule="exact"/>
              <w:rPr>
                <w:rFonts w:ascii="宋体" w:hAnsi="宋体" w:eastAsia="宋体" w:cs="宋体"/>
                <w:sz w:val="28"/>
                <w:szCs w:val="28"/>
              </w:rPr>
            </w:pPr>
            <w:r>
              <w:rPr>
                <w:rFonts w:hint="eastAsia" w:ascii="宋体" w:hAnsi="宋体" w:cs="宋体"/>
                <w:sz w:val="28"/>
                <w:szCs w:val="28"/>
              </w:rPr>
              <w:t>2、</w:t>
            </w:r>
            <w:r>
              <w:rPr>
                <w:rFonts w:hint="eastAsia" w:ascii="宋体" w:hAnsi="宋体" w:eastAsia="宋体" w:cs="宋体"/>
                <w:sz w:val="28"/>
                <w:szCs w:val="28"/>
              </w:rPr>
              <w:t>验收交付方法</w:t>
            </w:r>
          </w:p>
          <w:p>
            <w:pPr>
              <w:spacing w:line="520" w:lineRule="exact"/>
              <w:rPr>
                <w:rFonts w:ascii="宋体" w:hAnsi="宋体" w:eastAsia="宋体" w:cs="宋体"/>
                <w:sz w:val="28"/>
                <w:szCs w:val="28"/>
              </w:rPr>
            </w:pPr>
            <w:r>
              <w:rPr>
                <w:rFonts w:hint="eastAsia" w:ascii="宋体" w:hAnsi="宋体" w:eastAsia="宋体" w:cs="宋体"/>
                <w:sz w:val="28"/>
                <w:szCs w:val="28"/>
              </w:rPr>
              <w:t>（1）验收时间：成交供应商完成交货及安装、调试后，成交供应商提出验收申请，达到验收条件起10日内，验收合同总金额的100.00%。</w:t>
            </w:r>
          </w:p>
          <w:p>
            <w:pPr>
              <w:spacing w:line="520" w:lineRule="exact"/>
              <w:rPr>
                <w:rFonts w:ascii="宋体" w:hAnsi="宋体" w:eastAsia="宋体" w:cs="宋体"/>
                <w:sz w:val="28"/>
                <w:szCs w:val="28"/>
              </w:rPr>
            </w:pPr>
            <w:r>
              <w:rPr>
                <w:rFonts w:hint="eastAsia" w:ascii="宋体" w:hAnsi="宋体" w:eastAsia="宋体" w:cs="宋体"/>
                <w:sz w:val="28"/>
                <w:szCs w:val="28"/>
              </w:rPr>
              <w:t>（2）验收流程：</w:t>
            </w:r>
          </w:p>
          <w:p>
            <w:pPr>
              <w:spacing w:line="520" w:lineRule="exact"/>
              <w:rPr>
                <w:rFonts w:ascii="宋体" w:hAnsi="宋体" w:eastAsia="宋体" w:cs="宋体"/>
                <w:sz w:val="28"/>
                <w:szCs w:val="28"/>
              </w:rPr>
            </w:pPr>
            <w:r>
              <w:rPr>
                <w:rFonts w:hint="eastAsia" w:ascii="宋体" w:hAnsi="宋体" w:eastAsia="宋体" w:cs="宋体"/>
                <w:sz w:val="28"/>
                <w:szCs w:val="28"/>
              </w:rPr>
              <w:t>1）由采购人组织验收小组，对设备的外观完整性、实际交付数量、原厂包装情况等进行现场核查。</w:t>
            </w:r>
          </w:p>
          <w:p>
            <w:pPr>
              <w:spacing w:line="520" w:lineRule="exact"/>
              <w:rPr>
                <w:rFonts w:ascii="宋体" w:hAnsi="宋体" w:eastAsia="宋体" w:cs="宋体"/>
                <w:sz w:val="28"/>
                <w:szCs w:val="28"/>
              </w:rPr>
            </w:pPr>
            <w:r>
              <w:rPr>
                <w:rFonts w:hint="eastAsia" w:ascii="宋体" w:hAnsi="宋体" w:eastAsia="宋体" w:cs="宋体"/>
                <w:sz w:val="28"/>
                <w:szCs w:val="28"/>
              </w:rPr>
              <w:t>2）在成交供应商授权代表在场见证下，进行开箱检查，确认设备及配件无运输损坏、无质量瑕疵，与约定配置一致。</w:t>
            </w:r>
          </w:p>
          <w:p>
            <w:pPr>
              <w:spacing w:line="520" w:lineRule="exact"/>
              <w:rPr>
                <w:rFonts w:ascii="宋体" w:hAnsi="宋体" w:eastAsia="宋体" w:cs="宋体"/>
                <w:sz w:val="28"/>
                <w:szCs w:val="28"/>
              </w:rPr>
            </w:pPr>
            <w:r>
              <w:rPr>
                <w:rFonts w:hint="eastAsia" w:ascii="宋体" w:hAnsi="宋体" w:eastAsia="宋体" w:cs="宋体"/>
                <w:sz w:val="28"/>
                <w:szCs w:val="28"/>
              </w:rPr>
              <w:t>3）对设备进行功能测试及性能检测，包括硬件识别、接口可用性、系统稳定性、基础功能运行等，确保设备能正常使用，且各项指标符合采购合同及响应文件要求。</w:t>
            </w:r>
          </w:p>
          <w:p>
            <w:pPr>
              <w:spacing w:line="520" w:lineRule="exact"/>
              <w:rPr>
                <w:rFonts w:ascii="宋体" w:hAnsi="宋体" w:eastAsia="宋体" w:cs="宋体"/>
                <w:sz w:val="28"/>
                <w:szCs w:val="28"/>
              </w:rPr>
            </w:pPr>
            <w:r>
              <w:rPr>
                <w:rFonts w:hint="eastAsia" w:ascii="宋体" w:hAnsi="宋体" w:cs="宋体"/>
                <w:sz w:val="28"/>
                <w:szCs w:val="28"/>
              </w:rPr>
              <w:t>3、</w:t>
            </w:r>
            <w:r>
              <w:rPr>
                <w:rFonts w:hint="eastAsia" w:ascii="宋体" w:hAnsi="宋体" w:eastAsia="宋体" w:cs="宋体"/>
                <w:sz w:val="28"/>
                <w:szCs w:val="28"/>
              </w:rPr>
              <w:t>出具验收报告</w:t>
            </w:r>
          </w:p>
          <w:p>
            <w:pPr>
              <w:spacing w:line="520" w:lineRule="exact"/>
              <w:rPr>
                <w:rFonts w:ascii="宋体" w:hAnsi="宋体" w:eastAsia="宋体" w:cs="宋体"/>
                <w:sz w:val="28"/>
                <w:szCs w:val="28"/>
              </w:rPr>
            </w:pPr>
            <w:r>
              <w:rPr>
                <w:rFonts w:hint="eastAsia" w:ascii="宋体" w:hAnsi="宋体" w:eastAsia="宋体" w:cs="宋体"/>
                <w:sz w:val="28"/>
                <w:szCs w:val="28"/>
              </w:rPr>
              <w:t>（1）验收工作完成后，由验收小组编制并出具验收报告，报告需详细记录验收过程、核查结果、测试数据等关键信息。</w:t>
            </w:r>
          </w:p>
          <w:p>
            <w:pPr>
              <w:spacing w:line="520" w:lineRule="exact"/>
              <w:rPr>
                <w:rFonts w:ascii="宋体" w:hAnsi="宋体" w:eastAsia="宋体" w:cs="宋体"/>
                <w:sz w:val="28"/>
                <w:szCs w:val="28"/>
              </w:rPr>
            </w:pPr>
            <w:r>
              <w:rPr>
                <w:rFonts w:hint="eastAsia" w:ascii="宋体" w:hAnsi="宋体" w:eastAsia="宋体" w:cs="宋体"/>
                <w:sz w:val="28"/>
                <w:szCs w:val="28"/>
              </w:rPr>
              <w:t>（2）若符合全部验收标准，由采购人、成交供应商双方授权代表在验收报告上签字确认，完成验收交付；若不符合验收要求，需在报告中明确说明问题类型、具体情况及整改要求，成交供应商需在规定时限内完成整改，整改后重新组织验收。</w:t>
            </w:r>
          </w:p>
          <w:p>
            <w:pPr>
              <w:spacing w:line="520" w:lineRule="exact"/>
              <w:rPr>
                <w:rFonts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其他未尽事宜严格按照政府采购相关法律法规以及《财政部关于进一步加强政府采购需求和履约验收管理的指导意见》（财库〔2016〕205号）、《自贡市政府采购履约验收管理办法》（自财规〔2023〕2号）文件的要求、采购文件规定的要求和成交供应商的响应文件及合同约定的内容进行验收。</w:t>
            </w:r>
          </w:p>
        </w:tc>
      </w:tr>
      <w:tr>
        <w:trPr>
          <w:trHeight w:val="443" w:hRule="atLeast"/>
          <w:jc w:val="center"/>
        </w:trPr>
        <w:tc>
          <w:tcPr>
            <w:tcW w:w="498" w:type="dxa"/>
            <w:vAlign w:val="center"/>
          </w:tcPr>
          <w:p>
            <w:pPr>
              <w:adjustRightInd w:val="0"/>
              <w:snapToGrid w:val="0"/>
              <w:spacing w:line="360" w:lineRule="auto"/>
              <w:jc w:val="center"/>
              <w:rPr>
                <w:rFonts w:ascii="宋体" w:hAnsi="宋体" w:eastAsia="宋体" w:cs="宋体"/>
                <w:sz w:val="28"/>
                <w:szCs w:val="28"/>
              </w:rPr>
            </w:pPr>
            <w:r>
              <w:rPr>
                <w:rFonts w:hint="eastAsia" w:ascii="宋体" w:hAnsi="宋体" w:cs="宋体"/>
                <w:sz w:val="28"/>
                <w:szCs w:val="28"/>
              </w:rPr>
              <w:t>7</w:t>
            </w:r>
          </w:p>
        </w:tc>
        <w:tc>
          <w:tcPr>
            <w:tcW w:w="829" w:type="dxa"/>
            <w:vAlign w:val="center"/>
          </w:tcPr>
          <w:p>
            <w:pPr>
              <w:adjustRightInd w:val="0"/>
              <w:snapToGrid w:val="0"/>
              <w:spacing w:line="360" w:lineRule="auto"/>
              <w:jc w:val="center"/>
              <w:rPr>
                <w:rFonts w:ascii="宋体" w:hAnsi="宋体" w:eastAsia="宋体" w:cs="宋体"/>
                <w:color w:val="FF0000"/>
                <w:sz w:val="28"/>
                <w:szCs w:val="28"/>
              </w:rPr>
            </w:pPr>
            <w:r>
              <w:rPr>
                <w:rFonts w:hint="eastAsia" w:ascii="宋体" w:hAnsi="宋体" w:eastAsia="宋体" w:cs="宋体"/>
                <w:color w:val="FF0000"/>
                <w:sz w:val="28"/>
                <w:szCs w:val="28"/>
              </w:rPr>
              <w:t>★</w:t>
            </w:r>
          </w:p>
        </w:tc>
        <w:tc>
          <w:tcPr>
            <w:tcW w:w="1195" w:type="dxa"/>
            <w:vAlign w:val="center"/>
          </w:tcPr>
          <w:p>
            <w:pPr>
              <w:adjustRightInd w:val="0"/>
              <w:snapToGrid w:val="0"/>
              <w:spacing w:line="360" w:lineRule="auto"/>
              <w:jc w:val="center"/>
              <w:rPr>
                <w:rFonts w:ascii="宋体" w:hAnsi="宋体" w:cs="宋体"/>
                <w:sz w:val="28"/>
                <w:szCs w:val="28"/>
              </w:rPr>
            </w:pPr>
            <w:r>
              <w:rPr>
                <w:sz w:val="28"/>
                <w:szCs w:val="28"/>
              </w:rPr>
              <w:t>质量保修范围和保修期</w:t>
            </w:r>
          </w:p>
        </w:tc>
        <w:tc>
          <w:tcPr>
            <w:tcW w:w="8106" w:type="dxa"/>
          </w:tcPr>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1、质量保修范围</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在质保期内，因设备自身质量问题（含主板、CPU、内存、硬盘、显示器等硬件的材料、工艺缺陷，或原厂预装系统、驱动的设计缺陷）导致的故障或损坏，供应商应提供维修服务，相关零部件更换、维修人工等全部费用由供应商承担。</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（2）保修服务包括但不限于：硬件故障零部件（原厂合规配件）更换、系统及软件故障排查修复、设备功能检测与恢复等，确保产品恢复正常运行状态。</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（3）质保期内，供应商应提供系统维护及更新服务，包括但不限于修复原厂系统安全漏洞、修正预装软件程序错误、提供必要的功能优化升级，采购人无需另行支付任何费用。</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2、质量保修期</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整机（主机+显示器）原厂商≧3年质保、原厂工程师上门服务，自验收合格并交付使用之日起计算。产品停止服务时间应提前1年告知</w:t>
            </w:r>
            <w:r>
              <w:rPr>
                <w:rFonts w:hint="eastAsia" w:ascii="宋体" w:hAnsi="宋体" w:cs="宋体"/>
                <w:sz w:val="28"/>
                <w:szCs w:val="28"/>
              </w:rPr>
              <w:t>,</w:t>
            </w:r>
            <w:r>
              <w:rPr>
                <w:rFonts w:hint="eastAsia" w:ascii="宋体" w:hAnsi="宋体" w:eastAsia="宋体" w:cs="宋体"/>
                <w:sz w:val="28"/>
                <w:szCs w:val="28"/>
              </w:rPr>
              <w:t>设备停产后应继续提供质量保障服务（含备品备件），或提供可兼容原设备的升级换代产品</w:t>
            </w:r>
            <w:r>
              <w:rPr>
                <w:rFonts w:hint="eastAsia" w:ascii="宋体" w:hAnsi="宋体" w:cs="宋体"/>
                <w:sz w:val="28"/>
                <w:szCs w:val="28"/>
              </w:rPr>
              <w:t>，</w:t>
            </w:r>
            <w:r>
              <w:rPr>
                <w:rFonts w:hint="eastAsia" w:ascii="宋体" w:hAnsi="宋体" w:eastAsia="宋体" w:cs="宋体"/>
                <w:sz w:val="28"/>
                <w:szCs w:val="28"/>
              </w:rPr>
              <w:t>服务终止时间与最后一批设备交付时间间隔≧6年。当产品部件出现供应风险时，供应商应通知采购人并提供风险应对方案确保产品的服务保障；供应商提供供应链稳定承诺书，确保产品的部件在产品服务周期内稳定供货。</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3、维修服务</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（1）远程技术支持</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1）质保期内，供应商应提供7×24小时远程技术支持服务，支持电话、电子邮件、即时通讯工具及远程诊断连接等多种方式，并明确提供各渠道的具体联系方式，及时响应采购人在设备使用过程中遇到的技术问题。</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2）供应商应确保远程支持团队具备丰富的产品知识和故障诊断能力，能够快速定位问题并提供有效的解决方案，协助采购人进行故障排查及操作指导。</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3）对于复杂问题，供应商应及时升级处理优先级，确保远程支持高效、专业。</w:t>
            </w:r>
          </w:p>
          <w:p>
            <w:pPr>
              <w:spacing w:line="520" w:lineRule="exact"/>
              <w:ind w:firstLine="560" w:firstLineChars="200"/>
              <w:rPr>
                <w:rFonts w:ascii="宋体" w:hAnsi="宋体" w:eastAsia="宋体" w:cs="宋体"/>
                <w:sz w:val="28"/>
                <w:szCs w:val="28"/>
              </w:rPr>
            </w:pPr>
            <w:r>
              <w:rPr>
                <w:rFonts w:hint="eastAsia" w:ascii="宋体" w:hAnsi="宋体" w:cs="宋体"/>
                <w:sz w:val="28"/>
                <w:szCs w:val="28"/>
              </w:rPr>
              <w:t>4）建立全国技术服务体系和服务团体，符合专业服务体系标准要求，提供原厂中文服务。</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（2）现场维修服务</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1）应提供全年无休硬件上门检测服务，供应商在接到故障通知后，应于 30 分钟内抵达现场开展故障排查与处理；针对内存、硬盘等标准易损零部件，供应商须提前备有适配备用件，现场按需更换，确保以高效处置保障设备尽快恢复正常运行，减少使用中断影响</w:t>
            </w:r>
            <w:r>
              <w:rPr>
                <w:rFonts w:hint="eastAsia" w:ascii="宋体" w:hAnsi="宋体" w:cs="宋体"/>
                <w:sz w:val="28"/>
                <w:szCs w:val="28"/>
              </w:rPr>
              <w:t>,4小时内完成硬件故障排除</w:t>
            </w:r>
            <w:r>
              <w:rPr>
                <w:rFonts w:hint="eastAsia" w:ascii="宋体" w:hAnsi="宋体" w:eastAsia="宋体" w:cs="宋体"/>
                <w:sz w:val="28"/>
                <w:szCs w:val="28"/>
              </w:rPr>
              <w:t>。（说明：供应商在响应文件中提供承诺函，格式自拟）</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现场维修应包括故障受理、现场诊断、方案制定、故障排除、损坏零部件更换（含原厂/合规配件适配）、维修后性能测试、系统运行稳定性确认及维修记录留存等全过程。维修工作应严格遵循设备技术规范、安全操作标准及数据安全防护要求，操作规范、流程闭环、排查细致，确保故障彻底解决，设备恢复正常使用功能，同时保障维修过程中数据安全与设备完好。</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3）维修过程中，如发现设备存在潜在风险或安全隐患，供应商应及时通知采购人，并提出防范和整改建议。</w:t>
            </w:r>
          </w:p>
          <w:p>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4）维修完成后，供应商应向采购人提交详细的维修报告，说明故障原因、处理措施及后续维护建议，并获得采购人确认。</w:t>
            </w:r>
          </w:p>
          <w:p>
            <w:pPr>
              <w:spacing w:line="520" w:lineRule="exact"/>
              <w:ind w:firstLine="560" w:firstLineChars="200"/>
              <w:rPr>
                <w:rFonts w:ascii="仿宋" w:hAnsi="仿宋" w:eastAsia="仿宋" w:cs="仿宋"/>
                <w:sz w:val="28"/>
                <w:szCs w:val="28"/>
              </w:rPr>
            </w:pPr>
            <w:r>
              <w:rPr>
                <w:rFonts w:hint="eastAsia" w:ascii="宋体" w:hAnsi="宋体" w:eastAsia="宋体" w:cs="宋体"/>
                <w:sz w:val="28"/>
                <w:szCs w:val="28"/>
              </w:rPr>
              <w:t>4、安全保障：项目实施程中，供应商自行承担本项目实施人员与设备的安全问题，如发生安全事故，由供应商承担全部责任。</w:t>
            </w:r>
          </w:p>
        </w:tc>
      </w:tr>
      <w:tr>
        <w:trPr>
          <w:trHeight w:val="443" w:hRule="atLeast"/>
          <w:jc w:val="center"/>
        </w:trPr>
        <w:tc>
          <w:tcPr>
            <w:tcW w:w="498" w:type="dxa"/>
            <w:vAlign w:val="center"/>
          </w:tcPr>
          <w:p>
            <w:pPr>
              <w:adjustRightInd w:val="0"/>
              <w:snapToGrid w:val="0"/>
              <w:spacing w:line="360" w:lineRule="auto"/>
              <w:jc w:val="center"/>
              <w:rPr>
                <w:rFonts w:ascii="宋体" w:hAnsi="宋体" w:eastAsia="宋体" w:cs="宋体"/>
                <w:sz w:val="28"/>
                <w:szCs w:val="28"/>
              </w:rPr>
            </w:pPr>
            <w:r>
              <w:rPr>
                <w:rFonts w:hint="eastAsia" w:ascii="宋体" w:hAnsi="宋体" w:cs="宋体"/>
                <w:sz w:val="28"/>
                <w:szCs w:val="28"/>
              </w:rPr>
              <w:t>9</w:t>
            </w:r>
          </w:p>
        </w:tc>
        <w:tc>
          <w:tcPr>
            <w:tcW w:w="829" w:type="dxa"/>
            <w:vAlign w:val="center"/>
          </w:tcPr>
          <w:p>
            <w:pPr>
              <w:adjustRightInd w:val="0"/>
              <w:snapToGrid w:val="0"/>
              <w:spacing w:line="360" w:lineRule="auto"/>
              <w:jc w:val="center"/>
              <w:rPr>
                <w:rFonts w:ascii="宋体" w:hAnsi="宋体" w:eastAsia="宋体" w:cs="宋体"/>
                <w:color w:val="FF0000"/>
                <w:sz w:val="28"/>
                <w:szCs w:val="28"/>
              </w:rPr>
            </w:pPr>
            <w:r>
              <w:rPr>
                <w:rFonts w:hint="eastAsia" w:ascii="宋体" w:hAnsi="宋体" w:eastAsia="宋体" w:cs="宋体"/>
                <w:color w:val="FF0000"/>
                <w:sz w:val="28"/>
                <w:szCs w:val="28"/>
              </w:rPr>
              <w:t>★</w:t>
            </w:r>
          </w:p>
        </w:tc>
        <w:tc>
          <w:tcPr>
            <w:tcW w:w="1195" w:type="dxa"/>
            <w:vAlign w:val="center"/>
          </w:tcPr>
          <w:p>
            <w:pPr>
              <w:adjustRightInd w:val="0"/>
              <w:snapToGrid w:val="0"/>
              <w:spacing w:line="360" w:lineRule="auto"/>
              <w:rPr>
                <w:rFonts w:ascii="Times New Roman" w:hAnsi="Times New Roman" w:cs="Times New Roman"/>
                <w:sz w:val="28"/>
                <w:szCs w:val="28"/>
              </w:rPr>
            </w:pPr>
            <w:r>
              <w:rPr>
                <w:rFonts w:ascii="Times New Roman" w:hAnsi="Times New Roman" w:cs="Times New Roman"/>
                <w:sz w:val="28"/>
                <w:szCs w:val="28"/>
              </w:rPr>
              <w:t>包装方式及运输</w:t>
            </w:r>
          </w:p>
        </w:tc>
        <w:tc>
          <w:tcPr>
            <w:tcW w:w="8106" w:type="dxa"/>
          </w:tcPr>
          <w:p>
            <w:pPr>
              <w:spacing w:line="520" w:lineRule="exact"/>
              <w:ind w:firstLine="560" w:firstLineChars="200"/>
              <w:rPr>
                <w:rFonts w:ascii="Times New Roman" w:hAnsi="Times New Roman" w:cs="Times New Roman"/>
                <w:sz w:val="28"/>
                <w:szCs w:val="28"/>
              </w:rPr>
            </w:pPr>
            <w:r>
              <w:rPr>
                <w:rFonts w:hint="eastAsia" w:ascii="仿宋" w:hAnsi="仿宋" w:eastAsia="仿宋" w:cs="仿宋"/>
                <w:sz w:val="28"/>
                <w:szCs w:val="28"/>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spacing w:line="360" w:lineRule="auto"/>
        <w:ind w:firstLine="602" w:firstLineChars="200"/>
        <w:rPr>
          <w:rFonts w:hint="eastAsia" w:ascii="宋体" w:hAnsi="宋体" w:eastAsia="宋体" w:cs="宋体"/>
          <w:b w:val="1"/>
          <w:bCs w:val="1"/>
          <w:sz w:val="30"/>
          <w:szCs w:val="30"/>
          <w:highlight w:val="cyan"/>
        </w:rPr>
      </w:pPr>
      <w:r>
        <w:rPr>
          <w:rFonts w:hint="eastAsia" w:ascii="宋体" w:hAnsi="宋体" w:eastAsia="宋体" w:cs="宋体"/>
          <w:b w:val="1"/>
          <w:bCs w:val="1"/>
          <w:sz w:val="30"/>
          <w:szCs w:val="30"/>
          <w:highlight w:val="cyan"/>
        </w:rPr>
        <w:t>更正为：</w:t>
      </w:r>
    </w:p>
    <w:tbl>
      <w:tblPr>
        <w:tblStyle w:val="0000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869"/>
        <w:gridCol w:w="1066"/>
        <w:gridCol w:w="8200"/>
      </w:tblGrid>
      <w:tr>
        <w:trPr>
          <w:trHeight w:val="915" w:hRule="atLeast"/>
          <w:jc w:val="center"/>
        </w:trPr>
        <w:tc>
          <w:tcPr>
            <w:tcW w:w="498"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jc w:val="center"/>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序号</w:t>
            </w:r>
          </w:p>
        </w:tc>
        <w:tc>
          <w:tcPr>
            <w:tcW w:w="869"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jc w:val="center"/>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符号标识</w:t>
            </w:r>
          </w:p>
        </w:tc>
        <w:tc>
          <w:tcPr>
            <w:tcW w:w="1066"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jc w:val="center"/>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商务要求名称</w:t>
            </w:r>
          </w:p>
        </w:tc>
        <w:tc>
          <w:tcPr>
            <w:tcW w:w="8200" w:type="dxa"/>
            <w:vAlign w:val="center"/>
          </w:tcPr>
          <w:p>
            <w:pPr>
              <w:keepNext w:val="0"/>
              <w:keepLines w:val="0"/>
              <w:pageBreakBefore w:val="0"/>
              <w:widowControl w:val="0"/>
              <w:kinsoku w:val="1"/>
              <w:wordWrap w:val="1"/>
              <w:overflowPunct w:val="1"/>
              <w:topLinePunct w:val="0"/>
              <w:autoSpaceDE w:val="1"/>
              <w:autoSpaceDN w:val="1"/>
              <w:bidi w:val="0"/>
              <w:adjustRightInd w:val="1"/>
              <w:snapToGrid w:val="1"/>
              <w:spacing w:line="440" w:lineRule="exact"/>
              <w:jc w:val="center"/>
              <w:textAlignment w:val="auto"/>
              <w:rPr>
                <w:rFonts w:hint="eastAsia" w:ascii="宋体" w:hAnsi="宋体" w:eastAsia="宋体" w:cs="宋体"/>
                <w:b w:val="1"/>
                <w:bCs w:val="1"/>
                <w:sz w:val="28"/>
                <w:szCs w:val="28"/>
              </w:rPr>
            </w:pPr>
            <w:r>
              <w:rPr>
                <w:rFonts w:hint="eastAsia" w:ascii="宋体" w:hAnsi="宋体" w:eastAsia="宋体" w:cs="宋体"/>
                <w:b w:val="1"/>
                <w:bCs w:val="1"/>
                <w:sz w:val="28"/>
                <w:szCs w:val="28"/>
              </w:rPr>
              <w:t>商务要求内容</w:t>
            </w:r>
          </w:p>
        </w:tc>
      </w:tr>
      <w:tr>
        <w:trPr>
          <w:trHeight w:val="443" w:hRule="atLeast"/>
          <w:jc w:val="center"/>
        </w:trPr>
        <w:tc>
          <w:tcPr>
            <w:tcW w:w="498" w:type="dxa"/>
            <w:vAlign w:val="center"/>
          </w:tcPr>
          <w:p>
            <w:pPr>
              <w:adjustRightInd w:val="0"/>
              <w:snapToGrid w:val="0"/>
              <w:spacing w:line="360" w:lineRule="auto"/>
              <w:jc w:val="center"/>
              <w:rPr>
                <w:rFonts w:ascii="宋体" w:hAnsi="宋体" w:eastAsia="宋体" w:cs="宋体"/>
                <w:sz w:val="28"/>
                <w:szCs w:val="28"/>
              </w:rPr>
            </w:pPr>
            <w:r>
              <w:rPr>
                <w:rFonts w:hint="eastAsia" w:ascii="宋体" w:hAnsi="宋体" w:cs="宋体"/>
                <w:sz w:val="28"/>
                <w:szCs w:val="28"/>
              </w:rPr>
              <w:t>5</w:t>
            </w:r>
          </w:p>
        </w:tc>
        <w:tc>
          <w:tcPr>
            <w:tcW w:w="869" w:type="dxa"/>
            <w:vAlign w:val="center"/>
          </w:tcPr>
          <w:p>
            <w:pPr>
              <w:adjustRightInd w:val="0"/>
              <w:snapToGrid w:val="0"/>
              <w:spacing w:line="360" w:lineRule="auto"/>
              <w:jc w:val="center"/>
              <w:rPr>
                <w:rFonts w:ascii="宋体" w:hAnsi="宋体" w:eastAsia="宋体" w:cs="宋体"/>
                <w:color w:val="FF0000"/>
                <w:sz w:val="28"/>
                <w:szCs w:val="28"/>
              </w:rPr>
            </w:pPr>
            <w:r>
              <w:rPr>
                <w:rFonts w:hint="eastAsia" w:ascii="宋体" w:hAnsi="宋体" w:eastAsia="宋体" w:cs="宋体"/>
                <w:color w:val="FF0000"/>
                <w:sz w:val="28"/>
                <w:szCs w:val="28"/>
              </w:rPr>
              <w:t>★</w:t>
            </w:r>
          </w:p>
        </w:tc>
        <w:tc>
          <w:tcPr>
            <w:tcW w:w="1066" w:type="dxa"/>
            <w:vAlign w:val="center"/>
          </w:tcPr>
          <w:p>
            <w:pPr>
              <w:adjustRightInd w:val="0"/>
              <w:snapToGrid w:val="0"/>
              <w:spacing w:line="360" w:lineRule="auto"/>
              <w:jc w:val="center"/>
              <w:rPr>
                <w:rFonts w:ascii="宋体" w:hAnsi="宋体" w:cs="宋体"/>
                <w:sz w:val="28"/>
                <w:szCs w:val="28"/>
              </w:rPr>
            </w:pPr>
            <w:r>
              <w:rPr>
                <w:sz w:val="28"/>
                <w:szCs w:val="28"/>
              </w:rPr>
              <w:t>验收交付标准和方法</w:t>
            </w:r>
          </w:p>
        </w:tc>
        <w:tc>
          <w:tcPr>
            <w:tcW w:w="8200" w:type="dxa"/>
          </w:tcPr>
          <w:p>
            <w:pPr>
              <w:pStyle w:val="00000b"/>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8"/>
                <w:szCs w:val="28"/>
                <w:highlight w:val="yellow"/>
              </w:rPr>
            </w:pPr>
            <w:r>
              <w:rPr>
                <w:color w:val="000000"/>
                <w:sz w:val="28"/>
                <w:szCs w:val="28"/>
                <w:highlight w:val="yellow"/>
              </w:rPr>
              <w:t>一、送货前置</w:t>
            </w:r>
            <w:r>
              <w:rPr>
                <w:rFonts w:hint="eastAsia"/>
                <w:color w:val="000000"/>
                <w:sz w:val="28"/>
                <w:szCs w:val="28"/>
                <w:highlight w:val="yellow"/>
                <w:lang w:val="en-US" w:eastAsia="zh-CN"/>
              </w:rPr>
              <w:t>检测报告</w:t>
            </w:r>
            <w:r>
              <w:rPr>
                <w:color w:val="000000"/>
                <w:sz w:val="28"/>
                <w:szCs w:val="28"/>
                <w:highlight w:val="yellow"/>
              </w:rPr>
              <w:t>资料</w:t>
            </w:r>
            <w:r>
              <w:rPr>
                <w:rFonts w:hint="eastAsia"/>
                <w:color w:val="000000"/>
                <w:sz w:val="28"/>
                <w:szCs w:val="28"/>
                <w:highlight w:val="yellow"/>
                <w:lang w:val="en-US" w:eastAsia="zh-CN"/>
              </w:rPr>
              <w:t>核</w:t>
            </w:r>
            <w:r>
              <w:rPr>
                <w:color w:val="000000"/>
                <w:sz w:val="28"/>
                <w:szCs w:val="28"/>
                <w:highlight w:val="yellow"/>
              </w:rPr>
              <w:t>验</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hint="eastAsia" w:ascii="宋体" w:hAnsi="宋体" w:eastAsia="宋体" w:cs="宋体"/>
                <w:color w:val="000000"/>
                <w:kern w:val="0"/>
                <w:sz w:val="28"/>
                <w:szCs w:val="28"/>
                <w:highlight w:val="yellow"/>
                <w:lang w:val="en-US" w:eastAsia="zh-CN" w:bidi="ar"/>
              </w:rPr>
            </w:pPr>
            <w:r>
              <w:rPr>
                <w:rFonts w:ascii="宋体" w:hAnsi="宋体" w:eastAsia="宋体" w:cs="宋体"/>
                <w:color w:val="000000"/>
                <w:kern w:val="0"/>
                <w:sz w:val="28"/>
                <w:szCs w:val="28"/>
                <w:highlight w:val="yellow"/>
                <w:lang w:val="en-US" w:eastAsia="zh-CN" w:bidi="ar"/>
              </w:rPr>
              <w:t>合同生效送货前</w:t>
            </w:r>
            <w:r>
              <w:rPr>
                <w:rFonts w:hint="eastAsia" w:ascii="宋体" w:hAnsi="宋体" w:eastAsia="宋体" w:cs="宋体"/>
                <w:color w:val="000000"/>
                <w:kern w:val="0"/>
                <w:sz w:val="28"/>
                <w:szCs w:val="28"/>
                <w:highlight w:val="yellow"/>
                <w:lang w:val="en-US" w:eastAsia="zh-CN" w:bidi="ar"/>
              </w:rPr>
              <w:t>，中标</w:t>
            </w:r>
            <w:r>
              <w:rPr>
                <w:rFonts w:ascii="宋体" w:hAnsi="宋体" w:eastAsia="宋体" w:cs="宋体"/>
                <w:color w:val="000000"/>
                <w:kern w:val="0"/>
                <w:sz w:val="28"/>
                <w:szCs w:val="28"/>
                <w:highlight w:val="yellow"/>
                <w:lang w:val="en-US" w:eastAsia="zh-CN" w:bidi="ar"/>
              </w:rPr>
              <w:t>供应商须提交</w:t>
            </w:r>
            <w:r>
              <w:rPr>
                <w:rFonts w:hint="eastAsia" w:ascii="宋体" w:hAnsi="宋体" w:eastAsia="宋体" w:cs="宋体"/>
                <w:color w:val="000000"/>
                <w:kern w:val="0"/>
                <w:sz w:val="28"/>
                <w:szCs w:val="28"/>
                <w:highlight w:val="yellow"/>
                <w:lang w:val="en-US" w:eastAsia="zh-CN" w:bidi="ar"/>
              </w:rPr>
              <w:t>投标响应中</w:t>
            </w:r>
            <w:r>
              <w:rPr>
                <w:rFonts w:hint="eastAsia" w:ascii="宋体" w:hAnsi="宋体" w:eastAsia="宋体" w:cs="宋体"/>
                <w:color w:val="FF0000"/>
                <w:kern w:val="0"/>
                <w:sz w:val="28"/>
                <w:szCs w:val="28"/>
                <w:highlight w:val="yellow"/>
                <w:lang w:val="en-US" w:eastAsia="zh-CN" w:bidi="ar"/>
              </w:rPr>
              <w:t>整机可靠性1-7项</w:t>
            </w:r>
            <w:r>
              <w:rPr>
                <w:rFonts w:hint="eastAsia" w:ascii="宋体" w:hAnsi="宋体" w:eastAsia="宋体" w:cs="宋体"/>
                <w:color w:val="000000"/>
                <w:kern w:val="0"/>
                <w:sz w:val="28"/>
                <w:szCs w:val="28"/>
                <w:highlight w:val="yellow"/>
                <w:lang w:val="en-US" w:eastAsia="zh-CN" w:bidi="ar"/>
              </w:rPr>
              <w:t>的采购标的的技术参数</w:t>
            </w:r>
            <w:r>
              <w:rPr>
                <w:rFonts w:ascii="宋体" w:hAnsi="宋体" w:eastAsia="宋体" w:cs="宋体"/>
                <w:color w:val="000000"/>
                <w:kern w:val="0"/>
                <w:sz w:val="28"/>
                <w:szCs w:val="28"/>
                <w:highlight w:val="yellow"/>
                <w:lang w:val="en-US" w:eastAsia="zh-CN" w:bidi="ar"/>
              </w:rPr>
              <w:t>检测报告</w:t>
            </w:r>
            <w:r>
              <w:rPr>
                <w:rFonts w:hint="eastAsia" w:ascii="宋体" w:hAnsi="宋体" w:eastAsia="宋体" w:cs="宋体"/>
                <w:color w:val="000000"/>
                <w:kern w:val="0"/>
                <w:sz w:val="28"/>
                <w:szCs w:val="28"/>
                <w:highlight w:val="yellow"/>
                <w:lang w:val="en-US" w:eastAsia="zh-CN" w:bidi="ar"/>
              </w:rPr>
              <w:t>等证明材料给采购人</w:t>
            </w:r>
            <w:r>
              <w:rPr>
                <w:rFonts w:ascii="宋体" w:hAnsi="宋体" w:eastAsia="宋体" w:cs="宋体"/>
                <w:color w:val="000000"/>
                <w:kern w:val="0"/>
                <w:sz w:val="28"/>
                <w:szCs w:val="28"/>
                <w:highlight w:val="yellow"/>
                <w:lang w:val="en-US" w:eastAsia="zh-CN" w:bidi="ar"/>
              </w:rPr>
              <w:t>核验</w:t>
            </w:r>
            <w:r>
              <w:rPr>
                <w:rFonts w:hint="eastAsia" w:ascii="宋体" w:hAnsi="宋体" w:eastAsia="宋体" w:cs="宋体"/>
                <w:color w:val="000000"/>
                <w:kern w:val="0"/>
                <w:sz w:val="28"/>
                <w:szCs w:val="28"/>
                <w:highlight w:val="yellow"/>
                <w:lang w:val="en-US" w:eastAsia="zh-CN" w:bidi="ar"/>
              </w:rPr>
              <w:t>、存档</w:t>
            </w:r>
            <w:r>
              <w:rPr>
                <w:rFonts w:ascii="宋体" w:hAnsi="宋体" w:eastAsia="宋体" w:cs="宋体"/>
                <w:color w:val="000000"/>
                <w:kern w:val="0"/>
                <w:sz w:val="28"/>
                <w:szCs w:val="28"/>
                <w:highlight w:val="yellow"/>
                <w:lang w:val="en-US" w:eastAsia="zh-CN" w:bidi="ar"/>
              </w:rPr>
              <w:t>，</w:t>
            </w:r>
            <w:r>
              <w:rPr>
                <w:rFonts w:hint="eastAsia" w:ascii="宋体" w:hAnsi="宋体" w:eastAsia="宋体" w:cs="宋体"/>
                <w:color w:val="000000"/>
                <w:kern w:val="0"/>
                <w:sz w:val="28"/>
                <w:szCs w:val="28"/>
                <w:highlight w:val="yellow"/>
                <w:lang w:val="en-US" w:eastAsia="zh-CN" w:bidi="ar"/>
              </w:rPr>
              <w:t>检测报告等证明材料与投标响应不符合、不满足采购需求的产品不得进场安装，</w:t>
            </w:r>
            <w:r>
              <w:rPr>
                <w:rFonts w:ascii="宋体" w:hAnsi="宋体" w:eastAsia="宋体" w:cs="宋体"/>
                <w:color w:val="000000"/>
                <w:kern w:val="0"/>
                <w:sz w:val="28"/>
                <w:szCs w:val="28"/>
                <w:highlight w:val="yellow"/>
                <w:lang w:val="en-US" w:eastAsia="zh-CN" w:bidi="ar"/>
              </w:rPr>
              <w:t>全部工期、人工损失</w:t>
            </w:r>
            <w:r>
              <w:rPr>
                <w:rFonts w:hint="eastAsia" w:ascii="宋体" w:hAnsi="宋体" w:eastAsia="宋体" w:cs="宋体"/>
                <w:color w:val="000000"/>
                <w:kern w:val="0"/>
                <w:sz w:val="28"/>
                <w:szCs w:val="28"/>
                <w:highlight w:val="yellow"/>
                <w:lang w:val="en-US" w:eastAsia="zh-CN" w:bidi="ar"/>
              </w:rPr>
              <w:t>等费用</w:t>
            </w:r>
            <w:r>
              <w:rPr>
                <w:rFonts w:ascii="宋体" w:hAnsi="宋体" w:eastAsia="宋体" w:cs="宋体"/>
                <w:color w:val="000000"/>
                <w:kern w:val="0"/>
                <w:sz w:val="28"/>
                <w:szCs w:val="28"/>
                <w:highlight w:val="yellow"/>
                <w:lang w:val="en-US" w:eastAsia="zh-CN" w:bidi="ar"/>
              </w:rPr>
              <w:t xml:space="preserve">由供应商承担。 </w:t>
            </w:r>
            <w:r>
              <w:rPr>
                <w:rFonts w:hint="eastAsia" w:ascii="宋体" w:hAnsi="宋体" w:eastAsia="宋体" w:cs="宋体"/>
                <w:color w:val="000000"/>
                <w:kern w:val="0"/>
                <w:sz w:val="28"/>
                <w:szCs w:val="28"/>
                <w:highlight w:val="yellow"/>
                <w:lang w:val="en-US" w:eastAsia="zh-CN" w:bidi="ar"/>
              </w:rPr>
              <w:t xml:space="preserve">   </w:t>
            </w:r>
            <w:bookmarkStart w:id="1" w:name="_GoBack"/>
            <w:bookmarkEnd w:id="1"/>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hint="default"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核查</w:t>
            </w:r>
            <w:r>
              <w:rPr>
                <w:rFonts w:ascii="宋体" w:hAnsi="宋体" w:eastAsia="宋体" w:cs="宋体"/>
                <w:color w:val="000000"/>
                <w:kern w:val="0"/>
                <w:sz w:val="28"/>
                <w:szCs w:val="28"/>
                <w:highlight w:val="yellow"/>
                <w:lang w:val="en-US" w:eastAsia="zh-CN" w:bidi="ar"/>
              </w:rPr>
              <w:t xml:space="preserve">标准 </w:t>
            </w:r>
            <w:r>
              <w:rPr>
                <w:rFonts w:hint="eastAsia" w:ascii="宋体" w:hAnsi="宋体" w:eastAsia="宋体" w:cs="宋体"/>
                <w:color w:val="000000"/>
                <w:kern w:val="0"/>
                <w:sz w:val="28"/>
                <w:szCs w:val="28"/>
                <w:highlight w:val="yellow"/>
                <w:lang w:val="en-US" w:eastAsia="zh-CN" w:bidi="ar"/>
              </w:rPr>
              <w:t>：</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ascii="宋体" w:hAnsi="宋体" w:eastAsia="宋体" w:cs="宋体"/>
                <w:color w:val="000000"/>
                <w:kern w:val="0"/>
                <w:sz w:val="28"/>
                <w:szCs w:val="28"/>
                <w:highlight w:val="yellow"/>
                <w:lang w:val="en-US" w:eastAsia="zh-CN" w:bidi="ar"/>
              </w:rPr>
              <w:t>（1）属</w:t>
            </w:r>
            <w:r>
              <w:rPr>
                <w:rFonts w:hint="eastAsia" w:ascii="宋体" w:hAnsi="宋体" w:eastAsia="宋体" w:cs="宋体"/>
                <w:color w:val="000000"/>
                <w:kern w:val="0"/>
                <w:sz w:val="28"/>
                <w:szCs w:val="28"/>
                <w:highlight w:val="yellow"/>
                <w:lang w:val="en-US" w:eastAsia="zh-CN" w:bidi="ar"/>
              </w:rPr>
              <w:t>《市场监管总局关于对检验检测机构资质认定实施“一单一库”管理的公告》（</w:t>
            </w:r>
            <w:r>
              <w:rPr>
                <w:rFonts w:ascii="宋体" w:hAnsi="宋体" w:eastAsia="宋体" w:cs="宋体"/>
                <w:color w:val="000000"/>
                <w:kern w:val="0"/>
                <w:sz w:val="28"/>
                <w:szCs w:val="28"/>
                <w:highlight w:val="yellow"/>
                <w:lang w:val="en-US" w:eastAsia="zh-CN" w:bidi="ar"/>
              </w:rPr>
              <w:t xml:space="preserve">市监总局 2026 年 14 </w:t>
            </w:r>
            <w:r>
              <w:rPr>
                <w:rFonts w:hint="eastAsia" w:ascii="宋体" w:hAnsi="宋体" w:eastAsia="宋体" w:cs="宋体"/>
                <w:color w:val="000000"/>
                <w:kern w:val="0"/>
                <w:sz w:val="28"/>
                <w:szCs w:val="28"/>
                <w:highlight w:val="yellow"/>
                <w:lang w:val="en-US" w:eastAsia="zh-CN" w:bidi="ar"/>
              </w:rPr>
              <w:t>号）中</w:t>
            </w:r>
            <w:r>
              <w:rPr>
                <w:rFonts w:ascii="宋体" w:hAnsi="宋体" w:eastAsia="宋体" w:cs="宋体"/>
                <w:color w:val="000000"/>
                <w:kern w:val="0"/>
                <w:sz w:val="28"/>
                <w:szCs w:val="28"/>
                <w:highlight w:val="yellow"/>
                <w:lang w:val="en-US" w:eastAsia="zh-CN" w:bidi="ar"/>
              </w:rPr>
              <w:t xml:space="preserve">“一单一库”产品：提供具备 CMA 资质、执行 </w:t>
            </w:r>
            <w:r>
              <w:rPr>
                <w:rFonts w:hint="eastAsia" w:ascii="宋体" w:hAnsi="宋体" w:eastAsia="宋体" w:cs="宋体"/>
                <w:color w:val="FF0000"/>
                <w:kern w:val="0"/>
                <w:sz w:val="28"/>
                <w:szCs w:val="28"/>
                <w:highlight w:val="yellow"/>
                <w:lang w:val="en-US" w:eastAsia="zh-CN" w:bidi="ar"/>
              </w:rPr>
              <w:t>GB/T9254.2-2021、</w:t>
            </w:r>
            <w:r>
              <w:rPr>
                <w:rFonts w:ascii="宋体" w:hAnsi="宋体" w:eastAsia="宋体" w:cs="宋体"/>
                <w:color w:val="000000"/>
                <w:kern w:val="0"/>
                <w:sz w:val="28"/>
                <w:szCs w:val="28"/>
                <w:highlight w:val="yellow"/>
                <w:lang w:val="en-US" w:eastAsia="zh-CN" w:bidi="ar"/>
              </w:rPr>
              <w:t xml:space="preserve">GB/T 9813.1-2016 </w:t>
            </w:r>
            <w:r>
              <w:rPr>
                <w:rFonts w:hint="eastAsia" w:ascii="宋体" w:hAnsi="宋体" w:eastAsia="宋体" w:cs="宋体"/>
                <w:color w:val="000000"/>
                <w:kern w:val="0"/>
                <w:sz w:val="28"/>
                <w:szCs w:val="28"/>
                <w:highlight w:val="yellow"/>
                <w:lang w:val="en-US" w:eastAsia="zh-CN" w:bidi="ar"/>
              </w:rPr>
              <w:t>的</w:t>
            </w:r>
            <w:r>
              <w:rPr>
                <w:rFonts w:ascii="宋体" w:hAnsi="宋体" w:eastAsia="宋体" w:cs="宋体"/>
                <w:color w:val="000000"/>
                <w:kern w:val="0"/>
                <w:sz w:val="28"/>
                <w:szCs w:val="28"/>
                <w:highlight w:val="yellow"/>
                <w:lang w:val="en-US" w:eastAsia="zh-CN" w:bidi="ar"/>
              </w:rPr>
              <w:t xml:space="preserve">有效检测报告；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both"/>
              <w:rPr>
                <w:rFonts w:ascii="宋体" w:hAnsi="宋体" w:eastAsia="宋体" w:cs="宋体"/>
                <w:color w:val="000000"/>
                <w:kern w:val="0"/>
                <w:sz w:val="28"/>
                <w:szCs w:val="28"/>
                <w:highlight w:val="yellow"/>
                <w:lang w:val="en-US" w:eastAsia="zh-CN" w:bidi="ar"/>
              </w:rPr>
            </w:pPr>
            <w:r>
              <w:rPr>
                <w:rFonts w:ascii="宋体" w:hAnsi="宋体" w:eastAsia="宋体" w:cs="宋体"/>
                <w:color w:val="000000"/>
                <w:kern w:val="0"/>
                <w:sz w:val="28"/>
                <w:szCs w:val="28"/>
                <w:highlight w:val="yellow"/>
                <w:lang w:val="en-US" w:eastAsia="zh-CN" w:bidi="ar"/>
              </w:rPr>
              <w:t>（2）非管控产品：提供国家认可</w:t>
            </w:r>
            <w:r>
              <w:rPr>
                <w:rFonts w:hint="eastAsia" w:ascii="宋体" w:hAnsi="宋体" w:eastAsia="宋体" w:cs="宋体"/>
                <w:color w:val="000000"/>
                <w:kern w:val="0"/>
                <w:sz w:val="28"/>
                <w:szCs w:val="28"/>
                <w:highlight w:val="yellow"/>
                <w:lang w:val="en-US" w:eastAsia="zh-CN" w:bidi="ar"/>
              </w:rPr>
              <w:t>的</w:t>
            </w:r>
            <w:r>
              <w:rPr>
                <w:rFonts w:ascii="宋体" w:hAnsi="宋体" w:eastAsia="宋体" w:cs="宋体"/>
                <w:color w:val="000000"/>
                <w:kern w:val="0"/>
                <w:sz w:val="28"/>
                <w:szCs w:val="28"/>
                <w:highlight w:val="yellow"/>
                <w:lang w:val="en-US" w:eastAsia="zh-CN" w:bidi="ar"/>
              </w:rPr>
              <w:t>第三方</w:t>
            </w:r>
            <w:r>
              <w:rPr>
                <w:rFonts w:hint="eastAsia" w:ascii="宋体" w:hAnsi="宋体" w:eastAsia="宋体" w:cs="宋体"/>
                <w:color w:val="000000"/>
                <w:kern w:val="0"/>
                <w:sz w:val="28"/>
                <w:szCs w:val="28"/>
                <w:highlight w:val="yellow"/>
                <w:lang w:val="en-US" w:eastAsia="zh-CN" w:bidi="ar"/>
              </w:rPr>
              <w:t>检测</w:t>
            </w:r>
            <w:r>
              <w:rPr>
                <w:rFonts w:ascii="宋体" w:hAnsi="宋体" w:eastAsia="宋体" w:cs="宋体"/>
                <w:color w:val="000000"/>
                <w:kern w:val="0"/>
                <w:sz w:val="28"/>
                <w:szCs w:val="28"/>
                <w:highlight w:val="yellow"/>
                <w:lang w:val="en-US" w:eastAsia="zh-CN" w:bidi="ar"/>
              </w:rPr>
              <w:t>机构</w:t>
            </w:r>
            <w:r>
              <w:rPr>
                <w:rFonts w:hint="eastAsia" w:ascii="宋体" w:hAnsi="宋体" w:eastAsia="宋体" w:cs="宋体"/>
                <w:color w:val="000000"/>
                <w:kern w:val="0"/>
                <w:sz w:val="28"/>
                <w:szCs w:val="28"/>
                <w:highlight w:val="yellow"/>
                <w:lang w:val="en-US" w:eastAsia="zh-CN" w:bidi="ar"/>
              </w:rPr>
              <w:t>出具的</w:t>
            </w:r>
            <w:r>
              <w:rPr>
                <w:rFonts w:ascii="宋体" w:hAnsi="宋体" w:eastAsia="宋体" w:cs="宋体"/>
                <w:color w:val="000000"/>
                <w:kern w:val="0"/>
                <w:sz w:val="28"/>
                <w:szCs w:val="28"/>
                <w:highlight w:val="yellow"/>
                <w:lang w:val="en-US" w:eastAsia="zh-CN" w:bidi="ar"/>
              </w:rPr>
              <w:t xml:space="preserve">、执行 GB/T 5080.7-1986 </w:t>
            </w:r>
            <w:r>
              <w:rPr>
                <w:rFonts w:hint="eastAsia" w:ascii="宋体" w:hAnsi="宋体" w:eastAsia="宋体" w:cs="宋体"/>
                <w:color w:val="000000"/>
                <w:kern w:val="0"/>
                <w:sz w:val="28"/>
                <w:szCs w:val="28"/>
                <w:highlight w:val="yellow"/>
                <w:lang w:val="en-US" w:eastAsia="zh-CN" w:bidi="ar"/>
              </w:rPr>
              <w:t>的</w:t>
            </w:r>
            <w:r>
              <w:rPr>
                <w:rFonts w:ascii="宋体" w:hAnsi="宋体" w:eastAsia="宋体" w:cs="宋体"/>
                <w:color w:val="000000"/>
                <w:kern w:val="0"/>
                <w:sz w:val="28"/>
                <w:szCs w:val="28"/>
                <w:highlight w:val="yellow"/>
                <w:lang w:val="en-US" w:eastAsia="zh-CN" w:bidi="ar"/>
              </w:rPr>
              <w:t xml:space="preserve">有效检测报告。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ascii="宋体" w:hAnsi="宋体" w:eastAsia="宋体" w:cs="宋体"/>
                <w:color w:val="000000"/>
                <w:kern w:val="0"/>
                <w:sz w:val="28"/>
                <w:szCs w:val="28"/>
                <w:highlight w:val="yellow"/>
                <w:lang w:val="en-US" w:eastAsia="zh-CN" w:bidi="ar"/>
              </w:rPr>
              <w:t>核验方式：采购人建立核验台账，比对报告资质、参数与</w:t>
            </w:r>
            <w:r>
              <w:rPr>
                <w:rFonts w:hint="eastAsia" w:ascii="宋体" w:hAnsi="宋体" w:eastAsia="宋体" w:cs="宋体"/>
                <w:color w:val="000000"/>
                <w:kern w:val="0"/>
                <w:sz w:val="28"/>
                <w:szCs w:val="28"/>
                <w:highlight w:val="yellow"/>
                <w:lang w:val="en-US" w:eastAsia="zh-CN" w:bidi="ar"/>
              </w:rPr>
              <w:t>采购文件、</w:t>
            </w:r>
            <w:r>
              <w:rPr>
                <w:rFonts w:ascii="宋体" w:hAnsi="宋体" w:eastAsia="宋体" w:cs="宋体"/>
                <w:color w:val="000000"/>
                <w:kern w:val="0"/>
                <w:sz w:val="28"/>
                <w:szCs w:val="28"/>
                <w:highlight w:val="yellow"/>
                <w:lang w:val="en-US" w:eastAsia="zh-CN" w:bidi="ar"/>
              </w:rPr>
              <w:t>投标文件</w:t>
            </w:r>
            <w:r>
              <w:rPr>
                <w:rFonts w:hint="eastAsia" w:ascii="宋体" w:hAnsi="宋体" w:eastAsia="宋体" w:cs="宋体"/>
                <w:color w:val="000000"/>
                <w:kern w:val="0"/>
                <w:sz w:val="28"/>
                <w:szCs w:val="28"/>
                <w:highlight w:val="yellow"/>
                <w:lang w:val="en-US" w:eastAsia="zh-CN" w:bidi="ar"/>
              </w:rPr>
              <w:t>等资料</w:t>
            </w:r>
            <w:r>
              <w:rPr>
                <w:rFonts w:ascii="宋体" w:hAnsi="宋体" w:eastAsia="宋体" w:cs="宋体"/>
                <w:color w:val="000000"/>
                <w:kern w:val="0"/>
                <w:sz w:val="28"/>
                <w:szCs w:val="28"/>
                <w:highlight w:val="yellow"/>
                <w:lang w:val="en-US" w:eastAsia="zh-CN" w:bidi="ar"/>
              </w:rPr>
              <w:t xml:space="preserve">。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color w:val="000000"/>
                <w:sz w:val="28"/>
                <w:szCs w:val="28"/>
                <w:highlight w:val="yellow"/>
              </w:rPr>
            </w:pPr>
            <w:r>
              <w:rPr>
                <w:rFonts w:ascii="宋体" w:hAnsi="宋体" w:eastAsia="宋体" w:cs="宋体"/>
                <w:color w:val="000000"/>
                <w:kern w:val="0"/>
                <w:sz w:val="28"/>
                <w:szCs w:val="28"/>
                <w:highlight w:val="yellow"/>
                <w:lang w:val="en-US" w:eastAsia="zh-CN" w:bidi="ar"/>
              </w:rPr>
              <w:t>瑕疵整改：资料缺漏、非实质性偏差，给予 3 个工作日补齐；逾期按逾期履约追责，全部整改费用由供应商承担。</w:t>
            </w:r>
          </w:p>
          <w:p>
            <w:pPr>
              <w:pStyle w:val="00000b"/>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8"/>
                <w:szCs w:val="28"/>
                <w:highlight w:val="yellow"/>
              </w:rPr>
            </w:pPr>
            <w:r>
              <w:rPr>
                <w:color w:val="000000"/>
                <w:sz w:val="28"/>
                <w:szCs w:val="28"/>
                <w:highlight w:val="yellow"/>
              </w:rPr>
              <w:t>二、现场交付验收标准</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1.</w:t>
            </w:r>
            <w:r>
              <w:rPr>
                <w:rFonts w:ascii="宋体" w:hAnsi="宋体" w:eastAsia="宋体" w:cs="宋体"/>
                <w:color w:val="000000"/>
                <w:kern w:val="0"/>
                <w:sz w:val="28"/>
                <w:szCs w:val="28"/>
                <w:highlight w:val="yellow"/>
                <w:lang w:val="en-US" w:eastAsia="zh-CN" w:bidi="ar"/>
              </w:rPr>
              <w:t xml:space="preserve">设备型号、硬件配置、供货数量、质量与合同、投标文件完全一致；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2.</w:t>
            </w:r>
            <w:r>
              <w:rPr>
                <w:rFonts w:ascii="宋体" w:hAnsi="宋体" w:eastAsia="宋体" w:cs="宋体"/>
                <w:color w:val="000000"/>
                <w:kern w:val="0"/>
                <w:sz w:val="28"/>
                <w:szCs w:val="28"/>
                <w:highlight w:val="yellow"/>
                <w:lang w:val="en-US" w:eastAsia="zh-CN" w:bidi="ar"/>
              </w:rPr>
              <w:t xml:space="preserve">整机外设无破损变形，原厂包装、配套配件齐全；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3.</w:t>
            </w:r>
            <w:r>
              <w:rPr>
                <w:rFonts w:ascii="宋体" w:hAnsi="宋体" w:eastAsia="宋体" w:cs="宋体"/>
                <w:color w:val="000000"/>
                <w:kern w:val="0"/>
                <w:sz w:val="28"/>
                <w:szCs w:val="28"/>
                <w:highlight w:val="yellow"/>
                <w:lang w:val="en-US" w:eastAsia="zh-CN" w:bidi="ar"/>
              </w:rPr>
              <w:t xml:space="preserve">完成安装调试，硬件、音视频 / USB 接口、系统驱动运行正常；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color w:val="000000"/>
                <w:sz w:val="28"/>
                <w:szCs w:val="28"/>
                <w:highlight w:val="yellow"/>
              </w:rPr>
            </w:pPr>
            <w:r>
              <w:rPr>
                <w:rFonts w:hint="eastAsia" w:ascii="宋体" w:hAnsi="宋体" w:eastAsia="宋体" w:cs="宋体"/>
                <w:color w:val="000000"/>
                <w:kern w:val="0"/>
                <w:sz w:val="28"/>
                <w:szCs w:val="28"/>
                <w:highlight w:val="yellow"/>
                <w:lang w:val="en-US" w:eastAsia="zh-CN" w:bidi="ar"/>
              </w:rPr>
              <w:t>4.</w:t>
            </w:r>
            <w:r>
              <w:rPr>
                <w:rFonts w:ascii="宋体" w:hAnsi="宋体" w:eastAsia="宋体" w:cs="宋体"/>
                <w:color w:val="000000"/>
                <w:kern w:val="0"/>
                <w:sz w:val="28"/>
                <w:szCs w:val="28"/>
                <w:highlight w:val="yellow"/>
                <w:lang w:val="en-US" w:eastAsia="zh-CN" w:bidi="ar"/>
              </w:rPr>
              <w:t>说明书、保修卡、合格证、安装记录等全套运维资料齐全。</w:t>
            </w:r>
          </w:p>
          <w:p>
            <w:pPr>
              <w:pStyle w:val="00000b"/>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8"/>
                <w:szCs w:val="28"/>
                <w:highlight w:val="yellow"/>
              </w:rPr>
            </w:pPr>
            <w:r>
              <w:rPr>
                <w:color w:val="000000"/>
                <w:sz w:val="28"/>
                <w:szCs w:val="28"/>
                <w:highlight w:val="yellow"/>
              </w:rPr>
              <w:t>三、验收流程（依据财库〔2016〕205 号、自财规〔2023〕2 号）</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1.</w:t>
            </w:r>
            <w:r>
              <w:rPr>
                <w:rFonts w:ascii="宋体" w:hAnsi="宋体" w:eastAsia="宋体" w:cs="宋体"/>
                <w:color w:val="000000"/>
                <w:kern w:val="0"/>
                <w:sz w:val="28"/>
                <w:szCs w:val="28"/>
                <w:highlight w:val="yellow"/>
                <w:lang w:val="en-US" w:eastAsia="zh-CN" w:bidi="ar"/>
              </w:rPr>
              <w:t>供应商完成安装调试并提交验收申请，采购</w:t>
            </w:r>
            <w:r>
              <w:rPr>
                <w:rFonts w:hint="eastAsia" w:ascii="宋体" w:hAnsi="宋体" w:eastAsia="宋体" w:cs="宋体"/>
                <w:color w:val="000000"/>
                <w:kern w:val="0"/>
                <w:sz w:val="28"/>
                <w:szCs w:val="28"/>
                <w:highlight w:val="yellow"/>
                <w:lang w:val="en-US" w:eastAsia="zh-CN" w:bidi="ar"/>
              </w:rPr>
              <w:t>人在</w:t>
            </w:r>
            <w:r>
              <w:rPr>
                <w:rFonts w:ascii="宋体" w:hAnsi="宋体" w:eastAsia="宋体" w:cs="宋体"/>
                <w:color w:val="000000"/>
                <w:kern w:val="0"/>
                <w:sz w:val="28"/>
                <w:szCs w:val="28"/>
                <w:highlight w:val="yellow"/>
                <w:lang w:val="en-US" w:eastAsia="zh-CN" w:bidi="ar"/>
              </w:rPr>
              <w:t xml:space="preserve"> 10 个工作日内组织验收。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2.</w:t>
            </w:r>
            <w:r>
              <w:rPr>
                <w:rFonts w:ascii="宋体" w:hAnsi="宋体" w:eastAsia="宋体" w:cs="宋体"/>
                <w:color w:val="000000"/>
                <w:kern w:val="0"/>
                <w:sz w:val="28"/>
                <w:szCs w:val="28"/>
                <w:highlight w:val="yellow"/>
                <w:lang w:val="en-US" w:eastAsia="zh-CN" w:bidi="ar"/>
              </w:rPr>
              <w:t xml:space="preserve">验收流程：组建验收小组→现场清点外观→双方见证开箱→整机功能性能全项测试。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color w:val="000000"/>
                <w:sz w:val="28"/>
                <w:szCs w:val="28"/>
                <w:highlight w:val="yellow"/>
              </w:rPr>
            </w:pPr>
            <w:r>
              <w:rPr>
                <w:rFonts w:hint="eastAsia" w:ascii="宋体" w:hAnsi="宋体" w:eastAsia="宋体" w:cs="宋体"/>
                <w:color w:val="000000"/>
                <w:kern w:val="0"/>
                <w:sz w:val="28"/>
                <w:szCs w:val="28"/>
                <w:highlight w:val="yellow"/>
                <w:lang w:val="en-US" w:eastAsia="zh-CN" w:bidi="ar"/>
              </w:rPr>
              <w:t>3.</w:t>
            </w:r>
            <w:r>
              <w:rPr>
                <w:rFonts w:ascii="宋体" w:hAnsi="宋体" w:eastAsia="宋体" w:cs="宋体"/>
                <w:color w:val="000000"/>
                <w:kern w:val="0"/>
                <w:sz w:val="28"/>
                <w:szCs w:val="28"/>
                <w:highlight w:val="yellow"/>
                <w:lang w:val="en-US" w:eastAsia="zh-CN" w:bidi="ar"/>
              </w:rPr>
              <w:t>验收处置：（1）全部达标，双方签字验收合格；（2）验收不合格统一给予 3 个工作日整改，整改、复检费</w:t>
            </w:r>
            <w:r>
              <w:rPr>
                <w:rFonts w:hint="eastAsia" w:ascii="宋体" w:hAnsi="宋体" w:eastAsia="宋体" w:cs="宋体"/>
                <w:color w:val="000000"/>
                <w:kern w:val="0"/>
                <w:sz w:val="28"/>
                <w:szCs w:val="28"/>
                <w:highlight w:val="yellow"/>
                <w:lang w:val="en-US" w:eastAsia="zh-CN" w:bidi="ar"/>
              </w:rPr>
              <w:t>用由</w:t>
            </w:r>
            <w:r>
              <w:rPr>
                <w:rFonts w:ascii="宋体" w:hAnsi="宋体" w:eastAsia="宋体" w:cs="宋体"/>
                <w:color w:val="000000"/>
                <w:kern w:val="0"/>
                <w:sz w:val="28"/>
                <w:szCs w:val="28"/>
                <w:highlight w:val="yellow"/>
                <w:lang w:val="en-US" w:eastAsia="zh-CN" w:bidi="ar"/>
              </w:rPr>
              <w:t>供应商承担；二次验收仍不达标且书面催告无效，采购人可暂缓付款、计收违约金并单方解除合同。</w:t>
            </w:r>
          </w:p>
          <w:p>
            <w:pPr>
              <w:pStyle w:val="00000b"/>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8"/>
                <w:szCs w:val="28"/>
                <w:highlight w:val="yellow"/>
              </w:rPr>
            </w:pPr>
            <w:r>
              <w:rPr>
                <w:color w:val="000000"/>
                <w:sz w:val="28"/>
                <w:szCs w:val="28"/>
                <w:highlight w:val="yellow"/>
              </w:rPr>
              <w:t>四、一般履约瑕疵处置</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color w:val="000000"/>
                <w:sz w:val="28"/>
                <w:szCs w:val="28"/>
                <w:highlight w:val="yellow"/>
              </w:rPr>
            </w:pPr>
            <w:r>
              <w:rPr>
                <w:rFonts w:ascii="宋体" w:hAnsi="宋体" w:eastAsia="宋体" w:cs="宋体"/>
                <w:color w:val="000000"/>
                <w:kern w:val="0"/>
                <w:sz w:val="28"/>
                <w:szCs w:val="28"/>
                <w:highlight w:val="yellow"/>
                <w:lang w:val="en-US" w:eastAsia="zh-CN" w:bidi="ar"/>
              </w:rPr>
              <w:t>仅资料缺失、设备轻微外观 / 调试问题，不属于虚假投标的，执行上述整改</w:t>
            </w:r>
            <w:r>
              <w:rPr>
                <w:rFonts w:hint="eastAsia" w:ascii="宋体" w:hAnsi="宋体" w:eastAsia="宋体" w:cs="宋体"/>
                <w:color w:val="000000"/>
                <w:kern w:val="0"/>
                <w:sz w:val="28"/>
                <w:szCs w:val="28"/>
                <w:highlight w:val="yellow"/>
                <w:lang w:val="en-US" w:eastAsia="zh-CN" w:bidi="ar"/>
              </w:rPr>
              <w:t>规定</w:t>
            </w:r>
            <w:r>
              <w:rPr>
                <w:rFonts w:ascii="宋体" w:hAnsi="宋体" w:eastAsia="宋体" w:cs="宋体"/>
                <w:color w:val="000000"/>
                <w:kern w:val="0"/>
                <w:sz w:val="28"/>
                <w:szCs w:val="28"/>
                <w:highlight w:val="yellow"/>
                <w:lang w:val="en-US" w:eastAsia="zh-CN" w:bidi="ar"/>
              </w:rPr>
              <w:t>；逾期未整改或复检不合格，全部损失由供应商承担，采购人可解除合同。</w:t>
            </w:r>
          </w:p>
          <w:p>
            <w:pPr>
              <w:pStyle w:val="00000b"/>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8"/>
                <w:szCs w:val="28"/>
                <w:highlight w:val="yellow"/>
              </w:rPr>
            </w:pPr>
            <w:r>
              <w:rPr>
                <w:color w:val="000000"/>
                <w:sz w:val="28"/>
                <w:szCs w:val="28"/>
                <w:highlight w:val="yellow"/>
              </w:rPr>
              <w:t>五、虚假材料线索处置</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color w:val="000000"/>
                <w:sz w:val="28"/>
                <w:szCs w:val="28"/>
                <w:highlight w:val="yellow"/>
              </w:rPr>
            </w:pPr>
            <w:r>
              <w:rPr>
                <w:rFonts w:ascii="宋体" w:hAnsi="宋体" w:eastAsia="宋体" w:cs="宋体"/>
                <w:color w:val="000000"/>
                <w:kern w:val="0"/>
                <w:sz w:val="28"/>
                <w:szCs w:val="28"/>
                <w:highlight w:val="yellow"/>
                <w:lang w:val="en-US" w:eastAsia="zh-CN" w:bidi="ar"/>
              </w:rPr>
              <w:t>前置资料、现场验收任一环节发现报告伪造、核心参数实质性不符，采购人完整留存全部证据，3 个工作日内移送同级财政</w:t>
            </w:r>
            <w:r>
              <w:rPr>
                <w:rFonts w:hint="eastAsia" w:ascii="宋体" w:hAnsi="宋体" w:eastAsia="宋体" w:cs="宋体"/>
                <w:color w:val="000000"/>
                <w:kern w:val="0"/>
                <w:sz w:val="28"/>
                <w:szCs w:val="28"/>
                <w:highlight w:val="yellow"/>
                <w:lang w:val="en-US" w:eastAsia="zh-CN" w:bidi="ar"/>
              </w:rPr>
              <w:t>部门</w:t>
            </w:r>
            <w:r>
              <w:rPr>
                <w:rFonts w:ascii="宋体" w:hAnsi="宋体" w:eastAsia="宋体" w:cs="宋体"/>
                <w:color w:val="000000"/>
                <w:kern w:val="0"/>
                <w:sz w:val="28"/>
                <w:szCs w:val="28"/>
                <w:highlight w:val="yellow"/>
                <w:lang w:val="en-US" w:eastAsia="zh-CN" w:bidi="ar"/>
              </w:rPr>
              <w:t>核查</w:t>
            </w:r>
            <w:r>
              <w:rPr>
                <w:rFonts w:hint="eastAsia" w:ascii="宋体" w:hAnsi="宋体" w:eastAsia="宋体" w:cs="宋体"/>
                <w:color w:val="000000"/>
                <w:kern w:val="0"/>
                <w:sz w:val="28"/>
                <w:szCs w:val="28"/>
                <w:highlight w:val="yellow"/>
                <w:lang w:val="en-US" w:eastAsia="zh-CN" w:bidi="ar"/>
              </w:rPr>
              <w:t>处理；在</w:t>
            </w:r>
            <w:r>
              <w:rPr>
                <w:rFonts w:ascii="宋体" w:hAnsi="宋体" w:eastAsia="宋体" w:cs="宋体"/>
                <w:color w:val="000000"/>
                <w:kern w:val="0"/>
                <w:sz w:val="28"/>
                <w:szCs w:val="28"/>
                <w:highlight w:val="yellow"/>
                <w:lang w:val="en-US" w:eastAsia="zh-CN" w:bidi="ar"/>
              </w:rPr>
              <w:t>财政未出具违法认定前，采购人不得单方解除合同，核查期间暂停送货、验收、付款，</w:t>
            </w:r>
            <w:r>
              <w:rPr>
                <w:rFonts w:hint="eastAsia" w:ascii="宋体" w:hAnsi="宋体" w:eastAsia="宋体" w:cs="宋体"/>
                <w:color w:val="000000"/>
                <w:kern w:val="0"/>
                <w:sz w:val="28"/>
                <w:szCs w:val="28"/>
                <w:highlight w:val="yellow"/>
                <w:lang w:val="en-US" w:eastAsia="zh-CN" w:bidi="ar"/>
              </w:rPr>
              <w:t>其间</w:t>
            </w:r>
            <w:r>
              <w:rPr>
                <w:rFonts w:ascii="宋体" w:hAnsi="宋体" w:eastAsia="宋体" w:cs="宋体"/>
                <w:color w:val="000000"/>
                <w:kern w:val="0"/>
                <w:sz w:val="28"/>
                <w:szCs w:val="28"/>
                <w:highlight w:val="yellow"/>
                <w:lang w:val="en-US" w:eastAsia="zh-CN" w:bidi="ar"/>
              </w:rPr>
              <w:t>所有损失由供应商承担。</w:t>
            </w:r>
          </w:p>
          <w:p>
            <w:pPr>
              <w:pStyle w:val="00000b"/>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8"/>
                <w:szCs w:val="28"/>
                <w:highlight w:val="yellow"/>
              </w:rPr>
            </w:pPr>
            <w:r>
              <w:rPr>
                <w:color w:val="000000"/>
                <w:sz w:val="28"/>
                <w:szCs w:val="28"/>
                <w:highlight w:val="yellow"/>
              </w:rPr>
              <w:t>六、财政查实虚假投标处置</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ascii="宋体" w:hAnsi="宋体" w:eastAsia="宋体" w:cs="宋体"/>
                <w:color w:val="000000"/>
                <w:kern w:val="0"/>
                <w:sz w:val="28"/>
                <w:szCs w:val="28"/>
                <w:highlight w:val="yellow"/>
                <w:lang w:val="en-US" w:eastAsia="zh-CN" w:bidi="ar"/>
              </w:rPr>
              <w:t>财政</w:t>
            </w:r>
            <w:r>
              <w:rPr>
                <w:rFonts w:hint="eastAsia" w:ascii="宋体" w:hAnsi="宋体" w:eastAsia="宋体" w:cs="宋体"/>
                <w:color w:val="000000"/>
                <w:kern w:val="0"/>
                <w:sz w:val="28"/>
                <w:szCs w:val="28"/>
                <w:highlight w:val="yellow"/>
                <w:lang w:val="en-US" w:eastAsia="zh-CN" w:bidi="ar"/>
              </w:rPr>
              <w:t>部门</w:t>
            </w:r>
            <w:r>
              <w:rPr>
                <w:rFonts w:ascii="宋体" w:hAnsi="宋体" w:eastAsia="宋体" w:cs="宋体"/>
                <w:color w:val="000000"/>
                <w:kern w:val="0"/>
                <w:sz w:val="28"/>
                <w:szCs w:val="28"/>
                <w:highlight w:val="yellow"/>
                <w:lang w:val="en-US" w:eastAsia="zh-CN" w:bidi="ar"/>
              </w:rPr>
              <w:t xml:space="preserve">依据《政府采购法》第七十七条、《政府采购法实施条例》第七十一条认定虚假材料足以影响中标结果的：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1.</w:t>
            </w:r>
            <w:r>
              <w:rPr>
                <w:rFonts w:ascii="宋体" w:hAnsi="宋体" w:eastAsia="宋体" w:cs="宋体"/>
                <w:color w:val="000000"/>
                <w:kern w:val="0"/>
                <w:sz w:val="28"/>
                <w:szCs w:val="28"/>
                <w:highlight w:val="yellow"/>
                <w:lang w:val="en-US" w:eastAsia="zh-CN" w:bidi="ar"/>
              </w:rPr>
              <w:t xml:space="preserve">中标、成交结果无效，采购人可单方解除合同，供应商全额退还已支付款项；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2.</w:t>
            </w:r>
            <w:r>
              <w:rPr>
                <w:rFonts w:ascii="宋体" w:hAnsi="宋体" w:eastAsia="宋体" w:cs="宋体"/>
                <w:color w:val="000000"/>
                <w:kern w:val="0"/>
                <w:sz w:val="28"/>
                <w:szCs w:val="28"/>
                <w:highlight w:val="yellow"/>
                <w:lang w:val="en-US" w:eastAsia="zh-CN" w:bidi="ar"/>
              </w:rPr>
              <w:t>供应商支付中标价3%</w:t>
            </w:r>
            <w:r>
              <w:rPr>
                <w:rStyle w:val="000019"/>
                <w:rFonts w:ascii="宋体" w:hAnsi="宋体" w:eastAsia="宋体" w:cs="宋体"/>
                <w:color w:val="000000"/>
                <w:kern w:val="0"/>
                <w:sz w:val="28"/>
                <w:szCs w:val="28"/>
                <w:highlight w:val="yellow"/>
                <w:lang w:val="en-US" w:eastAsia="zh-CN" w:bidi="ar"/>
              </w:rPr>
              <w:t>损失补偿性</w:t>
            </w:r>
            <w:r>
              <w:rPr>
                <w:rFonts w:ascii="宋体" w:hAnsi="宋体" w:eastAsia="宋体" w:cs="宋体"/>
                <w:color w:val="000000"/>
                <w:kern w:val="0"/>
                <w:sz w:val="28"/>
                <w:szCs w:val="28"/>
                <w:highlight w:val="yellow"/>
                <w:lang w:val="en-US" w:eastAsia="zh-CN" w:bidi="ar"/>
              </w:rPr>
              <w:t xml:space="preserve">民事违约金；违约金不足以覆盖重购、误工、仓储等全部损失的，差额另行补足；违约金过高的，司法、仲裁机关可依法调整；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color w:val="000000"/>
                <w:kern w:val="0"/>
                <w:sz w:val="28"/>
                <w:szCs w:val="28"/>
                <w:highlight w:val="yellow"/>
                <w:lang w:val="en-US" w:eastAsia="zh-CN" w:bidi="ar"/>
              </w:rPr>
            </w:pPr>
            <w:r>
              <w:rPr>
                <w:rFonts w:hint="eastAsia" w:ascii="宋体" w:hAnsi="宋体" w:eastAsia="宋体" w:cs="宋体"/>
                <w:color w:val="000000"/>
                <w:kern w:val="0"/>
                <w:sz w:val="28"/>
                <w:szCs w:val="28"/>
                <w:highlight w:val="yellow"/>
                <w:lang w:val="en-US" w:eastAsia="zh-CN" w:bidi="ar"/>
              </w:rPr>
              <w:t>3.</w:t>
            </w:r>
            <w:r>
              <w:rPr>
                <w:rFonts w:ascii="宋体" w:hAnsi="宋体" w:eastAsia="宋体" w:cs="宋体"/>
                <w:color w:val="000000"/>
                <w:kern w:val="0"/>
                <w:sz w:val="28"/>
                <w:szCs w:val="28"/>
                <w:highlight w:val="yellow"/>
                <w:lang w:val="en-US" w:eastAsia="zh-CN" w:bidi="ar"/>
              </w:rPr>
              <w:t>财政依法处以采购金额 5‰—10‰罚款、记入不良记录，1—3 年内禁止参与政府采购，有违法所得予以没收，涉嫌犯罪移送司法</w:t>
            </w:r>
            <w:r>
              <w:rPr>
                <w:rFonts w:hint="eastAsia" w:ascii="宋体" w:hAnsi="宋体" w:eastAsia="宋体" w:cs="宋体"/>
                <w:color w:val="000000"/>
                <w:kern w:val="0"/>
                <w:sz w:val="28"/>
                <w:szCs w:val="28"/>
                <w:highlight w:val="yellow"/>
                <w:lang w:val="en-US" w:eastAsia="zh-CN" w:bidi="ar"/>
              </w:rPr>
              <w:t>机关处理</w:t>
            </w:r>
            <w:r>
              <w:rPr>
                <w:rFonts w:ascii="宋体" w:hAnsi="宋体" w:eastAsia="宋体" w:cs="宋体"/>
                <w:color w:val="000000"/>
                <w:kern w:val="0"/>
                <w:sz w:val="28"/>
                <w:szCs w:val="28"/>
                <w:highlight w:val="yellow"/>
                <w:lang w:val="en-US" w:eastAsia="zh-CN" w:bidi="ar"/>
              </w:rPr>
              <w:t xml:space="preserve">； </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color w:val="000000"/>
                <w:sz w:val="28"/>
                <w:szCs w:val="28"/>
                <w:highlight w:val="yellow"/>
              </w:rPr>
            </w:pPr>
            <w:r>
              <w:rPr>
                <w:rFonts w:hint="eastAsia" w:ascii="宋体" w:hAnsi="宋体" w:eastAsia="宋体" w:cs="宋体"/>
                <w:color w:val="000000"/>
                <w:kern w:val="0"/>
                <w:sz w:val="28"/>
                <w:szCs w:val="28"/>
                <w:highlight w:val="yellow"/>
                <w:lang w:val="en-US" w:eastAsia="zh-CN" w:bidi="ar"/>
              </w:rPr>
              <w:t>4.</w:t>
            </w:r>
            <w:r>
              <w:rPr>
                <w:rFonts w:ascii="宋体" w:hAnsi="宋体" w:eastAsia="宋体" w:cs="宋体"/>
                <w:color w:val="000000"/>
                <w:kern w:val="0"/>
                <w:sz w:val="28"/>
                <w:szCs w:val="28"/>
                <w:highlight w:val="yellow"/>
                <w:lang w:val="en-US" w:eastAsia="zh-CN" w:bidi="ar"/>
              </w:rPr>
              <w:t>行政处罚与本合同民事补偿性违约金分属不同法律责任，可同时主张，不构成重复追责。</w:t>
            </w:r>
          </w:p>
          <w:p>
            <w:pPr>
              <w:pStyle w:val="00000b"/>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8"/>
                <w:szCs w:val="28"/>
                <w:highlight w:val="yellow"/>
              </w:rPr>
            </w:pPr>
            <w:r>
              <w:rPr>
                <w:color w:val="000000"/>
                <w:sz w:val="28"/>
                <w:szCs w:val="28"/>
                <w:highlight w:val="yellow"/>
              </w:rPr>
              <w:t>七、验收合规依据</w:t>
            </w:r>
          </w:p>
          <w:p>
            <w:pPr>
              <w:keepNext w:val="0"/>
              <w:keepLines w:val="0"/>
              <w:widowControl w:val="1"/>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60" w:firstLineChars="200"/>
              <w:jc w:val="left"/>
              <w:rPr>
                <w:rFonts w:ascii="宋体" w:hAnsi="宋体" w:eastAsia="宋体" w:cs="宋体"/>
                <w:sz w:val="28"/>
                <w:szCs w:val="28"/>
              </w:rPr>
            </w:pPr>
            <w:r>
              <w:rPr>
                <w:rFonts w:ascii="宋体" w:hAnsi="宋体" w:eastAsia="宋体" w:cs="宋体"/>
                <w:color w:val="000000"/>
                <w:kern w:val="0"/>
                <w:sz w:val="28"/>
                <w:szCs w:val="28"/>
                <w:highlight w:val="yellow"/>
                <w:lang w:val="en-US" w:eastAsia="zh-CN" w:bidi="ar"/>
              </w:rPr>
              <w:t>本项目全流程验收、整改、违约处置遵照《政府采购法》《政府采购法实施条例》、财库〔2016〕205 号、自财规〔2023〕2 号、采购文件、采购合同及投标文件执行；供货、质量等其他普通履约违约情形，按合同通用条款另行处理，且通用条款约定不得与本条虚假材料重大违约处置规则相抵触。</w:t>
            </w:r>
          </w:p>
        </w:tc>
      </w:tr>
      <w:tr>
        <w:trPr>
          <w:trHeight w:val="443" w:hRule="atLeast"/>
          <w:jc w:val="center"/>
        </w:trPr>
        <w:tc>
          <w:tcPr>
            <w:tcW w:w="498" w:type="dxa"/>
            <w:vAlign w:val="center"/>
          </w:tcPr>
          <w:p>
            <w:pPr>
              <w:adjustRightInd w:val="0"/>
              <w:snapToGrid w:val="0"/>
              <w:spacing w:line="360" w:lineRule="auto"/>
              <w:jc w:val="center"/>
              <w:rPr>
                <w:rFonts w:ascii="宋体" w:hAnsi="宋体" w:eastAsia="宋体" w:cs="宋体"/>
                <w:sz w:val="28"/>
                <w:szCs w:val="28"/>
              </w:rPr>
            </w:pPr>
            <w:r>
              <w:rPr>
                <w:rFonts w:hint="eastAsia" w:ascii="宋体" w:hAnsi="宋体" w:cs="宋体"/>
                <w:sz w:val="28"/>
                <w:szCs w:val="28"/>
              </w:rPr>
              <w:t>7</w:t>
            </w:r>
          </w:p>
        </w:tc>
        <w:tc>
          <w:tcPr>
            <w:tcW w:w="869" w:type="dxa"/>
            <w:vAlign w:val="center"/>
          </w:tcPr>
          <w:p>
            <w:pPr>
              <w:adjustRightInd w:val="0"/>
              <w:snapToGrid w:val="0"/>
              <w:spacing w:line="360" w:lineRule="auto"/>
              <w:jc w:val="center"/>
              <w:rPr>
                <w:rFonts w:ascii="宋体" w:hAnsi="宋体" w:eastAsia="宋体" w:cs="宋体"/>
                <w:color w:val="FF0000"/>
                <w:sz w:val="28"/>
                <w:szCs w:val="28"/>
              </w:rPr>
            </w:pPr>
            <w:r>
              <w:rPr>
                <w:rFonts w:hint="eastAsia" w:ascii="宋体" w:hAnsi="宋体" w:eastAsia="宋体" w:cs="宋体"/>
                <w:color w:val="FF0000"/>
                <w:sz w:val="28"/>
                <w:szCs w:val="28"/>
              </w:rPr>
              <w:t>★</w:t>
            </w:r>
          </w:p>
        </w:tc>
        <w:tc>
          <w:tcPr>
            <w:tcW w:w="1066" w:type="dxa"/>
            <w:vAlign w:val="center"/>
          </w:tcPr>
          <w:p>
            <w:pPr>
              <w:adjustRightInd w:val="0"/>
              <w:snapToGrid w:val="0"/>
              <w:spacing w:line="360" w:lineRule="auto"/>
              <w:jc w:val="center"/>
              <w:rPr>
                <w:rFonts w:ascii="宋体" w:hAnsi="宋体" w:cs="宋体"/>
                <w:sz w:val="28"/>
                <w:szCs w:val="28"/>
              </w:rPr>
            </w:pPr>
            <w:r>
              <w:rPr>
                <w:sz w:val="28"/>
                <w:szCs w:val="28"/>
              </w:rPr>
              <w:t>质量保修范围和保修期</w:t>
            </w:r>
          </w:p>
        </w:tc>
        <w:tc>
          <w:tcPr>
            <w:tcW w:w="8200" w:type="dxa"/>
          </w:tcPr>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1 质量保修范围</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1.1 免费保修情形</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质保期内，因设备主板、CPU、内存、硬盘、显示器等硬件存在材料、工艺缺陷，或原厂预装操作系统、驱动程序存在设计缺陷造成设备故障、损坏的，供应商免费提供维修、原厂配件更换、上门人工服务，不收取任何费用。</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保修服务包含原厂合规配件更换、软硬件故障排查修复、整机功能检测恢复；质保期内免费提供系统安全漏洞修复、预装软件程序错误修正、必要功能优化升级，采购人无需另行支付软件运维相关费用。</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1.2 质保除外责任</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以下情形造成设备故障、损坏，不属于免费保修范畴，维修、配件相关费用由采购人自行承担：人为磕碰、外力损毁、私自拆机改装、加装非原厂配件、违规操作、雷击、水灾等不可抗力损坏。</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2 质量保修期</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2.1 整机（主机 + 显示器）原厂免费质保不少于 3 年，质保期内提供原厂工程师上门服务；质保起算时间为双方完成设备验收合格并交付使用当日；分批次供货的，单批次设备质保自该批次验收合格之日分别起算。</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2.2 若设备原厂计划停产本型号产品，供应商须提前 1 年书面告知采购人；设备停产后，自最后一批设备交付之日起不少于 6 年持续提供备品备件，或提供兼容换代产品保障使用。</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2.3 设备核心零部件存在供应短缺风险时，供应商第一时间书面告知采购人并出具配套保障方案；投标人须在响应文件中提交供应链稳定承诺书，承诺全服务周期零部件稳定供货。</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 维修服务</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3.1 远程技术支持</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3.1.1 质保期内提供 7×24 小时全天候远程技术支持，开通电话、电子邮箱、即时通讯、线上远程诊断多服务渠道，投标人在响应文件列明全部官方联系方式。</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3.1.2 远程服务团队具备整机故障处置能力，快速定位故障并提供操作指导，复杂故障及时升级专项工程师处理，保障服务高效专业。</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3.1.3 供应商具备全国标准化原厂服务网点体系，提供原厂中文技术服务。</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3.2 现场维修服务</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3.2.1 全年无休上门维保；市区范围内采购人报修后 30 分钟维修人员抵达现场，内存、硬盘等常用备件现场备存，硬件故障须 4 小时内排除；偏远县域路途耗时，双方可协商合理顺延响应时限。</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供应商须在响应文件中自行编制并提交售后服务承诺函，采购文件、投标响应文件、采购合同售后条款具备同等约束力。若供应商实际服务标准低于投标承诺，视为违约。采购人出具书面整改通知，供应商须在收到通知 7 日内整改达标。</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违约责任：逾期未完成整改，单次支付合同总金额 0.3% 违约金；逾期超过 3 日，每日按合同总金额 0.2% 计收违约金；本条违约金累计总额最高不超过合同总金额 10%。违约金不足以覆盖设备停机损失、人工成本、第三方维修费用等全部实际损失的，供应商另行补足差额；采购人有权自行委托第三方维修，全部费用由供应商承担。</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3.2.2 现场维修实行全流程闭环管理：故障受理、到场检测、制定维修方案、原厂配件更换、整机性能复测、留存完整维修记录；维修全过程落实数据安全防护，不得造成采购人数据丢失、损毁。</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3.2.3 维修排查发现设备安全隐患、运行潜在风险的，供应商须书面告知采购人并同步提供防范、整改方案。</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3.2.4 维修完工后，供应商向采购人提交正式维修报告，载明故障原因、处置措施、后期运维建议，经采购人签字确认后方闭环。</w:t>
            </w:r>
          </w:p>
          <w:p>
            <w:pPr>
              <w:spacing w:line="52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yellow"/>
              </w:rPr>
              <w:t>4 安全责任约定</w:t>
            </w:r>
          </w:p>
          <w:p>
            <w:pPr>
              <w:spacing w:line="520" w:lineRule="exact"/>
              <w:ind w:firstLine="560" w:firstLineChars="200"/>
              <w:rPr>
                <w:rFonts w:ascii="仿宋" w:hAnsi="仿宋" w:eastAsia="仿宋" w:cs="仿宋"/>
                <w:sz w:val="28"/>
                <w:szCs w:val="28"/>
              </w:rPr>
            </w:pPr>
            <w:r>
              <w:rPr>
                <w:rFonts w:hint="eastAsia" w:ascii="宋体" w:hAnsi="宋体" w:eastAsia="宋体" w:cs="宋体"/>
                <w:sz w:val="28"/>
                <w:szCs w:val="28"/>
                <w:highlight w:val="yellow"/>
              </w:rPr>
              <w:t>设备送货、安装、维修全实施周期内，供应商全权负责己方作业人员、施工工具、配套设备人身及财产安全；作业期间发生一切安全事故、人身伤害、财产损失，全部经济、法律责任由供应商独立承担，与采购人无关。</w:t>
            </w:r>
          </w:p>
        </w:tc>
      </w:tr>
      <w:tr>
        <w:trPr>
          <w:trHeight w:val="443" w:hRule="atLeast"/>
          <w:jc w:val="center"/>
        </w:trPr>
        <w:tc>
          <w:tcPr>
            <w:tcW w:w="498" w:type="dxa"/>
            <w:vAlign w:val="center"/>
          </w:tcPr>
          <w:p>
            <w:pPr>
              <w:adjustRightInd w:val="0"/>
              <w:snapToGrid w:val="0"/>
              <w:spacing w:line="360" w:lineRule="auto"/>
              <w:jc w:val="center"/>
              <w:rPr>
                <w:rFonts w:ascii="宋体" w:hAnsi="宋体" w:eastAsia="宋体" w:cs="宋体"/>
                <w:sz w:val="28"/>
                <w:szCs w:val="28"/>
              </w:rPr>
            </w:pPr>
            <w:r>
              <w:rPr>
                <w:rFonts w:hint="eastAsia" w:ascii="宋体" w:hAnsi="宋体" w:cs="宋体"/>
                <w:sz w:val="28"/>
                <w:szCs w:val="28"/>
              </w:rPr>
              <w:t>9</w:t>
            </w:r>
          </w:p>
        </w:tc>
        <w:tc>
          <w:tcPr>
            <w:tcW w:w="869" w:type="dxa"/>
            <w:vAlign w:val="center"/>
          </w:tcPr>
          <w:p>
            <w:pPr>
              <w:adjustRightInd w:val="0"/>
              <w:snapToGrid w:val="0"/>
              <w:spacing w:line="360" w:lineRule="auto"/>
              <w:jc w:val="center"/>
              <w:rPr>
                <w:rFonts w:ascii="宋体" w:hAnsi="宋体" w:eastAsia="宋体" w:cs="宋体"/>
                <w:color w:val="FF0000"/>
                <w:sz w:val="28"/>
                <w:szCs w:val="28"/>
              </w:rPr>
            </w:pPr>
            <w:r>
              <w:rPr>
                <w:rFonts w:hint="eastAsia" w:ascii="宋体" w:hAnsi="宋体" w:eastAsia="宋体" w:cs="宋体"/>
                <w:color w:val="FF0000"/>
                <w:sz w:val="28"/>
                <w:szCs w:val="28"/>
              </w:rPr>
              <w:t>★</w:t>
            </w:r>
          </w:p>
        </w:tc>
        <w:tc>
          <w:tcPr>
            <w:tcW w:w="1066" w:type="dxa"/>
            <w:vAlign w:val="center"/>
          </w:tcPr>
          <w:p>
            <w:pPr>
              <w:adjustRightInd w:val="0"/>
              <w:snapToGrid w:val="0"/>
              <w:spacing w:line="360" w:lineRule="auto"/>
              <w:rPr>
                <w:rFonts w:ascii="Times New Roman" w:hAnsi="Times New Roman" w:cs="Times New Roman"/>
                <w:sz w:val="28"/>
                <w:szCs w:val="28"/>
              </w:rPr>
            </w:pPr>
            <w:r>
              <w:rPr>
                <w:rFonts w:ascii="Times New Roman" w:hAnsi="Times New Roman" w:cs="Times New Roman"/>
                <w:sz w:val="28"/>
                <w:szCs w:val="28"/>
              </w:rPr>
              <w:t>包装方式及运输</w:t>
            </w:r>
          </w:p>
        </w:tc>
        <w:tc>
          <w:tcPr>
            <w:tcW w:w="8200" w:type="dxa"/>
          </w:tcPr>
          <w:p>
            <w:pPr>
              <w:spacing w:line="520" w:lineRule="exact"/>
              <w:ind w:firstLine="560" w:firstLineChars="200"/>
              <w:rPr>
                <w:rFonts w:ascii="Times New Roman" w:hAnsi="Times New Roman" w:cs="Times New Roman"/>
                <w:sz w:val="28"/>
                <w:szCs w:val="28"/>
              </w:rPr>
            </w:pPr>
            <w:r>
              <w:rPr>
                <w:rFonts w:hint="eastAsia" w:ascii="仿宋" w:hAnsi="仿宋" w:eastAsia="仿宋" w:cs="仿宋"/>
                <w:sz w:val="28"/>
                <w:szCs w:val="28"/>
              </w:rPr>
              <w:t>涉及的商品包装和快递包装，均应符合</w:t>
            </w:r>
            <w:r>
              <w:rPr>
                <w:rFonts w:ascii="仿宋" w:hAnsi="仿宋" w:eastAsia="仿宋" w:cs="仿宋"/>
                <w:i w:val="0"/>
                <w:strike w:val="0"/>
                <w:color w:val="FF0000"/>
                <w:spacing w:val="0"/>
                <w:sz w:val="28"/>
                <w:u w:val="none"/>
              </w:rPr>
              <w:t>GB/T 9813.1-2016</w:t>
            </w:r>
            <w:r>
              <w:rPr>
                <w:rFonts w:hint="eastAsia" w:ascii="仿宋" w:hAnsi="仿宋" w:eastAsia="仿宋" w:cs="仿宋"/>
                <w:color w:val="FF0000"/>
                <w:sz w:val="28"/>
                <w:szCs w:val="28"/>
              </w:rPr>
              <w:t>和</w:t>
            </w:r>
            <w:r>
              <w:rPr>
                <w:rFonts w:hint="eastAsia" w:ascii="仿宋" w:hAnsi="仿宋" w:eastAsia="仿宋" w:cs="仿宋"/>
                <w:sz w:val="28"/>
                <w:szCs w:val="28"/>
              </w:rPr>
              <w:t>《商品包装政府采购需求标准（试行）》《快递包装政府采购需求标准（试行）》的要求，包装应适应于远距离运输、防潮、防震、防锈和防野蛮装卸，以确保货物安全无损运抵指定地点。</w:t>
            </w:r>
          </w:p>
        </w:tc>
      </w:tr>
    </w:tbl>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四、其他说明</w:t>
      </w:r>
    </w:p>
    <w:p>
      <w:pPr>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本项目其余采购内容、数量、预算、交货期限、付款方式不作调整，仅更正上述强制节能约束、全套技术参数、商务验收及售后条款，请贵中心按照政府采购法律法规及程序发布采购更正公告。</w:t>
      </w:r>
    </w:p>
    <w:p>
      <w:pPr>
        <w:adjustRightInd w:val="0"/>
        <w:snapToGrid w:val="0"/>
        <w:spacing w:line="360" w:lineRule="auto"/>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特此说明</w:t>
      </w:r>
    </w:p>
    <w:p>
      <w:pPr>
        <w:ind w:firstLine="600" w:firstLineChars="200"/>
        <w:jc w:val="right"/>
        <w:rPr>
          <w:rFonts w:ascii="仿宋" w:hAnsi="仿宋" w:eastAsia="仿宋" w:cs="仿宋"/>
          <w:b w:val="0"/>
          <w:bCs w:val="0"/>
          <w:sz w:val="30"/>
          <w:szCs w:val="30"/>
        </w:rPr>
      </w:pPr>
      <w:r>
        <w:rPr>
          <w:rFonts w:hint="eastAsia" w:ascii="仿宋" w:hAnsi="仿宋" w:eastAsia="仿宋" w:cs="仿宋"/>
          <w:b w:val="0"/>
          <w:bCs w:val="0"/>
          <w:sz w:val="30"/>
          <w:szCs w:val="30"/>
        </w:rPr>
        <w:t xml:space="preserve">                             采购人</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盖章）</w:t>
      </w:r>
      <w:r>
        <w:rPr>
          <w:rFonts w:hint="eastAsia" w:ascii="仿宋" w:hAnsi="仿宋" w:eastAsia="仿宋" w:cs="仿宋"/>
          <w:b w:val="0"/>
          <w:bCs w:val="0"/>
          <w:sz w:val="30"/>
          <w:szCs w:val="30"/>
        </w:rPr>
        <w:t xml:space="preserve">：荣县人民医院         </w:t>
      </w:r>
    </w:p>
    <w:p>
      <w:pPr>
        <w:jc w:val="right"/>
        <w:rPr>
          <w:rFonts w:ascii="仿宋" w:hAnsi="仿宋" w:eastAsia="仿宋" w:cs="仿宋"/>
          <w:b w:val="0"/>
          <w:bCs w:val="0"/>
          <w:sz w:val="30"/>
          <w:szCs w:val="30"/>
        </w:rPr>
      </w:pPr>
      <w:r>
        <w:rPr>
          <w:rFonts w:hint="eastAsia" w:ascii="仿宋" w:hAnsi="仿宋" w:eastAsia="仿宋" w:cs="仿宋"/>
          <w:b w:val="0"/>
          <w:bCs w:val="0"/>
          <w:sz w:val="30"/>
          <w:szCs w:val="30"/>
        </w:rPr>
        <w:t>2026年</w:t>
      </w: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20</w:t>
      </w:r>
      <w:r>
        <w:rPr>
          <w:rFonts w:hint="eastAsia" w:ascii="仿宋" w:hAnsi="仿宋" w:eastAsia="仿宋" w:cs="仿宋"/>
          <w:b w:val="0"/>
          <w:bCs w:val="0"/>
          <w:sz w:val="30"/>
          <w:szCs w:val="30"/>
        </w:rPr>
        <w:t xml:space="preserve">日 </w:t>
      </w:r>
    </w:p>
    <w:sectPr>
      <w:footerReference r:id="rId4" w:type="default"/>
      <w:pgSz w:w="11906" w:h="16838"/>
      <w:pgMar w:top="1304" w:right="1361" w:bottom="1304" w:left="1417" w:header="851" w:footer="992" w:gutter="0"/>
      <w:cols w:space="0" w:num="1"/>
      <w:rtlGutter w:val="0"/>
      <w:docGrid w:type="lines" w:linePitch="312" w:charSpace="0"/>
    </w:sectPr>
  </w:body>
</w:document>
</file>

<file path=word/fontTable.xml><?xml version="1.0" encoding="utf-8"?>
<w:fonts xmlns:w="http://schemas.openxmlformats.org/wordprocessingml/2006/main">
  <w:font w:name="Symbol">
    <w:panose1 w:val="05050102010706020507"/>
    <w:charset w:val="02" w:characterSet="ISO-8859-1"/>
    <w:family w:val="roman"/>
    <w:pitch w:val="default"/>
    <w:sig w:usb0="00000000" w:usb1="00000000" w:usb2="00000000" w:usb3="00000000" w:csb0="80000000" w:csb1="00000000"/>
  </w:font>
  <w:font w:name="黑体">
    <w:panose1 w:val="02010609060101010101"/>
    <w:charset w:val="86" w:characterSet="ISO-8859-1"/>
    <w:family w:val="auto"/>
    <w:pitch w:val="default"/>
    <w:sig w:usb0="800002BF" w:usb1="38CF7CFA" w:usb2="00000016" w:usb3="00000000" w:csb0="00040001" w:csb1="00000000"/>
  </w:font>
  <w:font w:name="宋体">
    <w:panose1 w:val="02010600030101010101"/>
    <w:charset w:val="80" w:characterSet="ISO-8859-1"/>
    <w:family w:val="roman"/>
    <w:pitch w:val="default"/>
    <w:sig w:usb0="00000003" w:usb1="288F0000" w:usb2="00000006"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仿宋_GB2312">
    <w:panose1 w:val="02010609030101010101"/>
    <w:charset w:val="86" w:characterSet="ISO-8859-1"/>
    <w:family w:val="roman"/>
    <w:pitch w:val="default"/>
    <w:sig w:usb0="00000001" w:usb1="080E0000" w:usb2="00000000" w:usb3="00000000" w:csb0="00040000" w:csb1="00000000"/>
  </w:font>
  <w:font w:name="Courier New">
    <w:panose1 w:val="02070309020205020404"/>
    <w:charset w:val="01" w:characterSet="ISO-8859-1"/>
    <w:family w:val="modern"/>
    <w:pitch w:val="default"/>
    <w:sig w:usb0="E0002EFF" w:usb1="C0007843" w:usb2="00000009" w:usb3="00000000" w:csb0="400001FF" w:csb1="FFFF0000"/>
  </w:font>
  <w:font w:name="Calibri">
    <w:panose1 w:val="020F0502020204030204"/>
    <w:charset w:val="00" w:characterSet="ISO-8859-1"/>
    <w:family w:val="swiss"/>
    <w:pitch w:val="default"/>
    <w:sig w:usb0="E4002EFF" w:usb1="C000247B" w:usb2="00000009" w:usb3="00000000" w:csb0="200001FF" w:csb1="00000000"/>
  </w:font>
  <w:font w:name="楷体">
    <w:panose1 w:val="02010609060101010101"/>
    <w:charset w:val="86" w:characterSet="ISO-8859-1"/>
    <w:family w:val="modern"/>
    <w:pitch w:val="default"/>
    <w:sig w:usb0="800002BF" w:usb1="38CF7CFA" w:usb2="00000016" w:usb3="00000000" w:csb0="00040001" w:csb1="00000000"/>
  </w:font>
  <w:font w:name="仿宋">
    <w:panose1 w:val="02010609060101010101"/>
    <w:charset w:val="86" w:characterSet="ISO-8859-1"/>
    <w:family w:val="modern"/>
    <w:pitch w:val="default"/>
    <w:sig w:usb0="800002BF" w:usb1="38CF7CFA" w:usb2="00000016" w:usb3="00000000" w:csb0="00040001" w:csb1="00000000"/>
  </w:font>
  <w:font w:name="方正小标宋简体">
    <w:panose1 w:val="02000000000000000000"/>
    <w:charset w:val="86" w:characterSet="ISO-8859-1"/>
    <w:family w:val="auto"/>
    <w:pitch w:val="default"/>
    <w:sig w:usb0="00000001" w:usb1="080E0000" w:usb2="00000000" w:usb3="00000000" w:csb0="00040000" w:csb1="00000000"/>
  </w:font>
  <w:font w:name="Wingdings">
    <w:panose1 w:val="05000000000000000000"/>
    <w:charset w:val="02" w:characterSet="ISO-8859-1"/>
    <w:family w:val="auto"/>
    <w:pitch w:val="default"/>
    <w:sig w:usb0="00000000" w:usb1="00000000" w:usb2="00000000" w:usb3="00000000" w:csb0="80000000" w:csb1="00000000"/>
  </w:font>
  <w:font w:name="MS PGothic">
    <w:panose1 w:val="020B0600070205080204"/>
    <w:charset w:val="80" w:characterSet="ISO-8859-1"/>
    <w:family w:val="auto"/>
    <w:pitch w:val="default"/>
    <w:sig w:usb0="E00002FF" w:usb1="6AC7FDFB" w:usb2="08000012" w:usb3="00000000" w:csb0="4002009F" w:csb1="DFD70000"/>
  </w:font>
  <w:font w:name="Times New Roman">
    <w:panose1 w:val="02020603050405020304"/>
    <w:charset w:val="01" w:characterSet="ISO-8859-1"/>
    <w:family w:val="swiss"/>
    <w:pitch w:val="default"/>
    <w:sig w:usb0="E0002EFF" w:usb1="C000785B" w:usb2="00000009" w:usb3="00000000" w:csb0="400001FF" w:csb1="FFFF0000"/>
  </w:font>
</w:fonts>
</file>

<file path=word/footer1.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xmlns:mc="http://schemas.openxmlformats.org/markup-compatibility/2006" mc:Ignorable="wps">
  <w:p>
    <w:pPr>
      <w:pStyle w:val="000006"/>
      <w:rPr/>
    </w:pPr>
    <w:r>
      <w:rPr/>
      <w:drawing>
        <wp:anchor distT="0" distB="0" distL="114300" distR="114300" simplePos="0" relativeHeight="251659264" behindDoc="0" locked="0" layoutInCell="1" allowOverlap="1">
          <wp:simplePos x="0" y="0"/>
          <wp:positionH relativeFrom="margin">
            <wp:align>center</wp:align>
          </wp:positionH>
          <wp:positionV relativeFrom="paragraph">
            <wp:posOffset>-56515</wp:posOffset>
          </wp:positionV>
          <wp:extent cx="546735" cy="202565"/>
          <wp:effectExtent l="0" t="0" r="0" b="0"/>
          <wp:wrapNone/>
          <wp:docPr id="2" name="文本框 1"/>
          <wp:cNvGraphicFramePr/>
          <a:graphic>
            <a:graphicData uri="http://schemas.microsoft.com/office/word/2010/wordprocessingShape">
              <wps:wsp>
                <wps:cNvSpPr txBox="1"/>
                <wps:spPr>
                  <a:xfrm>
                    <a:off x="0" y="0"/>
                    <a:ext cx="546735" cy="202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000006"/>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34</w:t>
                      </w:r>
                      <w:r>
                        <w:rPr>
                          <w:rFonts w:hint="eastAsia" w:ascii="宋体" w:hAnsi="宋体" w:eastAsia="宋体" w:cs="宋体"/>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w:r>
  </w:p>
</w:ftr>
</file>

<file path=word/settings.xml><?xml version="1.0" encoding="utf-8"?>
<w:settings xmlns:w="http://schemas.openxmlformats.org/wordprocessingml/2006/main">
  <w:zoom w:percent="110"/>
  <w:embedTrueTypeFonts w:val="1"/>
  <w:saveSubsetFont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val="1"/>
    <w:balanceSingleByteDoubleByteWidth w:val="1"/>
    <w:doNotLeaveBackslashAlone w:val="1"/>
    <w:ulTrailSpace w:val="1"/>
    <w:doNotExpandShiftReturn w:val="1"/>
    <w:adjustLineHeightInTable w:val="1"/>
    <w:doNotWrapTextWithPunct w:val="1"/>
    <w:doNotUseEastAsianBreakRules w:val="1"/>
    <w:useFELayout w:val="1"/>
    <w:doNotUseIndentAsNumberingTabStop w:val="1"/>
    <w:compatSetting w:name="compatibilityMode" w:uri="http://schemas.microsoft.com/office/word" w:val="14"/>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docVars>
    <w:docVar w:name="commondata" w:val="eyJoZGlkIjoiZjc4ZTZmZTUyOGM3MjIwNjY3MGQ1N2Q3YmViMmZlZjMifQ=="/>
  </w:docVars>
  <w:rsids>
    <w:rsidRoot w:val="35330B1E"/>
    <w:rsid w:val="00237D38"/>
    <w:rsid w:val="002D30C8"/>
    <w:rsid w:val="003363CB"/>
    <w:rsid w:val="00463881"/>
    <w:rsid w:val="006F2425"/>
    <w:rsid w:val="00740B71"/>
    <w:rsid w:val="00DD3F67"/>
    <w:rsid w:val="00E14D51"/>
    <w:rsid w:val="014A7F84"/>
    <w:rsid w:val="017279B4"/>
    <w:rsid w:val="019B2124"/>
    <w:rsid w:val="06B22B66"/>
    <w:rsid w:val="07B45450"/>
    <w:rsid w:val="092E0CD1"/>
    <w:rsid w:val="09305239"/>
    <w:rsid w:val="0A3F260D"/>
    <w:rsid w:val="0B3C7415"/>
    <w:rsid w:val="0BF733E6"/>
    <w:rsid w:val="0C012C2E"/>
    <w:rsid w:val="0C5B6B9F"/>
    <w:rsid w:val="0C84528C"/>
    <w:rsid w:val="0D413D61"/>
    <w:rsid w:val="0D836B4E"/>
    <w:rsid w:val="0D847672"/>
    <w:rsid w:val="0DA61673"/>
    <w:rsid w:val="10805AA1"/>
    <w:rsid w:val="115E259A"/>
    <w:rsid w:val="131B2D33"/>
    <w:rsid w:val="13A825EE"/>
    <w:rsid w:val="147D5253"/>
    <w:rsid w:val="155228A7"/>
    <w:rsid w:val="15871B27"/>
    <w:rsid w:val="16745F1C"/>
    <w:rsid w:val="16C62844"/>
    <w:rsid w:val="17AC799A"/>
    <w:rsid w:val="18826EA4"/>
    <w:rsid w:val="18C379E3"/>
    <w:rsid w:val="18EE0096"/>
    <w:rsid w:val="1AC111F1"/>
    <w:rsid w:val="1BBE1FA1"/>
    <w:rsid w:val="1E5906A7"/>
    <w:rsid w:val="1F226CEB"/>
    <w:rsid w:val="25E45494"/>
    <w:rsid w:val="26713F97"/>
    <w:rsid w:val="270F3FF9"/>
    <w:rsid w:val="28A658A2"/>
    <w:rsid w:val="28EE67E4"/>
    <w:rsid w:val="29565F0F"/>
    <w:rsid w:val="2A4F7E0A"/>
    <w:rsid w:val="2B7C6BA5"/>
    <w:rsid w:val="2B7E52A9"/>
    <w:rsid w:val="2BFF7FF6"/>
    <w:rsid w:val="2DD25EDA"/>
    <w:rsid w:val="2DD7BD78"/>
    <w:rsid w:val="2E254102"/>
    <w:rsid w:val="2FB45DA8"/>
    <w:rsid w:val="303625F7"/>
    <w:rsid w:val="30B869ED"/>
    <w:rsid w:val="318F411A"/>
    <w:rsid w:val="31F8055A"/>
    <w:rsid w:val="326A2A2B"/>
    <w:rsid w:val="32DA24A4"/>
    <w:rsid w:val="32DF3843"/>
    <w:rsid w:val="33942334"/>
    <w:rsid w:val="33FF7E26"/>
    <w:rsid w:val="35330B1E"/>
    <w:rsid w:val="35837E1C"/>
    <w:rsid w:val="35AF14F4"/>
    <w:rsid w:val="35DBCBBE"/>
    <w:rsid w:val="3621411C"/>
    <w:rsid w:val="362A5DD8"/>
    <w:rsid w:val="362C2DB3"/>
    <w:rsid w:val="367904EE"/>
    <w:rsid w:val="38194C17"/>
    <w:rsid w:val="39A304B5"/>
    <w:rsid w:val="3B915D5D"/>
    <w:rsid w:val="3C1501DD"/>
    <w:rsid w:val="3CA222A5"/>
    <w:rsid w:val="3D255ECD"/>
    <w:rsid w:val="3DFDBAA6"/>
    <w:rsid w:val="3F927BD8"/>
    <w:rsid w:val="403578AC"/>
    <w:rsid w:val="41A82E83"/>
    <w:rsid w:val="42601651"/>
    <w:rsid w:val="437668FE"/>
    <w:rsid w:val="43C71A8C"/>
    <w:rsid w:val="45D65FB6"/>
    <w:rsid w:val="46AB11F1"/>
    <w:rsid w:val="47CF2AC2"/>
    <w:rsid w:val="486F4958"/>
    <w:rsid w:val="48DA16BE"/>
    <w:rsid w:val="4A940ACB"/>
    <w:rsid w:val="4AC26E26"/>
    <w:rsid w:val="4BF93E64"/>
    <w:rsid w:val="4CC224DE"/>
    <w:rsid w:val="4DA44C4C"/>
    <w:rsid w:val="4DA90A72"/>
    <w:rsid w:val="4F2C6881"/>
    <w:rsid w:val="4F7820DF"/>
    <w:rsid w:val="4FFFB0E0"/>
    <w:rsid w:val="5022151D"/>
    <w:rsid w:val="509A7656"/>
    <w:rsid w:val="50C555A5"/>
    <w:rsid w:val="5104493C"/>
    <w:rsid w:val="515D3A2F"/>
    <w:rsid w:val="5257C0DA"/>
    <w:rsid w:val="5305612D"/>
    <w:rsid w:val="536554BD"/>
    <w:rsid w:val="547A66A6"/>
    <w:rsid w:val="55617254"/>
    <w:rsid w:val="55A902B7"/>
    <w:rsid w:val="584410E0"/>
    <w:rsid w:val="59F24150"/>
    <w:rsid w:val="5A7B0A82"/>
    <w:rsid w:val="5A7E2320"/>
    <w:rsid w:val="5B779C0D"/>
    <w:rsid w:val="5BC71948"/>
    <w:rsid w:val="5C425CFC"/>
    <w:rsid w:val="5CBC2827"/>
    <w:rsid w:val="5CCA2355"/>
    <w:rsid w:val="5D7D83E9"/>
    <w:rsid w:val="5DB372CD"/>
    <w:rsid w:val="5E3E0745"/>
    <w:rsid w:val="5E5F7E14"/>
    <w:rsid w:val="5EA76ED8"/>
    <w:rsid w:val="5EE74882"/>
    <w:rsid w:val="5F020C85"/>
    <w:rsid w:val="5F7D1D36"/>
    <w:rsid w:val="5FB1124F"/>
    <w:rsid w:val="611D6540"/>
    <w:rsid w:val="61395C5D"/>
    <w:rsid w:val="618C48B8"/>
    <w:rsid w:val="62EC473A"/>
    <w:rsid w:val="63350368"/>
    <w:rsid w:val="65115816"/>
    <w:rsid w:val="65400B82"/>
    <w:rsid w:val="68C843B3"/>
    <w:rsid w:val="69244237"/>
    <w:rsid w:val="69FD5FE0"/>
    <w:rsid w:val="6A453394"/>
    <w:rsid w:val="6AC63F9C"/>
    <w:rsid w:val="6B0F5943"/>
    <w:rsid w:val="6BD7686D"/>
    <w:rsid w:val="6C727F37"/>
    <w:rsid w:val="6CDE55CC"/>
    <w:rsid w:val="6EDF3063"/>
    <w:rsid w:val="6FB6638D"/>
    <w:rsid w:val="703A7855"/>
    <w:rsid w:val="70433998"/>
    <w:rsid w:val="70C60FC5"/>
    <w:rsid w:val="719F7A29"/>
    <w:rsid w:val="71FC3BE3"/>
    <w:rsid w:val="7507318D"/>
    <w:rsid w:val="75373A5F"/>
    <w:rsid w:val="758D248C"/>
    <w:rsid w:val="75D9EFCD"/>
    <w:rsid w:val="767B213E"/>
    <w:rsid w:val="770832B4"/>
    <w:rsid w:val="771C566F"/>
    <w:rsid w:val="77321CB7"/>
    <w:rsid w:val="77BE6F40"/>
    <w:rsid w:val="77DE56AC"/>
    <w:rsid w:val="789D62D5"/>
    <w:rsid w:val="78C7785D"/>
    <w:rsid w:val="78F76413"/>
    <w:rsid w:val="7A6D76D0"/>
    <w:rsid w:val="7AAF20B0"/>
    <w:rsid w:val="7AF28230"/>
    <w:rsid w:val="7BFFF464"/>
    <w:rsid w:val="7C453018"/>
    <w:rsid w:val="7C8C2247"/>
    <w:rsid w:val="7CCF242E"/>
    <w:rsid w:val="7E4610A0"/>
    <w:rsid w:val="7EA41343"/>
    <w:rsid w:val="8FC72CD2"/>
    <w:rsid w:val="9BEEE958"/>
    <w:rsid w:val="9C7FB8C6"/>
    <w:rsid w:val="A8F939FF"/>
    <w:rsid w:val="AFBE5CE0"/>
    <w:rsid w:val="B0E14219"/>
    <w:rsid w:val="B3DF7B19"/>
    <w:rsid w:val="BDAF1EA8"/>
    <w:rsid w:val="BDCE81C4"/>
    <w:rsid w:val="BEDE4917"/>
    <w:rsid w:val="CDD0315F"/>
    <w:rsid w:val="DEEEBE02"/>
    <w:rsid w:val="DFFACFFC"/>
    <w:rsid w:val="ECB65978"/>
    <w:rsid w:val="F7477ED0"/>
    <w:rsid w:val="FBE0F329"/>
    <w:rsid w:val="FBEDC05D"/>
    <w:rsid w:val="FDF1DE48"/>
    <w:rsid w:val="FE7FF085"/>
    <w:rsid w:val="FF6F1221"/>
    <w:rsid w:val="FFBBA0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0" w:defUIPriority="99" w:defSemiHidden="1" w:defUnhideWhenUsed="1" w:defQFormat="0" w:count="260">
    <w:lsdException w:name="endnote text" w:uiPriority="0" w:semiHidden="0" w:unhideWhenUsed="0"/>
    <w:lsdException w:name="toc 8" w:uiPriority="0" w:semiHidden="0" w:unhideWhenUsed="0"/>
    <w:lsdException w:name="toc 3" w:uiPriority="0" w:semiHidden="0" w:unhideWhenUsed="0"/>
    <w:lsdException w:name="HTML Address" w:uiPriority="0" w:semiHidden="0" w:unhideWhenUsed="0"/>
    <w:lsdException w:name="Signature" w:uiPriority="0" w:semiHidden="0" w:unhideWhenUsed="0"/>
    <w:lsdException w:name="Table Grid 6" w:uiPriority="0" w:semiHidden="0" w:unhideWhenUsed="0"/>
    <w:lsdException w:name="Table Theme" w:uiPriority="0" w:semiHidden="0" w:unhideWhenUsed="0"/>
    <w:lsdException w:name="Note Heading" w:uiPriority="0" w:semiHidden="0" w:unhideWhenUsed="0"/>
    <w:lsdException w:name="heading 7" w:uiPriority="0" w:qFormat="1"/>
    <w:lsdException w:name="Medium List 2" w:uiPriority="66" w:semiHidden="0" w:unhideWhenUsed="0"/>
    <w:lsdException w:name="Medium List 2 Accent 4" w:uiPriority="66" w:semiHidden="0" w:unhideWhenUsed="0"/>
    <w:lsdException w:name="Medium List 2 Accent 3" w:uiPriority="66" w:semiHidden="0" w:unhideWhenUsed="0"/>
    <w:lsdException w:name="HTML Keyboard" w:uiPriority="0" w:semiHidden="0" w:unhideWhenUsed="0"/>
    <w:lsdException w:name="Light Shading Accent 6" w:uiPriority="60" w:semiHidden="0" w:unhideWhenUsed="0"/>
    <w:lsdException w:name="Colorful Shading Accent 1" w:uiPriority="71" w:semiHidden="0" w:unhideWhenUsed="0"/>
    <w:lsdException w:name="Light Shading Accent 1" w:uiPriority="60" w:semiHidden="0" w:unhideWhenUsed="0"/>
    <w:lsdException w:name="List Number 3" w:uiPriority="0" w:semiHidden="0" w:unhideWhenUsed="0"/>
    <w:lsdException w:name="Medium Shading 1 Accent 5" w:uiPriority="63" w:semiHidden="0" w:unhideWhenUsed="0"/>
    <w:lsdException w:name="List Number 4" w:uiPriority="0" w:semiHidden="0" w:unhideWhenUsed="0"/>
    <w:lsdException w:name="Medium Grid 3 Accent 6" w:uiPriority="69" w:semiHidden="0" w:unhideWhenUsed="0"/>
    <w:lsdException w:name="Colorful Grid Accent 6" w:uiPriority="73" w:semiHidden="0" w:unhideWhenUsed="0"/>
    <w:lsdException w:name="Medium Grid 3 Accent 5" w:uiPriority="69" w:semiHidden="0" w:unhideWhenUsed="0"/>
    <w:lsdException w:name="Light Grid Accent 6" w:uiPriority="62" w:semiHidden="0" w:unhideWhenUsed="0"/>
    <w:lsdException w:name="Light Grid Accent 1" w:uiPriority="62" w:semiHidden="0" w:unhideWhenUsed="0"/>
    <w:lsdException w:name="Medium Shading 2 Accent 6" w:uiPriority="64" w:semiHidden="0" w:unhideWhenUsed="0"/>
    <w:lsdException w:name="Medium Shading 2 Accent 1" w:uiPriority="64" w:semiHidden="0" w:unhideWhenUsed="0"/>
    <w:lsdException w:name="Colorful Grid Accent 1" w:uiPriority="73" w:semiHidden="0" w:unhideWhenUsed="0"/>
    <w:lsdException w:name="Medium List 2 Accent 5" w:uiPriority="66" w:semiHidden="0" w:unhideWhenUsed="0"/>
    <w:lsdException w:name="index 4" w:uiPriority="0" w:semiHidden="0" w:unhideWhenUsed="0"/>
    <w:lsdException w:name="index 3" w:uiPriority="0" w:semiHidden="0" w:unhideWhenUsed="0"/>
    <w:lsdException w:name="Normal Indent" w:uiPriority="0" w:semiHidden="0" w:unhideWhenUsed="0"/>
    <w:lsdException w:name="Table Web 2" w:uiPriority="0" w:semiHidden="0" w:unhideWhenUsed="0"/>
    <w:lsdException w:name="Colorful List" w:uiPriority="72" w:semiHidden="0" w:unhideWhenUsed="0"/>
    <w:lsdException w:name="Emphasis" w:uiPriority="0" w:semiHidden="0" w:unhideWhenUsed="0" w:qFormat="1"/>
    <w:lsdException w:name="Medium Grid 1 Accent 1" w:uiPriority="67" w:semiHidden="0" w:unhideWhenUsed="0"/>
    <w:lsdException w:name="List" w:uiPriority="0" w:semiHidden="0" w:unhideWhenUsed="0"/>
    <w:lsdException w:name="Table Elegant" w:uiPriority="0" w:semiHidden="0" w:unhideWhenUsed="0"/>
    <w:lsdException w:name="Light List" w:uiPriority="61" w:semiHidden="0" w:unhideWhenUsed="0"/>
    <w:lsdException w:name="Message Header" w:uiPriority="0" w:semiHidden="0" w:unhideWhenUsed="0"/>
    <w:lsdException w:name="Table List 1" w:uiPriority="0" w:semiHidden="0" w:unhideWhenUsed="0"/>
    <w:lsdException w:name="Table Colorful 3" w:uiPriority="0" w:semiHidden="0" w:unhideWhenUsed="0"/>
    <w:lsdException w:name="macro" w:uiPriority="0" w:semiHidden="0" w:unhideWhenUsed="0"/>
    <w:lsdException w:name="List 3" w:uiPriority="0" w:semiHidden="0" w:unhideWhenUsed="0"/>
    <w:lsdException w:name="toc 2" w:uiPriority="0" w:semiHidden="0" w:unhideWhenUsed="0"/>
    <w:lsdException w:name="Table 3D effects 2" w:uiPriority="0" w:semiHidden="0" w:unhideWhenUsed="0"/>
    <w:lsdException w:name="heading 9" w:uiPriority="0" w:qFormat="1"/>
    <w:lsdException w:name="Medium Grid 1 Accent 3" w:uiPriority="67" w:semiHidden="0" w:unhideWhenUsed="0"/>
    <w:lsdException w:name="Body Text Indent 2" w:uiPriority="0" w:semiHidden="0" w:unhideWhenUsed="0" w:qFormat="1"/>
    <w:lsdException w:name="Colorful List Accent 4" w:uiPriority="72" w:semiHidden="0" w:unhideWhenUsed="0"/>
    <w:lsdException w:name="List Continue" w:uiPriority="0" w:semiHidden="0" w:unhideWhenUsed="0"/>
    <w:lsdException w:name="heading 6" w:uiPriority="0" w:qFormat="1"/>
    <w:lsdException w:name="heading 1" w:uiPriority="0" w:semiHidden="0" w:unhideWhenUsed="0" w:qFormat="1"/>
    <w:lsdException w:name="Table Simple 1" w:uiPriority="0" w:semiHidden="0" w:unhideWhenUsed="0"/>
    <w:lsdException w:name="Plain Text" w:uiPriority="0" w:semiHidden="0" w:unhideWhenUsed="0"/>
    <w:lsdException w:name="Dark List Accent 5" w:uiPriority="70" w:semiHidden="0" w:unhideWhenUsed="0"/>
    <w:lsdException w:name="Light List Accent 5" w:uiPriority="61" w:semiHidden="0" w:unhideWhenUsed="0"/>
    <w:lsdException w:name="annotation text" w:uiPriority="0" w:semiHidden="0" w:qFormat="1"/>
    <w:lsdException w:name="List Bullet 5" w:uiPriority="0" w:semiHidden="0" w:unhideWhenUsed="0"/>
    <w:lsdException w:name="Medium Grid 1 Accent 6" w:uiPriority="67" w:semiHidden="0" w:unhideWhenUsed="0"/>
    <w:lsdException w:name="Table Contemporary" w:uiPriority="0" w:semiHidden="0" w:unhideWhenUsed="0"/>
    <w:lsdException w:name="heading 8" w:uiPriority="0" w:qFormat="1"/>
    <w:lsdException w:name="heading 3" w:uiPriority="0" w:qFormat="1"/>
    <w:lsdException w:name="Dark List Accent 6" w:uiPriority="70" w:semiHidden="0" w:unhideWhenUsed="0"/>
    <w:lsdException w:name="Medium Shading 1 Accent 4" w:uiPriority="63" w:semiHidden="0" w:unhideWhenUsed="0"/>
    <w:lsdException w:name="Medium Grid 3 Accent 4" w:uiPriority="69" w:semiHidden="0" w:unhideWhenUsed="0"/>
    <w:lsdException w:name="Medium Grid 3 Accent 3" w:uiPriority="69" w:semiHidden="0" w:unhideWhenUsed="0"/>
    <w:lsdException w:name="HTML Sample" w:uiPriority="0" w:semiHidden="0" w:unhideWhenUsed="0"/>
    <w:lsdException w:name="Light List Accent 4" w:uiPriority="61" w:semiHidden="0" w:unhideWhenUsed="0"/>
    <w:lsdException w:name="Medium Grid 3 Accent 2" w:uiPriority="69" w:semiHidden="0" w:unhideWhenUsed="0"/>
    <w:lsdException w:name="Medium List 1 Accent 1" w:uiPriority="65" w:semiHidden="0" w:unhideWhenUsed="0"/>
    <w:lsdException w:name="List Continue 2" w:uiPriority="0" w:semiHidden="0" w:unhideWhenUsed="0"/>
    <w:lsdException w:name="Normal" w:uiPriority="0" w:semiHidden="0" w:unhideWhenUsed="0" w:qFormat="1"/>
    <w:lsdException w:name="Medium Grid 2 Accent 2" w:uiPriority="68" w:semiHidden="0" w:unhideWhenUsed="0"/>
    <w:lsdException w:name="Colorful Shading Accent 3" w:uiPriority="71" w:semiHidden="0" w:unhideWhenUsed="0"/>
    <w:lsdException w:name="Colorful List Accent 6" w:uiPriority="72" w:semiHidden="0" w:unhideWhenUsed="0"/>
    <w:lsdException w:name="line number" w:uiPriority="0" w:semiHidden="0" w:unhideWhenUsed="0"/>
    <w:lsdException w:name="Colorful List Accent 1" w:uiPriority="72" w:semiHidden="0" w:unhideWhenUsed="0"/>
    <w:lsdException w:name="List 2" w:uiPriority="0" w:semiHidden="0" w:unhideWhenUsed="0"/>
    <w:lsdException w:name="List 5" w:uiPriority="0" w:semiHidden="0" w:unhideWhenUsed="0"/>
    <w:lsdException w:name="Medium Grid 1 Accent 2" w:uiPriority="67" w:semiHidden="0" w:unhideWhenUsed="0"/>
    <w:lsdException w:name="Medium Shading 1 Accent 3" w:uiPriority="63" w:semiHidden="0" w:unhideWhenUsed="0"/>
    <w:lsdException w:name="HTML Acronym" w:uiPriority="0" w:semiHidden="0" w:unhideWhenUsed="0"/>
    <w:lsdException w:name="List Number 5" w:uiPriority="0" w:semiHidden="0" w:unhideWhenUsed="0"/>
    <w:lsdException w:name="Light Grid Accent 3" w:uiPriority="62" w:semiHidden="0" w:unhideWhenUsed="0"/>
    <w:lsdException w:name="Table Colorful 1" w:uiPriority="0" w:semiHidden="0" w:unhideWhenUsed="0"/>
    <w:lsdException w:name="index 2" w:uiPriority="0" w:semiHidden="0" w:unhideWhenUsed="0"/>
    <w:lsdException w:name="index 9" w:uiPriority="0" w:semiHidden="0" w:unhideWhenUsed="0"/>
    <w:lsdException w:name="index 1" w:uiPriority="0" w:semiHidden="0" w:unhideWhenUsed="0"/>
    <w:lsdException w:name="Medium Shading 1 Accent 2" w:uiPriority="63" w:semiHidden="0" w:unhideWhenUsed="0"/>
    <w:lsdException w:name="Table Subtle 2" w:uiPriority="0" w:semiHidden="0" w:unhideWhenUsed="0"/>
    <w:lsdException w:name="Medium Shading 1 Accent 1" w:uiPriority="63" w:semiHidden="0" w:unhideWhenUsed="0"/>
    <w:lsdException w:name="Dark List Accent 4" w:uiPriority="70" w:semiHidden="0" w:unhideWhenUsed="0"/>
    <w:lsdException w:name="List Bullet 4" w:uiPriority="0" w:semiHidden="0" w:unhideWhenUsed="0"/>
    <w:lsdException w:name="heading 2" w:uiPriority="0" w:semiHidden="0" w:qFormat="1"/>
    <w:lsdException w:name="Strong" w:uiPriority="0" w:semiHidden="0" w:unhideWhenUsed="0" w:qFormat="1"/>
    <w:lsdException w:name="Table List 8" w:uiPriority="0" w:semiHidden="0" w:unhideWhenUsed="0"/>
    <w:lsdException w:name="toc 4" w:uiPriority="0" w:semiHidden="0" w:unhideWhenUsed="0"/>
    <w:lsdException w:name="Table List 3" w:uiPriority="0" w:semiHidden="0" w:unhideWhenUsed="0"/>
    <w:lsdException w:name="Light Grid" w:uiPriority="62" w:semiHidden="0" w:unhideWhenUsed="0"/>
    <w:lsdException w:name="Default Paragraph Font" w:uiPriority="1" w:qFormat="1"/>
    <w:lsdException w:name="Normal (Web)" w:uiPriority="0" w:semiHidden="0" w:unhideWhenUsed="0" w:qFormat="1"/>
    <w:lsdException w:name="Table 3D effects 3" w:uiPriority="0" w:semiHidden="0" w:unhideWhenUsed="0"/>
    <w:lsdException w:name="Table Colorful 2" w:uiPriority="0" w:semiHidden="0" w:unhideWhenUsed="0"/>
    <w:lsdException w:name="Table Grid 1" w:uiPriority="0" w:semiHidden="0" w:unhideWhenUsed="0"/>
    <w:lsdException w:name="HTML Variable" w:uiPriority="0" w:semiHidden="0" w:unhideWhenUsed="0"/>
    <w:lsdException w:name="List 4" w:uiPriority="0" w:semiHidden="0" w:unhideWhenUsed="0"/>
    <w:lsdException w:name="Medium Shading 1" w:uiPriority="63" w:semiHidden="0" w:unhideWhenUsed="0"/>
    <w:lsdException w:name="List Continue 3" w:uiPriority="0" w:semiHidden="0" w:unhideWhenUsed="0"/>
    <w:lsdException w:name="Medium Grid 2 Accent 3" w:uiPriority="68" w:semiHidden="0" w:unhideWhenUsed="0"/>
    <w:lsdException w:name="Dark List Accent 3" w:uiPriority="70" w:semiHidden="0" w:unhideWhenUsed="0"/>
    <w:lsdException w:name="Colorful Shading Accent 2" w:uiPriority="71" w:semiHidden="0" w:unhideWhenUsed="0"/>
    <w:lsdException w:name="Colorful Shading Accent 5" w:uiPriority="71" w:semiHidden="0" w:unhideWhenUsed="0"/>
    <w:lsdException w:name="Hyperlink" w:uiPriority="0" w:semiHidden="0" w:unhideWhenUsed="0"/>
    <w:lsdException w:name="index heading" w:uiPriority="0" w:semiHidden="0" w:unhideWhenUsed="0"/>
    <w:lsdException w:name="List Number" w:uiPriority="0" w:semiHidden="0" w:unhideWhenUsed="0"/>
    <w:lsdException w:name="Body Text First Indent" w:uiPriority="99" w:semiHidden="0" w:qFormat="1"/>
    <w:lsdException w:name="Light Grid Accent 2" w:uiPriority="62" w:semiHidden="0" w:unhideWhenUsed="0"/>
    <w:lsdException w:name="Light Grid Accent 5" w:uiPriority="62" w:semiHidden="0" w:unhideWhenUsed="0"/>
    <w:lsdException w:name="index 8" w:uiPriority="0" w:semiHidden="0" w:unhideWhenUsed="0"/>
    <w:lsdException w:name="E-mail Signature" w:uiPriority="0" w:semiHidden="0" w:unhideWhenUsed="0"/>
    <w:lsdException w:name="HTML Definition" w:uiPriority="0" w:semiHidden="0" w:unhideWhenUsed="0"/>
    <w:lsdException w:name="Medium List 2 Accent 6" w:uiPriority="66" w:semiHidden="0" w:unhideWhenUsed="0"/>
    <w:lsdException w:name="index 7" w:uiPriority="0" w:semiHidden="0" w:unhideWhenUsed="0"/>
    <w:lsdException w:name="Colorful Grid" w:uiPriority="73" w:semiHidden="0" w:unhideWhenUsed="0"/>
    <w:lsdException w:name="Light Shading Accent 3" w:uiPriority="60" w:semiHidden="0" w:unhideWhenUsed="0"/>
    <w:lsdException w:name="Dark List Accent 2" w:uiPriority="70" w:semiHidden="0" w:unhideWhenUsed="0"/>
    <w:lsdException w:name="Colorful Shading Accent 4" w:uiPriority="71" w:semiHidden="0" w:unhideWhenUsed="0"/>
    <w:lsdException w:name="Colorful Shading" w:uiPriority="71" w:semiHidden="0" w:unhideWhenUsed="0"/>
    <w:lsdException w:name="Medium List 1 Accent 3" w:uiPriority="65" w:semiHidden="0" w:unhideWhenUsed="0"/>
    <w:lsdException w:name="Medium Shading 2 Accent 4" w:uiPriority="64" w:semiHidden="0" w:unhideWhenUsed="0"/>
    <w:lsdException w:name="Medium Grid 2 Accent 4" w:uiPriority="68" w:semiHidden="0" w:unhideWhenUsed="0"/>
    <w:lsdException w:name="Light List Accent 1" w:uiPriority="61" w:semiHidden="0" w:unhideWhenUsed="0"/>
    <w:lsdException w:name="Light Grid Accent 4" w:uiPriority="62" w:semiHidden="0" w:unhideWhenUsed="0"/>
    <w:lsdException w:name="HTML Code" w:uiPriority="0" w:semiHidden="0" w:unhideWhenUsed="0"/>
    <w:lsdException w:name="Table List 2" w:uiPriority="0" w:semiHidden="0" w:unhideWhenUsed="0"/>
    <w:lsdException w:name="index 6" w:uiPriority="0" w:semiHidden="0" w:unhideWhenUsed="0"/>
    <w:lsdException w:name="envelope address" w:uiPriority="0" w:semiHidden="0" w:unhideWhenUsed="0"/>
    <w:lsdException w:name="Table 3D effects 1" w:uiPriority="0" w:semiHidden="0" w:unhideWhenUsed="0"/>
    <w:lsdException w:name="endnote reference" w:uiPriority="0" w:semiHidden="0" w:unhideWhenUsed="0"/>
    <w:lsdException w:name="Colorful Grid Accent 3" w:uiPriority="73" w:semiHidden="0" w:unhideWhenUsed="0"/>
    <w:lsdException w:name="Medium Grid 1 Accent 4" w:uiPriority="67" w:semiHidden="0" w:unhideWhenUsed="0"/>
    <w:lsdException w:name="Light List Accent 6" w:uiPriority="61" w:semiHidden="0" w:unhideWhenUsed="0"/>
    <w:lsdException w:name="toc 5" w:uiPriority="0" w:semiHidden="0" w:unhideWhenUsed="0"/>
    <w:lsdException w:name="Body Text Indent 3" w:uiPriority="0" w:semiHidden="0" w:unhideWhenUsed="0"/>
    <w:lsdException w:name="Subtitle" w:uiPriority="0" w:semiHidden="0" w:unhideWhenUsed="0" w:qFormat="1"/>
    <w:lsdException w:name="List Bullet 2" w:uiPriority="0" w:semiHidden="0" w:unhideWhenUsed="0"/>
    <w:lsdException w:name="heading 4" w:uiPriority="0" w:semiHidden="0" w:qFormat="1"/>
    <w:lsdException w:name="Table Columns 4" w:uiPriority="0" w:semiHidden="0" w:unhideWhenUsed="0"/>
    <w:lsdException w:name="table of figures" w:uiPriority="0" w:semiHidden="0" w:unhideWhenUsed="0"/>
    <w:lsdException w:name="Table List 5" w:uiPriority="0" w:semiHidden="0" w:unhideWhenUsed="0"/>
    <w:lsdException w:name="Medium List 1" w:uiPriority="65" w:semiHidden="0" w:unhideWhenUsed="0"/>
    <w:lsdException w:name="Medium Grid 2" w:uiPriority="68" w:semiHidden="0" w:unhideWhenUsed="0"/>
    <w:lsdException w:name="HTML Cite" w:uiPriority="0" w:semiHidden="0" w:unhideWhenUsed="0"/>
    <w:lsdException w:name="Table Grid 3" w:uiPriority="0" w:semiHidden="0" w:unhideWhenUsed="0"/>
    <w:lsdException w:name="Table Grid 8" w:uiPriority="0" w:semiHidden="0" w:unhideWhenUsed="0"/>
    <w:lsdException w:name="Colorful Shading Accent 6" w:uiPriority="71" w:semiHidden="0" w:unhideWhenUsed="0"/>
    <w:lsdException w:name="Light Shading Accent 2" w:uiPriority="60" w:semiHidden="0" w:unhideWhenUsed="0"/>
    <w:lsdException w:name="Light Shading Accent 5" w:uiPriority="60" w:semiHidden="0" w:unhideWhenUsed="0"/>
    <w:lsdException w:name="Medium List 1 Accent 2" w:uiPriority="65" w:semiHidden="0" w:unhideWhenUsed="0"/>
    <w:lsdException w:name="Salutation" w:uiPriority="0" w:semiHidden="0" w:unhideWhenUsed="0"/>
    <w:lsdException w:name="Table Classic 3" w:uiPriority="0" w:semiHidden="0" w:unhideWhenUsed="0"/>
    <w:lsdException w:name="Medium Shading 2 Accent 2" w:uiPriority="64" w:semiHidden="0" w:unhideWhenUsed="0"/>
    <w:lsdException w:name="Table List 7" w:uiPriority="0" w:semiHidden="0" w:unhideWhenUsed="0"/>
    <w:lsdException w:name="Medium Grid 3 Accent 1" w:uiPriority="69" w:semiHidden="0" w:unhideWhenUsed="0"/>
    <w:lsdException w:name="Medium Shading 2 Accent 5" w:uiPriority="64" w:semiHidden="0" w:unhideWhenUsed="0"/>
    <w:lsdException w:name="Colorful Grid Accent 5" w:uiPriority="73" w:semiHidden="0" w:unhideWhenUsed="0"/>
    <w:lsdException w:name="footnote reference" w:uiPriority="0" w:semiHidden="0" w:unhideWhenUsed="0"/>
    <w:lsdException w:name="Colorful Grid Accent 2" w:uiPriority="73" w:semiHidden="0" w:unhideWhenUsed="0"/>
    <w:lsdException w:name="Table Classic 4" w:uiPriority="0" w:semiHidden="0" w:unhideWhenUsed="0"/>
    <w:lsdException w:name="Table List 4" w:uiPriority="0" w:semiHidden="0" w:unhideWhenUsed="0"/>
    <w:lsdException w:name="Dark List" w:uiPriority="70" w:semiHidden="0" w:unhideWhenUsed="0"/>
    <w:lsdException w:name="List Continue 5" w:uiPriority="0" w:semiHidden="0" w:unhideWhenUsed="0"/>
    <w:lsdException w:name="Medium Grid 1 Accent 5" w:uiPriority="67" w:semiHidden="0" w:unhideWhenUsed="0"/>
    <w:lsdException w:name="FollowedHyperlink" w:uiPriority="0" w:semiHidden="0" w:unhideWhenUsed="0"/>
    <w:lsdException w:name="Table Web 1" w:uiPriority="0" w:semiHidden="0" w:unhideWhenUsed="0"/>
    <w:lsdException w:name="Title" w:uiPriority="0" w:semiHidden="0" w:unhideWhenUsed="0" w:qFormat="1"/>
    <w:lsdException w:name="Table Professional" w:uiPriority="0" w:semiHidden="0" w:unhideWhenUsed="0"/>
    <w:lsdException w:name="page number" w:uiPriority="0" w:semiHidden="0" w:unhideWhenUsed="0" w:qFormat="1"/>
    <w:lsdException w:name="Table Simple 3" w:uiPriority="0" w:semiHidden="0" w:unhideWhenUsed="0"/>
    <w:lsdException w:name="Medium Shading 1 Accent 6" w:uiPriority="63" w:semiHidden="0" w:unhideWhenUsed="0"/>
    <w:lsdException w:name="Body Text 3" w:uiPriority="0" w:semiHidden="0" w:unhideWhenUsed="0"/>
    <w:lsdException w:name="List Bullet 3" w:uiPriority="0" w:semiHidden="0" w:unhideWhenUsed="0"/>
    <w:lsdException w:name="Medium List 1 Accent 5" w:uiPriority="65" w:semiHidden="0" w:unhideWhenUsed="0"/>
    <w:lsdException w:name="Table Subtle 1" w:uiPriority="0" w:semiHidden="0" w:unhideWhenUsed="0"/>
    <w:lsdException w:name="Colorful List Accent 3" w:uiPriority="72" w:semiHidden="0" w:unhideWhenUsed="0"/>
    <w:lsdException w:name="Medium Grid 2 Accent 6" w:uiPriority="68" w:semiHidden="0" w:unhideWhenUsed="0"/>
    <w:lsdException w:name="Table Columns 5" w:uiPriority="0" w:semiHidden="0" w:unhideWhenUsed="0"/>
    <w:lsdException w:name="Table Columns 2" w:uiPriority="0" w:semiHidden="0" w:unhideWhenUsed="0"/>
    <w:lsdException w:name="heading 5" w:uiPriority="0" w:semiHidden="0" w:qFormat="1"/>
    <w:lsdException w:name="caption" w:uiPriority="0" w:qFormat="1"/>
    <w:lsdException w:name="Medium Grid 2 Accent 5" w:uiPriority="68" w:semiHidden="0" w:unhideWhenUsed="0"/>
    <w:lsdException w:name="Medium Grid 3" w:uiPriority="69" w:semiHidden="0" w:unhideWhenUsed="0"/>
    <w:lsdException w:name="Table Simple 2" w:uiPriority="0" w:semiHidden="0" w:unhideWhenUsed="0"/>
    <w:lsdException w:name="toc 7" w:uiPriority="0" w:semiHidden="0" w:unhideWhenUsed="0"/>
    <w:lsdException w:name="Light List Accent 3" w:uiPriority="61" w:semiHidden="0" w:unhideWhenUsed="0"/>
    <w:lsdException w:name="Normal Table" w:uiPriority="99" w:qFormat="1"/>
    <w:lsdException w:name="Closing" w:uiPriority="0" w:semiHidden="0" w:unhideWhenUsed="0"/>
    <w:lsdException w:name="Table Grid 2" w:uiPriority="0" w:semiHidden="0" w:unhideWhenUsed="0"/>
    <w:lsdException w:name="Medium List 1 Accent 4" w:uiPriority="65" w:semiHidden="0" w:unhideWhenUsed="0"/>
    <w:lsdException w:name="Table Grid 5" w:uiPriority="0" w:semiHidden="0" w:unhideWhenUsed="0"/>
    <w:lsdException w:name="annotation subject" w:uiPriority="0" w:semiHidden="0" w:unhideWhenUsed="0"/>
    <w:lsdException w:name="Block Text" w:uiPriority="0" w:semiHidden="0" w:unhideWhenUsed="0"/>
    <w:lsdException w:name="Balloon Text" w:uiPriority="0" w:semiHidden="0" w:unhideWhenUsed="0" w:qFormat="1"/>
    <w:lsdException w:name="Dark List Accent 1" w:uiPriority="70" w:semiHidden="0" w:unhideWhenUsed="0"/>
    <w:lsdException w:name="Table List 6" w:uiPriority="0" w:semiHidden="0" w:unhideWhenUsed="0"/>
    <w:lsdException w:name="Table Columns 3" w:uiPriority="0" w:semiHidden="0" w:unhideWhenUsed="0"/>
    <w:lsdException w:name="Medium Shading 2" w:uiPriority="64" w:semiHidden="0" w:unhideWhenUsed="0"/>
    <w:lsdException w:name="Body Text First Indent 2" w:uiPriority="0" w:semiHidden="0" w:unhideWhenUsed="0"/>
    <w:lsdException w:name="Table Grid 7" w:uiPriority="0" w:semiHidden="0" w:unhideWhenUsed="0"/>
    <w:lsdException w:name="List Continue 4" w:uiPriority="0" w:semiHidden="0" w:unhideWhenUsed="0"/>
    <w:lsdException w:name="Body Text" w:uiPriority="0" w:semiHidden="0" w:unhideWhenUsed="0" w:qFormat="1"/>
    <w:lsdException w:name="Table Grid 4" w:uiPriority="0" w:semiHidden="0" w:unhideWhenUsed="0"/>
    <w:lsdException w:name="Body Text Indent" w:uiPriority="0" w:semiHidden="0" w:unhideWhenUsed="0"/>
    <w:lsdException w:name="Table Grid" w:uiPriority="59" w:semiHidden="0" w:unhideWhenUsed="0" w:qFormat="1"/>
    <w:lsdException w:name="Medium List 2 Accent 2" w:uiPriority="66" w:semiHidden="0" w:unhideWhenUsed="0"/>
    <w:lsdException w:name="header" w:uiPriority="0" w:semiHidden="0" w:unhideWhenUsed="0" w:qFormat="1"/>
    <w:lsdException w:name="Medium List 1 Accent 6" w:uiPriority="65" w:semiHidden="0" w:unhideWhenUsed="0"/>
    <w:lsdException w:name="footnote text" w:uiPriority="0" w:semiHidden="0" w:unhideWhenUsed="0"/>
    <w:lsdException w:name="Medium List 2 Accent 1" w:uiPriority="66" w:semiHidden="0" w:unhideWhenUsed="0"/>
    <w:lsdException w:name="toa heading" w:uiPriority="0" w:semiHidden="0" w:unhideWhenUsed="0"/>
    <w:lsdException w:name="Medium Grid 2 Accent 1" w:uiPriority="68" w:semiHidden="0" w:unhideWhenUsed="0"/>
    <w:lsdException w:name="Medium Grid 1" w:uiPriority="67" w:semiHidden="0" w:unhideWhenUsed="0"/>
    <w:lsdException w:name="Colorful List Accent 2" w:uiPriority="72" w:semiHidden="0" w:unhideWhenUsed="0"/>
    <w:lsdException w:name="table of authorities" w:uiPriority="0" w:semiHidden="0" w:unhideWhenUsed="0"/>
    <w:lsdException w:name="Colorful List Accent 5" w:uiPriority="72" w:semiHidden="0" w:unhideWhenUsed="0"/>
    <w:lsdException w:name="HTML Preformatted" w:uiPriority="0" w:semiHidden="0" w:unhideWhenUsed="0"/>
    <w:lsdException w:name="Light Shading" w:uiPriority="60" w:semiHidden="0" w:unhideWhenUsed="0"/>
    <w:lsdException w:name="envelope return" w:uiPriority="0" w:semiHidden="0" w:unhideWhenUsed="0"/>
    <w:lsdException w:name="Body Text 2" w:uiPriority="0" w:semiHidden="0" w:unhideWhenUsed="0"/>
    <w:lsdException w:name="Light Shading Accent 4" w:uiPriority="60" w:semiHidden="0" w:unhideWhenUsed="0"/>
    <w:lsdException w:name="Date" w:uiPriority="0" w:semiHidden="0" w:unhideWhenUsed="0"/>
    <w:lsdException w:name="Document Map" w:uiPriority="0" w:semiHidden="0" w:unhideWhenUsed="0"/>
    <w:lsdException w:name="Table Classic 2" w:uiPriority="0" w:semiHidden="0" w:unhideWhenUsed="0"/>
    <w:lsdException w:name="Medium Shading 2 Accent 3" w:uiPriority="64" w:semiHidden="0" w:unhideWhenUsed="0"/>
    <w:lsdException w:name="List Number 2" w:uiPriority="0" w:semiHidden="0" w:unhideWhenUsed="0"/>
    <w:lsdException w:name="annotation reference" w:uiPriority="0" w:semiHidden="0" w:unhideWhenUsed="0" w:qFormat="1"/>
    <w:lsdException w:name="Table Classic 1" w:uiPriority="0" w:semiHidden="0" w:unhideWhenUsed="0"/>
    <w:lsdException w:name="footer" w:uiPriority="0" w:semiHidden="0" w:unhideWhenUsed="0" w:qFormat="1"/>
    <w:lsdException w:name="toc 9" w:uiPriority="0" w:semiHidden="0" w:unhideWhenUsed="0"/>
    <w:lsdException w:name="index 5" w:uiPriority="0" w:semiHidden="0" w:unhideWhenUsed="0"/>
    <w:lsdException w:name="Colorful Grid Accent 4" w:uiPriority="73" w:semiHidden="0" w:unhideWhenUsed="0"/>
    <w:lsdException w:name="HTML Typewriter" w:uiPriority="0" w:semiHidden="0" w:unhideWhenUsed="0"/>
    <w:lsdException w:name="Table Web 3" w:uiPriority="0" w:semiHidden="0" w:unhideWhenUsed="0"/>
    <w:lsdException w:name="Light List Accent 2" w:uiPriority="61" w:semiHidden="0" w:unhideWhenUsed="0"/>
    <w:lsdException w:name="List Bullet" w:uiPriority="0" w:semiHidden="0" w:unhideWhenUsed="0"/>
    <w:lsdException w:name="toc 6" w:uiPriority="0" w:semiHidden="0" w:unhideWhenUsed="0"/>
    <w:lsdException w:name="toc 1" w:uiPriority="0" w:semiHidden="0" w:unhideWhenUsed="0"/>
    <w:lsdException w:name="Table Columns 1" w:uiPriority="0" w:semiHidden="0" w:unhideWhenUsed="0"/>
  </w:latentStyles>
  <w:style w:type="paragraph" w:styleId="00000d">
    <w:name w:val="heading 4"/>
    <w:basedOn w:val="000008"/>
    <w:next w:val="000008"/>
    <w:uiPriority w:val="0"/>
    <w:unhideWhenUsed w:val="1"/>
    <w:qFormat w:val="1"/>
    <w:pPr>
      <w:spacing w:beforeAutospacing="1" w:afterAutospacing="1"/>
      <w:jc w:val="left"/>
      <w:outlineLvl w:val="3"/>
    </w:pPr>
    <w:rPr>
      <w:rFonts w:hint="eastAsia" w:ascii="宋体" w:hAnsi="宋体" w:eastAsia="宋体" w:cs="Times New Roman"/>
      <w:b w:val="1"/>
      <w:bCs w:val="1"/>
      <w:kern w:val="0"/>
      <w:sz w:val="24"/>
    </w:rPr>
  </w:style>
  <w:style w:type="character" w:styleId="00001b">
    <w:name w:val="annotation reference"/>
    <w:basedOn w:val="00000f"/>
    <w:uiPriority w:val="0"/>
    <w:qFormat w:val="1"/>
    <w:rPr>
      <w:sz w:val="21"/>
      <w:szCs w:val="21"/>
    </w:rPr>
  </w:style>
  <w:style w:type="character" w:styleId="00000f" w:default="1">
    <w:name w:val="Default Paragraph Font"/>
    <w:uiPriority w:val="1"/>
    <w:semiHidden w:val="1"/>
    <w:unhideWhenUsed w:val="1"/>
    <w:qFormat w:val="1"/>
  </w:style>
  <w:style w:type="paragraph" w:styleId="000015">
    <w:name w:val="header"/>
    <w:basedOn w:val="000008"/>
    <w:uiPriority w:val="0"/>
    <w:qFormat w:val="1"/>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000017">
    <w:name w:val="Body Text First Indent"/>
    <w:basedOn w:val="000012"/>
    <w:next w:val="000008"/>
    <w:uiPriority w:val="99"/>
    <w:unhideWhenUsed w:val="1"/>
    <w:qFormat w:val="1"/>
    <w:pPr>
      <w:ind w:firstLine="420" w:firstLineChars="100"/>
    </w:pPr>
  </w:style>
  <w:style w:type="paragraph" w:styleId="000013">
    <w:name w:val="Balloon Text"/>
    <w:basedOn w:val="000008"/>
    <w:link w:val="000014"/>
    <w:uiPriority w:val="0"/>
    <w:qFormat w:val="1"/>
    <w:rPr>
      <w:sz w:val="18"/>
      <w:szCs w:val="18"/>
    </w:rPr>
  </w:style>
  <w:style w:type="character" w:styleId="000014" w:customStyle="1">
    <w:name w:val="批注框文本 Char"/>
    <w:basedOn w:val="00000f"/>
    <w:link w:val="000013"/>
    <w:uiPriority w:val="0"/>
    <w:qFormat w:val="1"/>
    <w:rPr>
      <w:rFonts w:asciiTheme="minorHAnsi" w:hAnsiTheme="minorHAnsi" w:eastAsiaTheme="minorEastAsia" w:cstheme="minorBidi"/>
      <w:kern w:val="2"/>
      <w:sz w:val="18"/>
      <w:szCs w:val="18"/>
    </w:rPr>
  </w:style>
  <w:style w:type="character" w:styleId="000019">
    <w:name w:val="Strong"/>
    <w:basedOn w:val="00000f"/>
    <w:uiPriority w:val="0"/>
    <w:qFormat w:val="1"/>
    <w:rPr>
      <w:b w:val="1"/>
    </w:rPr>
  </w:style>
  <w:style w:type="character" w:styleId="00001a">
    <w:name w:val="page number"/>
    <w:basedOn w:val="00000f"/>
    <w:uiPriority w:val="0"/>
    <w:qFormat w:val="1"/>
  </w:style>
  <w:style w:type="paragraph" w:styleId="00000b">
    <w:name w:val="heading 2"/>
    <w:basedOn w:val="000008"/>
    <w:next w:val="000008"/>
    <w:uiPriority w:val="0"/>
    <w:unhideWhenUsed w:val="1"/>
    <w:qFormat w:val="1"/>
    <w:pPr>
      <w:keepNext w:val="1"/>
      <w:keepLines w:val="1"/>
      <w:spacing w:before="260" w:after="260" w:line="413" w:lineRule="auto"/>
      <w:outlineLvl w:val="1"/>
    </w:pPr>
    <w:rPr>
      <w:rFonts w:ascii="Arial" w:hAnsi="Arial" w:eastAsia="黑体"/>
      <w:b w:val="1"/>
      <w:sz w:val="32"/>
    </w:rPr>
  </w:style>
  <w:style w:type="paragraph" w:styleId="000006">
    <w:name w:val="footer"/>
    <w:basedOn w:val="000008"/>
    <w:next w:val="000008"/>
    <w:uiPriority w:val="0"/>
    <w:qFormat w:val="1"/>
    <w:pPr>
      <w:tabs>
        <w:tab w:val="center" w:pos="4153"/>
        <w:tab w:val="right" w:pos="8306"/>
      </w:tabs>
      <w:snapToGrid w:val="0"/>
      <w:jc w:val="left"/>
    </w:pPr>
    <w:rPr>
      <w:sz w:val="18"/>
    </w:rPr>
  </w:style>
  <w:style w:type="paragraph" w:styleId="00000c">
    <w:name w:val="heading 3"/>
    <w:basedOn w:val="000008"/>
    <w:next w:val="000008"/>
    <w:uiPriority w:val="0"/>
    <w:semiHidden w:val="1"/>
    <w:unhideWhenUsed w:val="1"/>
    <w:qFormat w:val="1"/>
    <w:pPr>
      <w:spacing w:beforeAutospacing="1" w:afterAutospacing="1"/>
      <w:jc w:val="left"/>
      <w:outlineLvl w:val="2"/>
    </w:pPr>
    <w:rPr>
      <w:rFonts w:hint="eastAsia" w:ascii="宋体" w:hAnsi="宋体" w:eastAsia="宋体" w:cs="Times New Roman"/>
      <w:b w:val="1"/>
      <w:bCs w:val="1"/>
      <w:kern w:val="0"/>
      <w:sz w:val="27"/>
      <w:szCs w:val="27"/>
    </w:rPr>
  </w:style>
  <w:style w:type="table" w:styleId="000010" w:default="1">
    <w:name w:val="Normal Table"/>
    <w:uiPriority w:val="99"/>
    <w:semiHidden w:val="1"/>
    <w:unhideWhenUsed w:val="1"/>
    <w:qFormat w:val="1"/>
    <w:tblPr>
      <w:tblCellMar>
        <w:top w:w="0" w:type="dxa"/>
        <w:left w:w="108" w:type="dxa"/>
        <w:bottom w:w="0" w:type="dxa"/>
        <w:right w:w="108" w:type="dxa"/>
      </w:tblCellMar>
    </w:tblPr>
  </w:style>
  <w:style w:type="paragraph" w:styleId="00001c" w:customStyle="1">
    <w:name w:val="null3"/>
    <w:hidden w:val="1"/>
    <w:uiPriority w:val="0"/>
    <w:qFormat w:val="1"/>
    <w:rPr>
      <w:rFonts w:hint="eastAsia" w:asciiTheme="minorHAnsi" w:hAnsiTheme="minorHAnsi" w:eastAsiaTheme="minorEastAsia" w:cstheme="minorBidi"/>
      <w:lang w:val="en-US" w:eastAsia="zh-Hans" w:bidi="ar-SA"/>
    </w:rPr>
  </w:style>
  <w:style w:type="paragraph" w:styleId="00000a">
    <w:name w:val="heading 1"/>
    <w:basedOn w:val="000008"/>
    <w:next w:val="000008"/>
    <w:uiPriority w:val="0"/>
    <w:qFormat w:val="1"/>
    <w:pPr>
      <w:keepNext w:val="1"/>
      <w:keepLines w:val="1"/>
      <w:spacing w:before="340" w:after="330" w:line="576" w:lineRule="auto"/>
      <w:outlineLvl w:val="0"/>
    </w:pPr>
    <w:rPr>
      <w:b w:val="1"/>
      <w:kern w:val="44"/>
      <w:sz w:val="44"/>
    </w:rPr>
  </w:style>
  <w:style w:type="paragraph" w:styleId="000016">
    <w:name w:val="Normal (Web)"/>
    <w:basedOn w:val="000008"/>
    <w:uiPriority w:val="0"/>
    <w:qFormat w:val="1"/>
    <w:rPr>
      <w:sz w:val="24"/>
    </w:rPr>
  </w:style>
  <w:style w:type="paragraph" w:styleId="00000e">
    <w:name w:val="heading 5"/>
    <w:basedOn w:val="000008"/>
    <w:next w:val="000008"/>
    <w:uiPriority w:val="0"/>
    <w:unhideWhenUsed w:val="1"/>
    <w:qFormat w:val="1"/>
    <w:pPr>
      <w:keepNext w:val="1"/>
      <w:keepLines w:val="1"/>
      <w:spacing w:before="280" w:after="290" w:line="372" w:lineRule="auto"/>
      <w:outlineLvl w:val="4"/>
    </w:pPr>
    <w:rPr>
      <w:b w:val="1"/>
      <w:sz w:val="28"/>
    </w:rPr>
  </w:style>
  <w:style w:type="paragraph" w:styleId="000009">
    <w:name w:val="Body Text Indent 2"/>
    <w:basedOn w:val="000008"/>
    <w:uiPriority w:val="0"/>
    <w:qFormat w:val="1"/>
    <w:pPr>
      <w:overflowPunct w:val="0"/>
      <w:topLinePunct w:val="1"/>
      <w:spacing w:after="120" w:line="480" w:lineRule="auto"/>
      <w:ind w:left="420" w:leftChars="200" w:firstLine="0" w:firstLineChars="0"/>
    </w:pPr>
    <w:rPr>
      <w:rFonts w:ascii="Times New Roman" w:hAnsi="Times New Roman" w:cs="Times New Roman"/>
      <w:spacing w:val="0"/>
      <w:kern w:val="2"/>
      <w:szCs w:val="32"/>
    </w:rPr>
  </w:style>
  <w:style w:type="paragraph" w:styleId="000012">
    <w:name w:val="Body Text"/>
    <w:basedOn w:val="000008"/>
    <w:uiPriority w:val="0"/>
    <w:qFormat w:val="1"/>
    <w:pPr>
      <w:spacing w:after="120"/>
    </w:pPr>
  </w:style>
  <w:style w:type="paragraph" w:styleId="000011">
    <w:name w:val="annotation text"/>
    <w:basedOn w:val="000008"/>
    <w:uiPriority w:val="0"/>
    <w:unhideWhenUsed w:val="1"/>
    <w:qFormat w:val="1"/>
    <w:pPr>
      <w:jc w:val="left"/>
    </w:pPr>
  </w:style>
  <w:style w:type="paragraph" w:styleId="000008" w:default="1">
    <w:name w:val="Normal"/>
    <w:next w:val="000009"/>
    <w:uiPriority w:val="0"/>
    <w:qFormat w:val="1"/>
    <w:pPr>
      <w:widowControl w:val="0"/>
      <w:jc w:val="both"/>
    </w:pPr>
    <w:rPr>
      <w:rFonts w:asciiTheme="minorHAnsi" w:hAnsiTheme="minorHAnsi" w:eastAsiaTheme="minorEastAsia" w:cstheme="minorBidi"/>
      <w:kern w:val="2"/>
      <w:sz w:val="21"/>
      <w:szCs w:val="24"/>
      <w:lang w:val="en-US" w:eastAsia="zh-CN" w:bidi="ar-SA"/>
    </w:rPr>
  </w:style>
  <w:style w:type="table" w:styleId="000018">
    <w:name w:val="Table Grid"/>
    <w:basedOn w:val="000010"/>
    <w:uiPriority w:val="59"/>
    <w:qFormat w:val="1"/>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footer" Target="footer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2026-07-21T09:53:35Z</dcterms:created>
  <dcterms:modified xsi:type="dcterms:W3CDTF">2026-07-21T09:53:35Z</dcterms:modified>
</cp:coreProperties>
</file>