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版本号：N513401202600015220260713001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西昌市实验学校计算机房采购项目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N5134012026000152</w:t>
      </w:r>
    </w:p>
    <w:p>
      <w:pPr>
        <w:pStyle w:val="null3"/>
        <w:jc w:val="left"/>
        <w:outlineLvl w:val="2"/>
      </w:pPr>
      <w:r>
        <w:rPr>
          <w:rFonts w:ascii="仿宋_GB2312" w:hAnsi="仿宋_GB2312" w:cs="仿宋_GB2312" w:eastAsia="仿宋_GB2312"/>
          <w:sz w:val="28"/>
          <w:b/>
        </w:rPr>
        <w:t>西昌市教师发展中心</w:t>
      </w:r>
    </w:p>
    <w:p>
      <w:pPr>
        <w:pStyle w:val="null3"/>
        <w:jc w:val="center"/>
        <w:outlineLvl w:val="2"/>
      </w:pPr>
      <w:r>
        <w:rPr>
          <w:rFonts w:ascii="仿宋_GB2312" w:hAnsi="仿宋_GB2312" w:cs="仿宋_GB2312" w:eastAsia="仿宋_GB2312"/>
          <w:sz w:val="28"/>
          <w:b/>
        </w:rPr>
        <w:t>西昌市政府采购中心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西昌市政府采购中心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西昌市教师发展中心</w:t>
      </w:r>
      <w:r>
        <w:rPr>
          <w:rFonts w:ascii="仿宋_GB2312" w:hAnsi="仿宋_GB2312" w:cs="仿宋_GB2312" w:eastAsia="仿宋_GB2312"/>
        </w:rPr>
        <w:t xml:space="preserve"> 委托，拟对 </w:t>
      </w:r>
      <w:r>
        <w:rPr>
          <w:rFonts w:ascii="仿宋_GB2312" w:hAnsi="仿宋_GB2312" w:cs="仿宋_GB2312" w:eastAsia="仿宋_GB2312"/>
        </w:rPr>
        <w:t>西昌市实验学校计算机房采购项目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N5134012026000152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西昌市实验学校计算机房采购项目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西昌市教师发展中心拟对西昌市实验学校学生计算机房采购项目，共一个包。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西昌市教师发展中心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四川省凉山彝族自治州西昌市高枧乡团结安置小区20幢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撒老师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0834-7171434</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西昌市政府采购中心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四川省凉山彝族自治州西昌市高铁大道西昌市政务服务中心站 西昌市政务服务中心4楼D5区（公共资源交易服务区）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西昌市教师发展中心</w:t>
      </w:r>
      <w:r>
        <w:rPr>
          <w:rFonts w:ascii="仿宋_GB2312" w:hAnsi="仿宋_GB2312" w:cs="仿宋_GB2312" w:eastAsia="仿宋_GB2312"/>
        </w:rPr>
        <w:t xml:space="preserve"> 和 </w:t>
      </w:r>
      <w:r>
        <w:rPr>
          <w:rFonts w:ascii="仿宋_GB2312" w:hAnsi="仿宋_GB2312" w:cs="仿宋_GB2312" w:eastAsia="仿宋_GB2312"/>
        </w:rPr>
        <w:t>西昌市政府采购中心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西昌市教师发展中心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西昌市政府采购中心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按国家有关规定、采购文件的服务要求、中标供应商的投 标文件及承诺以及合同约定标准进行验收；其他未尽事宜按照《财政部关于进一步加强政府采购需求和履约验收管理的指导意见》(财 库〔2016〕205号)执行</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按谈判文件商务要求及相应文件响应内容进行验收。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西昌市教师发展中心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撒老师</w:t>
      </w:r>
    </w:p>
    <w:p>
      <w:pPr>
        <w:pStyle w:val="null3"/>
        <w:jc w:val="left"/>
      </w:pPr>
      <w:r>
        <w:rPr>
          <w:rFonts w:ascii="仿宋_GB2312" w:hAnsi="仿宋_GB2312" w:cs="仿宋_GB2312" w:eastAsia="仿宋_GB2312"/>
        </w:rPr>
        <w:t>联系电话： 0834-7171434</w:t>
      </w:r>
    </w:p>
    <w:p>
      <w:pPr>
        <w:pStyle w:val="null3"/>
        <w:jc w:val="left"/>
      </w:pPr>
      <w:r>
        <w:rPr>
          <w:rFonts w:ascii="仿宋_GB2312" w:hAnsi="仿宋_GB2312" w:cs="仿宋_GB2312" w:eastAsia="仿宋_GB2312"/>
        </w:rPr>
        <w:t>地址：西昌市高枧乡团结安置小区20幢</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 0834-2178626</w:t>
      </w:r>
    </w:p>
    <w:p>
      <w:pPr>
        <w:pStyle w:val="null3"/>
        <w:jc w:val="left"/>
      </w:pPr>
      <w:r>
        <w:rPr>
          <w:rFonts w:ascii="仿宋_GB2312" w:hAnsi="仿宋_GB2312" w:cs="仿宋_GB2312" w:eastAsia="仿宋_GB2312"/>
        </w:rPr>
        <w:t>地址：四川省凉山彝族自治州西昌市高铁大道西昌市政务服务中心站 西昌市政务服务中心4楼D5区（公共资源交易服务区）</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510,000.00</w:t>
      </w:r>
    </w:p>
    <w:p>
      <w:pPr>
        <w:pStyle w:val="null3"/>
        <w:jc w:val="left"/>
      </w:pPr>
      <w:r>
        <w:rPr>
          <w:rFonts w:ascii="仿宋_GB2312" w:hAnsi="仿宋_GB2312" w:cs="仿宋_GB2312" w:eastAsia="仿宋_GB2312"/>
        </w:rPr>
        <w:t>采购包最高限价（元）: 510,000.00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详见采购清单</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510,000.00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详见采购清单</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510,000.00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学生电脑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学生电脑、教师电脑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详见采购清单</w:t>
            </w:r>
          </w:p>
        </w:tc>
        <w:tc>
          <w:tcPr>
            <w:tcW w:type="dxa" w:w="2492"/>
          </w:tcPr>
          <w:p>
            <w:pPr>
              <w:pStyle w:val="null3"/>
              <w:jc w:val="left"/>
            </w:pPr>
            <w:r>
              <w:rPr>
                <w:rFonts w:ascii="仿宋_GB2312" w:hAnsi="仿宋_GB2312" w:cs="仿宋_GB2312" w:eastAsia="仿宋_GB2312"/>
              </w:rPr>
              <w:t>学生电脑、教师电脑、桌椅(防静电结构，含主机托架）</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标的名称：详见采购清单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03"/>
              <w:gridCol w:w="2701"/>
              <w:gridCol w:w="821"/>
              <w:gridCol w:w="544"/>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br/>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学生电脑</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教师电脑</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48口千兆交换机</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路由器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六类布线</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教学系统电子教室软件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桌椅</w:t>
                  </w:r>
                  <w:r>
                    <w:rPr>
                      <w:rFonts w:ascii="仿宋_GB2312" w:hAnsi="仿宋_GB2312" w:cs="仿宋_GB2312" w:eastAsia="仿宋_GB2312"/>
                      <w:sz w:val="24"/>
                    </w:rPr>
                    <w:t>(防静电结构，含主机托架)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UPS电源（6KVA，保障40分钟续</w:t>
                  </w:r>
                  <w:r>
                    <w:br/>
                  </w:r>
                  <w:r>
                    <w:rPr>
                      <w:rFonts w:ascii="仿宋_GB2312" w:hAnsi="仿宋_GB2312" w:cs="仿宋_GB2312" w:eastAsia="仿宋_GB2312"/>
                      <w:sz w:val="24"/>
                    </w:rPr>
                    <w:t>航）</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技术规格要求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34"/>
              <w:gridCol w:w="822"/>
              <w:gridCol w:w="3399"/>
              <w:gridCol w:w="378"/>
              <w:gridCol w:w="545"/>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3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★学生电脑</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1、CPU:C86架构，主频≥3.0GHz 、≥8核处理器16线程，三级缓存≥16MB（符合安全可靠测评要求）。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2、内存：≥8GB DDR4 3200MT/s 内存最大支持64GB。</w:t>
                  </w:r>
                </w:p>
                <w:p>
                  <w:pPr>
                    <w:pStyle w:val="null3"/>
                    <w:jc w:val="both"/>
                  </w:pPr>
                  <w:r>
                    <w:rPr>
                      <w:rFonts w:ascii="仿宋_GB2312" w:hAnsi="仿宋_GB2312" w:cs="仿宋_GB2312" w:eastAsia="仿宋_GB2312"/>
                      <w:sz w:val="24"/>
                    </w:rPr>
                    <w:t>3、硬盘：≥512GB M.2 NVMe SSD硬盘，支持机械硬盘拓展。</w:t>
                  </w:r>
                </w:p>
                <w:p>
                  <w:pPr>
                    <w:pStyle w:val="null3"/>
                    <w:jc w:val="both"/>
                  </w:pPr>
                  <w:r>
                    <w:rPr>
                      <w:rFonts w:ascii="仿宋_GB2312" w:hAnsi="仿宋_GB2312" w:cs="仿宋_GB2312" w:eastAsia="仿宋_GB2312"/>
                      <w:sz w:val="24"/>
                    </w:rPr>
                    <w:t>4、支持拓展9.5mm标准光驱。</w:t>
                  </w:r>
                </w:p>
                <w:p>
                  <w:pPr>
                    <w:pStyle w:val="null3"/>
                    <w:jc w:val="both"/>
                  </w:pPr>
                  <w:r>
                    <w:rPr>
                      <w:rFonts w:ascii="仿宋_GB2312" w:hAnsi="仿宋_GB2312" w:cs="仿宋_GB2312" w:eastAsia="仿宋_GB2312"/>
                      <w:sz w:val="24"/>
                    </w:rPr>
                    <w:t>5、支持1000Mbps。网口支持wake on LAN。</w:t>
                  </w:r>
                </w:p>
                <w:p>
                  <w:pPr>
                    <w:pStyle w:val="null3"/>
                    <w:jc w:val="both"/>
                  </w:pPr>
                  <w:r>
                    <w:rPr>
                      <w:rFonts w:ascii="仿宋_GB2312" w:hAnsi="仿宋_GB2312" w:cs="仿宋_GB2312" w:eastAsia="仿宋_GB2312"/>
                      <w:sz w:val="24"/>
                    </w:rPr>
                    <w:t>6、 集成标准声卡。</w:t>
                  </w:r>
                </w:p>
                <w:p>
                  <w:pPr>
                    <w:pStyle w:val="null3"/>
                    <w:jc w:val="both"/>
                  </w:pPr>
                  <w:r>
                    <w:rPr>
                      <w:rFonts w:ascii="仿宋_GB2312" w:hAnsi="仿宋_GB2312" w:cs="仿宋_GB2312" w:eastAsia="仿宋_GB2312"/>
                      <w:sz w:val="24"/>
                    </w:rPr>
                    <w:t>7、 USB有线键盘、鼠标。</w:t>
                  </w:r>
                </w:p>
                <w:p>
                  <w:pPr>
                    <w:pStyle w:val="null3"/>
                    <w:jc w:val="both"/>
                  </w:pPr>
                  <w:r>
                    <w:rPr>
                      <w:rFonts w:ascii="仿宋_GB2312" w:hAnsi="仿宋_GB2312" w:cs="仿宋_GB2312" w:eastAsia="仿宋_GB2312"/>
                      <w:sz w:val="24"/>
                    </w:rPr>
                    <w:t>8、前置面板：USB3.0≥2个；USB2.0≥3个；TypeC≥1个；四段式耳麦接口≥1个（支持耳机麦克风二合一）；三段式麦克风接口≥1</w:t>
                  </w:r>
                </w:p>
                <w:p>
                  <w:pPr>
                    <w:pStyle w:val="null3"/>
                    <w:jc w:val="both"/>
                  </w:pPr>
                  <w:r>
                    <w:rPr>
                      <w:rFonts w:ascii="仿宋_GB2312" w:hAnsi="仿宋_GB2312" w:cs="仿宋_GB2312" w:eastAsia="仿宋_GB2312"/>
                      <w:sz w:val="24"/>
                    </w:rPr>
                    <w:t>9、后置面板：USB3.0≥5个；音频输入≥2个；音频输出≥1个；RJ45≥1个；串口≥1个。</w:t>
                  </w:r>
                </w:p>
                <w:p>
                  <w:pPr>
                    <w:pStyle w:val="null3"/>
                    <w:jc w:val="both"/>
                  </w:pPr>
                  <w:r>
                    <w:rPr>
                      <w:rFonts w:ascii="仿宋_GB2312" w:hAnsi="仿宋_GB2312" w:cs="仿宋_GB2312" w:eastAsia="仿宋_GB2312"/>
                      <w:sz w:val="24"/>
                    </w:rPr>
                    <w:t>10、独立显卡：</w:t>
                  </w:r>
                </w:p>
                <w:p>
                  <w:pPr>
                    <w:pStyle w:val="null3"/>
                    <w:jc w:val="both"/>
                  </w:pPr>
                  <w:r>
                    <w:rPr>
                      <w:rFonts w:ascii="仿宋_GB2312" w:hAnsi="仿宋_GB2312" w:cs="仿宋_GB2312" w:eastAsia="仿宋_GB2312"/>
                      <w:sz w:val="24"/>
                    </w:rPr>
                    <w:t>FH2-2G：64bit 3733MHz（HDMI*1；VGA*1）</w:t>
                  </w:r>
                </w:p>
                <w:p>
                  <w:pPr>
                    <w:pStyle w:val="null3"/>
                    <w:jc w:val="both"/>
                  </w:pPr>
                  <w:r>
                    <w:rPr>
                      <w:rFonts w:ascii="仿宋_GB2312" w:hAnsi="仿宋_GB2312" w:cs="仿宋_GB2312" w:eastAsia="仿宋_GB2312"/>
                      <w:sz w:val="24"/>
                    </w:rPr>
                    <w:t>FH2-4G：64bit 3733MHz（HDMI*1；VGA*1）</w:t>
                  </w:r>
                </w:p>
                <w:p>
                  <w:pPr>
                    <w:pStyle w:val="null3"/>
                    <w:jc w:val="both"/>
                  </w:pPr>
                  <w:r>
                    <w:rPr>
                      <w:rFonts w:ascii="仿宋_GB2312" w:hAnsi="仿宋_GB2312" w:cs="仿宋_GB2312" w:eastAsia="仿宋_GB2312"/>
                      <w:sz w:val="24"/>
                    </w:rPr>
                    <w:t>3050-6G：96bit 14000MHz（HDMI*1，DP*1）</w:t>
                  </w:r>
                </w:p>
                <w:p>
                  <w:pPr>
                    <w:pStyle w:val="null3"/>
                    <w:jc w:val="both"/>
                  </w:pPr>
                  <w:r>
                    <w:rPr>
                      <w:rFonts w:ascii="仿宋_GB2312" w:hAnsi="仿宋_GB2312" w:cs="仿宋_GB2312" w:eastAsia="仿宋_GB2312"/>
                      <w:sz w:val="24"/>
                    </w:rPr>
                    <w:t>内存：</w:t>
                  </w:r>
                  <w:r>
                    <w:rPr>
                      <w:rFonts w:ascii="仿宋_GB2312" w:hAnsi="仿宋_GB2312" w:cs="仿宋_GB2312" w:eastAsia="仿宋_GB2312"/>
                      <w:sz w:val="24"/>
                    </w:rPr>
                    <w:t>≥2G</w:t>
                  </w:r>
                </w:p>
                <w:p>
                  <w:pPr>
                    <w:pStyle w:val="null3"/>
                    <w:jc w:val="both"/>
                  </w:pPr>
                  <w:r>
                    <w:rPr>
                      <w:rFonts w:ascii="仿宋_GB2312" w:hAnsi="仿宋_GB2312" w:cs="仿宋_GB2312" w:eastAsia="仿宋_GB2312"/>
                      <w:sz w:val="24"/>
                    </w:rPr>
                    <w:t>11、内部插槽：PCIEX16≥2个（支持拓展独立显卡）；PCIEX8≥1个；PCIEX1≥1个；M.2≥1个；SATA≥4个。</w:t>
                  </w:r>
                </w:p>
                <w:p>
                  <w:pPr>
                    <w:pStyle w:val="null3"/>
                    <w:jc w:val="both"/>
                  </w:pPr>
                  <w:r>
                    <w:rPr>
                      <w:rFonts w:ascii="仿宋_GB2312" w:hAnsi="仿宋_GB2312" w:cs="仿宋_GB2312" w:eastAsia="仿宋_GB2312"/>
                      <w:sz w:val="24"/>
                    </w:rPr>
                    <w:t>12、机箱体积：≤15L。</w:t>
                  </w:r>
                </w:p>
                <w:p>
                  <w:pPr>
                    <w:pStyle w:val="null3"/>
                    <w:jc w:val="both"/>
                  </w:pPr>
                  <w:r>
                    <w:rPr>
                      <w:rFonts w:ascii="仿宋_GB2312" w:hAnsi="仿宋_GB2312" w:cs="仿宋_GB2312" w:eastAsia="仿宋_GB2312"/>
                      <w:sz w:val="24"/>
                    </w:rPr>
                    <w:t>13、电源功率：≤200W。</w:t>
                  </w:r>
                </w:p>
                <w:p>
                  <w:pPr>
                    <w:pStyle w:val="null3"/>
                    <w:jc w:val="both"/>
                  </w:pPr>
                  <w:r>
                    <w:rPr>
                      <w:rFonts w:ascii="仿宋_GB2312" w:hAnsi="仿宋_GB2312" w:cs="仿宋_GB2312" w:eastAsia="仿宋_GB2312"/>
                      <w:sz w:val="24"/>
                    </w:rPr>
                    <w:t>14、操作系统：符合安全可靠测评要求，满足财政部、工业和信息化部印发的《操作系统政府采购需求标准（2023年版）》文件中《桌面操作系统政府采购需求标准》规定的全部带“*”内容。操作系统具备系统修复工具，当无法正常启动系统时，可以通过修复工具完成硬盘修复、磁盘清理、重置磁盘密码、引导修复、网络工具功能，方便系统维护（提供修复工具相关功能截图证明，并加盖投标人公章）；系统具备开发者模式功能，为保障系统安全，未打开开发者模式无法获取root用户权限。同时具备应用软件数字签名的安全保护机制，确保安装应用软件来源可信，未签名的软件包无法正安装成功（提供图形化打开开发者模式功能截图，并加盖投标人公章）；操作系统需具备集成AI助手的功能，并支持接入不同类型（如在线、本地、私有化部署）的AI模型，支持自定义划词AI快捷指令、MCP、联网搜索。</w:t>
                  </w:r>
                </w:p>
                <w:p>
                  <w:pPr>
                    <w:pStyle w:val="null3"/>
                    <w:jc w:val="both"/>
                  </w:pPr>
                  <w:r>
                    <w:rPr>
                      <w:rFonts w:ascii="仿宋_GB2312" w:hAnsi="仿宋_GB2312" w:cs="仿宋_GB2312" w:eastAsia="仿宋_GB2312"/>
                      <w:sz w:val="24"/>
                    </w:rPr>
                    <w:t>15、为方便管理，主机与显示器需为同一品牌。</w:t>
                  </w:r>
                </w:p>
                <w:p>
                  <w:pPr>
                    <w:pStyle w:val="null3"/>
                    <w:jc w:val="both"/>
                  </w:pPr>
                  <w:r>
                    <w:rPr>
                      <w:rFonts w:ascii="仿宋_GB2312" w:hAnsi="仿宋_GB2312" w:cs="仿宋_GB2312" w:eastAsia="仿宋_GB2312"/>
                      <w:sz w:val="24"/>
                    </w:rPr>
                    <w:t>16、除以上技术参数与性能指标外，还应满足《财政部工业和信息化部关于印发&lt;台式计算机政府采购需求标准（2023年版）&gt;的通知》(财库〔2023〕29 号)的附件“台式计算机政府采购需求标准（2023 年版）”中其他加*的指标要求。</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教师电脑</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CPU:主频≥3.0GHz 、≥8核处理器16线程，三级缓存≥16MB</w:t>
                  </w:r>
                  <w:r>
                    <w:rPr>
                      <w:rFonts w:ascii="仿宋_GB2312" w:hAnsi="仿宋_GB2312" w:cs="仿宋_GB2312" w:eastAsia="仿宋_GB2312"/>
                      <w:sz w:val="24"/>
                    </w:rPr>
                    <w:t>，</w:t>
                  </w:r>
                  <w:r>
                    <w:rPr>
                      <w:rFonts w:ascii="仿宋_GB2312" w:hAnsi="仿宋_GB2312" w:cs="仿宋_GB2312" w:eastAsia="仿宋_GB2312"/>
                      <w:sz w:val="24"/>
                    </w:rPr>
                    <w:t>C86架构，符合安全可靠测评要求</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≥8GB DDR4 3200MT/s 内存最大支持64GB。</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≥1TB M.2 NVMe SSD硬盘，支持机械硬盘拓展。</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支持拓展</w:t>
                  </w:r>
                  <w:r>
                    <w:rPr>
                      <w:rFonts w:ascii="仿宋_GB2312" w:hAnsi="仿宋_GB2312" w:cs="仿宋_GB2312" w:eastAsia="仿宋_GB2312"/>
                      <w:sz w:val="24"/>
                    </w:rPr>
                    <w:t>9.5mm标准光驱。</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1000Mbps。网口支持wake on LAN。</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 xml:space="preserve"> 集成标准声卡。</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USB有线键盘、鼠标。</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前置面板：</w:t>
                  </w:r>
                  <w:r>
                    <w:rPr>
                      <w:rFonts w:ascii="仿宋_GB2312" w:hAnsi="仿宋_GB2312" w:cs="仿宋_GB2312" w:eastAsia="仿宋_GB2312"/>
                      <w:sz w:val="24"/>
                    </w:rPr>
                    <w:t>USB3.0≥2个；USB2.0≥</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TypeC≥1个；四段式耳麦接口≥1个（支持耳机麦克风二合一）；三段式麦克风接口≥1</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后置面板：</w:t>
                  </w:r>
                  <w:r>
                    <w:rPr>
                      <w:rFonts w:ascii="仿宋_GB2312" w:hAnsi="仿宋_GB2312" w:cs="仿宋_GB2312" w:eastAsia="仿宋_GB2312"/>
                      <w:sz w:val="24"/>
                    </w:rPr>
                    <w:t>USB3.0≥</w:t>
                  </w:r>
                  <w:r>
                    <w:rPr>
                      <w:rFonts w:ascii="仿宋_GB2312" w:hAnsi="仿宋_GB2312" w:cs="仿宋_GB2312" w:eastAsia="仿宋_GB2312"/>
                      <w:sz w:val="24"/>
                    </w:rPr>
                    <w:t>5</w:t>
                  </w:r>
                  <w:r>
                    <w:rPr>
                      <w:rFonts w:ascii="仿宋_GB2312" w:hAnsi="仿宋_GB2312" w:cs="仿宋_GB2312" w:eastAsia="仿宋_GB2312"/>
                      <w:sz w:val="24"/>
                    </w:rPr>
                    <w:t>个；音频输入</w:t>
                  </w:r>
                  <w:r>
                    <w:rPr>
                      <w:rFonts w:ascii="仿宋_GB2312" w:hAnsi="仿宋_GB2312" w:cs="仿宋_GB2312" w:eastAsia="仿宋_GB2312"/>
                      <w:sz w:val="24"/>
                    </w:rPr>
                    <w:t>≥2个；音频输出≥1个；RJ45≥1个；串口≥1个。</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独立显卡：</w:t>
                  </w:r>
                </w:p>
                <w:p>
                  <w:pPr>
                    <w:pStyle w:val="null3"/>
                    <w:jc w:val="both"/>
                  </w:pPr>
                  <w:r>
                    <w:rPr>
                      <w:rFonts w:ascii="仿宋_GB2312" w:hAnsi="仿宋_GB2312" w:cs="仿宋_GB2312" w:eastAsia="仿宋_GB2312"/>
                      <w:sz w:val="24"/>
                    </w:rPr>
                    <w:t>FH2-2G：64bit 3733MHz（HDMI*1；VGA*1）</w:t>
                  </w:r>
                </w:p>
                <w:p>
                  <w:pPr>
                    <w:pStyle w:val="null3"/>
                    <w:jc w:val="both"/>
                  </w:pPr>
                  <w:r>
                    <w:rPr>
                      <w:rFonts w:ascii="仿宋_GB2312" w:hAnsi="仿宋_GB2312" w:cs="仿宋_GB2312" w:eastAsia="仿宋_GB2312"/>
                      <w:sz w:val="24"/>
                    </w:rPr>
                    <w:t>FH2-4G：64bit 3733MHz（HDMI*1；VGA*1）</w:t>
                  </w:r>
                </w:p>
                <w:p>
                  <w:pPr>
                    <w:pStyle w:val="null3"/>
                    <w:jc w:val="both"/>
                  </w:pPr>
                  <w:r>
                    <w:rPr>
                      <w:rFonts w:ascii="仿宋_GB2312" w:hAnsi="仿宋_GB2312" w:cs="仿宋_GB2312" w:eastAsia="仿宋_GB2312"/>
                      <w:sz w:val="24"/>
                    </w:rPr>
                    <w:t>3050-6G：96bit 14000MHz（HDMI*1，DP*1）</w:t>
                  </w:r>
                </w:p>
                <w:p>
                  <w:pPr>
                    <w:pStyle w:val="null3"/>
                    <w:jc w:val="both"/>
                  </w:pPr>
                  <w:r>
                    <w:rPr>
                      <w:rFonts w:ascii="仿宋_GB2312" w:hAnsi="仿宋_GB2312" w:cs="仿宋_GB2312" w:eastAsia="仿宋_GB2312"/>
                      <w:sz w:val="24"/>
                    </w:rPr>
                    <w:t>内存：</w:t>
                  </w:r>
                  <w:r>
                    <w:rPr>
                      <w:rFonts w:ascii="仿宋_GB2312" w:hAnsi="仿宋_GB2312" w:cs="仿宋_GB2312" w:eastAsia="仿宋_GB2312"/>
                      <w:sz w:val="24"/>
                    </w:rPr>
                    <w:t>≥2G</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内部插槽：</w:t>
                  </w:r>
                  <w:r>
                    <w:rPr>
                      <w:rFonts w:ascii="仿宋_GB2312" w:hAnsi="仿宋_GB2312" w:cs="仿宋_GB2312" w:eastAsia="仿宋_GB2312"/>
                      <w:sz w:val="24"/>
                    </w:rPr>
                    <w:t>PCIEX16≥2个（支持拓展独立显卡）；PCIEX8≥1个；PCIEX1≥1个；M.2≥1个；SATA≥4个。</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机箱体积：</w:t>
                  </w:r>
                  <w:r>
                    <w:rPr>
                      <w:rFonts w:ascii="仿宋_GB2312" w:hAnsi="仿宋_GB2312" w:cs="仿宋_GB2312" w:eastAsia="仿宋_GB2312"/>
                      <w:sz w:val="24"/>
                    </w:rPr>
                    <w:t>≤15L。</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电源功率：</w:t>
                  </w:r>
                  <w:r>
                    <w:rPr>
                      <w:rFonts w:ascii="仿宋_GB2312" w:hAnsi="仿宋_GB2312" w:cs="仿宋_GB2312" w:eastAsia="仿宋_GB2312"/>
                      <w:sz w:val="24"/>
                    </w:rPr>
                    <w:t>≤200W。</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、操作系统：符合安全可靠测评要求，满足财政部、工业和信息化部印发的《操作系统政府采购需求标准（</w:t>
                  </w:r>
                  <w:r>
                    <w:rPr>
                      <w:rFonts w:ascii="仿宋_GB2312" w:hAnsi="仿宋_GB2312" w:cs="仿宋_GB2312" w:eastAsia="仿宋_GB2312"/>
                      <w:sz w:val="24"/>
                    </w:rPr>
                    <w:t>2023年版）》文件中《桌面操作系统政府采购需求标准》规定的全部带“*”内容。操作系统具备系统修复工具，当无法正常启动系统时，可以通过修复工具完成硬盘修复、磁盘清理、重置磁盘密码、引导修复、网络工具功能，方便系统维护（提供修复工具相关功能截图证明，并加盖投标人公章）；系统具备开发者模式功能，为保障系统安全，未打开开发者模式无法获取root用户权限。同时具备应用软件数字签名的安全保护机制，确保安装应用软件来源可信，未签名的软件包无法正安装成功（提供图形化打开开发者模式功能截图，并加盖投标人公章）；操作系统需具备集成AI助手的功能，并支持接入不同类型（如在线、本地、私有化部署）的AI模型，支持自定义划词AI快捷指令、MCP、联网搜索。</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、为方便管理，主机与显示器需为同一品牌。</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、除以上技术参数与性能指标外，还应满足《财政部工业和信息化部关于印发</w:t>
                  </w:r>
                  <w:r>
                    <w:rPr>
                      <w:rFonts w:ascii="仿宋_GB2312" w:hAnsi="仿宋_GB2312" w:cs="仿宋_GB2312" w:eastAsia="仿宋_GB2312"/>
                      <w:sz w:val="24"/>
                    </w:rPr>
                    <w:t>&lt;台式计算机政府采购需求标准（2023年版）&gt;的通知》(财库〔2023〕29 号)的附件“台式计算机政府采购需求标准（2023 年版）”中其他加*的指标要求。</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★48口千兆交换机</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1、网络设备</w:t>
                  </w:r>
                  <w:r>
                    <w:rPr>
                      <w:rFonts w:ascii="仿宋_GB2312" w:hAnsi="仿宋_GB2312" w:cs="仿宋_GB2312" w:eastAsia="仿宋_GB2312"/>
                      <w:sz w:val="24"/>
                    </w:rPr>
                    <w:t>48口千兆交换机，二层网管交换机，</w:t>
                  </w:r>
                </w:p>
                <w:p>
                  <w:pPr>
                    <w:pStyle w:val="null3"/>
                    <w:jc w:val="both"/>
                  </w:pPr>
                  <w:r>
                    <w:rPr>
                      <w:rFonts w:ascii="仿宋_GB2312" w:hAnsi="仿宋_GB2312" w:cs="仿宋_GB2312" w:eastAsia="仿宋_GB2312"/>
                      <w:sz w:val="24"/>
                    </w:rPr>
                    <w:t>2、交换容量</w:t>
                  </w:r>
                  <w:r>
                    <w:rPr>
                      <w:rFonts w:ascii="仿宋_GB2312" w:hAnsi="仿宋_GB2312" w:cs="仿宋_GB2312" w:eastAsia="仿宋_GB2312"/>
                      <w:sz w:val="24"/>
                    </w:rPr>
                    <w:t>≥430Gbps，包转发率≥144Mpps，48个10/100/1000Mbps自适应电口交换机，固化4个SFP+万兆光口，支持VLAN、ACL、端口镜像、端口聚合等功能，支持云平台统一管理。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★路由器</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1、路由器：无线规格：Wi-Fi 6 (802.11ax)，双频并发≥1770Mbps。</w:t>
                  </w:r>
                </w:p>
                <w:p>
                  <w:pPr>
                    <w:pStyle w:val="null3"/>
                    <w:jc w:val="both"/>
                  </w:pPr>
                  <w:r>
                    <w:rPr>
                      <w:rFonts w:ascii="仿宋_GB2312" w:hAnsi="仿宋_GB2312" w:cs="仿宋_GB2312" w:eastAsia="仿宋_GB2312"/>
                      <w:sz w:val="24"/>
                    </w:rPr>
                    <w:t>2、端口配置：2个千兆WAN口（1个可切换为LAN）+ 3个千兆LAN口（2个可切换为WAN），1个USB3.0 。</w:t>
                  </w:r>
                </w:p>
                <w:p>
                  <w:pPr>
                    <w:pStyle w:val="null3"/>
                    <w:jc w:val="both"/>
                  </w:pPr>
                  <w:r>
                    <w:rPr>
                      <w:rFonts w:ascii="仿宋_GB2312" w:hAnsi="仿宋_GB2312" w:cs="仿宋_GB2312" w:eastAsia="仿宋_GB2312"/>
                      <w:sz w:val="24"/>
                    </w:rPr>
                    <w:t>3、核心性能：≥256MB内存，最大功耗10W，支持IPSec VPN，内置AC可管理32个小贝AP 。</w:t>
                  </w:r>
                </w:p>
                <w:p>
                  <w:pPr>
                    <w:pStyle w:val="null3"/>
                    <w:jc w:val="both"/>
                  </w:pPr>
                  <w:r>
                    <w:rPr>
                      <w:rFonts w:ascii="仿宋_GB2312" w:hAnsi="仿宋_GB2312" w:cs="仿宋_GB2312" w:eastAsia="仿宋_GB2312"/>
                      <w:sz w:val="24"/>
                    </w:rPr>
                    <w:t>4、特色功能：支持上网行为管控（应用识别、URL过滤）、云简网络平台远程管理。</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★六类布线</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1、六类布1套：纤芯直径：≥0.573mm 无氧铜</w:t>
                  </w:r>
                </w:p>
                <w:p>
                  <w:pPr>
                    <w:pStyle w:val="null3"/>
                    <w:jc w:val="both"/>
                  </w:pPr>
                  <w:r>
                    <w:rPr>
                      <w:rFonts w:ascii="仿宋_GB2312" w:hAnsi="仿宋_GB2312" w:cs="仿宋_GB2312" w:eastAsia="仿宋_GB2312"/>
                      <w:sz w:val="24"/>
                    </w:rPr>
                    <w:t>2、6类4对非屏蔽UTP双绞线，CM级</w:t>
                  </w:r>
                </w:p>
                <w:p>
                  <w:pPr>
                    <w:pStyle w:val="null3"/>
                    <w:jc w:val="both"/>
                  </w:pPr>
                  <w:r>
                    <w:rPr>
                      <w:rFonts w:ascii="仿宋_GB2312" w:hAnsi="仿宋_GB2312" w:cs="仿宋_GB2312" w:eastAsia="仿宋_GB2312"/>
                      <w:sz w:val="24"/>
                    </w:rPr>
                    <w:t>3、长度：≥305m/箱</w:t>
                  </w:r>
                </w:p>
                <w:p>
                  <w:pPr>
                    <w:pStyle w:val="null3"/>
                    <w:jc w:val="both"/>
                  </w:pPr>
                  <w:r>
                    <w:rPr>
                      <w:rFonts w:ascii="仿宋_GB2312" w:hAnsi="仿宋_GB2312" w:cs="仿宋_GB2312" w:eastAsia="仿宋_GB2312"/>
                      <w:sz w:val="24"/>
                    </w:rPr>
                    <w:t>4、含安装</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★教学系统电子教室软件</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云桌面管理平台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C/S架构B/S架构并行管理，中文图形化操作界面；同时支持有服务器和无服务器模式部署；无服务器部署时无需本地额外部署服务器等设备，通过浏览器打开域名即可运维管理云桌面终端设备，支持手机扫码登录/账号密码登录完成鉴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支持硬件资产管理：收集平台中所有云桌面终端和</w:t>
                  </w:r>
                  <w:r>
                    <w:rPr>
                      <w:rFonts w:ascii="仿宋_GB2312" w:hAnsi="仿宋_GB2312" w:cs="仿宋_GB2312" w:eastAsia="仿宋_GB2312"/>
                      <w:sz w:val="24"/>
                    </w:rPr>
                    <w:t>PC终端的硬件配置与状态信息，包括终端名称、设备型号、CPU型号、内存容量、最近运行时间、硬盘信息等。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支持远程还原终端设备，在终端设备在云桌面镜像系统无法启动、系统异常时，可远程操作系统恢复；同时可选清空终端设备的数据分区的数据。</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配置系统启动模式，可配置成开机自动启动云桌面镜像或进入云桌面系统；支持在配置成开机自动进入云桌面镜像系统时，可以通过托盘程序重启进入云桌面系统进行云桌面镜像切换或终端设置；支持配置使用该功能的鉴权使用方式：无需鉴权即可使用、密码验证后使用、禁用等模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支持管理多种架构的终端设备，无需部署服务器即可管理；支持受管理的终端启动国产化操作系统且断网可用；支持受管理的终端使用手机扫码登录、网络诊断等功能。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支持下载各机型的</w:t>
                  </w:r>
                  <w:r>
                    <w:rPr>
                      <w:rFonts w:ascii="仿宋_GB2312" w:hAnsi="仿宋_GB2312" w:cs="仿宋_GB2312" w:eastAsia="仿宋_GB2312"/>
                      <w:sz w:val="24"/>
                    </w:rPr>
                    <w:t>Windows10、Windows11、统信UOS、银河麒麟等操作系统云桌面镜像；支持下载到访问设备本地、指定终端，或添加到镜像仓库。</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支持管控终端设备的</w:t>
                  </w:r>
                  <w:r>
                    <w:rPr>
                      <w:rFonts w:ascii="仿宋_GB2312" w:hAnsi="仿宋_GB2312" w:cs="仿宋_GB2312" w:eastAsia="仿宋_GB2312"/>
                      <w:sz w:val="24"/>
                    </w:rPr>
                    <w:t>USB使用权限无需依赖虚拟化层，支持USB设备策略黑白名单管理，支持查看终端USB设备信息，包括名称、类型、PID、VID与权限状态；支持USB外设策略管理，支持按照全部设备、指定分组、指定设备，设置终端的USB权限，支持设置黑白名单。</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无需配置服务器，远程访问管理平台域名即可管理；支持基于广域网统一纳管多分支机构云桌面的能力，三层网络校区复网络环境安装；支持</w:t>
                  </w:r>
                  <w:r>
                    <w:rPr>
                      <w:rFonts w:ascii="仿宋_GB2312" w:hAnsi="仿宋_GB2312" w:cs="仿宋_GB2312" w:eastAsia="仿宋_GB2312"/>
                      <w:sz w:val="24"/>
                    </w:rPr>
                    <w:t>PC 终端设备与云桌面终端设备统一管理，支持在同一个设备分组中添加不同类型的 PC 和云桌面设备，并支持对选择的 PC 和云桌面设备的批量操作。（投标时提供该功能的演示视频）</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无需配置服务器，远程访问管理平台域名即可管理；支持远程管理终端设备，通过管理平台进行开机、关机、重启、恢复出厂设置、还原、删除、配置更改、切换镜像、</w:t>
                  </w:r>
                  <w:r>
                    <w:rPr>
                      <w:rFonts w:ascii="仿宋_GB2312" w:hAnsi="仿宋_GB2312" w:cs="仿宋_GB2312" w:eastAsia="仿宋_GB2312"/>
                      <w:sz w:val="24"/>
                    </w:rPr>
                    <w:t>USB 管控、硬件信息查看、桌面运行状态查看。（提供第三方检测机构出具的 CMA 标识的检测报告复印件加盖供应商公章）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终端设备分组管理，支持手动按照楼栋、楼层、教室、小组等范围进行终端分组划分管理，统一管理多台终端：同时能够实现对独立分组中的学生终端、教师终端分别进行配置和管理。（投标时提供该功能的演示视频）</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支持同一分组中的不同设备，分别设置不同的登录模式、还原策略、默认镜像、鉴权管理设置。（投标时提供该功能的演示视频）</w:t>
                  </w:r>
                </w:p>
                <w:p>
                  <w:pPr>
                    <w:pStyle w:val="null3"/>
                    <w:jc w:val="both"/>
                  </w:pPr>
                  <w:r>
                    <w:rPr>
                      <w:rFonts w:ascii="仿宋_GB2312" w:hAnsi="仿宋_GB2312" w:cs="仿宋_GB2312" w:eastAsia="仿宋_GB2312"/>
                      <w:sz w:val="24"/>
                      <w:b/>
                    </w:rPr>
                    <w:t>课堂教学管理软件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支持二维码扫码登录和账号密码登录，也支持无账号登录授课。</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支持老师个人空间，可自定义上传、存储文件内容，包括但不限于文档、图片、音视频等。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支持将教师机的画面以及声音广播给全班学生，教师发起屏幕广播后支持把学生接收端原先的播放的音频输出关闭；可实现实时监控学生机画面、以及进行统一的教学管理，文件共享和回收。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教师可以在管理后台预先录入学生名单。授课时，教师选择相应的班级，学生在课程开始后只需输入自己的姓名即可完成签到。同时，教师端能够实时显示尚未签到的学生名单。</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当教师对一台或多台学生设备进行广播教学时，学生终端在重启后能够自动重新加入当前的广播教学，实现离线续播。</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教师可以在不同局域网环境下实现屏幕共享、摄像直播，支持屏幕及摄像头画面自动广播至学生端。</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支持教师端远程控制学生端的画面操作，支持设置应用白名单。</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支持上传</w:t>
                  </w:r>
                  <w:r>
                    <w:rPr>
                      <w:rFonts w:ascii="仿宋_GB2312" w:hAnsi="仿宋_GB2312" w:cs="仿宋_GB2312" w:eastAsia="仿宋_GB2312"/>
                      <w:sz w:val="24"/>
                    </w:rPr>
                    <w:t>“本地文件”到终端应用软件的教师云空间。</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当作业空间存在多个班级的时候，支持显示当前正在授课班级，回收作业过程中，支持自动统计已提交和未提交的学生名单。</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教师可以选定学生执行黑屏操作，支持教师统一配置授课是否开启离线黑屏。</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支持显示最近一节课的违规使用应用程序的名称、违规操作人、设备</w:t>
                  </w:r>
                  <w:r>
                    <w:rPr>
                      <w:rFonts w:ascii="仿宋_GB2312" w:hAnsi="仿宋_GB2312" w:cs="仿宋_GB2312" w:eastAsia="仿宋_GB2312"/>
                      <w:sz w:val="24"/>
                    </w:rPr>
                    <w:t>IP，以及支持教师禁用和取消禁用学生使用违规应用程序。</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支持教师对最近一节课的违规使用应用程序进行一键禁用。</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支持设定学生访问网站的白名单信息，对学生可以访问的网址进行管理，支持防止卸载学生端应用，支持结束学生端应用进程时，立即自动重启应用。</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支持同步课活动的课并支持下发，下发后学生拖动答案进行作答，系统将自动判断正误。支持学生查看自己本次作答完成的排名、耗时以及答题情况（投标时提供该功能的演示视频）。</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在教师广播过程中，支持自动截取屏幕内容供学生答题，并在学生回答后在教师端展示答题数据（投标时提供该功能的演示本场）。</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教师把云空间的文件批量共享给指定的多个授课班级，设备重启还原后，学生进入授课班级后仍可重新下载。支持教师把已共享的资料进行取消共享。载学生端应用，支持结束学生端应用进程时，立即自动重启应用（投标时提供该功能的演示视频）。</w:t>
                  </w:r>
                </w:p>
                <w:p>
                  <w:pPr>
                    <w:pStyle w:val="null3"/>
                    <w:jc w:val="both"/>
                  </w:pPr>
                  <w:r>
                    <w:rPr>
                      <w:rFonts w:ascii="仿宋_GB2312" w:hAnsi="仿宋_GB2312" w:cs="仿宋_GB2312" w:eastAsia="仿宋_GB2312"/>
                      <w:sz w:val="24"/>
                    </w:rPr>
                    <w:t>注：教学系统电子教室软件，本功能模块提供无限期永久使用授权。</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★桌椅</w:t>
                  </w:r>
                  <w:r>
                    <w:rPr>
                      <w:rFonts w:ascii="仿宋_GB2312" w:hAnsi="仿宋_GB2312" w:cs="仿宋_GB2312" w:eastAsia="仿宋_GB2312"/>
                      <w:sz w:val="24"/>
                    </w:rPr>
                    <w:t>(防静电结构，含主机托架)</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1、规格尺寸</w:t>
                  </w:r>
                  <w:r>
                    <w:rPr>
                      <w:rFonts w:ascii="仿宋_GB2312" w:hAnsi="仿宋_GB2312" w:cs="仿宋_GB2312" w:eastAsia="仿宋_GB2312"/>
                      <w:sz w:val="24"/>
                    </w:rPr>
                    <w:t>：</w:t>
                  </w:r>
                  <w:r>
                    <w:rPr>
                      <w:rFonts w:ascii="仿宋_GB2312" w:hAnsi="仿宋_GB2312" w:cs="仿宋_GB2312" w:eastAsia="仿宋_GB2312"/>
                      <w:sz w:val="24"/>
                    </w:rPr>
                    <w:t>1200mm*600mm*750mm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，桌面颜色要求：暖白色；</w:t>
                  </w:r>
                </w:p>
                <w:p>
                  <w:pPr>
                    <w:pStyle w:val="null3"/>
                    <w:jc w:val="both"/>
                  </w:pPr>
                  <w:r>
                    <w:rPr>
                      <w:rFonts w:ascii="仿宋_GB2312" w:hAnsi="仿宋_GB2312" w:cs="仿宋_GB2312" w:eastAsia="仿宋_GB2312"/>
                      <w:sz w:val="24"/>
                    </w:rPr>
                    <w:t>2、后置机位直腿设计，柜门前开，单锁中置，机柜提供不低于110升容量放置主机，柜门两角做圆角处理防止刮伤，栅栏网片经过环保喷砂除锈，静电喷塑等工艺；</w:t>
                  </w:r>
                </w:p>
                <w:p>
                  <w:pPr>
                    <w:pStyle w:val="null3"/>
                    <w:jc w:val="both"/>
                  </w:pPr>
                  <w:r>
                    <w:rPr>
                      <w:rFonts w:ascii="仿宋_GB2312" w:hAnsi="仿宋_GB2312" w:cs="仿宋_GB2312" w:eastAsia="仿宋_GB2312"/>
                      <w:sz w:val="24"/>
                    </w:rPr>
                    <w:t>3、桌面采用</w:t>
                  </w:r>
                  <w:r>
                    <w:rPr>
                      <w:rFonts w:ascii="仿宋_GB2312" w:hAnsi="仿宋_GB2312" w:cs="仿宋_GB2312" w:eastAsia="仿宋_GB2312"/>
                      <w:sz w:val="24"/>
                    </w:rPr>
                    <w:t>≥</w:t>
                  </w:r>
                  <w:r>
                    <w:rPr>
                      <w:rFonts w:ascii="仿宋_GB2312" w:hAnsi="仿宋_GB2312" w:cs="仿宋_GB2312" w:eastAsia="仿宋_GB2312"/>
                      <w:sz w:val="24"/>
                    </w:rPr>
                    <w:t>2.5cm厚E1级别三聚氰胺板材，优质PVC圆角封边，硬度高，不易磨花，具有防火性能，经过防虫，防腐等化学处理，甲醛释放量符合国家标准；</w:t>
                  </w:r>
                </w:p>
                <w:p>
                  <w:pPr>
                    <w:pStyle w:val="null3"/>
                    <w:jc w:val="both"/>
                  </w:pPr>
                  <w:r>
                    <w:rPr>
                      <w:rFonts w:ascii="仿宋_GB2312" w:hAnsi="仿宋_GB2312" w:cs="仿宋_GB2312" w:eastAsia="仿宋_GB2312"/>
                      <w:sz w:val="24"/>
                    </w:rPr>
                    <w:t>4、键盘直接放于桌面，无需要键盘抽屉减少导轨使用故障率；桌面设有两个电源孔，pp材质方便电脑过线；</w:t>
                  </w:r>
                </w:p>
                <w:p>
                  <w:pPr>
                    <w:pStyle w:val="null3"/>
                    <w:jc w:val="both"/>
                  </w:pPr>
                  <w:r>
                    <w:rPr>
                      <w:rFonts w:ascii="仿宋_GB2312" w:hAnsi="仿宋_GB2312" w:cs="仿宋_GB2312" w:eastAsia="仿宋_GB2312"/>
                      <w:sz w:val="24"/>
                    </w:rPr>
                    <w:t>5、钢制主体部件须经过数控激光切割一次成型，桌腿立柱采用厚度不低于1.0mm的40*40mm方管，其余所有连接杆采用厚度不低于1.0mm的20*20mm方管，前后散热网片厚度不低于0.8mm，两侧及底网片厚度不低于0.6mm；</w:t>
                  </w:r>
                </w:p>
                <w:p>
                  <w:pPr>
                    <w:pStyle w:val="null3"/>
                    <w:jc w:val="both"/>
                  </w:pPr>
                  <w:r>
                    <w:rPr>
                      <w:rFonts w:ascii="仿宋_GB2312" w:hAnsi="仿宋_GB2312" w:cs="仿宋_GB2312" w:eastAsia="仿宋_GB2312"/>
                      <w:sz w:val="24"/>
                    </w:rPr>
                    <w:t>6、桌脚底部使用专用ABS防滑垫，防止桌子滑动，防止地面划伤；</w:t>
                  </w:r>
                </w:p>
                <w:p>
                  <w:pPr>
                    <w:pStyle w:val="null3"/>
                    <w:jc w:val="both"/>
                  </w:pPr>
                  <w:r>
                    <w:rPr>
                      <w:rFonts w:ascii="仿宋_GB2312" w:hAnsi="仿宋_GB2312" w:cs="仿宋_GB2312" w:eastAsia="仿宋_GB2312"/>
                      <w:sz w:val="24"/>
                    </w:rPr>
                    <w:t>7、配套钢架方凳2个；规格尺寸</w:t>
                  </w:r>
                  <w:r>
                    <w:rPr>
                      <w:rFonts w:ascii="仿宋_GB2312" w:hAnsi="仿宋_GB2312" w:cs="仿宋_GB2312" w:eastAsia="仿宋_GB2312"/>
                      <w:sz w:val="24"/>
                    </w:rPr>
                    <w:t>：</w:t>
                  </w:r>
                  <w:r>
                    <w:rPr>
                      <w:rFonts w:ascii="仿宋_GB2312" w:hAnsi="仿宋_GB2312" w:cs="仿宋_GB2312" w:eastAsia="仿宋_GB2312"/>
                      <w:sz w:val="24"/>
                    </w:rPr>
                    <w:t>340mm*240mm*450mm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，要求与桌面同色；</w:t>
                  </w:r>
                </w:p>
                <w:p>
                  <w:pPr>
                    <w:pStyle w:val="null3"/>
                    <w:jc w:val="both"/>
                  </w:pPr>
                  <w:r>
                    <w:rPr>
                      <w:rFonts w:ascii="仿宋_GB2312" w:hAnsi="仿宋_GB2312" w:cs="仿宋_GB2312" w:eastAsia="仿宋_GB2312"/>
                      <w:sz w:val="24"/>
                    </w:rPr>
                    <w:t>8、凳面采用</w:t>
                  </w:r>
                  <w:r>
                    <w:rPr>
                      <w:rFonts w:ascii="仿宋_GB2312" w:hAnsi="仿宋_GB2312" w:cs="仿宋_GB2312" w:eastAsia="仿宋_GB2312"/>
                      <w:sz w:val="24"/>
                    </w:rPr>
                    <w:t>≥</w:t>
                  </w:r>
                  <w:r>
                    <w:rPr>
                      <w:rFonts w:ascii="仿宋_GB2312" w:hAnsi="仿宋_GB2312" w:cs="仿宋_GB2312" w:eastAsia="仿宋_GB2312"/>
                      <w:sz w:val="24"/>
                    </w:rPr>
                    <w:t>2.5cm厚E1级别三聚氰胺板材，优质PVC圆角封边，硬度高，不易磨花，具有防火性能，经过防虫，防腐等化学处理，甲醛释放量符合国家标准；</w:t>
                  </w:r>
                </w:p>
                <w:p>
                  <w:pPr>
                    <w:pStyle w:val="null3"/>
                    <w:jc w:val="both"/>
                  </w:pPr>
                  <w:r>
                    <w:rPr>
                      <w:rFonts w:ascii="仿宋_GB2312" w:hAnsi="仿宋_GB2312" w:cs="仿宋_GB2312" w:eastAsia="仿宋_GB2312"/>
                      <w:sz w:val="24"/>
                    </w:rPr>
                    <w:t>9、凳腿采用25*25mm方管，壁管厚度不低于1.0mm，外表为全环保喷塑工艺，环保无味，耐用，凳脚底部使用专用ABS防滑垫，防止凳子滑动；</w:t>
                  </w:r>
                </w:p>
                <w:p>
                  <w:pPr>
                    <w:pStyle w:val="null3"/>
                    <w:jc w:val="both"/>
                  </w:pPr>
                  <w:r>
                    <w:rPr>
                      <w:rFonts w:ascii="仿宋_GB2312" w:hAnsi="仿宋_GB2312" w:cs="仿宋_GB2312" w:eastAsia="仿宋_GB2312"/>
                      <w:sz w:val="24"/>
                    </w:rPr>
                    <w:t>10、教师计算机桌椅，具备可升降、可移动功能，最大座高不大于460mm。</w:t>
                  </w:r>
                </w:p>
                <w:p>
                  <w:pPr>
                    <w:pStyle w:val="null3"/>
                    <w:jc w:val="both"/>
                  </w:pPr>
                  <w:r>
                    <w:rPr>
                      <w:rFonts w:ascii="仿宋_GB2312" w:hAnsi="仿宋_GB2312" w:cs="仿宋_GB2312" w:eastAsia="仿宋_GB2312"/>
                      <w:sz w:val="24"/>
                    </w:rPr>
                    <w:t>11、所有桌椅设备符合 GB/T 3324《木家具通用技术条件》、GB/T 3325 《金属家具通用技术条件》，符合四川省中小学信息科技教室配套设备配置标准，安全环保、稳固耐用，满足长期教学使用。</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★UPS电源（6KVA，保障40分钟续</w:t>
                  </w:r>
                  <w:r>
                    <w:br/>
                  </w:r>
                  <w:r>
                    <w:rPr>
                      <w:rFonts w:ascii="仿宋_GB2312" w:hAnsi="仿宋_GB2312" w:cs="仿宋_GB2312" w:eastAsia="仿宋_GB2312"/>
                      <w:sz w:val="24"/>
                    </w:rPr>
                    <w:t>航）</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1、单进单出纯在线双变换式产品，主机功率为6KVA/5.4W，塔式长机。</w:t>
                  </w:r>
                </w:p>
                <w:p>
                  <w:pPr>
                    <w:pStyle w:val="null3"/>
                    <w:jc w:val="both"/>
                  </w:pPr>
                  <w:r>
                    <w:rPr>
                      <w:rFonts w:ascii="仿宋_GB2312" w:hAnsi="仿宋_GB2312" w:cs="仿宋_GB2312" w:eastAsia="仿宋_GB2312"/>
                      <w:sz w:val="24"/>
                    </w:rPr>
                    <w:t>2、主机可承受90V~300V极宽输入电压，及40~70Hz输入频率范围。</w:t>
                  </w:r>
                </w:p>
                <w:p>
                  <w:pPr>
                    <w:pStyle w:val="null3"/>
                    <w:jc w:val="both"/>
                  </w:pPr>
                  <w:r>
                    <w:rPr>
                      <w:rFonts w:ascii="仿宋_GB2312" w:hAnsi="仿宋_GB2312" w:cs="仿宋_GB2312" w:eastAsia="仿宋_GB2312"/>
                      <w:sz w:val="24"/>
                    </w:rPr>
                    <w:t>3、整流器采用IGBT，具有PFC功能，输入功率因数</w:t>
                  </w:r>
                  <w:r>
                    <w:rPr>
                      <w:rFonts w:ascii="仿宋_GB2312" w:hAnsi="仿宋_GB2312" w:cs="仿宋_GB2312" w:eastAsia="仿宋_GB2312"/>
                      <w:sz w:val="24"/>
                    </w:rPr>
                    <w:t>≥</w:t>
                  </w:r>
                  <w:r>
                    <w:rPr>
                      <w:rFonts w:ascii="仿宋_GB2312" w:hAnsi="仿宋_GB2312" w:cs="仿宋_GB2312" w:eastAsia="仿宋_GB2312"/>
                      <w:sz w:val="24"/>
                    </w:rPr>
                    <w:t>0.99（100%非线性负载），输入谐波电流</w:t>
                  </w:r>
                  <w:r>
                    <w:rPr>
                      <w:rFonts w:ascii="仿宋_GB2312" w:hAnsi="仿宋_GB2312" w:cs="仿宋_GB2312" w:eastAsia="仿宋_GB2312"/>
                      <w:sz w:val="24"/>
                    </w:rPr>
                    <w:t>≤</w:t>
                  </w:r>
                  <w:r>
                    <w:rPr>
                      <w:rFonts w:ascii="仿宋_GB2312" w:hAnsi="仿宋_GB2312" w:cs="仿宋_GB2312" w:eastAsia="仿宋_GB2312"/>
                      <w:sz w:val="24"/>
                    </w:rPr>
                    <w:t>6%（100%非线性负载）。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输出额定电压（</w:t>
                  </w:r>
                  <w:r>
                    <w:rPr>
                      <w:rFonts w:ascii="仿宋_GB2312" w:hAnsi="仿宋_GB2312" w:cs="仿宋_GB2312" w:eastAsia="仿宋_GB2312"/>
                      <w:sz w:val="24"/>
                    </w:rPr>
                    <w:t>Vac）：208/220/230/240VAC，50/60Hz，广泛适应各种电压频率制式设备；输出电压波形失真度：&lt;2%(线性负载)，&lt;6%(非线性负载)。</w:t>
                  </w:r>
                </w:p>
                <w:p>
                  <w:pPr>
                    <w:pStyle w:val="null3"/>
                    <w:jc w:val="both"/>
                  </w:pPr>
                  <w:r>
                    <w:rPr>
                      <w:rFonts w:ascii="仿宋_GB2312" w:hAnsi="仿宋_GB2312" w:cs="仿宋_GB2312" w:eastAsia="仿宋_GB2312"/>
                      <w:sz w:val="24"/>
                    </w:rPr>
                    <w:t>5、切换时间：市电模式和电池模式相互转换：0ms，逆变模式和旁路模式相互转换时间：≤1ms，逆变模式和ECO模式相互转换时间：0ms。</w:t>
                  </w:r>
                </w:p>
                <w:p>
                  <w:pPr>
                    <w:pStyle w:val="null3"/>
                    <w:jc w:val="both"/>
                  </w:pPr>
                  <w:r>
                    <w:rPr>
                      <w:rFonts w:ascii="仿宋_GB2312" w:hAnsi="仿宋_GB2312" w:cs="仿宋_GB2312" w:eastAsia="仿宋_GB2312"/>
                      <w:sz w:val="24"/>
                    </w:rPr>
                    <w:t>6、整机效率：≥95%（市电模式）。</w:t>
                  </w:r>
                </w:p>
                <w:p>
                  <w:pPr>
                    <w:pStyle w:val="null3"/>
                    <w:jc w:val="both"/>
                  </w:pPr>
                  <w:r>
                    <w:rPr>
                      <w:rFonts w:ascii="仿宋_GB2312" w:hAnsi="仿宋_GB2312" w:cs="仿宋_GB2312" w:eastAsia="仿宋_GB2312"/>
                      <w:sz w:val="24"/>
                    </w:rPr>
                    <w:t>7、过载能力：105%~125%额定负载1分钟， 126%~150%额定负载10秒，&gt;150%额定负载0.5秒。</w:t>
                  </w:r>
                </w:p>
                <w:p>
                  <w:pPr>
                    <w:pStyle w:val="null3"/>
                    <w:jc w:val="both"/>
                  </w:pPr>
                  <w:r>
                    <w:rPr>
                      <w:rFonts w:ascii="仿宋_GB2312" w:hAnsi="仿宋_GB2312" w:cs="仿宋_GB2312" w:eastAsia="仿宋_GB2312"/>
                      <w:sz w:val="24"/>
                    </w:rPr>
                    <w:t>8、通信功能：标配RS232、以太网卡，选配USB、MODBUS；并可选配SNMP卡，支持远程智能监控，提供手机APP、网页、PC监控台多途径，实现一对一/一对多/多对一全面监控。</w:t>
                  </w:r>
                </w:p>
                <w:p>
                  <w:pPr>
                    <w:pStyle w:val="null3"/>
                    <w:jc w:val="both"/>
                  </w:pPr>
                  <w:r>
                    <w:rPr>
                      <w:rFonts w:ascii="仿宋_GB2312" w:hAnsi="仿宋_GB2312" w:cs="仿宋_GB2312" w:eastAsia="仿宋_GB2312"/>
                      <w:sz w:val="24"/>
                    </w:rPr>
                    <w:t>9、蓄电池标称电压：192或240VDC（外置16或20节12V蓄电池）。</w:t>
                  </w:r>
                </w:p>
                <w:p>
                  <w:pPr>
                    <w:pStyle w:val="null3"/>
                    <w:jc w:val="both"/>
                  </w:pPr>
                  <w:r>
                    <w:rPr>
                      <w:rFonts w:ascii="仿宋_GB2312" w:hAnsi="仿宋_GB2312" w:cs="仿宋_GB2312" w:eastAsia="仿宋_GB2312"/>
                      <w:sz w:val="24"/>
                    </w:rPr>
                    <w:t>10、包括以下保护和报警功能：输入交流电源断电报警，主电路过流保护，浪涌电流抑止保护，限流、过载的快速保护，过压、欠压保护，熔丝熔断显示和报警，故障报警和信号指示等。</w:t>
                  </w:r>
                </w:p>
                <w:p>
                  <w:pPr>
                    <w:pStyle w:val="null3"/>
                    <w:jc w:val="both"/>
                  </w:pPr>
                  <w:r>
                    <w:rPr>
                      <w:rFonts w:ascii="仿宋_GB2312" w:hAnsi="仿宋_GB2312" w:cs="仿宋_GB2312" w:eastAsia="仿宋_GB2312"/>
                      <w:sz w:val="24"/>
                    </w:rPr>
                    <w:t>11、系统采用组模式UPS及电池仓设计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12、系统采用输出可变式充电器。</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、提供</w:t>
                  </w:r>
                  <w:r>
                    <w:rPr>
                      <w:rFonts w:ascii="仿宋_GB2312" w:hAnsi="仿宋_GB2312" w:cs="仿宋_GB2312" w:eastAsia="仿宋_GB2312"/>
                      <w:sz w:val="24"/>
                    </w:rPr>
                    <w:t>UPS抗震认证证书、抗震检测报告。</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电池规格：</w:t>
                  </w:r>
                  <w:r>
                    <w:rPr>
                      <w:rFonts w:ascii="仿宋_GB2312" w:hAnsi="仿宋_GB2312" w:cs="仿宋_GB2312" w:eastAsia="仿宋_GB2312"/>
                      <w:sz w:val="24"/>
                    </w:rPr>
                    <w:t>12V 38AH</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安全阀应在</w:t>
                  </w:r>
                  <w:r>
                    <w:rPr>
                      <w:rFonts w:ascii="仿宋_GB2312" w:hAnsi="仿宋_GB2312" w:cs="仿宋_GB2312" w:eastAsia="仿宋_GB2312"/>
                      <w:sz w:val="24"/>
                    </w:rPr>
                    <w:t>1kPa-49kPa的范围内可靠的开启和关闭</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端子、极柱及汇流排不应熔化或熔断；槽、盖不应熔化或变形</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能够承受</w:t>
                  </w:r>
                  <w:r>
                    <w:rPr>
                      <w:rFonts w:ascii="仿宋_GB2312" w:hAnsi="仿宋_GB2312" w:cs="仿宋_GB2312" w:eastAsia="仿宋_GB2312"/>
                      <w:sz w:val="24"/>
                    </w:rPr>
                    <w:t>50kPa的正压而不破裂、不开胶，压力释放后壳体无残余变形，检验合格</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完全充电的蓄电池，在温度为</w:t>
                  </w:r>
                  <w:r>
                    <w:rPr>
                      <w:rFonts w:ascii="仿宋_GB2312" w:hAnsi="仿宋_GB2312" w:cs="仿宋_GB2312" w:eastAsia="仿宋_GB2312"/>
                      <w:sz w:val="24"/>
                    </w:rPr>
                    <w:t>25℃时蓄电池静置28天后，容量保存率不低于该电池实际容量（25℃时的C10）的97%。</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安全阀要求：具有自动开启和自动关闭功能，开阀压力和闭阀压力满足一下以下要求：（</w:t>
                  </w:r>
                  <w:r>
                    <w:rPr>
                      <w:rFonts w:ascii="仿宋_GB2312" w:hAnsi="仿宋_GB2312" w:cs="仿宋_GB2312" w:eastAsia="仿宋_GB2312"/>
                      <w:sz w:val="24"/>
                    </w:rPr>
                    <w:t>1）开阀压力：10～35kPa；（2）闭阀压力：3～30kPa。</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开路电压最高与最低差值</w:t>
                  </w:r>
                  <w:r>
                    <w:rPr>
                      <w:rFonts w:ascii="仿宋_GB2312" w:hAnsi="仿宋_GB2312" w:cs="仿宋_GB2312" w:eastAsia="仿宋_GB2312"/>
                      <w:sz w:val="24"/>
                    </w:rPr>
                    <w:t>≦100mV(12V电池)。</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进入浮充状态</w:t>
                  </w:r>
                  <w:r>
                    <w:rPr>
                      <w:rFonts w:ascii="仿宋_GB2312" w:hAnsi="仿宋_GB2312" w:cs="仿宋_GB2312" w:eastAsia="仿宋_GB2312"/>
                      <w:sz w:val="24"/>
                    </w:rPr>
                    <w:t>24h后端电压差≦480mV(12V电池)。</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同组蓄电池</w:t>
                  </w:r>
                  <w:r>
                    <w:rPr>
                      <w:rFonts w:ascii="仿宋_GB2312" w:hAnsi="仿宋_GB2312" w:cs="仿宋_GB2312" w:eastAsia="仿宋_GB2312"/>
                      <w:sz w:val="24"/>
                    </w:rPr>
                    <w:t>10h率容量试验时，最大实际容量与最小实际容量差值≦5%。</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电池柜型号：</w:t>
                  </w:r>
                  <w:r>
                    <w:rPr>
                      <w:rFonts w:ascii="仿宋_GB2312" w:hAnsi="仿宋_GB2312" w:cs="仿宋_GB2312" w:eastAsia="仿宋_GB2312"/>
                      <w:sz w:val="24"/>
                    </w:rPr>
                    <w:t>A-8</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尺寸：</w:t>
                  </w:r>
                  <w:r>
                    <w:rPr>
                      <w:rFonts w:ascii="仿宋_GB2312" w:hAnsi="仿宋_GB2312" w:cs="仿宋_GB2312" w:eastAsia="仿宋_GB2312"/>
                      <w:sz w:val="24"/>
                    </w:rPr>
                    <w:t>460*790*620mm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材质：优质冷轧钢板，镀锌矩管。</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工艺：表面酸洗，磷化，除锈，静电喷塑防腐蚀等工艺。</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颜色：黑色</w:t>
                  </w:r>
                  <w:r>
                    <w:rPr>
                      <w:rFonts w:ascii="仿宋_GB2312" w:hAnsi="仿宋_GB2312" w:cs="仿宋_GB2312" w:eastAsia="仿宋_GB2312"/>
                      <w:sz w:val="24"/>
                    </w:rPr>
                    <w:t>；</w:t>
                  </w:r>
                  <w:r>
                    <w:rPr>
                      <w:rFonts w:ascii="仿宋_GB2312" w:hAnsi="仿宋_GB2312" w:cs="仿宋_GB2312" w:eastAsia="仿宋_GB2312"/>
                      <w:sz w:val="24"/>
                    </w:rPr>
                    <w:t>其他颜色定制；</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设计：整体设计以结构稳固，安装简易的前提为核心，运输及安装方便。耐用，内部空间的不同规格电池容纳率高，可放小规格电池。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西昌市实验学校</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货款，签订合同后，全部货物交货、安装、调试完成并验收合格后，供应商提供相关票据并填写验收结算单，达到付款条件起10个工作日内，支付合同总金额的100.0%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1.设备质保期不少于3年，厂家质保期高于1年的，以厂家质保期为准。本技术参数中有要求的以技术参数中的要求为准。签订合同前须提供相应证明材料，由采购单位核查技术参数是否符合。 2.投标文件及供应商承诺的质量、技术和其他要求，符合国家相关的质量标准和出厂标准。 3.所提供产品均为生产厂家原装全新合格产品，投标人不得以次充好；产品来源渠道必须合法，同时应根据国家有关规定、厂家服务承诺及采购单位的要求做好售后服务工作。 4.提供的货物制造标准、安装标准及技术规范等，必须符合最新国家标准。各项技术标准应当符合国家强制性标准。 5.本采购清单中的塑料制品均采用新料生产制造。</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投标人不能按时交付货物或逾期交付货物或或交货质量不符合规定的，采购人有权解除合同，合同自解除通知发出之日起解除，并赔偿由此给采购人造成的一切损失。合同履行期间,若双方发生争议，可协商或由有关部门调解解决，协商或调解不成的，双方应当向采购人所在地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本项目投标报价是履行合同的最终价格，包括货物运送、安装（及安装时所需配件）、调式、税金、售后等，采购人不再支付任何费用；投标报价估算错误等引起的风险由投标人自行承担。投标人报价需符合预算控制价要求，超出预算控制价的报价为无效投标。★（2）中标人须提供全新的货物（含零部件、配件等），表面无划伤、无碰撞痕迹，且权属清楚，不得侵害他人的知识产权。★（3）货物必须符合或优于国家（行业）标准，以及本项目招标文件的质量要求和技术指标与出厂标准。★（4）在使用过程中，货物质量出现问题，中标人应负责三包（包修、包换、包退），费用由中标人负担，采购人有权实地了解和检查中标人的货物质量和供货进度。★（5）货到现场后交付采购人使用前由于中标人运输、装卸、保管不当造成的质量问题，采购人不负责修理，费用由中标人负担。★（6）本项目若有涉及 3C 等国家强制认证要求的，成交后供应商签订合同前应提供3C证书或相关证明材料复印件。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注：（1）法定代表人/单位负责人身份证明材料复印件。 （2）法定代表人/单位负责人授权代理书原件及代理人身份证明材料复印件（说明：①法定代表人/单位负责人授权代理书原件需加盖公章；②如响应文件均由供应商法定代表人/单位负责人签字或加盖私人印章的且法定代表人/单位负责人本人参与谈判的，则可不提供。）</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可提供2024以来任一年度经审计的财务报告复印件（包含审计报告和审计报告中所涉及的财务报表和报表附注），②也可提供2024以来任一年度供应商的财务报表复印件（至少包含现金流量表、资产负债表和利润表），③也可提供距文件递交截止日一年内银行出具的资信证明（复印件），④也可提供具有健全的财务会计制度的承诺函原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响应文件封面,产品技术参数响应表,报价明细表,供应商应提交的相关证明材料,报价表,服务应答表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