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版本号：N510606202600003920260622001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计算机教室台式电脑设备采购(二次)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N5106062026000039</w:t>
      </w:r>
    </w:p>
    <w:p>
      <w:pPr>
        <w:pStyle w:val="null3"/>
        <w:jc w:val="left"/>
        <w:outlineLvl w:val="2"/>
      </w:pPr>
      <w:r>
        <w:rPr>
          <w:rFonts w:ascii="仿宋_GB2312" w:hAnsi="仿宋_GB2312" w:cs="仿宋_GB2312" w:eastAsia="仿宋_GB2312"/>
          <w:sz w:val="28"/>
          <w:b/>
        </w:rPr>
        <w:t>德阳市通威第六中学</w:t>
      </w:r>
    </w:p>
    <w:p>
      <w:pPr>
        <w:pStyle w:val="null3"/>
        <w:jc w:val="center"/>
        <w:outlineLvl w:val="2"/>
      </w:pPr>
      <w:r>
        <w:rPr>
          <w:rFonts w:ascii="仿宋_GB2312" w:hAnsi="仿宋_GB2312" w:cs="仿宋_GB2312" w:eastAsia="仿宋_GB2312"/>
          <w:sz w:val="28"/>
          <w:b/>
        </w:rPr>
        <w:t>德阳市政府政务服务和公共资源交易服务中心（德阳市政府采购中心）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德阳市政府政务服务和公共资源交易服务中心（德阳市政府采购中心）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德阳市通威第六中学</w:t>
      </w:r>
      <w:r>
        <w:rPr>
          <w:rFonts w:ascii="仿宋_GB2312" w:hAnsi="仿宋_GB2312" w:cs="仿宋_GB2312" w:eastAsia="仿宋_GB2312"/>
        </w:rPr>
        <w:t xml:space="preserve"> 委托，拟对 </w:t>
      </w:r>
      <w:r>
        <w:rPr>
          <w:rFonts w:ascii="仿宋_GB2312" w:hAnsi="仿宋_GB2312" w:cs="仿宋_GB2312" w:eastAsia="仿宋_GB2312"/>
        </w:rPr>
        <w:t>计算机教室台式电脑设备采购(二次)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德阳市经济开发区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N5106062026000039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计算机教室台式电脑设备采购(二次)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本次拟购教师用机2台、学生台式电脑116台。</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德阳市通威第六中学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德阳市柳江街502号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0838-2601869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德阳市政府政务服务和公共资源交易服务中心（德阳市政府采购中心）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四川省德阳市旌阳区德阳市松花江北路8号政务中心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0838-2533093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采购包1：590,000.00元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德阳市通威第六中学</w:t>
      </w:r>
      <w:r>
        <w:rPr>
          <w:rFonts w:ascii="仿宋_GB2312" w:hAnsi="仿宋_GB2312" w:cs="仿宋_GB2312" w:eastAsia="仿宋_GB2312"/>
        </w:rPr>
        <w:t xml:space="preserve"> 和 </w:t>
      </w:r>
      <w:r>
        <w:rPr>
          <w:rFonts w:ascii="仿宋_GB2312" w:hAnsi="仿宋_GB2312" w:cs="仿宋_GB2312" w:eastAsia="仿宋_GB2312"/>
        </w:rPr>
        <w:t>德阳市政府政务服务和公共资源交易服务中心（德阳市政府采购中心）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德阳市通威第六中学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德阳市政府政务服务和公共资源交易服务中心（德阳市政府采购中心）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货物到达现场安装调试完毕，设备正常运行7日后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根据采购文件和供应商响应文件、合同及验收设备品牌、型号、数量是否与合同一致，设备是否正常运行使用。</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资料验收：供方需完整提交供货清单、合格证、说明书、售后承诺、票据等全套资料，资料齐全、真实有效。 供货履约验收：核查供货数量、规格型号、交付时间是否符合合同约定，无少供、漏供、迟供、错供情况。 现场履约验收：核查安装、调试、服务、培训等履约行为是否按约定完成，服务规范、流程完整。</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严格按照政府采购相关法律法规及《财政部关于进一步加强政府采购需求和履约验收管理的指导意见》（财库〔2016〕205号）的要求验收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德阳市通威第六中学</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德阳市政府政务服务和公共资源交易服务中心（德阳市政府采购中心）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德阳市政府政务服务和公共资源交易服务中心（德阳市政府采购中心）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联系人：肖老师</w:t>
      </w:r>
    </w:p>
    <w:p>
      <w:pPr>
        <w:pStyle w:val="null3"/>
        <w:jc w:val="left"/>
      </w:pPr>
      <w:r>
        <w:rPr>
          <w:rFonts w:ascii="仿宋_GB2312" w:hAnsi="仿宋_GB2312" w:cs="仿宋_GB2312" w:eastAsia="仿宋_GB2312"/>
        </w:rPr>
        <w:t>联系电话：0838-2601869</w:t>
      </w:r>
    </w:p>
    <w:p>
      <w:pPr>
        <w:pStyle w:val="null3"/>
        <w:jc w:val="left"/>
      </w:pPr>
      <w:r>
        <w:rPr>
          <w:rFonts w:ascii="仿宋_GB2312" w:hAnsi="仿宋_GB2312" w:cs="仿宋_GB2312" w:eastAsia="仿宋_GB2312"/>
        </w:rPr>
        <w:t>地址：德阳市通威第六中学</w:t>
      </w:r>
    </w:p>
    <w:p>
      <w:pPr>
        <w:pStyle w:val="null3"/>
        <w:jc w:val="left"/>
      </w:pPr>
      <w:r>
        <w:rPr>
          <w:rFonts w:ascii="仿宋_GB2312" w:hAnsi="仿宋_GB2312" w:cs="仿宋_GB2312" w:eastAsia="仿宋_GB2312"/>
        </w:rPr>
        <w:t>邮编：618000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联系人：叶老师</w:t>
      </w:r>
    </w:p>
    <w:p>
      <w:pPr>
        <w:pStyle w:val="null3"/>
        <w:jc w:val="left"/>
      </w:pPr>
      <w:r>
        <w:rPr>
          <w:rFonts w:ascii="仿宋_GB2312" w:hAnsi="仿宋_GB2312" w:cs="仿宋_GB2312" w:eastAsia="仿宋_GB2312"/>
        </w:rPr>
        <w:t>联系电话：0838-2533093</w:t>
      </w:r>
    </w:p>
    <w:p>
      <w:pPr>
        <w:pStyle w:val="null3"/>
        <w:jc w:val="left"/>
      </w:pPr>
      <w:r>
        <w:rPr>
          <w:rFonts w:ascii="仿宋_GB2312" w:hAnsi="仿宋_GB2312" w:cs="仿宋_GB2312" w:eastAsia="仿宋_GB2312"/>
        </w:rPr>
        <w:t>地址：德阳市松花江北路8号政务中心7楼</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590,000.00</w:t>
      </w:r>
    </w:p>
    <w:p>
      <w:pPr>
        <w:pStyle w:val="null3"/>
        <w:jc w:val="left"/>
      </w:pPr>
      <w:r>
        <w:rPr>
          <w:rFonts w:ascii="仿宋_GB2312" w:hAnsi="仿宋_GB2312" w:cs="仿宋_GB2312" w:eastAsia="仿宋_GB2312"/>
        </w:rPr>
        <w:t>采购包最高限价（元）: 544,100.00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教师台式电脑</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10,500.00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学生台式电脑</w:t>
            </w:r>
          </w:p>
        </w:tc>
        <w:tc>
          <w:tcPr>
            <w:tcW w:type="dxa" w:w="821"/>
          </w:tcPr>
          <w:p>
            <w:pPr>
              <w:pStyle w:val="null3"/>
              <w:jc w:val="right"/>
            </w:pPr>
            <w:r>
              <w:rPr>
                <w:rFonts w:ascii="仿宋_GB2312" w:hAnsi="仿宋_GB2312" w:cs="仿宋_GB2312" w:eastAsia="仿宋_GB2312"/>
              </w:rPr>
              <w:t>116.00（台）</w:t>
            </w:r>
          </w:p>
        </w:tc>
        <w:tc>
          <w:tcPr>
            <w:tcW w:type="dxa" w:w="821"/>
          </w:tcPr>
          <w:p>
            <w:pPr>
              <w:pStyle w:val="null3"/>
              <w:jc w:val="right"/>
            </w:pPr>
            <w:r>
              <w:rPr>
                <w:rFonts w:ascii="仿宋_GB2312" w:hAnsi="仿宋_GB2312" w:cs="仿宋_GB2312" w:eastAsia="仿宋_GB2312"/>
              </w:rPr>
              <w:t>533,600.00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教师台式电脑</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10,500.00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学生台式电脑</w:t>
            </w:r>
          </w:p>
        </w:tc>
        <w:tc>
          <w:tcPr>
            <w:tcW w:type="dxa" w:w="1138"/>
          </w:tcPr>
          <w:p>
            <w:pPr>
              <w:pStyle w:val="null3"/>
              <w:jc w:val="center"/>
            </w:pPr>
            <w:r>
              <w:rPr>
                <w:rFonts w:ascii="仿宋_GB2312" w:hAnsi="仿宋_GB2312" w:cs="仿宋_GB2312" w:eastAsia="仿宋_GB2312"/>
              </w:rPr>
              <w:t>116.00（台）</w:t>
            </w:r>
          </w:p>
        </w:tc>
        <w:tc>
          <w:tcPr>
            <w:tcW w:type="dxa" w:w="1365"/>
          </w:tcPr>
          <w:p>
            <w:pPr>
              <w:pStyle w:val="null3"/>
              <w:jc w:val="center"/>
            </w:pPr>
            <w:r>
              <w:rPr>
                <w:rFonts w:ascii="仿宋_GB2312" w:hAnsi="仿宋_GB2312" w:cs="仿宋_GB2312" w:eastAsia="仿宋_GB2312"/>
              </w:rPr>
              <w:t>533,600.00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学生台式电脑</w:t>
            </w:r>
          </w:p>
        </w:tc>
        <w:tc>
          <w:tcPr>
            <w:tcW w:type="dxa" w:w="2492"/>
          </w:tcPr>
          <w:p>
            <w:pPr>
              <w:pStyle w:val="null3"/>
              <w:jc w:val="left"/>
            </w:pPr>
            <w:r>
              <w:rPr>
                <w:rFonts w:ascii="仿宋_GB2312" w:hAnsi="仿宋_GB2312" w:cs="仿宋_GB2312" w:eastAsia="仿宋_GB2312"/>
              </w:rPr>
              <w:t>学生台式电脑</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教师台式电脑</w:t>
            </w:r>
          </w:p>
        </w:tc>
        <w:tc>
          <w:tcPr>
            <w:tcW w:type="dxa" w:w="2492"/>
          </w:tcPr>
          <w:p>
            <w:pPr>
              <w:pStyle w:val="null3"/>
              <w:jc w:val="left"/>
            </w:pPr>
            <w:r>
              <w:rPr>
                <w:rFonts w:ascii="仿宋_GB2312" w:hAnsi="仿宋_GB2312" w:cs="仿宋_GB2312" w:eastAsia="仿宋_GB2312"/>
              </w:rPr>
              <w:t>教师台式电脑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学生台式电脑</w:t>
            </w:r>
          </w:p>
        </w:tc>
        <w:tc>
          <w:tcPr>
            <w:tcW w:type="dxa" w:w="2492"/>
          </w:tcPr>
          <w:p>
            <w:pPr>
              <w:pStyle w:val="null3"/>
              <w:jc w:val="left"/>
            </w:pPr>
            <w:r>
              <w:rPr>
                <w:rFonts w:ascii="仿宋_GB2312" w:hAnsi="仿宋_GB2312" w:cs="仿宋_GB2312" w:eastAsia="仿宋_GB2312"/>
              </w:rPr>
              <w:t>学生台式电脑</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教师台式电脑</w:t>
            </w:r>
          </w:p>
        </w:tc>
        <w:tc>
          <w:tcPr>
            <w:tcW w:type="dxa" w:w="2492"/>
          </w:tcPr>
          <w:p>
            <w:pPr>
              <w:pStyle w:val="null3"/>
              <w:jc w:val="left"/>
            </w:pPr>
            <w:r>
              <w:rPr>
                <w:rFonts w:ascii="仿宋_GB2312" w:hAnsi="仿宋_GB2312" w:cs="仿宋_GB2312" w:eastAsia="仿宋_GB2312"/>
              </w:rPr>
              <w:t>教室台式电脑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学生台式电脑</w:t>
            </w:r>
          </w:p>
        </w:tc>
        <w:tc>
          <w:tcPr>
            <w:tcW w:type="dxa" w:w="2492"/>
          </w:tcPr>
          <w:p>
            <w:pPr>
              <w:pStyle w:val="null3"/>
              <w:jc w:val="left"/>
            </w:pPr>
            <w:r>
              <w:rPr>
                <w:rFonts w:ascii="仿宋_GB2312" w:hAnsi="仿宋_GB2312" w:cs="仿宋_GB2312" w:eastAsia="仿宋_GB2312"/>
              </w:rPr>
              <w:t>学生台式电脑</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标的名称：教师台式电脑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教师台式电脑</w:t>
            </w:r>
          </w:p>
        </w:tc>
        <w:tc>
          <w:tcPr>
            <w:tcW w:type="dxa" w:w="5814"/>
          </w:tcPr>
          <w:p>
            <w:pPr>
              <w:pStyle w:val="null3"/>
              <w:jc w:val="left"/>
            </w:pPr>
            <w:r>
              <w:rPr>
                <w:rFonts w:ascii="仿宋_GB2312" w:hAnsi="仿宋_GB2312" w:cs="仿宋_GB2312" w:eastAsia="仿宋_GB2312"/>
              </w:rPr>
              <w:t>1、显示器：≥23.8英寸宽屏16:9  LED背光液晶显示器，含VGA、HDMI 1.4接口，分辨率1920x1080, 可视角度为水平178度/垂直 178度；</w:t>
            </w:r>
          </w:p>
          <w:p>
            <w:pPr>
              <w:pStyle w:val="null3"/>
              <w:jc w:val="left"/>
            </w:pPr>
            <w:r>
              <w:rPr>
                <w:rFonts w:ascii="仿宋_GB2312" w:hAnsi="仿宋_GB2312" w:cs="仿宋_GB2312" w:eastAsia="仿宋_GB2312"/>
              </w:rPr>
              <w:t>2、CPU：≥最高睿频5.0GHz，14核心20线程，24MB末级缓存；</w:t>
            </w:r>
          </w:p>
          <w:p>
            <w:pPr>
              <w:pStyle w:val="null3"/>
              <w:jc w:val="left"/>
            </w:pPr>
            <w:r>
              <w:rPr>
                <w:rFonts w:ascii="仿宋_GB2312" w:hAnsi="仿宋_GB2312" w:cs="仿宋_GB2312" w:eastAsia="仿宋_GB2312"/>
              </w:rPr>
              <w:t>3、内存：≥16G DDR4 ，最大可支持64G内存；</w:t>
            </w:r>
          </w:p>
          <w:p>
            <w:pPr>
              <w:pStyle w:val="null3"/>
              <w:jc w:val="left"/>
            </w:pPr>
            <w:r>
              <w:rPr>
                <w:rFonts w:ascii="仿宋_GB2312" w:hAnsi="仿宋_GB2312" w:cs="仿宋_GB2312" w:eastAsia="仿宋_GB2312"/>
              </w:rPr>
              <w:t>4、硬盘：≥512G SSD+1T HDD，机械硬盘转速≥7200RPM，支持硬盘故障前自检技术(硬盘故障前告警，帮助用户在硬盘损坏前备份数据)；</w:t>
            </w:r>
          </w:p>
          <w:p>
            <w:pPr>
              <w:pStyle w:val="null3"/>
              <w:jc w:val="left"/>
            </w:pPr>
            <w:r>
              <w:rPr>
                <w:rFonts w:ascii="仿宋_GB2312" w:hAnsi="仿宋_GB2312" w:cs="仿宋_GB2312" w:eastAsia="仿宋_GB2312"/>
              </w:rPr>
              <w:t>5、显卡：配置不低于集成显卡；</w:t>
            </w:r>
          </w:p>
          <w:p>
            <w:pPr>
              <w:pStyle w:val="null3"/>
              <w:jc w:val="left"/>
            </w:pPr>
            <w:r>
              <w:rPr>
                <w:rFonts w:ascii="仿宋_GB2312" w:hAnsi="仿宋_GB2312" w:cs="仿宋_GB2312" w:eastAsia="仿宋_GB2312"/>
              </w:rPr>
              <w:t>6、网卡：集成1000M千兆以太网卡；同品牌抗菌键盘鼠标；预装正版Windows 10操作系统；</w:t>
            </w:r>
          </w:p>
          <w:p>
            <w:pPr>
              <w:pStyle w:val="null3"/>
              <w:jc w:val="left"/>
            </w:pPr>
            <w:r>
              <w:rPr>
                <w:rFonts w:ascii="仿宋_GB2312" w:hAnsi="仿宋_GB2312" w:cs="仿宋_GB2312" w:eastAsia="仿宋_GB2312"/>
              </w:rPr>
              <w:t>7、扩展插槽：≥1个无线网卡M.2接口、1个SSD硬盘M.2接口、1 个全高 PCI；1 个 PCIe 3 x1；1 个 PCIe 4 x16；</w:t>
            </w:r>
          </w:p>
          <w:p>
            <w:pPr>
              <w:pStyle w:val="null3"/>
              <w:jc w:val="left"/>
            </w:pPr>
            <w:r>
              <w:rPr>
                <w:rFonts w:ascii="仿宋_GB2312" w:hAnsi="仿宋_GB2312" w:cs="仿宋_GB2312" w:eastAsia="仿宋_GB2312"/>
              </w:rPr>
              <w:t>8、端口：≥8 个 USB、1 个 HDMI、1 个VGA、1 个 RJ-45、1 个电源接口。</w:t>
            </w:r>
          </w:p>
          <w:p>
            <w:pPr>
              <w:pStyle w:val="null3"/>
              <w:jc w:val="left"/>
            </w:pPr>
            <w:r>
              <w:rPr>
                <w:rFonts w:ascii="仿宋_GB2312" w:hAnsi="仿宋_GB2312" w:cs="仿宋_GB2312" w:eastAsia="仿宋_GB2312"/>
              </w:rPr>
              <w:t>9、电源：≥180W电源，最高 90% 能效（电源功率与显卡配置匹配）；</w:t>
            </w:r>
          </w:p>
          <w:p>
            <w:pPr>
              <w:pStyle w:val="null3"/>
              <w:jc w:val="left"/>
            </w:pPr>
            <w:r>
              <w:rPr>
                <w:rFonts w:ascii="仿宋_GB2312" w:hAnsi="仿宋_GB2312" w:cs="仿宋_GB2312" w:eastAsia="仿宋_GB2312"/>
              </w:rPr>
              <w:t>10、机箱类型：立式免工具拆卸机箱，机箱容量不小于15L；</w:t>
            </w:r>
          </w:p>
          <w:p>
            <w:pPr>
              <w:pStyle w:val="null3"/>
              <w:jc w:val="left"/>
            </w:pPr>
            <w:r>
              <w:rPr>
                <w:rFonts w:ascii="仿宋_GB2312" w:hAnsi="仿宋_GB2312" w:cs="仿宋_GB2312" w:eastAsia="仿宋_GB2312"/>
              </w:rPr>
              <w:t>11、保修服务：主机和显示器3年保修及3年上门服务;所有配置必须原厂原装全新整机，可通过厂家400/800电话或当地维修站（官网维修站网点电话为准）确认配置，不接受其他第三方改装配置；</w:t>
            </w:r>
          </w:p>
          <w:p>
            <w:pPr>
              <w:pStyle w:val="null3"/>
              <w:jc w:val="left"/>
            </w:pPr>
            <w:r>
              <w:rPr>
                <w:rFonts w:ascii="仿宋_GB2312" w:hAnsi="仿宋_GB2312" w:cs="仿宋_GB2312" w:eastAsia="仿宋_GB2312"/>
              </w:rPr>
              <w:t>12、产品质量：平均无故障工作时间（MTBF）不低于100万小时；其他要求：满足财政部、工业和信息化部制定的《台式计算机政府采购需求标准（2023 年版）》中规定的其他*内容（关键部件安全要求除外）；</w:t>
            </w:r>
          </w:p>
          <w:p>
            <w:pPr>
              <w:pStyle w:val="null3"/>
              <w:jc w:val="left"/>
            </w:pPr>
            <w:r>
              <w:rPr>
                <w:rFonts w:ascii="仿宋_GB2312" w:hAnsi="仿宋_GB2312" w:cs="仿宋_GB2312" w:eastAsia="仿宋_GB2312"/>
              </w:rPr>
              <w:t>13、计算机教室运维管理系统：交货时运维系统需安装在主机内。a)支持BIOS底层对终端进行还原类型设置，支持每次开机还原、手动还原、每天特定时间还原、每周特定时间还原、每月特定时间还原、以及不还原等多种数据还原方式，同时也可在Windows系统下通过主控端对被控端批量远程设置相同的还原参数（提供功能截图）。b)支持BIOS底层和Windows操作系统两种方式下，对管理员模式、还原模式、考试模式一键自由切换（提供功能截图）。c)支持UEFI PXE和Legacy PXE双模式自动连线的智能对拷功能，可设置广播、组播、单播三种不同的智能对拷模式，以及根据实际网络情况设置全速、高速、快速、流畅四种延时类型，对拷过程中用户可查看当前对拷速度、当前对拷分区、延时、总剩余数据量、已用间，剩余时间、克隆速率等相关对拷信息，实时掌握对拷进度和状态（提供功能截图）。d)支持虚拟系统快速建立功能，每个虚拟系统在BIOS底层开机启动菜单可显示到对应真实系统下，方便用户分辨虚拟系统和真实系统的所属关系，避免用户误操作（提供功能截图）；e)支持管理端登录超时机制，可设置从不、30分钟、1小时、3小时、6小时等不同超时时长（提供功能截图）。f)支持系统克隆功能，当需要安装多个相同系统时，无需重复多次安装操作，只需要在BIOS底层通过系统克隆功能即可完成多个系统的建立，同时可预设新克隆的系统数据还原方式（提供功能截图）；g)支持Windows系统下的本机操作功能，提供网络设置、快速保存、快速还原、分区设置、模式管理、系统切换、系统更新、智能USB、文件粉碎等多种本机管理功能（提供功能截图）；</w:t>
            </w:r>
          </w:p>
        </w:tc>
      </w:tr>
    </w:tbl>
    <w:p>
      <w:pPr>
        <w:pStyle w:val="null3"/>
        <w:jc w:val="left"/>
      </w:pPr>
      <w:r>
        <w:rPr>
          <w:rFonts w:ascii="仿宋_GB2312" w:hAnsi="仿宋_GB2312" w:cs="仿宋_GB2312" w:eastAsia="仿宋_GB2312"/>
        </w:rPr>
        <w:t>标的名称：学生台式电脑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学生台式电脑</w:t>
            </w:r>
          </w:p>
        </w:tc>
        <w:tc>
          <w:tcPr>
            <w:tcW w:type="dxa" w:w="5814"/>
          </w:tcPr>
          <w:p>
            <w:pPr>
              <w:pStyle w:val="null3"/>
              <w:jc w:val="left"/>
            </w:pPr>
            <w:r>
              <w:rPr>
                <w:rFonts w:ascii="仿宋_GB2312" w:hAnsi="仿宋_GB2312" w:cs="仿宋_GB2312" w:eastAsia="仿宋_GB2312"/>
              </w:rPr>
              <w:t>1、显示器：&gt;21英寸 16:9，LED背光液晶显示器,VGA+HDMI接口,刷新率100Hz, 分辨率1920x1080,可视角度为水平 178度/垂直178度；</w:t>
            </w:r>
          </w:p>
          <w:p>
            <w:pPr>
              <w:pStyle w:val="null3"/>
              <w:jc w:val="left"/>
            </w:pPr>
            <w:r>
              <w:rPr>
                <w:rFonts w:ascii="仿宋_GB2312" w:hAnsi="仿宋_GB2312" w:cs="仿宋_GB2312" w:eastAsia="仿宋_GB2312"/>
              </w:rPr>
              <w:t>2、CPU：≥最高睿频5.0GHz，14核心20线程，24MB末级缓存；</w:t>
            </w:r>
          </w:p>
          <w:p>
            <w:pPr>
              <w:pStyle w:val="null3"/>
              <w:jc w:val="left"/>
            </w:pPr>
            <w:r>
              <w:rPr>
                <w:rFonts w:ascii="仿宋_GB2312" w:hAnsi="仿宋_GB2312" w:cs="仿宋_GB2312" w:eastAsia="仿宋_GB2312"/>
              </w:rPr>
              <w:t>3、内存：≥ 8G DDR4 ，最大可支持64G内存；</w:t>
            </w:r>
          </w:p>
          <w:p>
            <w:pPr>
              <w:pStyle w:val="null3"/>
              <w:jc w:val="left"/>
            </w:pPr>
            <w:r>
              <w:rPr>
                <w:rFonts w:ascii="仿宋_GB2312" w:hAnsi="仿宋_GB2312" w:cs="仿宋_GB2312" w:eastAsia="仿宋_GB2312"/>
              </w:rPr>
              <w:t>4、硬盘：≥256G SSD，支持硬盘故障前自检技术(硬盘故障前告警，帮助用户在硬盘损坏前备份数据)；</w:t>
            </w:r>
          </w:p>
          <w:p>
            <w:pPr>
              <w:pStyle w:val="null3"/>
              <w:jc w:val="left"/>
            </w:pPr>
            <w:r>
              <w:rPr>
                <w:rFonts w:ascii="仿宋_GB2312" w:hAnsi="仿宋_GB2312" w:cs="仿宋_GB2312" w:eastAsia="仿宋_GB2312"/>
              </w:rPr>
              <w:t>5、显卡配置不低于集成显卡；</w:t>
            </w:r>
          </w:p>
          <w:p>
            <w:pPr>
              <w:pStyle w:val="null3"/>
              <w:jc w:val="left"/>
            </w:pPr>
            <w:r>
              <w:rPr>
                <w:rFonts w:ascii="仿宋_GB2312" w:hAnsi="仿宋_GB2312" w:cs="仿宋_GB2312" w:eastAsia="仿宋_GB2312"/>
              </w:rPr>
              <w:t>6、网卡：集成1000M千兆以太网卡；同品牌抗菌键盘鼠标；预装正版Windows 10操作系统；</w:t>
            </w:r>
          </w:p>
          <w:p>
            <w:pPr>
              <w:pStyle w:val="null3"/>
              <w:jc w:val="left"/>
            </w:pPr>
            <w:r>
              <w:rPr>
                <w:rFonts w:ascii="仿宋_GB2312" w:hAnsi="仿宋_GB2312" w:cs="仿宋_GB2312" w:eastAsia="仿宋_GB2312"/>
              </w:rPr>
              <w:t>7、扩展插槽：≥1个无线网卡M.2接口、1个SSD硬盘M.2接口、1 个全高 PCI；1 个 PCIe 3 x1；1 个 PCIe 4 x16；</w:t>
            </w:r>
          </w:p>
          <w:p>
            <w:pPr>
              <w:pStyle w:val="null3"/>
              <w:jc w:val="left"/>
            </w:pPr>
            <w:r>
              <w:rPr>
                <w:rFonts w:ascii="仿宋_GB2312" w:hAnsi="仿宋_GB2312" w:cs="仿宋_GB2312" w:eastAsia="仿宋_GB2312"/>
              </w:rPr>
              <w:t>8、端口：≥8 个 USB、1 个 HDMI、1 个VGA、1 个 RJ-45、1 个电源接口。</w:t>
            </w:r>
          </w:p>
          <w:p>
            <w:pPr>
              <w:pStyle w:val="null3"/>
              <w:jc w:val="left"/>
            </w:pPr>
            <w:r>
              <w:rPr>
                <w:rFonts w:ascii="仿宋_GB2312" w:hAnsi="仿宋_GB2312" w:cs="仿宋_GB2312" w:eastAsia="仿宋_GB2312"/>
              </w:rPr>
              <w:t>9、电源：≥180W电源，最高 90% 能效（电源功率与显卡配置匹配）；</w:t>
            </w:r>
          </w:p>
          <w:p>
            <w:pPr>
              <w:pStyle w:val="null3"/>
              <w:jc w:val="left"/>
            </w:pPr>
            <w:r>
              <w:rPr>
                <w:rFonts w:ascii="仿宋_GB2312" w:hAnsi="仿宋_GB2312" w:cs="仿宋_GB2312" w:eastAsia="仿宋_GB2312"/>
              </w:rPr>
              <w:t>10、机箱类型：立式免工具拆卸机箱，机箱容量不小于15L；</w:t>
            </w:r>
          </w:p>
          <w:p>
            <w:pPr>
              <w:pStyle w:val="null3"/>
              <w:jc w:val="left"/>
            </w:pPr>
            <w:r>
              <w:rPr>
                <w:rFonts w:ascii="仿宋_GB2312" w:hAnsi="仿宋_GB2312" w:cs="仿宋_GB2312" w:eastAsia="仿宋_GB2312"/>
              </w:rPr>
              <w:t>11、保修服务：主机和显示器3年保修及3年上门服务;所有配置必须原厂原装全新整机，可通过厂家400/800电话或当地维修站（官网维修站网点电话为准）确认配置，不接受其他第三方改装配置；</w:t>
            </w:r>
          </w:p>
          <w:p>
            <w:pPr>
              <w:pStyle w:val="null3"/>
              <w:jc w:val="left"/>
            </w:pPr>
            <w:r>
              <w:rPr>
                <w:rFonts w:ascii="仿宋_GB2312" w:hAnsi="仿宋_GB2312" w:cs="仿宋_GB2312" w:eastAsia="仿宋_GB2312"/>
              </w:rPr>
              <w:t>12、产品质量：平均无故障工作时间（MTBF）不低于100万小时；其他要求：满足财政部、工业和信息化部制定的《台式计算机政府采购需求标准（2023 年版）》中规定的其他*内容（关键部件安全要求除外）；</w:t>
            </w:r>
          </w:p>
          <w:p>
            <w:pPr>
              <w:pStyle w:val="null3"/>
              <w:jc w:val="left"/>
            </w:pPr>
            <w:r>
              <w:rPr>
                <w:rFonts w:ascii="仿宋_GB2312" w:hAnsi="仿宋_GB2312" w:cs="仿宋_GB2312" w:eastAsia="仿宋_GB2312"/>
              </w:rPr>
              <w:t>13、计算机教室运维管理系统：交货时运维系统需安装在主机内。a)支持BIOS底层对终端进行还原类型设置，支持每次开机还原、手动还原、每天特定时间还原、每周特定时间还原、每月特定时间还原、以及不还原等多种数据还原方式，同时也可在Windows系统下通过主控端对被控端批量远程设置相同的还原参数（提供功能截图）。b)支持BIOS底层和Windows操作系统两种方式下，对管理员模式、还原模式、考试模式一键自由切换（提供功能截图）。c)支持UEFI PXE和Legacy PXE双模式自动连线的智能对拷功能，可设置广播、组播、单播三种不同的智能对拷模式，以及根据实际网络情况设置全速、高速、快速、流畅四种延时类型，对拷过程中用户可查看当前对拷速度、当前对拷分区、延时、总剩余数据量、已用间，剩余时间、克隆速率等相关对拷信息，实时掌握对拷进度和状态（提供功能截图）。d)支持虚拟系统快速建立功能，每个虚拟系统在BIOS底层开机启动菜单可显示到对应真实系统下，方便用户分辨虚拟系统和真实系统的所属关系，避免用户误操作（提供功能截图）；e)支持管理端登录超时机制，可设置从不、30分钟、1小时、3小时、6小时等不同超时时长（提供功能截图）。f)支持系统克隆功能，当需要安装多个相同系统时，无需重复多次安装操作，只需要在BIOS底层通过系统克隆功能即可完成多个系统的建立，同时可预设新克隆的系统数据还原方式（提供功能截图）；g)支持Windows系统下的本机操作功能，提供网络设置、快速保存、快速还原、分区设置、模式管理、系统切换、系统更新、智能USB、文件粉碎等多种本机管理功能（提供功能截图）；</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7"/>
              </w:rPr>
              <w:t>1、安装服务要求 ：设备安装调试成果达到日常教学使用需求，系统正常、运行稳定。开关机、显示、音视频、键鼠、各类接口使用正常；整机无异响、蓝屏、死机、闪屏等问题。</w:t>
            </w:r>
            <w:r>
              <w:br/>
            </w:r>
            <w:r>
              <w:rPr>
                <w:rFonts w:ascii="仿宋_GB2312" w:hAnsi="仿宋_GB2312" w:cs="仿宋_GB2312" w:eastAsia="仿宋_GB2312"/>
                <w:sz w:val="27"/>
              </w:rPr>
              <w:t xml:space="preserve"> 2、安全责任：断电施工，做好防静电，规范用电布线，防范触电、短路。妥善保护设备与数据，严防丢失、损坏、信息泄露。文明作业，爱护现场财物，违规造成损失由供应商自行承担。</w:t>
            </w:r>
          </w:p>
          <w:p>
            <w:pPr>
              <w:pStyle w:val="null3"/>
              <w:jc w:val="left"/>
            </w:pPr>
            <w:r>
              <w:rPr>
                <w:rFonts w:ascii="仿宋_GB2312" w:hAnsi="仿宋_GB2312" w:cs="仿宋_GB2312" w:eastAsia="仿宋_GB2312"/>
              </w:rPr>
              <w:t xml:space="preserve"> </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签订合同之日起30个工作日内完成安装调试，并交付采购人验收。</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德阳市通威第六中学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预付款，签订合同后，收到供应商的有效的税务发票后，达到付款条件起10个工作日内，支付合同总金额的40.0%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尾款，货物到达现场且安装调试完毕，经甲方验收合格，收到有效的税务发票后，达到付款条件起10个工作日内，支付合同总金额的60.0%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严格按照政府采购相关法律法规及《财政部关于进一步加强政府采购需求和履约验收管理的指导意见》（财库〔2016〕205号）的要求验收，组织验收小组对项目进行验收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整机质保3年</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供方未按约定时间、标准履约，视为违约，应及时整改；逾期履约或履约不合格的，承担由此给采购方造成的全部损失。供方出现知识产权侵权、质量不达标、擅自转包分包等情形，采购方有权解除合同，供方需承担违约金及全部赔偿责任。 采购方未按约定及时付款的，按合同约定承担相应逾期责任。 2、争议解决方式：双方在履行过程中发生争议，应首先友好协商解决；协商不成的，向项目所在地人民法院提起诉讼。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知识产权归属和处理方式：供方保证所提供的产品、资料及服务拥有合法知识产权，不存在侵犯第三方专利、商标、著作权等情形。本项目交付成果知识产权归采购方所有；若发生知识产权侵权纠纷，由此产生的全部责任、赔偿及损失均由供货方承担。 ★2、本项目采用固定包干价，报价已包含完成本项目所需全部费用，除经双方书面确认的项目变更外，采购方不另行支付任何额外费用。因采购方原因产生的合理变更，相关成本由双方协商后据实结算。 供方承担因自身供货、质量、技术、履约、安全及知识产权等问题产生的全部风险及损失；采购方承担因自身规划调整、审批流程、付款等自身原因造成的相关风险；因不可抗力因素导致的损失，由双方各自承担自身投入部分，互不追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应当包括资产负债表、利润表、现金流量表、所有者权益变动表、附注）；（3）可提供截至响应文件提交截止日一年内银行出具的资信证明；（4）供应商注册时间截至响应文件提交截止日不足一年的，可提供在工商管理部门备案的公司章程。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具有健全的财务会计制度证明材料.docx,投标（响应）函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符合询价文件的实质性要求</w:t>
            </w:r>
          </w:p>
        </w:tc>
        <w:tc>
          <w:tcPr>
            <w:tcW w:type="dxa" w:w="3322"/>
          </w:tcPr>
          <w:p>
            <w:pPr>
              <w:pStyle w:val="null3"/>
              <w:jc w:val="left"/>
            </w:pPr>
            <w:r>
              <w:rPr>
                <w:rFonts w:ascii="仿宋_GB2312" w:hAnsi="仿宋_GB2312" w:cs="仿宋_GB2312" w:eastAsia="仿宋_GB2312"/>
              </w:rPr>
              <w:t>供应商按照询价文件要求上传响应文件</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产品技术参数响应表,供应商应提交的相关证明材料,服务应答表,报价表,其他材料.docx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不属于响应无效的供应商</w:t>
            </w:r>
          </w:p>
        </w:tc>
        <w:tc>
          <w:tcPr>
            <w:tcW w:type="dxa" w:w="3322"/>
          </w:tcPr>
          <w:p>
            <w:pPr>
              <w:pStyle w:val="null3"/>
              <w:jc w:val="left"/>
            </w:pPr>
            <w:r>
              <w:rPr>
                <w:rFonts w:ascii="仿宋_GB2312" w:hAnsi="仿宋_GB2312" w:cs="仿宋_GB2312" w:eastAsia="仿宋_GB2312"/>
              </w:rPr>
              <w:t>根据询价文件的要求不属于响应无效的供应商</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产品技术参数响应表,供应商应提交的相关证明材料,服务应答表,报价表,其他材料.docx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强制采购节能产品</w:t>
            </w:r>
          </w:p>
        </w:tc>
        <w:tc>
          <w:tcPr>
            <w:tcW w:type="dxa" w:w="3322"/>
          </w:tcPr>
          <w:p>
            <w:pPr>
              <w:pStyle w:val="null3"/>
              <w:jc w:val="left"/>
            </w:pPr>
            <w:r>
              <w:rPr>
                <w:rFonts w:ascii="仿宋_GB2312" w:hAnsi="仿宋_GB2312" w:cs="仿宋_GB2312" w:eastAsia="仿宋_GB2312"/>
              </w:rPr>
              <w:t>供应商应当提供由国家确定的认证机构出具的、处于有效期之内的节能产品认证证书的原件扫描件，或“全国认证认可信息公共服务平台”（http://cx.cnca.cn）的认证信息截图，否则作无效投标处理。</w:t>
            </w:r>
          </w:p>
        </w:tc>
        <w:tc>
          <w:tcPr>
            <w:tcW w:type="dxa" w:w="1661"/>
          </w:tcPr>
          <w:p>
            <w:pPr>
              <w:pStyle w:val="null3"/>
              <w:jc w:val="left"/>
            </w:pPr>
            <w:r>
              <w:rPr>
                <w:rFonts w:ascii="仿宋_GB2312" w:hAnsi="仿宋_GB2312" w:cs="仿宋_GB2312" w:eastAsia="仿宋_GB2312"/>
              </w:rPr>
              <w:t>其他材料.docx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其他材料.docx</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详见附件：具有健全的财务会计制度证明材料.docx</w:t>
      </w:r>
    </w:p>
    <w:p>
      <w:pPr>
        <w:pStyle w:val="null3"/>
        <w:ind w:firstLine="960"/>
        <w:jc w:val="left"/>
      </w:pPr>
      <w:r>
        <w:rPr>
          <w:rFonts w:ascii="仿宋_GB2312" w:hAnsi="仿宋_GB2312" w:cs="仿宋_GB2312" w:eastAsia="仿宋_GB2312"/>
        </w:rPr>
        <w:t>详见附件：其他材料.docx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