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版本号：SXWXZBDL2026-ZC-TP1001.1B120260717001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计算机教室更新项目(二次)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SXWXZBDL2026-ZC-TP1001.1B1</w:t>
      </w:r>
      <w:r>
        <w:br/>
      </w:r>
      <w:r>
        <w:br/>
      </w:r>
      <w:r>
        <w:br/>
      </w:r>
    </w:p>
    <w:p>
      <w:pPr>
        <w:pStyle w:val="null3"/>
        <w:jc w:val="center"/>
        <w:outlineLvl w:val="2"/>
      </w:pPr>
      <w:r>
        <w:rPr>
          <w:rFonts w:ascii="仿宋_GB2312" w:hAnsi="仿宋_GB2312" w:cs="仿宋_GB2312" w:eastAsia="仿宋_GB2312"/>
          <w:sz w:val="28"/>
          <w:b/>
        </w:rPr>
        <w:t>西安市莲湖区莲湖路小学</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西安市莲湖区莲湖路小学</w:t>
      </w:r>
      <w:r>
        <w:rPr>
          <w:rFonts w:ascii="仿宋_GB2312" w:hAnsi="仿宋_GB2312" w:cs="仿宋_GB2312" w:eastAsia="仿宋_GB2312"/>
        </w:rPr>
        <w:t>委托，拟对</w:t>
      </w:r>
      <w:r>
        <w:rPr>
          <w:rFonts w:ascii="仿宋_GB2312" w:hAnsi="仿宋_GB2312" w:cs="仿宋_GB2312" w:eastAsia="仿宋_GB2312"/>
        </w:rPr>
        <w:t>计算机教室更新项目(二次)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SXWXZBDL2026-ZC-TP1001.1B1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计算机教室更新项目(二次)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进一步提升学校信息化教学水平，改善学生上课体验，减轻教师管理负担，学校计划对现有机房进行改造建设。目前，学校原有机房存在不少问题：电脑设备使用时间较长，运行速度慢、经常卡顿死机，影响正常上课；设备老旧、维护麻烦，出现故障后维修耗时久，难以满足多样化课程和实训需求。通过本次改造建设，计算机教室将实现全面升级，能够灵活满足多门课程、不同教学场景的使用需要。项目建成后，将有效提升教学效率和学习体验，为学校开展数字化教学、实训实践提供更加安全、稳定、好用的学习环境，助力学校教育教学质量整体提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采购包1（计算机教室更新项目）：属于专门面向中小企业采购。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3、纳税证明：提供谈判截止日前六个月内任意一个月的纳税证明或完税证明（增值税、印花税、城市维护建设费、企业所得税等一种或多种税种），依法免税的单位提供相关证明材料。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4、社保缴纳证明：提供谈判截止日前六个月内任意一个月的社保资金交纳证明，依法不需要缴纳社保资金的单位提供相关证明材料。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被授权人需提供在本单位近三个月任意一个月的社保缴纳证明），法定代表人直接参加谈判，须提供法定代表人身份证明及身份证复印件。</w:t>
      </w:r>
    </w:p>
    <w:p>
      <w:pPr>
        <w:pStyle w:val="null3"/>
      </w:pPr>
      <w:r>
        <w:rPr>
          <w:rFonts w:ascii="仿宋_GB2312" w:hAnsi="仿宋_GB2312" w:cs="仿宋_GB2312" w:eastAsia="仿宋_GB2312"/>
        </w:rPr>
        <w:t>9、企业关系关联承诺书：提供企业关系关联承诺书</w:t>
      </w:r>
    </w:p>
    <w:p>
      <w:pPr>
        <w:pStyle w:val="null3"/>
      </w:pPr>
      <w:r>
        <w:rPr>
          <w:rFonts w:ascii="仿宋_GB2312" w:hAnsi="仿宋_GB2312" w:cs="仿宋_GB2312" w:eastAsia="仿宋_GB2312"/>
        </w:rPr>
        <w:t>10、联合体：本项目不接受联合体谈判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西安市莲湖区莲湖路小学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西安市莲湖路201号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13359285357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计取。不足8000元的，按8000元收取。2.成交单位在领取成交通知书前，须向采购代理机构一次性支付招标代理服务费。3.招标代理服务费交纳信息： 户名：陕西万兴招标代理有限公司 开户行：北京银行股份有限公司西安大明宫支行 账号：2000 0034 4675 0001 6437 653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西安市莲湖区莲湖路小学</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西安市莲湖区莲湖路小学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西安市莲湖区莲湖路小学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陕西万兴招标代理有限公司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联系人：董雪</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学校信息化教学水平，改善学生上课体验，减轻教师管理负担，学校计划对现有机房进行改造建设。目前，学校原有机房存在不少问题：电脑设备使用时间较长，运行速度慢、经常卡顿死机，影响正常上课；设备老旧、维护麻烦，出现故障后维修耗时久，难以满足多样化课程和实训需求。通过本次改造建设，计算机教室将实现全面升级，能够灵活满足多门课程、不同教学场景的使用需要。项目建成后，将有效提升教学效率和学习体验，为学校开展数字化教学、实训实践提供更加安全、稳定、好用的学习环境，助力学校教育教学质量整体提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计算机教室更新项目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标的名称：计算机教室更新项目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218"/>
              <w:gridCol w:w="387"/>
              <w:gridCol w:w="1314"/>
              <w:gridCol w:w="209"/>
              <w:gridCol w:w="209"/>
              <w:gridCol w:w="214"/>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设备参数</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云桌面服务器</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1、CPU：单颗国产高性能处理器(核心数≥八核，主频≥3.0GHz);</w:t>
                  </w:r>
                </w:p>
                <w:p>
                  <w:pPr>
                    <w:pStyle w:val="null3"/>
                    <w:jc w:val="left"/>
                  </w:pPr>
                  <w:r>
                    <w:rPr>
                      <w:rFonts w:ascii="仿宋_GB2312" w:hAnsi="仿宋_GB2312" w:cs="仿宋_GB2312" w:eastAsia="仿宋_GB2312"/>
                      <w:sz w:val="21"/>
                    </w:rPr>
                    <w:t>2、内存：≥DDR4 2933 32G</w:t>
                  </w:r>
                </w:p>
                <w:p>
                  <w:pPr>
                    <w:pStyle w:val="null3"/>
                    <w:jc w:val="left"/>
                  </w:pPr>
                  <w:r>
                    <w:rPr>
                      <w:rFonts w:ascii="仿宋_GB2312" w:hAnsi="仿宋_GB2312" w:cs="仿宋_GB2312" w:eastAsia="仿宋_GB2312"/>
                      <w:sz w:val="21"/>
                    </w:rPr>
                    <w:t>3、硬盘：≥1*480G SSD + 1*4T SATA</w:t>
                  </w:r>
                </w:p>
                <w:p>
                  <w:pPr>
                    <w:pStyle w:val="null3"/>
                    <w:jc w:val="left"/>
                  </w:pPr>
                  <w:r>
                    <w:rPr>
                      <w:rFonts w:ascii="仿宋_GB2312" w:hAnsi="仿宋_GB2312" w:cs="仿宋_GB2312" w:eastAsia="仿宋_GB2312"/>
                      <w:sz w:val="21"/>
                    </w:rPr>
                    <w:t>4、网卡：2个千兆口</w:t>
                  </w:r>
                </w:p>
                <w:p>
                  <w:pPr>
                    <w:pStyle w:val="null3"/>
                    <w:jc w:val="left"/>
                  </w:pPr>
                  <w:r>
                    <w:rPr>
                      <w:rFonts w:ascii="仿宋_GB2312" w:hAnsi="仿宋_GB2312" w:cs="仿宋_GB2312" w:eastAsia="仿宋_GB2312"/>
                      <w:sz w:val="21"/>
                    </w:rPr>
                    <w:t xml:space="preserve">5、电源：≥200W单电源                                           内置虚拟化系统软件                        </w:t>
                  </w:r>
                </w:p>
                <w:p>
                  <w:pPr>
                    <w:pStyle w:val="null3"/>
                    <w:jc w:val="left"/>
                  </w:pPr>
                  <w:r>
                    <w:rPr>
                      <w:rFonts w:ascii="仿宋_GB2312" w:hAnsi="仿宋_GB2312" w:cs="仿宋_GB2312" w:eastAsia="仿宋_GB2312"/>
                      <w:sz w:val="21"/>
                    </w:rPr>
                    <w:t xml:space="preserve">1、 同时支持教学模式和办公模式，支持集群、支持负载均衡、可直接从某个单独的硬盘恢复用户数据；                            </w:t>
                  </w:r>
                </w:p>
                <w:p>
                  <w:pPr>
                    <w:pStyle w:val="null3"/>
                    <w:jc w:val="left"/>
                  </w:pPr>
                  <w:r>
                    <w:rPr>
                      <w:rFonts w:ascii="仿宋_GB2312" w:hAnsi="仿宋_GB2312" w:cs="仿宋_GB2312" w:eastAsia="仿宋_GB2312"/>
                      <w:sz w:val="21"/>
                    </w:rPr>
                    <w:t>2、负载均衡，服务端自动修复客户windows、UOS、KYLIN系统关于磁盘和引导相关的错误；</w:t>
                  </w:r>
                </w:p>
                <w:p>
                  <w:pPr>
                    <w:pStyle w:val="null3"/>
                    <w:jc w:val="left"/>
                  </w:pPr>
                  <w:r>
                    <w:rPr>
                      <w:rFonts w:ascii="仿宋_GB2312" w:hAnsi="仿宋_GB2312" w:cs="仿宋_GB2312" w:eastAsia="仿宋_GB2312"/>
                      <w:sz w:val="21"/>
                    </w:rPr>
                    <w:t>★3、支持集群化部署，采用超融合架构，分布式存储，平台默认副本数为2；当存储为集群时，单个节点故障不影响存储的使用；（需提供证明材料，包括但不限于功能截图、检测报告、软件著作权登记证书等）</w:t>
                  </w:r>
                </w:p>
                <w:p>
                  <w:pPr>
                    <w:pStyle w:val="null3"/>
                    <w:jc w:val="left"/>
                  </w:pPr>
                  <w:r>
                    <w:rPr>
                      <w:rFonts w:ascii="仿宋_GB2312" w:hAnsi="仿宋_GB2312" w:cs="仿宋_GB2312" w:eastAsia="仿宋_GB2312"/>
                      <w:sz w:val="21"/>
                    </w:rPr>
                    <w:t>4、服务器可以看到集群内任意一台服务器的cpu、内存、硬盘容量、所有网卡等视图；</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云桌面管理系统</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1、客户端可以在线或离线运行服务器上存储的windows、kylin和UOS系统；</w:t>
                  </w:r>
                </w:p>
                <w:p>
                  <w:pPr>
                    <w:pStyle w:val="null3"/>
                    <w:jc w:val="both"/>
                  </w:pPr>
                  <w:r>
                    <w:rPr>
                      <w:rFonts w:ascii="仿宋_GB2312" w:hAnsi="仿宋_GB2312" w:cs="仿宋_GB2312" w:eastAsia="仿宋_GB2312"/>
                      <w:sz w:val="21"/>
                    </w:rPr>
                    <w:t>2、客户端完全利用本机的性能和外设，在线跨网段运行存储在服务器或者服务器集群上的专属或通用系统（包括但不限于windows、UOS、KYLIN）；</w:t>
                  </w:r>
                </w:p>
                <w:p>
                  <w:pPr>
                    <w:pStyle w:val="null3"/>
                    <w:jc w:val="both"/>
                  </w:pPr>
                  <w:r>
                    <w:rPr>
                      <w:rFonts w:ascii="仿宋_GB2312" w:hAnsi="仿宋_GB2312" w:cs="仿宋_GB2312" w:eastAsia="仿宋_GB2312"/>
                      <w:sz w:val="21"/>
                    </w:rPr>
                    <w:t>3、客户端同时可以利用本机硬件性能将服务端专属或通用系统（包括但不限于windows、UOS、KYLIN）差量化离线到本机硬盘上运行。</w:t>
                  </w:r>
                </w:p>
                <w:p>
                  <w:pPr>
                    <w:pStyle w:val="null3"/>
                    <w:jc w:val="both"/>
                  </w:pPr>
                  <w:r>
                    <w:rPr>
                      <w:rFonts w:ascii="仿宋_GB2312" w:hAnsi="仿宋_GB2312" w:cs="仿宋_GB2312" w:eastAsia="仿宋_GB2312"/>
                      <w:sz w:val="21"/>
                    </w:rPr>
                    <w:t>4、管理员可以批量下发文件给指定用户指定系统（若该系统关机，启动后会自动接收）；</w:t>
                  </w:r>
                </w:p>
                <w:p>
                  <w:pPr>
                    <w:pStyle w:val="null3"/>
                    <w:jc w:val="both"/>
                  </w:pPr>
                  <w:r>
                    <w:rPr>
                      <w:rFonts w:ascii="仿宋_GB2312" w:hAnsi="仿宋_GB2312" w:cs="仿宋_GB2312" w:eastAsia="仿宋_GB2312"/>
                      <w:sz w:val="21"/>
                    </w:rPr>
                    <w:t xml:space="preserve">5、用户可以在任意终端登录属于自己的系统，具备用户管理、终端管理、模版管理、下载管理、模版反向应用等功能模块；       </w:t>
                  </w:r>
                </w:p>
                <w:p>
                  <w:pPr>
                    <w:pStyle w:val="null3"/>
                    <w:jc w:val="both"/>
                  </w:pPr>
                  <w:r>
                    <w:rPr>
                      <w:rFonts w:ascii="仿宋_GB2312" w:hAnsi="仿宋_GB2312" w:cs="仿宋_GB2312" w:eastAsia="仿宋_GB2312"/>
                      <w:sz w:val="21"/>
                    </w:rPr>
                    <w:t>★6、管理系统支持根据不同区域的网络环境，创建不同的虚拟网络类型，包括创建 access 网络和 trunk网络，以满足桌面网络建设和教学需求；（需提供证明材料，包括但不限于功能截图、检测报告、软件著作权登记证书等）</w:t>
                  </w:r>
                </w:p>
                <w:p>
                  <w:pPr>
                    <w:pStyle w:val="null3"/>
                    <w:jc w:val="both"/>
                  </w:pPr>
                  <w:r>
                    <w:rPr>
                      <w:rFonts w:ascii="仿宋_GB2312" w:hAnsi="仿宋_GB2312" w:cs="仿宋_GB2312" w:eastAsia="仿宋_GB2312"/>
                      <w:sz w:val="21"/>
                    </w:rPr>
                    <w:t>★7、支持考试模式，考试模式下，服务器/桌面重启后，学生桌面数据保留；支持D盘；（需提供证明材料，包括但不限于功能截图、检测报告、软件著作权登记证书等）</w:t>
                  </w:r>
                </w:p>
                <w:p>
                  <w:pPr>
                    <w:pStyle w:val="null3"/>
                    <w:jc w:val="both"/>
                  </w:pPr>
                  <w:r>
                    <w:rPr>
                      <w:rFonts w:ascii="仿宋_GB2312" w:hAnsi="仿宋_GB2312" w:cs="仿宋_GB2312" w:eastAsia="仿宋_GB2312"/>
                      <w:sz w:val="21"/>
                    </w:rPr>
                    <w:t>★8、支持虚拟机故障恢复功能，故障虚拟机可以通过备份恢复，也可以恢复到新的虚拟机。当故障虚拟机恢复到新的虚拟机时，故障虚拟机的C盘和云盘自动挂载到新的虚拟机中，管理员可设置故障桌面C盘的卸载时间；（需提供证明材料，包括但不限于检测报告、官网或功能截图）</w:t>
                  </w:r>
                </w:p>
                <w:p>
                  <w:pPr>
                    <w:pStyle w:val="null3"/>
                    <w:jc w:val="both"/>
                  </w:pPr>
                  <w:r>
                    <w:rPr>
                      <w:rFonts w:ascii="仿宋_GB2312" w:hAnsi="仿宋_GB2312" w:cs="仿宋_GB2312" w:eastAsia="仿宋_GB2312"/>
                      <w:sz w:val="21"/>
                    </w:rPr>
                    <w:t>9、客户端离线使用的任意一个系统，支持执行从该客户端同步数据到服务器，或者从服务器同步到本地，或者不同步，且无需设置一次生效后自动同步；</w:t>
                  </w:r>
                </w:p>
                <w:p>
                  <w:pPr>
                    <w:pStyle w:val="null3"/>
                    <w:jc w:val="both"/>
                  </w:pPr>
                  <w:r>
                    <w:rPr>
                      <w:rFonts w:ascii="仿宋_GB2312" w:hAnsi="仿宋_GB2312" w:cs="仿宋_GB2312" w:eastAsia="仿宋_GB2312"/>
                      <w:sz w:val="21"/>
                    </w:rPr>
                    <w:t>10、客户端支持自动登录，支持设定某个在线或者离线模板作为默认系统；                                            11、管理员在用户允许的前提下，可以通过web端远程连接到客户正在使用的操作系统桌面。</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软件授权</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1.教学模式：多教室、负载均衡、关机下发离线系统、断点续传、多系统切换等，内含在线考试系统；</w:t>
                  </w:r>
                </w:p>
                <w:p>
                  <w:pPr>
                    <w:pStyle w:val="null3"/>
                    <w:jc w:val="both"/>
                  </w:pPr>
                  <w:r>
                    <w:rPr>
                      <w:rFonts w:ascii="仿宋_GB2312" w:hAnsi="仿宋_GB2312" w:cs="仿宋_GB2312" w:eastAsia="仿宋_GB2312"/>
                      <w:sz w:val="21"/>
                    </w:rPr>
                    <w:t>（1）支持多个教室，每个教室只有专属于该教室的系统模板；</w:t>
                  </w:r>
                </w:p>
                <w:p>
                  <w:pPr>
                    <w:pStyle w:val="null3"/>
                    <w:jc w:val="both"/>
                  </w:pPr>
                  <w:r>
                    <w:rPr>
                      <w:rFonts w:ascii="仿宋_GB2312" w:hAnsi="仿宋_GB2312" w:cs="仿宋_GB2312" w:eastAsia="仿宋_GB2312"/>
                      <w:sz w:val="21"/>
                    </w:rPr>
                    <w:t>（2）支持指定为在线默认系统、在线自由模式、在线考试模式、离线默认系统、离线自由模式、离线考试模式；</w:t>
                  </w:r>
                </w:p>
                <w:p>
                  <w:pPr>
                    <w:pStyle w:val="null3"/>
                    <w:jc w:val="both"/>
                  </w:pPr>
                  <w:r>
                    <w:rPr>
                      <w:rFonts w:ascii="仿宋_GB2312" w:hAnsi="仿宋_GB2312" w:cs="仿宋_GB2312" w:eastAsia="仿宋_GB2312"/>
                      <w:sz w:val="21"/>
                    </w:rPr>
                    <w:t>（3）下发离线系统时，支持断点续传、差量下发、关机下发等，服务端能看到所有下发任务的总进度和每一个终端的进度，客户端可以看到自己的进度；</w:t>
                  </w:r>
                </w:p>
                <w:p>
                  <w:pPr>
                    <w:pStyle w:val="null3"/>
                    <w:jc w:val="both"/>
                  </w:pPr>
                  <w:r>
                    <w:rPr>
                      <w:rFonts w:ascii="仿宋_GB2312" w:hAnsi="仿宋_GB2312" w:cs="仿宋_GB2312" w:eastAsia="仿宋_GB2312"/>
                      <w:sz w:val="21"/>
                    </w:rPr>
                    <w:t>（4）客户端支持一键恢复出厂设置，且可以无需重新刷机实现学生端和办公端的转换；</w:t>
                  </w:r>
                </w:p>
                <w:p>
                  <w:pPr>
                    <w:pStyle w:val="null3"/>
                    <w:jc w:val="both"/>
                  </w:pPr>
                  <w:r>
                    <w:rPr>
                      <w:rFonts w:ascii="仿宋_GB2312" w:hAnsi="仿宋_GB2312" w:cs="仿宋_GB2312" w:eastAsia="仿宋_GB2312"/>
                      <w:sz w:val="21"/>
                    </w:rPr>
                    <w:t>（5）客户端可以通过pxe统一安装；</w:t>
                  </w:r>
                </w:p>
                <w:p>
                  <w:pPr>
                    <w:pStyle w:val="null3"/>
                    <w:jc w:val="both"/>
                  </w:pPr>
                  <w:r>
                    <w:rPr>
                      <w:rFonts w:ascii="仿宋_GB2312" w:hAnsi="仿宋_GB2312" w:cs="仿宋_GB2312" w:eastAsia="仿宋_GB2312"/>
                      <w:sz w:val="21"/>
                    </w:rPr>
                    <w:t>（6）教室端可以是办公模式的办公端，方便教师在不同教室登录自己专属的系统，且支持多系统启动（包括但不限于windows、UOS、KYLIN）;</w:t>
                  </w:r>
                </w:p>
                <w:p>
                  <w:pPr>
                    <w:pStyle w:val="null3"/>
                    <w:jc w:val="both"/>
                  </w:pPr>
                  <w:r>
                    <w:rPr>
                      <w:rFonts w:ascii="仿宋_GB2312" w:hAnsi="仿宋_GB2312" w:cs="仿宋_GB2312" w:eastAsia="仿宋_GB2312"/>
                      <w:sz w:val="21"/>
                    </w:rPr>
                    <w:t>2.教学管理软件：高度定制的教学管理软件，可以实现屏幕广播、禁止U盘、禁止上网、电子白板、举手、消息、收发文件或作业、远程开关机、模板管理；</w:t>
                  </w:r>
                </w:p>
                <w:p>
                  <w:pPr>
                    <w:pStyle w:val="null3"/>
                    <w:jc w:val="both"/>
                  </w:pPr>
                  <w:r>
                    <w:rPr>
                      <w:rFonts w:ascii="仿宋_GB2312" w:hAnsi="仿宋_GB2312" w:cs="仿宋_GB2312" w:eastAsia="仿宋_GB2312"/>
                      <w:sz w:val="21"/>
                    </w:rPr>
                    <w:t>（1）支持跨系统，即教师端和学生端可以是UOS\KYLIN\WINDOWS任意一种系统；</w:t>
                  </w:r>
                </w:p>
                <w:p>
                  <w:pPr>
                    <w:pStyle w:val="null3"/>
                    <w:jc w:val="both"/>
                  </w:pPr>
                  <w:r>
                    <w:rPr>
                      <w:rFonts w:ascii="仿宋_GB2312" w:hAnsi="仿宋_GB2312" w:cs="仿宋_GB2312" w:eastAsia="仿宋_GB2312"/>
                      <w:sz w:val="21"/>
                    </w:rPr>
                    <w:t>（2）学生端在任意系统下无需任何配置；</w:t>
                  </w:r>
                </w:p>
                <w:p>
                  <w:pPr>
                    <w:pStyle w:val="null3"/>
                    <w:jc w:val="both"/>
                  </w:pPr>
                  <w:r>
                    <w:rPr>
                      <w:rFonts w:ascii="仿宋_GB2312" w:hAnsi="仿宋_GB2312" w:cs="仿宋_GB2312" w:eastAsia="仿宋_GB2312"/>
                      <w:sz w:val="21"/>
                    </w:rPr>
                    <w:t>（3）教师端只需要配置服务器ip和教室号即可完成部署；</w:t>
                  </w:r>
                </w:p>
                <w:p>
                  <w:pPr>
                    <w:pStyle w:val="null3"/>
                    <w:jc w:val="both"/>
                  </w:pPr>
                  <w:r>
                    <w:rPr>
                      <w:rFonts w:ascii="仿宋_GB2312" w:hAnsi="仿宋_GB2312" w:cs="仿宋_GB2312" w:eastAsia="仿宋_GB2312"/>
                      <w:sz w:val="21"/>
                    </w:rPr>
                    <w:t>（4）教室端和云桌面后台高度融合，在教学管理软件内（无需打开web端）即可完成教学模式下除创建教室外的所有功能；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学生机</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1.处理器：国产高性能CPU（核心数≥八核，主频≥2.7GHz）;</w:t>
                  </w:r>
                </w:p>
                <w:p>
                  <w:pPr>
                    <w:pStyle w:val="null3"/>
                    <w:jc w:val="left"/>
                  </w:pPr>
                  <w:r>
                    <w:rPr>
                      <w:rFonts w:ascii="仿宋_GB2312" w:hAnsi="仿宋_GB2312" w:cs="仿宋_GB2312" w:eastAsia="仿宋_GB2312"/>
                      <w:sz w:val="21"/>
                    </w:rPr>
                    <w:t>2.内存:≥16GB;                                                                3.硬盘:≥256GB SSD;</w:t>
                  </w:r>
                </w:p>
                <w:p>
                  <w:pPr>
                    <w:pStyle w:val="null3"/>
                    <w:jc w:val="left"/>
                  </w:pPr>
                  <w:r>
                    <w:rPr>
                      <w:rFonts w:ascii="仿宋_GB2312" w:hAnsi="仿宋_GB2312" w:cs="仿宋_GB2312" w:eastAsia="仿宋_GB2312"/>
                      <w:sz w:val="21"/>
                    </w:rPr>
                    <w:t>4.接口：4个USB接口（其中≥2个USB3.0）、1个千兆网口、1个VGA接口和1个HDMI接口、1对音频输入输出接口；</w:t>
                  </w:r>
                </w:p>
                <w:p>
                  <w:pPr>
                    <w:pStyle w:val="null3"/>
                    <w:jc w:val="left"/>
                  </w:pPr>
                  <w:r>
                    <w:rPr>
                      <w:rFonts w:ascii="仿宋_GB2312" w:hAnsi="仿宋_GB2312" w:cs="仿宋_GB2312" w:eastAsia="仿宋_GB2312"/>
                      <w:sz w:val="21"/>
                    </w:rPr>
                    <w:t>4.≥23.8吋液晶屏（分辨率：1920×1080，频率≥60Hz）</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教师机</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1.处理器：国产高性能CPU（核心数≥八核，主频≥2.7GHz）;</w:t>
                  </w:r>
                </w:p>
                <w:p>
                  <w:pPr>
                    <w:pStyle w:val="null3"/>
                    <w:jc w:val="left"/>
                  </w:pPr>
                  <w:r>
                    <w:rPr>
                      <w:rFonts w:ascii="仿宋_GB2312" w:hAnsi="仿宋_GB2312" w:cs="仿宋_GB2312" w:eastAsia="仿宋_GB2312"/>
                      <w:sz w:val="21"/>
                    </w:rPr>
                    <w:t>2.内存:≥16GB;                                                                                                3.硬盘:≥512GSSD+1THDD                                                                                      4.接口：≥6个USB接口（≥2个USB3.0）、1个千兆网口、1个VGA接口和1个HDMI接口、1对音频输入输出接口；</w:t>
                  </w:r>
                </w:p>
                <w:p>
                  <w:pPr>
                    <w:pStyle w:val="null3"/>
                    <w:jc w:val="left"/>
                  </w:pPr>
                  <w:r>
                    <w:rPr>
                      <w:rFonts w:ascii="仿宋_GB2312" w:hAnsi="仿宋_GB2312" w:cs="仿宋_GB2312" w:eastAsia="仿宋_GB2312"/>
                      <w:sz w:val="21"/>
                    </w:rPr>
                    <w:t>5.≥23.8吋液晶屏（分辨率：1920×1080，频率≥60Hz）</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电脑桌</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1.尺寸： 1200×600×750mm,台面采用 25mm 厚三聚氰胺板, ≥1.5mm 厚 PVC 同色封边， 台面上带有穿线盒；</w:t>
                  </w:r>
                </w:p>
                <w:p>
                  <w:pPr>
                    <w:pStyle w:val="null3"/>
                    <w:jc w:val="both"/>
                  </w:pPr>
                  <w:r>
                    <w:rPr>
                      <w:rFonts w:ascii="仿宋_GB2312" w:hAnsi="仿宋_GB2312" w:cs="仿宋_GB2312" w:eastAsia="仿宋_GB2312"/>
                      <w:sz w:val="21"/>
                    </w:rPr>
                    <w:t>2.台身：立腿外框架采用≥30*30*1.0mm 厚优质方管，配管采用≥25*25*1.0mm 厚方管，背板采用≥0.6mm 厚冷轧钢板折弯成型，封板采</w:t>
                  </w:r>
                </w:p>
                <w:p>
                  <w:pPr>
                    <w:pStyle w:val="null3"/>
                    <w:jc w:val="both"/>
                  </w:pPr>
                  <w:r>
                    <w:rPr>
                      <w:rFonts w:ascii="仿宋_GB2312" w:hAnsi="仿宋_GB2312" w:cs="仿宋_GB2312" w:eastAsia="仿宋_GB2312"/>
                      <w:sz w:val="21"/>
                    </w:rPr>
                    <w:t>用≥0.6mm 厚冷轧钢板。</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凳子</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 xml:space="preserve">凳面采用：340*240mm、E1 级三聚氰胺板；  </w:t>
                  </w:r>
                </w:p>
                <w:p>
                  <w:pPr>
                    <w:pStyle w:val="null3"/>
                    <w:numPr>
                      <w:ilvl w:val="0"/>
                      <w:numId w:val="1"/>
                    </w:numPr>
                    <w:jc w:val="both"/>
                  </w:pPr>
                  <w:r>
                    <w:rPr>
                      <w:rFonts w:ascii="仿宋_GB2312" w:hAnsi="仿宋_GB2312" w:cs="仿宋_GB2312" w:eastAsia="仿宋_GB2312"/>
                      <w:sz w:val="21"/>
                    </w:rPr>
                    <w:t xml:space="preserve">凳腿凳架：采用≥25*25*1.2mm 矩形管焊制而成，配脚套；  </w:t>
                  </w:r>
                </w:p>
                <w:p>
                  <w:pPr>
                    <w:pStyle w:val="null3"/>
                    <w:jc w:val="both"/>
                  </w:pPr>
                  <w:r>
                    <w:rPr>
                      <w:rFonts w:ascii="仿宋_GB2312" w:hAnsi="仿宋_GB2312" w:cs="仿宋_GB2312" w:eastAsia="仿宋_GB2312"/>
                      <w:sz w:val="21"/>
                    </w:rPr>
                    <w:t xml:space="preserve">3. 底套：采用工程聚丙烯防滑脚垫；  </w:t>
                  </w:r>
                </w:p>
                <w:p>
                  <w:pPr>
                    <w:pStyle w:val="null3"/>
                    <w:jc w:val="both"/>
                  </w:pPr>
                  <w:r>
                    <w:rPr>
                      <w:rFonts w:ascii="仿宋_GB2312" w:hAnsi="仿宋_GB2312" w:cs="仿宋_GB2312" w:eastAsia="仿宋_GB2312"/>
                      <w:sz w:val="21"/>
                    </w:rPr>
                    <w:t>4.金属表面采用环氧树脂粉末静电喷涂。</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教师椅</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规格：460*460*850mm,五轮升降转椅，椅面、椅背选用高弹力网布面料；坐垫采用高密度海绵填充，使用透气网</w:t>
                  </w:r>
                </w:p>
                <w:p>
                  <w:pPr>
                    <w:pStyle w:val="null3"/>
                    <w:jc w:val="both"/>
                  </w:pPr>
                  <w:r>
                    <w:rPr>
                      <w:rFonts w:ascii="仿宋_GB2312" w:hAnsi="仿宋_GB2312" w:cs="仿宋_GB2312" w:eastAsia="仿宋_GB2312"/>
                      <w:sz w:val="21"/>
                    </w:rPr>
                    <w:t>布进行包裹；脚架及椅轮：下脚架采取五爪设计，使用全新料尼龙材质；椅轮采用 PU 外包裹尼龙轮，移动顺畅、</w:t>
                  </w:r>
                </w:p>
                <w:p>
                  <w:pPr>
                    <w:pStyle w:val="null3"/>
                    <w:jc w:val="both"/>
                  </w:pPr>
                  <w:r>
                    <w:rPr>
                      <w:rFonts w:ascii="仿宋_GB2312" w:hAnsi="仿宋_GB2312" w:cs="仿宋_GB2312" w:eastAsia="仿宋_GB2312"/>
                      <w:sz w:val="21"/>
                    </w:rPr>
                    <w:t>静音、耐用。</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教师桌</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钢木结构，1400*700*750mm，台面采用25mm实木颗粒三胺双贴面板，后背板及活动柜、主机托均为16mm实木颗粒三胺双贴面板，四边2.0mmPVC封边；桌架为30*30mm*1.2mm方钢管与网片焊接而成，表面磷化喷塑处理，四脚垫防滑耐磨</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48口交换机</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传输速率≥10/100/1000Mbps</w:t>
                  </w:r>
                </w:p>
                <w:p>
                  <w:pPr>
                    <w:pStyle w:val="null3"/>
                    <w:jc w:val="both"/>
                  </w:pPr>
                  <w:r>
                    <w:rPr>
                      <w:rFonts w:ascii="仿宋_GB2312" w:hAnsi="仿宋_GB2312" w:cs="仿宋_GB2312" w:eastAsia="仿宋_GB2312"/>
                      <w:sz w:val="21"/>
                    </w:rPr>
                    <w:t>背板带宽≥336Gbps/3.36Tbps</w:t>
                  </w:r>
                </w:p>
                <w:p>
                  <w:pPr>
                    <w:pStyle w:val="null3"/>
                    <w:jc w:val="both"/>
                  </w:pPr>
                  <w:r>
                    <w:rPr>
                      <w:rFonts w:ascii="仿宋_GB2312" w:hAnsi="仿宋_GB2312" w:cs="仿宋_GB2312" w:eastAsia="仿宋_GB2312"/>
                      <w:sz w:val="21"/>
                    </w:rPr>
                    <w:t>包转发率≥87Mbps/144Mbps</w:t>
                  </w:r>
                </w:p>
                <w:p>
                  <w:pPr>
                    <w:pStyle w:val="null3"/>
                    <w:jc w:val="both"/>
                  </w:pPr>
                  <w:r>
                    <w:rPr>
                      <w:rFonts w:ascii="仿宋_GB2312" w:hAnsi="仿宋_GB2312" w:cs="仿宋_GB2312" w:eastAsia="仿宋_GB2312"/>
                      <w:sz w:val="21"/>
                    </w:rPr>
                    <w:t>MAC地址表≥16K</w:t>
                  </w:r>
                </w:p>
                <w:p>
                  <w:pPr>
                    <w:pStyle w:val="null3"/>
                    <w:jc w:val="both"/>
                  </w:pPr>
                  <w:r>
                    <w:rPr>
                      <w:rFonts w:ascii="仿宋_GB2312" w:hAnsi="仿宋_GB2312" w:cs="仿宋_GB2312" w:eastAsia="仿宋_GB2312"/>
                      <w:sz w:val="21"/>
                    </w:rPr>
                    <w:t>端口数量≥48电口+4光口</w:t>
                  </w:r>
                </w:p>
                <w:p>
                  <w:pPr>
                    <w:pStyle w:val="null3"/>
                    <w:jc w:val="both"/>
                  </w:pPr>
                  <w:r>
                    <w:rPr>
                      <w:rFonts w:ascii="仿宋_GB2312" w:hAnsi="仿宋_GB2312" w:cs="仿宋_GB2312" w:eastAsia="仿宋_GB2312"/>
                      <w:sz w:val="21"/>
                    </w:rPr>
                    <w:t>支持4K个VLAN</w:t>
                  </w:r>
                </w:p>
                <w:p>
                  <w:pPr>
                    <w:pStyle w:val="null3"/>
                    <w:jc w:val="both"/>
                  </w:pPr>
                  <w:r>
                    <w:rPr>
                      <w:rFonts w:ascii="仿宋_GB2312" w:hAnsi="仿宋_GB2312" w:cs="仿宋_GB2312" w:eastAsia="仿宋_GB2312"/>
                      <w:sz w:val="21"/>
                    </w:rPr>
                    <w:t>支持Guest VLAN、Voice VLAN</w:t>
                  </w:r>
                </w:p>
                <w:p>
                  <w:pPr>
                    <w:pStyle w:val="null3"/>
                    <w:jc w:val="both"/>
                  </w:pPr>
                  <w:r>
                    <w:rPr>
                      <w:rFonts w:ascii="仿宋_GB2312" w:hAnsi="仿宋_GB2312" w:cs="仿宋_GB2312" w:eastAsia="仿宋_GB2312"/>
                      <w:sz w:val="21"/>
                    </w:rPr>
                    <w:t>支持GVRP协议</w:t>
                  </w:r>
                </w:p>
                <w:p>
                  <w:pPr>
                    <w:pStyle w:val="null3"/>
                    <w:jc w:val="both"/>
                  </w:pPr>
                  <w:r>
                    <w:rPr>
                      <w:rFonts w:ascii="仿宋_GB2312" w:hAnsi="仿宋_GB2312" w:cs="仿宋_GB2312" w:eastAsia="仿宋_GB2312"/>
                      <w:sz w:val="21"/>
                    </w:rPr>
                    <w:t>支持MUX VLAN功能</w:t>
                  </w:r>
                </w:p>
                <w:p>
                  <w:pPr>
                    <w:pStyle w:val="null3"/>
                    <w:jc w:val="both"/>
                  </w:pPr>
                  <w:r>
                    <w:rPr>
                      <w:rFonts w:ascii="仿宋_GB2312" w:hAnsi="仿宋_GB2312" w:cs="仿宋_GB2312" w:eastAsia="仿宋_GB2312"/>
                      <w:sz w:val="21"/>
                    </w:rPr>
                    <w:t>支持基于MAC/协议/IP子网/策略/端口的VLAN</w:t>
                  </w:r>
                </w:p>
                <w:p>
                  <w:pPr>
                    <w:pStyle w:val="null3"/>
                    <w:jc w:val="both"/>
                  </w:pPr>
                  <w:r>
                    <w:rPr>
                      <w:rFonts w:ascii="仿宋_GB2312" w:hAnsi="仿宋_GB2312" w:cs="仿宋_GB2312" w:eastAsia="仿宋_GB2312"/>
                      <w:sz w:val="21"/>
                    </w:rPr>
                    <w:t>支持1:1和N:1 VLAN Mapping功能</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24口交换机</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传输速率≥10/100/1000Mbps</w:t>
                  </w:r>
                </w:p>
                <w:p>
                  <w:pPr>
                    <w:pStyle w:val="null3"/>
                    <w:jc w:val="both"/>
                  </w:pPr>
                  <w:r>
                    <w:rPr>
                      <w:rFonts w:ascii="仿宋_GB2312" w:hAnsi="仿宋_GB2312" w:cs="仿宋_GB2312" w:eastAsia="仿宋_GB2312"/>
                      <w:sz w:val="21"/>
                    </w:rPr>
                    <w:t>背板带宽≥336Gbps/3.36Tbps</w:t>
                  </w:r>
                </w:p>
                <w:p>
                  <w:pPr>
                    <w:pStyle w:val="null3"/>
                    <w:jc w:val="both"/>
                  </w:pPr>
                  <w:r>
                    <w:rPr>
                      <w:rFonts w:ascii="仿宋_GB2312" w:hAnsi="仿宋_GB2312" w:cs="仿宋_GB2312" w:eastAsia="仿宋_GB2312"/>
                      <w:sz w:val="21"/>
                    </w:rPr>
                    <w:t>包转发率≥51Mpps/126Mpps</w:t>
                  </w:r>
                </w:p>
                <w:p>
                  <w:pPr>
                    <w:pStyle w:val="null3"/>
                    <w:jc w:val="both"/>
                  </w:pPr>
                  <w:r>
                    <w:rPr>
                      <w:rFonts w:ascii="仿宋_GB2312" w:hAnsi="仿宋_GB2312" w:cs="仿宋_GB2312" w:eastAsia="仿宋_GB2312"/>
                      <w:sz w:val="21"/>
                    </w:rPr>
                    <w:t>MAC地址表≥8K</w:t>
                  </w:r>
                </w:p>
                <w:p>
                  <w:pPr>
                    <w:pStyle w:val="null3"/>
                    <w:jc w:val="both"/>
                  </w:pPr>
                  <w:r>
                    <w:rPr>
                      <w:rFonts w:ascii="仿宋_GB2312" w:hAnsi="仿宋_GB2312" w:cs="仿宋_GB2312" w:eastAsia="仿宋_GB2312"/>
                      <w:sz w:val="21"/>
                    </w:rPr>
                    <w:t>端口数量≥24个电口+4光口</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网关</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多WAN口千兆出口网关，带机量≥80台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耳机</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通用头戴式带麦耳机</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陶瓷防静电地板</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600*600*40mm</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平方（使用面积）</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网线</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六类非屏蔽网线</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电源线</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国标RVV3*2.5</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插板</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4位5孔无线插板</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装修</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墙面：旧墙面铲除，水泥砂浆找平，刮腻子，墙面干燥后刷乳胶漆；</w:t>
                  </w:r>
                </w:p>
                <w:p>
                  <w:pPr>
                    <w:pStyle w:val="null3"/>
                    <w:jc w:val="left"/>
                  </w:pPr>
                  <w:r>
                    <w:rPr>
                      <w:rFonts w:ascii="仿宋_GB2312" w:hAnsi="仿宋_GB2312" w:cs="仿宋_GB2312" w:eastAsia="仿宋_GB2312"/>
                      <w:sz w:val="21"/>
                    </w:rPr>
                    <w:t>吊顶：600*600矿棉板吊顶；</w:t>
                  </w:r>
                </w:p>
                <w:p>
                  <w:pPr>
                    <w:pStyle w:val="null3"/>
                    <w:jc w:val="left"/>
                  </w:pPr>
                  <w:r>
                    <w:rPr>
                      <w:rFonts w:ascii="仿宋_GB2312" w:hAnsi="仿宋_GB2312" w:cs="仿宋_GB2312" w:eastAsia="仿宋_GB2312"/>
                      <w:sz w:val="21"/>
                    </w:rPr>
                    <w:t>照明：600*600LED平板灯；</w:t>
                  </w:r>
                </w:p>
                <w:p>
                  <w:pPr>
                    <w:pStyle w:val="null3"/>
                    <w:jc w:val="left"/>
                  </w:pPr>
                  <w:r>
                    <w:rPr>
                      <w:rFonts w:ascii="仿宋_GB2312" w:hAnsi="仿宋_GB2312" w:cs="仿宋_GB2312" w:eastAsia="仿宋_GB2312"/>
                      <w:sz w:val="21"/>
                    </w:rPr>
                    <w:t>强弱电工程：强电分路，教师电脑1路、学生电脑分4路、空调照明独立回路。弱电，每个座位预留1路网线口，黑板单独留1路。强弱电分管铺设，均走静电地板下，间距≥30CM，避免信号干扰。</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辅材</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线槽、线管、网络水晶头、扎带、胶布等</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安装调试</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安装调试</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b/>
              </w:rPr>
              <w:t>备注：1、以上条款为实质性参数要求，供应商需要完全响应并满足技术参数要求，不允许出现不满足、部分满足或负偏离等情形，如若出现按无效谈判处理。</w:t>
            </w:r>
          </w:p>
          <w:p>
            <w:pPr>
              <w:pStyle w:val="null3"/>
              <w:jc w:val="both"/>
            </w:pPr>
            <w:r>
              <w:rPr>
                <w:rFonts w:ascii="仿宋_GB2312" w:hAnsi="仿宋_GB2312" w:cs="仿宋_GB2312" w:eastAsia="仿宋_GB2312"/>
                <w:sz w:val="21"/>
                <w:b/>
              </w:rPr>
              <w:t>2、投标报价是指产品到达使用地点，达到正常使用条件下的所有费用，包括产品的报价及所发生的运杂费（含保险）、现场安装调试费、装修费及按现行税收政策征收的一切税费等。以谈判文件的内容和要求作为投标依据。本项目属于交钥匙项目，应保证采购人正常操作使用。</w:t>
            </w:r>
          </w:p>
          <w:p>
            <w:pPr>
              <w:pStyle w:val="null3"/>
            </w:pPr>
            <w:r>
              <w:rPr>
                <w:rFonts w:ascii="仿宋_GB2312" w:hAnsi="仿宋_GB2312" w:cs="仿宋_GB2312" w:eastAsia="仿宋_GB2312"/>
                <w:sz w:val="21"/>
                <w:b/>
              </w:rPr>
              <w:t>本项目核心产品为：学生机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进度款，全部产品安装调试完毕并验收合格后，达到付款条件起5个工作日内，支付合同总金额的100.0%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行业现行标准、规定、规程及规范，符合行业和地方通用标准和惯例要求。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质量保证期：自采购人签发最终验收合格证书之日起 12 个月，若该质量保证期小于国家标准，则以国家标准为准。产品终身维修，由乙方承担。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10.1按《中华人民共和国民法典》中的相关条款执行。 10.2供应商未按合同要求提供产品或产品质量不能满足合同要求的，采购人应当将供应商违约的情况以及拟采取的措施以书面形式报政府采购监管部门，根据政府采购监管部门的处理意见，采购人有权依据《民法典》有关条款及合同约定终止合同，并要求供应商承担合同价款30%的违约责任。同时，政府采购监管部门有权依据《政府采购法》及相关法律法规对供应商的违法行为进行相应的处罚。 10.3供应商未按照合同要求逾期交货的，每日应按照合同总金额的1‰向采购人支付违约金。</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1.本项目合同包1为专门面向中小企业采购。 2.本项目属性为货物。 3.本项目合同包1采购标的所属行业为：工业； 4.本项目是否属于信用担保试点范围：否。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（2）税收缴纳证明：提供谈判截止日前六个月内任意一个月的纳税证明或完税证明（增值税、印花税、城市维护建设费、企业所得税等一种或多种税种），依法免税的单位提供相关证明材料。 （3）社会保障资金缴纳证明：提供谈判截止日前六个月内任意一个月的社保资金交纳证明，依法不需要缴纳社保资金的单位提供相关证明材料。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（6）法定代表人授权书（附法定代表人、被授权人身份证复印件，被授权人需提供在本单位近三个月任意一个月的社保缴纳证明），法定代表人直接参加谈判，须提供法定代表人身份证明及身份证复印件。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（8）本项目不接受联合体谈判。</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提供谈判截止日前六个月内任意一个月的纳税证明或完税证明（增值税、印花税、城市维护建设费、企业所得税等一种或多种税种），依法免税的单位提供相关证明材料。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提供谈判截止日前六个月内任意一个月的社保资金交纳证明，依法不需要缴纳社保资金的单位提供相关证明材料。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法定代表人授权书（附法定代表人、被授权人身份证复印件，被授权人需提供在本单位近三个月任意一个月的社保缴纳证明），法定代表人直接参加谈判，须提供法定代表人身份证明及身份证复印件。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谈判响应文件上法定代表人或被授权人的签字盖章齐全并加盖公章</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只能有一个有效报价，不得提交选择性报价，按要求提交二次或多次报价，且每轮报价不超过采购预算金额或最高限价或谈判小组成员认为低于成本的报价。</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谈判响应文件内容符合谈判文件要求</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节能产品.docx 中小企业声明函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详见附件：本国产品声明.docx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详见附件：关键零部件.docx</w:t>
      </w:r>
    </w:p>
    <w:p>
      <w:pPr>
        <w:pStyle w:val="null3"/>
        <w:ind w:firstLine="960"/>
      </w:pPr>
      <w:r>
        <w:rPr>
          <w:rFonts w:ascii="仿宋_GB2312" w:hAnsi="仿宋_GB2312" w:cs="仿宋_GB2312" w:eastAsia="仿宋_GB2312"/>
        </w:rPr>
        <w:t>详见附件：节能产品.docx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