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版本号：ZJTC2026-02620260718001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计算机教室更新项目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ZJTC2026-026</w:t>
      </w:r>
      <w:r>
        <w:br/>
      </w:r>
      <w:r>
        <w:br/>
      </w:r>
      <w:r>
        <w:br/>
      </w:r>
    </w:p>
    <w:p>
      <w:pPr>
        <w:pStyle w:val="null3"/>
        <w:jc w:val="center"/>
        <w:outlineLvl w:val="2"/>
      </w:pPr>
      <w:r>
        <w:rPr>
          <w:rFonts w:ascii="仿宋_GB2312" w:hAnsi="仿宋_GB2312" w:cs="仿宋_GB2312" w:eastAsia="仿宋_GB2312"/>
          <w:sz w:val="28"/>
          <w:b/>
        </w:rPr>
        <w:t>西安市莲湖区第二实验小学</w:t>
      </w:r>
    </w:p>
    <w:p>
      <w:pPr>
        <w:pStyle w:val="null3"/>
        <w:jc w:val="center"/>
        <w:outlineLvl w:val="2"/>
      </w:pPr>
      <w:r>
        <w:rPr>
          <w:rFonts w:ascii="仿宋_GB2312" w:hAnsi="仿宋_GB2312" w:cs="仿宋_GB2312" w:eastAsia="仿宋_GB2312"/>
          <w:sz w:val="28"/>
          <w:b/>
        </w:rPr>
        <w:t>陕西至简天成项目管理有限公司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陕西至简天成项目管理有限公司</w:t>
      </w:r>
      <w:r>
        <w:rPr>
          <w:rFonts w:ascii="仿宋_GB2312" w:hAnsi="仿宋_GB2312" w:cs="仿宋_GB2312" w:eastAsia="仿宋_GB2312"/>
        </w:rPr>
        <w:t>（以下简称“代理机构”）受</w:t>
      </w:r>
      <w:r>
        <w:rPr>
          <w:rFonts w:ascii="仿宋_GB2312" w:hAnsi="仿宋_GB2312" w:cs="仿宋_GB2312" w:eastAsia="仿宋_GB2312"/>
        </w:rPr>
        <w:t>西安市莲湖区第二实验小学</w:t>
      </w:r>
      <w:r>
        <w:rPr>
          <w:rFonts w:ascii="仿宋_GB2312" w:hAnsi="仿宋_GB2312" w:cs="仿宋_GB2312" w:eastAsia="仿宋_GB2312"/>
        </w:rPr>
        <w:t>委托，拟对</w:t>
      </w:r>
      <w:r>
        <w:rPr>
          <w:rFonts w:ascii="仿宋_GB2312" w:hAnsi="仿宋_GB2312" w:cs="仿宋_GB2312" w:eastAsia="仿宋_GB2312"/>
        </w:rPr>
        <w:t>计算机教室更新项目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ZJTC2026-026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计算机教室更新项目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西安市莲湖区第二实验小学云机房建设。</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采购包1（计算机教室更新）：属于专门面向中小企业采购。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的经审计的财务会计报告（成立时间至提交谈判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3、税收缴纳证明：提供投标截止日近半年内任意一月的纳税凭据或完税证明，依法免税的应提供相关证明材料；</w:t>
      </w:r>
    </w:p>
    <w:p>
      <w:pPr>
        <w:pStyle w:val="null3"/>
      </w:pPr>
      <w:r>
        <w:rPr>
          <w:rFonts w:ascii="仿宋_GB2312" w:hAnsi="仿宋_GB2312" w:cs="仿宋_GB2312" w:eastAsia="仿宋_GB2312"/>
        </w:rPr>
        <w:t>4、社会保险资金缴纳证明：提供投标截止日近半年内任意一月的社会保障资金缴存单据或社保机构开具的社会保险参保缴费情况证明，依法不需要缴纳社会保障资金的应提供相关证明材料；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及被授权人开标前三个月内任意一个月在本单位的社保缴纳证明），法定代表人直接参加谈判，须提供法定代表人身份证明；</w:t>
      </w:r>
    </w:p>
    <w:p>
      <w:pPr>
        <w:pStyle w:val="null3"/>
      </w:pPr>
      <w:r>
        <w:rPr>
          <w:rFonts w:ascii="仿宋_GB2312" w:hAnsi="仿宋_GB2312" w:cs="仿宋_GB2312" w:eastAsia="仿宋_GB2312"/>
        </w:rPr>
        <w:t>8、信誉要求：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9、联合体：本项目不接受联合体谈判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西安市莲湖区第二实验小学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莲湖区梁家牌楼9号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15691935521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陕西至简天成项目管理有限公司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西安市莲湖区土门十字西二环南段10号艺腾国际商务大厦503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17629052930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学生计算机、教室计算机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和（发改办价格[2003]857号）中的收费标准计取。按上述标准计算的代理服务费低于8000元的，代理服务费按8000元收取。 开户名称：陕西至简天成项目管理有限公司； 开户银行：456630100100048544； 账 号：兴业银行股份有限公司西安长安北路支行；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西安市莲湖区第二实验小学</w:t>
      </w:r>
      <w:r>
        <w:rPr>
          <w:rFonts w:ascii="仿宋_GB2312" w:hAnsi="仿宋_GB2312" w:cs="仿宋_GB2312" w:eastAsia="仿宋_GB2312"/>
        </w:rPr>
        <w:t>和</w:t>
      </w:r>
      <w:r>
        <w:rPr>
          <w:rFonts w:ascii="仿宋_GB2312" w:hAnsi="仿宋_GB2312" w:cs="仿宋_GB2312" w:eastAsia="仿宋_GB2312"/>
        </w:rPr>
        <w:t>陕西至简天成项目管理有限公司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西安市莲湖区第二实验小学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陕西至简天成项目管理有限公司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西安市莲湖区第二实验小学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陕西至简天成项目管理有限公司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四、构成本谈判文件的各组成部分，未经采购人书面同意，供应商不得擅自复印或用于非本谈判项目所需的其他目的。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乙方保证合同所有设备是全新的（包括零部件），其规格参数及配件不低于（符合）本项目谈判文件和响应文件的要求。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陕西至简天成项目管理有限公司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陕西至简天成项目管理有限公司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陕西至简天成项目管理有限公司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联系人：苏工</w:t>
      </w:r>
    </w:p>
    <w:p>
      <w:pPr>
        <w:pStyle w:val="null3"/>
      </w:pPr>
      <w:r>
        <w:rPr>
          <w:rFonts w:ascii="仿宋_GB2312" w:hAnsi="仿宋_GB2312" w:cs="仿宋_GB2312" w:eastAsia="仿宋_GB2312"/>
        </w:rPr>
        <w:t>联系电话：17629052930</w:t>
      </w:r>
    </w:p>
    <w:p>
      <w:pPr>
        <w:pStyle w:val="null3"/>
      </w:pPr>
      <w:r>
        <w:rPr>
          <w:rFonts w:ascii="仿宋_GB2312" w:hAnsi="仿宋_GB2312" w:cs="仿宋_GB2312" w:eastAsia="仿宋_GB2312"/>
        </w:rPr>
        <w:t>地址：西安市莲湖区土门十字西二环南段10号艺腾国际商务大厦503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西安市莲湖区第二实验小学云机房建设。</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管理服务器、教师计算机、学生计算机、桌凳、稳压器、交换机等配套设备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间</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标的名称：管理服务器、教师计算机、学生计算机、桌凳、稳压器、交换机等配套设备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7"/>
              <w:gridCol w:w="345"/>
              <w:gridCol w:w="2672"/>
              <w:gridCol w:w="308"/>
              <w:gridCol w:w="280"/>
            </w:tblGrid>
            <w:tr>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货物名称</w:t>
                  </w:r>
                </w:p>
              </w:tc>
              <w:tc>
                <w:tcPr>
                  <w:tcW w:type="dxa" w:w="26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技术参数要求</w:t>
                  </w:r>
                </w:p>
              </w:tc>
              <w:tc>
                <w:tcPr>
                  <w:tcW w:type="dxa" w:w="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管理服务器</w:t>
                  </w:r>
                </w:p>
              </w:tc>
              <w:tc>
                <w:tcPr>
                  <w:tcW w:type="dxa" w:w="2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1、CPU：</w:t>
                  </w:r>
                  <w:r>
                    <w:rPr>
                      <w:rFonts w:ascii="仿宋_GB2312" w:hAnsi="仿宋_GB2312" w:cs="仿宋_GB2312" w:eastAsia="仿宋_GB2312"/>
                      <w:sz w:val="20"/>
                      <w:color w:val="000000"/>
                    </w:rPr>
                    <w:t>采用国产处理器</w:t>
                  </w:r>
                  <w:r>
                    <w:rPr>
                      <w:rFonts w:ascii="仿宋_GB2312" w:hAnsi="仿宋_GB2312" w:cs="仿宋_GB2312" w:eastAsia="仿宋_GB2312"/>
                      <w:sz w:val="20"/>
                      <w:color w:val="000000"/>
                    </w:rPr>
                    <w:t>核心数：</w:t>
                  </w:r>
                  <w:r>
                    <w:rPr>
                      <w:rFonts w:ascii="仿宋_GB2312" w:hAnsi="仿宋_GB2312" w:cs="仿宋_GB2312" w:eastAsia="仿宋_GB2312"/>
                      <w:sz w:val="20"/>
                      <w:color w:val="000000"/>
                    </w:rPr>
                    <w:t>≥八核，主频：≥3.0GHz);</w:t>
                  </w:r>
                </w:p>
                <w:p>
                  <w:pPr>
                    <w:pStyle w:val="null3"/>
                    <w:jc w:val="left"/>
                  </w:pPr>
                  <w:r>
                    <w:rPr>
                      <w:rFonts w:ascii="仿宋_GB2312" w:hAnsi="仿宋_GB2312" w:cs="仿宋_GB2312" w:eastAsia="仿宋_GB2312"/>
                      <w:sz w:val="20"/>
                      <w:color w:val="000000"/>
                    </w:rPr>
                    <w:t>2、内存：≥DDR4 2933 16</w:t>
                  </w:r>
                  <w:r>
                    <w:rPr>
                      <w:rFonts w:ascii="仿宋_GB2312" w:hAnsi="仿宋_GB2312" w:cs="仿宋_GB2312" w:eastAsia="仿宋_GB2312"/>
                      <w:sz w:val="20"/>
                      <w:color w:val="000000"/>
                    </w:rPr>
                    <w:t>GB</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3、硬盘：≥1*480</w:t>
                  </w:r>
                  <w:r>
                    <w:rPr>
                      <w:rFonts w:ascii="仿宋_GB2312" w:hAnsi="仿宋_GB2312" w:cs="仿宋_GB2312" w:eastAsia="仿宋_GB2312"/>
                      <w:sz w:val="20"/>
                      <w:color w:val="000000"/>
                    </w:rPr>
                    <w:t>GB</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SSD + 1*2T SATA</w:t>
                  </w:r>
                </w:p>
                <w:p>
                  <w:pPr>
                    <w:pStyle w:val="null3"/>
                    <w:jc w:val="left"/>
                  </w:pPr>
                  <w:r>
                    <w:rPr>
                      <w:rFonts w:ascii="仿宋_GB2312" w:hAnsi="仿宋_GB2312" w:cs="仿宋_GB2312" w:eastAsia="仿宋_GB2312"/>
                      <w:sz w:val="20"/>
                      <w:color w:val="000000"/>
                    </w:rPr>
                    <w:t>4、网卡：≥2个千兆</w:t>
                  </w:r>
                  <w:r>
                    <w:rPr>
                      <w:rFonts w:ascii="仿宋_GB2312" w:hAnsi="仿宋_GB2312" w:cs="仿宋_GB2312" w:eastAsia="仿宋_GB2312"/>
                      <w:sz w:val="20"/>
                      <w:color w:val="000000"/>
                    </w:rPr>
                    <w:t>以太网接</w:t>
                  </w:r>
                  <w:r>
                    <w:rPr>
                      <w:rFonts w:ascii="仿宋_GB2312" w:hAnsi="仿宋_GB2312" w:cs="仿宋_GB2312" w:eastAsia="仿宋_GB2312"/>
                      <w:sz w:val="20"/>
                      <w:color w:val="000000"/>
                    </w:rPr>
                    <w:t>口</w:t>
                  </w:r>
                </w:p>
                <w:p>
                  <w:pPr>
                    <w:pStyle w:val="null3"/>
                    <w:jc w:val="left"/>
                  </w:pPr>
                  <w:r>
                    <w:rPr>
                      <w:rFonts w:ascii="仿宋_GB2312" w:hAnsi="仿宋_GB2312" w:cs="仿宋_GB2312" w:eastAsia="仿宋_GB2312"/>
                      <w:sz w:val="20"/>
                      <w:color w:val="000000"/>
                    </w:rPr>
                    <w:t xml:space="preserve">5、电源：≥200W单电源                                         </w:t>
                  </w:r>
                </w:p>
                <w:p>
                  <w:pPr>
                    <w:pStyle w:val="null3"/>
                    <w:jc w:val="left"/>
                  </w:pPr>
                  <w:r>
                    <w:rPr>
                      <w:rFonts w:ascii="仿宋_GB2312" w:hAnsi="仿宋_GB2312" w:cs="仿宋_GB2312" w:eastAsia="仿宋_GB2312"/>
                      <w:sz w:val="20"/>
                      <w:color w:val="000000"/>
                    </w:rPr>
                    <w:t>6、系统：</w:t>
                  </w:r>
                  <w:r>
                    <w:rPr>
                      <w:rFonts w:ascii="仿宋_GB2312" w:hAnsi="仿宋_GB2312" w:cs="仿宋_GB2312" w:eastAsia="仿宋_GB2312"/>
                      <w:sz w:val="20"/>
                      <w:color w:val="000000"/>
                    </w:rPr>
                    <w:t>预安装</w:t>
                  </w:r>
                  <w:r>
                    <w:rPr>
                      <w:rFonts w:ascii="仿宋_GB2312" w:hAnsi="仿宋_GB2312" w:cs="仿宋_GB2312" w:eastAsia="仿宋_GB2312"/>
                      <w:sz w:val="20"/>
                      <w:b/>
                      <w:color w:val="000000"/>
                    </w:rPr>
                    <w:t>国产操作系统</w:t>
                  </w:r>
                </w:p>
                <w:p>
                  <w:pPr>
                    <w:pStyle w:val="null3"/>
                    <w:jc w:val="left"/>
                  </w:pPr>
                  <w:r>
                    <w:rPr>
                      <w:rFonts w:ascii="仿宋_GB2312" w:hAnsi="仿宋_GB2312" w:cs="仿宋_GB2312" w:eastAsia="仿宋_GB2312"/>
                      <w:sz w:val="20"/>
                      <w:color w:val="000000"/>
                    </w:rPr>
                    <w:t>内置虚拟化系统软件</w:t>
                  </w:r>
                  <w:r>
                    <w:rPr>
                      <w:rFonts w:ascii="仿宋_GB2312" w:hAnsi="仿宋_GB2312" w:cs="仿宋_GB2312" w:eastAsia="仿宋_GB2312"/>
                      <w:sz w:val="20"/>
                      <w:color w:val="000000"/>
                    </w:rPr>
                    <w:t xml:space="preserve">                        </w:t>
                  </w:r>
                </w:p>
                <w:p>
                  <w:pPr>
                    <w:pStyle w:val="null3"/>
                    <w:jc w:val="left"/>
                  </w:pPr>
                  <w:r>
                    <w:rPr>
                      <w:rFonts w:ascii="仿宋_GB2312" w:hAnsi="仿宋_GB2312" w:cs="仿宋_GB2312" w:eastAsia="仿宋_GB2312"/>
                      <w:sz w:val="20"/>
                      <w:color w:val="000000"/>
                    </w:rPr>
                    <w:t>1、 同时支持教学模式和办公模式，支持集群、支持负载均衡、可直接从某个单独的硬盘恢复用户数据；                            2、负载均衡，服务端自动修复客户</w:t>
                  </w:r>
                  <w:r>
                    <w:rPr>
                      <w:rFonts w:ascii="仿宋_GB2312" w:hAnsi="仿宋_GB2312" w:cs="仿宋_GB2312" w:eastAsia="仿宋_GB2312"/>
                      <w:sz w:val="20"/>
                      <w:color w:val="000000"/>
                    </w:rPr>
                    <w:t>windows</w:t>
                  </w:r>
                  <w:r>
                    <w:rPr>
                      <w:rFonts w:ascii="仿宋_GB2312" w:hAnsi="仿宋_GB2312" w:cs="仿宋_GB2312" w:eastAsia="仿宋_GB2312"/>
                      <w:sz w:val="20"/>
                      <w:color w:val="000000"/>
                    </w:rPr>
                    <w:t>及主流国产操作系统的</w:t>
                  </w:r>
                  <w:r>
                    <w:rPr>
                      <w:rFonts w:ascii="仿宋_GB2312" w:hAnsi="仿宋_GB2312" w:cs="仿宋_GB2312" w:eastAsia="仿宋_GB2312"/>
                      <w:sz w:val="20"/>
                      <w:color w:val="000000"/>
                    </w:rPr>
                    <w:t>关于磁盘和引导相关的错误；</w:t>
                  </w:r>
                </w:p>
                <w:p>
                  <w:pPr>
                    <w:pStyle w:val="null3"/>
                    <w:jc w:val="left"/>
                  </w:pPr>
                  <w:r>
                    <w:rPr>
                      <w:rFonts w:ascii="仿宋_GB2312" w:hAnsi="仿宋_GB2312" w:cs="仿宋_GB2312" w:eastAsia="仿宋_GB2312"/>
                      <w:sz w:val="20"/>
                      <w:color w:val="000000"/>
                    </w:rPr>
                    <w:t>★3、支持集群化部署，采用超融合架构，分布式存储，平台默认副本数为2；当存储为集群时，单个节点故障不影响存储的使用；</w:t>
                  </w:r>
                  <w:r>
                    <w:rPr>
                      <w:rFonts w:ascii="仿宋_GB2312" w:hAnsi="仿宋_GB2312" w:cs="仿宋_GB2312" w:eastAsia="仿宋_GB2312"/>
                      <w:sz w:val="20"/>
                      <w:color w:val="000000"/>
                    </w:rPr>
                    <w:t>（需提供功能证明材料、包括但不限于检测报告、官网和功能截图等）</w:t>
                  </w:r>
                </w:p>
                <w:p>
                  <w:pPr>
                    <w:pStyle w:val="null3"/>
                    <w:jc w:val="left"/>
                  </w:pPr>
                  <w:r>
                    <w:rPr>
                      <w:rFonts w:ascii="仿宋_GB2312" w:hAnsi="仿宋_GB2312" w:cs="仿宋_GB2312" w:eastAsia="仿宋_GB2312"/>
                      <w:sz w:val="20"/>
                      <w:color w:val="000000"/>
                    </w:rPr>
                    <w:t>4、管理主机可以看到集群内任意一台主机的cpu、内存、硬盘容量、硬盘IO、所有网卡等的</w:t>
                  </w:r>
                  <w:r>
                    <w:rPr>
                      <w:rFonts w:ascii="仿宋_GB2312" w:hAnsi="仿宋_GB2312" w:cs="仿宋_GB2312" w:eastAsia="仿宋_GB2312"/>
                      <w:sz w:val="20"/>
                      <w:color w:val="000000"/>
                    </w:rPr>
                    <w:t>折线视图</w:t>
                  </w:r>
                  <w:r>
                    <w:rPr>
                      <w:rFonts w:ascii="仿宋_GB2312" w:hAnsi="仿宋_GB2312" w:cs="仿宋_GB2312" w:eastAsia="仿宋_GB2312"/>
                      <w:sz w:val="20"/>
                      <w:color w:val="000000"/>
                    </w:rPr>
                    <w:t>；</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管理系统</w:t>
                  </w:r>
                </w:p>
              </w:tc>
              <w:tc>
                <w:tcPr>
                  <w:tcW w:type="dxa" w:w="2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客户端支持在线与离线两种模式运行，可运行</w:t>
                  </w:r>
                  <w:r>
                    <w:rPr>
                      <w:rFonts w:ascii="仿宋_GB2312" w:hAnsi="仿宋_GB2312" w:cs="仿宋_GB2312" w:eastAsia="仿宋_GB2312"/>
                      <w:sz w:val="20"/>
                      <w:color w:val="000000"/>
                    </w:rPr>
                    <w:t>Windows 及主流国产操作系统</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2、客户端完全利用本机的性能和外设，在线跨网段运行存储在服务器或者服务器集群上的专属或通用系统，（</w:t>
                  </w:r>
                  <w:r>
                    <w:rPr>
                      <w:rFonts w:ascii="仿宋_GB2312" w:hAnsi="仿宋_GB2312" w:cs="仿宋_GB2312" w:eastAsia="仿宋_GB2312"/>
                      <w:sz w:val="20"/>
                      <w:color w:val="000000"/>
                    </w:rPr>
                    <w:t>兼容包括但不限于</w:t>
                  </w:r>
                  <w:r>
                    <w:rPr>
                      <w:rFonts w:ascii="仿宋_GB2312" w:hAnsi="仿宋_GB2312" w:cs="仿宋_GB2312" w:eastAsia="仿宋_GB2312"/>
                      <w:sz w:val="20"/>
                      <w:color w:val="000000"/>
                    </w:rPr>
                    <w:t>windows、UOS、KYLIN及主流操作系统）</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3、客户端同时可以利用本机硬件性能将服务端专属或通用系统（</w:t>
                  </w:r>
                  <w:r>
                    <w:rPr>
                      <w:rFonts w:ascii="仿宋_GB2312" w:hAnsi="仿宋_GB2312" w:cs="仿宋_GB2312" w:eastAsia="仿宋_GB2312"/>
                      <w:sz w:val="20"/>
                      <w:color w:val="000000"/>
                    </w:rPr>
                    <w:t>兼容包括但不限于</w:t>
                  </w:r>
                  <w:r>
                    <w:rPr>
                      <w:rFonts w:ascii="仿宋_GB2312" w:hAnsi="仿宋_GB2312" w:cs="仿宋_GB2312" w:eastAsia="仿宋_GB2312"/>
                      <w:sz w:val="20"/>
                      <w:color w:val="000000"/>
                    </w:rPr>
                    <w:t>windows、UOS、KYLIN及主流操作系统</w:t>
                  </w:r>
                  <w:r>
                    <w:rPr>
                      <w:rFonts w:ascii="仿宋_GB2312" w:hAnsi="仿宋_GB2312" w:cs="仿宋_GB2312" w:eastAsia="仿宋_GB2312"/>
                      <w:sz w:val="20"/>
                      <w:color w:val="000000"/>
                    </w:rPr>
                    <w:t>）差量化离线到本机硬盘上运行。</w:t>
                  </w:r>
                </w:p>
                <w:p>
                  <w:pPr>
                    <w:pStyle w:val="null3"/>
                    <w:jc w:val="left"/>
                  </w:pPr>
                  <w:r>
                    <w:rPr>
                      <w:rFonts w:ascii="仿宋_GB2312" w:hAnsi="仿宋_GB2312" w:cs="仿宋_GB2312" w:eastAsia="仿宋_GB2312"/>
                      <w:sz w:val="20"/>
                      <w:color w:val="000000"/>
                    </w:rPr>
                    <w:t>4、管理员可以批量下发文件给指定用户指定系统（若该系统关机，启动后会自动接收）；</w:t>
                  </w:r>
                </w:p>
                <w:p>
                  <w:pPr>
                    <w:pStyle w:val="null3"/>
                    <w:jc w:val="left"/>
                  </w:pPr>
                  <w:r>
                    <w:rPr>
                      <w:rFonts w:ascii="仿宋_GB2312" w:hAnsi="仿宋_GB2312" w:cs="仿宋_GB2312" w:eastAsia="仿宋_GB2312"/>
                      <w:sz w:val="20"/>
                      <w:color w:val="000000"/>
                    </w:rPr>
                    <w:t xml:space="preserve">5、用户可以在任意终端登录属于自己的系统，具备用户管理、终端管理、模版管理、下载管理、模版反向应用等功能模块；       </w:t>
                  </w:r>
                </w:p>
                <w:p>
                  <w:pPr>
                    <w:pStyle w:val="null3"/>
                    <w:jc w:val="left"/>
                  </w:pPr>
                  <w:r>
                    <w:rPr>
                      <w:rFonts w:ascii="仿宋_GB2312" w:hAnsi="仿宋_GB2312" w:cs="仿宋_GB2312" w:eastAsia="仿宋_GB2312"/>
                      <w:sz w:val="20"/>
                      <w:color w:val="000000"/>
                    </w:rPr>
                    <w:t>★6、管理系统支持根据不同区域的网络环境，创建不同的虚拟网络类型，包括创建 access 网络和 trunk网络，以满足桌面网络建设和教学需求；</w:t>
                  </w:r>
                  <w:r>
                    <w:rPr>
                      <w:rFonts w:ascii="仿宋_GB2312" w:hAnsi="仿宋_GB2312" w:cs="仿宋_GB2312" w:eastAsia="仿宋_GB2312"/>
                      <w:sz w:val="20"/>
                      <w:color w:val="000000"/>
                    </w:rPr>
                    <w:t>（需提供功能证明材料、包括但不限于检测报告、官网和功能截图等）</w:t>
                  </w:r>
                </w:p>
                <w:p>
                  <w:pPr>
                    <w:pStyle w:val="null3"/>
                    <w:jc w:val="left"/>
                  </w:pPr>
                  <w:r>
                    <w:rPr>
                      <w:rFonts w:ascii="仿宋_GB2312" w:hAnsi="仿宋_GB2312" w:cs="仿宋_GB2312" w:eastAsia="仿宋_GB2312"/>
                      <w:sz w:val="20"/>
                      <w:color w:val="000000"/>
                    </w:rPr>
                    <w:t>★7、支持考试模式，考试模式下，服务器/桌面重启后，学生桌面数据保留；支持D盘；</w:t>
                  </w:r>
                  <w:r>
                    <w:rPr>
                      <w:rFonts w:ascii="仿宋_GB2312" w:hAnsi="仿宋_GB2312" w:cs="仿宋_GB2312" w:eastAsia="仿宋_GB2312"/>
                      <w:sz w:val="20"/>
                      <w:color w:val="000000"/>
                    </w:rPr>
                    <w:t>（需提供功能证明材料、包括但不限于检测报告、官网和功能截图等）</w:t>
                  </w:r>
                </w:p>
                <w:p>
                  <w:pPr>
                    <w:pStyle w:val="null3"/>
                    <w:jc w:val="left"/>
                  </w:pPr>
                  <w:r>
                    <w:rPr>
                      <w:rFonts w:ascii="仿宋_GB2312" w:hAnsi="仿宋_GB2312" w:cs="仿宋_GB2312" w:eastAsia="仿宋_GB2312"/>
                      <w:sz w:val="20"/>
                      <w:color w:val="000000"/>
                    </w:rPr>
                    <w:t>★8、支持虚拟机故障恢复功能，故障虚拟机可以通过备份恢复，也可以恢复到新的虚拟机。当故障虚拟机恢复到新的虚拟机时，故障虚拟机的C盘和云盘自动挂载到新的虚拟机中，管理员可设置故障桌面C盘的卸载时间；</w:t>
                  </w:r>
                  <w:r>
                    <w:rPr>
                      <w:rFonts w:ascii="仿宋_GB2312" w:hAnsi="仿宋_GB2312" w:cs="仿宋_GB2312" w:eastAsia="仿宋_GB2312"/>
                      <w:sz w:val="20"/>
                      <w:color w:val="000000"/>
                    </w:rPr>
                    <w:t>（需提供功能证明材料、包括但不限于检测报告、官网和功能截图等）</w:t>
                  </w:r>
                </w:p>
                <w:p>
                  <w:pPr>
                    <w:pStyle w:val="null3"/>
                    <w:jc w:val="left"/>
                  </w:pPr>
                  <w:r>
                    <w:rPr>
                      <w:rFonts w:ascii="仿宋_GB2312" w:hAnsi="仿宋_GB2312" w:cs="仿宋_GB2312" w:eastAsia="仿宋_GB2312"/>
                      <w:sz w:val="20"/>
                      <w:color w:val="000000"/>
                    </w:rPr>
                    <w:t>9、客户端离线使用的任意一个系统，支持执行从该胖客户端同步数据到服务器，或者从服务器同步到本地，或者不同步，且无需设置，一次生效后自动同步；</w:t>
                  </w:r>
                </w:p>
                <w:p>
                  <w:pPr>
                    <w:pStyle w:val="null3"/>
                    <w:jc w:val="left"/>
                  </w:pPr>
                  <w:r>
                    <w:rPr>
                      <w:rFonts w:ascii="仿宋_GB2312" w:hAnsi="仿宋_GB2312" w:cs="仿宋_GB2312" w:eastAsia="仿宋_GB2312"/>
                      <w:sz w:val="20"/>
                      <w:color w:val="000000"/>
                    </w:rPr>
                    <w:t>10、客户端支持自动登录，支持设定某个在线或者离线模板作为默认系统；</w:t>
                  </w:r>
                </w:p>
                <w:p>
                  <w:pPr>
                    <w:pStyle w:val="null3"/>
                    <w:jc w:val="left"/>
                  </w:pPr>
                  <w:r>
                    <w:rPr>
                      <w:rFonts w:ascii="仿宋_GB2312" w:hAnsi="仿宋_GB2312" w:cs="仿宋_GB2312" w:eastAsia="仿宋_GB2312"/>
                      <w:sz w:val="20"/>
                      <w:color w:val="000000"/>
                    </w:rPr>
                    <w:t>11、管理员在用户允许的前提下，可以通过web端远程连接到客户正在使用的操作系统桌面。</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软件授权</w:t>
                  </w:r>
                </w:p>
              </w:tc>
              <w:tc>
                <w:tcPr>
                  <w:tcW w:type="dxa" w:w="2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1.教学模式：多教室、负载均衡、关机下发离线系统、断点续传、多系统切换等，内含在线考试系统；</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1）支持多个教室，每个教室只有专属于该教室的系统模板；</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2）支持指定为在线默认系统、在线自由模式、在线考试模式、离线默认系统、离线自由模式、离线考试模式；</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3）下发离线系统时，支持断点续传、差量下发、关机下发等，服务端能看到所有下发任务的总进度和每一个终端的进度，客户端可以看到自己的进度；</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4）客户端支持一键恢复出厂设置，且可以无需重新刷机实现学生端和办公端的转换；</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5）客户端可以通过pxe统一安装；</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6）教室端可以是办公模式的办公端，方便教师在不同教室登录自己专属的系统，且支持多系统启动</w:t>
                  </w:r>
                  <w:r>
                    <w:rPr>
                      <w:rFonts w:ascii="仿宋_GB2312" w:hAnsi="仿宋_GB2312" w:cs="仿宋_GB2312" w:eastAsia="仿宋_GB2312"/>
                      <w:sz w:val="20"/>
                      <w:color w:val="000000"/>
                    </w:rPr>
                    <w:t>（</w:t>
                  </w:r>
                  <w:r>
                    <w:rPr>
                      <w:rFonts w:ascii="仿宋_GB2312" w:hAnsi="仿宋_GB2312" w:cs="仿宋_GB2312" w:eastAsia="仿宋_GB2312"/>
                      <w:sz w:val="20"/>
                      <w:color w:val="000000"/>
                    </w:rPr>
                    <w:t>兼容</w:t>
                  </w:r>
                  <w:r>
                    <w:rPr>
                      <w:rFonts w:ascii="仿宋_GB2312" w:hAnsi="仿宋_GB2312" w:cs="仿宋_GB2312" w:eastAsia="仿宋_GB2312"/>
                      <w:sz w:val="20"/>
                      <w:color w:val="000000"/>
                    </w:rPr>
                    <w:t>包括但不限于</w:t>
                  </w:r>
                  <w:r>
                    <w:rPr>
                      <w:rFonts w:ascii="仿宋_GB2312" w:hAnsi="仿宋_GB2312" w:cs="仿宋_GB2312" w:eastAsia="仿宋_GB2312"/>
                      <w:sz w:val="20"/>
                      <w:color w:val="000000"/>
                    </w:rPr>
                    <w:t>windows、UOS、KYLIN</w:t>
                  </w:r>
                  <w:r>
                    <w:rPr>
                      <w:rFonts w:ascii="仿宋_GB2312" w:hAnsi="仿宋_GB2312" w:cs="仿宋_GB2312" w:eastAsia="仿宋_GB2312"/>
                      <w:sz w:val="20"/>
                      <w:color w:val="000000"/>
                    </w:rPr>
                    <w:t>及主流国产操作系统</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2.教学管理软件：高度定制的教学管理软件，可以实现屏幕广播、禁止U盘、禁止上网、电子白板、举手、消息、收发文件或作业、远程开关机、模板管理；</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1）支持跨系统，即教师端和学生端可以是</w:t>
                  </w:r>
                  <w:r>
                    <w:rPr>
                      <w:rFonts w:ascii="仿宋_GB2312" w:hAnsi="仿宋_GB2312" w:cs="仿宋_GB2312" w:eastAsia="仿宋_GB2312"/>
                      <w:sz w:val="20"/>
                      <w:color w:val="000000"/>
                    </w:rPr>
                    <w:t>UOS</w:t>
                  </w:r>
                  <w:r>
                    <w:rPr>
                      <w:rFonts w:ascii="仿宋_GB2312" w:hAnsi="仿宋_GB2312" w:cs="仿宋_GB2312" w:eastAsia="仿宋_GB2312"/>
                      <w:sz w:val="20"/>
                      <w:color w:val="000000"/>
                    </w:rPr>
                    <w:t>、</w:t>
                  </w:r>
                  <w:r>
                    <w:rPr>
                      <w:rFonts w:ascii="仿宋_GB2312" w:hAnsi="仿宋_GB2312" w:cs="仿宋_GB2312" w:eastAsia="仿宋_GB2312"/>
                      <w:sz w:val="20"/>
                      <w:color w:val="000000"/>
                    </w:rPr>
                    <w:t>KYLIN</w:t>
                  </w:r>
                  <w:r>
                    <w:rPr>
                      <w:rFonts w:ascii="仿宋_GB2312" w:hAnsi="仿宋_GB2312" w:cs="仿宋_GB2312" w:eastAsia="仿宋_GB2312"/>
                      <w:sz w:val="20"/>
                      <w:color w:val="000000"/>
                    </w:rPr>
                    <w:t>、</w:t>
                  </w:r>
                  <w:r>
                    <w:rPr>
                      <w:rFonts w:ascii="仿宋_GB2312" w:hAnsi="仿宋_GB2312" w:cs="仿宋_GB2312" w:eastAsia="仿宋_GB2312"/>
                      <w:sz w:val="20"/>
                      <w:color w:val="000000"/>
                    </w:rPr>
                    <w:t>WINDOWS</w:t>
                  </w:r>
                  <w:r>
                    <w:rPr>
                      <w:rFonts w:ascii="仿宋_GB2312" w:hAnsi="仿宋_GB2312" w:cs="仿宋_GB2312" w:eastAsia="仿宋_GB2312"/>
                      <w:sz w:val="20"/>
                      <w:color w:val="000000"/>
                    </w:rPr>
                    <w:t>或其他主流国产操作系统中</w:t>
                  </w:r>
                  <w:r>
                    <w:rPr>
                      <w:rFonts w:ascii="仿宋_GB2312" w:hAnsi="仿宋_GB2312" w:cs="仿宋_GB2312" w:eastAsia="仿宋_GB2312"/>
                      <w:sz w:val="20"/>
                      <w:color w:val="000000"/>
                    </w:rPr>
                    <w:t>任意一种系统；</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2）学生端在任意系统下无需任何配置；</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3）教师端只需要配置服务器ip和教室号即可完成部署；</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4）教室端和云桌面后台高度融合，在教学管理软件内（无需打开web端）即可完成教学模式下除创建教室外的所有功能；</w:t>
                  </w:r>
                </w:p>
                <w:p>
                  <w:pPr>
                    <w:pStyle w:val="null3"/>
                    <w:jc w:val="left"/>
                  </w:p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点</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学生计算机</w:t>
                  </w:r>
                </w:p>
              </w:tc>
              <w:tc>
                <w:tcPr>
                  <w:tcW w:type="dxa" w:w="2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1.处理器：</w:t>
                  </w:r>
                  <w:r>
                    <w:rPr>
                      <w:rFonts w:ascii="仿宋_GB2312" w:hAnsi="仿宋_GB2312" w:cs="仿宋_GB2312" w:eastAsia="仿宋_GB2312"/>
                      <w:sz w:val="20"/>
                      <w:color w:val="000000"/>
                    </w:rPr>
                    <w:t>采用国产处理器</w:t>
                  </w:r>
                  <w:r>
                    <w:rPr>
                      <w:rFonts w:ascii="仿宋_GB2312" w:hAnsi="仿宋_GB2312" w:cs="仿宋_GB2312" w:eastAsia="仿宋_GB2312"/>
                      <w:sz w:val="20"/>
                      <w:color w:val="000000"/>
                    </w:rPr>
                    <w:t xml:space="preserve"> 核心数：≥八核，主频：≥2.7GHz;</w:t>
                  </w:r>
                </w:p>
                <w:p>
                  <w:pPr>
                    <w:pStyle w:val="null3"/>
                    <w:jc w:val="left"/>
                  </w:pPr>
                  <w:r>
                    <w:rPr>
                      <w:rFonts w:ascii="仿宋_GB2312" w:hAnsi="仿宋_GB2312" w:cs="仿宋_GB2312" w:eastAsia="仿宋_GB2312"/>
                      <w:sz w:val="20"/>
                      <w:color w:val="000000"/>
                    </w:rPr>
                    <w:t>2.内存:≥16GB;                                                3.硬盘:≥</w:t>
                  </w:r>
                  <w:r>
                    <w:rPr>
                      <w:rFonts w:ascii="仿宋_GB2312" w:hAnsi="仿宋_GB2312" w:cs="仿宋_GB2312" w:eastAsia="仿宋_GB2312"/>
                      <w:sz w:val="20"/>
                      <w:color w:val="000000"/>
                    </w:rPr>
                    <w:t>256GB SSD;</w:t>
                  </w:r>
                </w:p>
                <w:p>
                  <w:pPr>
                    <w:pStyle w:val="null3"/>
                    <w:jc w:val="left"/>
                  </w:pPr>
                  <w:r>
                    <w:rPr>
                      <w:rFonts w:ascii="仿宋_GB2312" w:hAnsi="仿宋_GB2312" w:cs="仿宋_GB2312" w:eastAsia="仿宋_GB2312"/>
                      <w:sz w:val="20"/>
                      <w:color w:val="000000"/>
                    </w:rPr>
                    <w:t>4.接口：≥6个USB接口（≥2个USB3.0）、1个千兆网口、1个VGA接口和1个HDMI接口、1对音频输入输出接口；</w:t>
                  </w:r>
                </w:p>
                <w:p>
                  <w:pPr>
                    <w:pStyle w:val="null3"/>
                    <w:jc w:val="left"/>
                  </w:pPr>
                  <w:r>
                    <w:rPr>
                      <w:rFonts w:ascii="仿宋_GB2312" w:hAnsi="仿宋_GB2312" w:cs="仿宋_GB2312" w:eastAsia="仿宋_GB2312"/>
                      <w:sz w:val="20"/>
                      <w:color w:val="000000"/>
                    </w:rPr>
                    <w:t>5.液晶屏≥23寸（分辨率：1920×1080，频率≥60Hz</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w:t>
                  </w:r>
                </w:p>
                <w:p>
                  <w:pPr>
                    <w:pStyle w:val="null3"/>
                    <w:jc w:val="left"/>
                  </w:pPr>
                  <w:r>
                    <w:rPr>
                      <w:rFonts w:ascii="仿宋_GB2312" w:hAnsi="仿宋_GB2312" w:cs="仿宋_GB2312" w:eastAsia="仿宋_GB2312"/>
                      <w:sz w:val="20"/>
                      <w:color w:val="000000"/>
                    </w:rPr>
                    <w:t>6.</w:t>
                  </w:r>
                  <w:r>
                    <w:rPr>
                      <w:rFonts w:ascii="仿宋_GB2312" w:hAnsi="仿宋_GB2312" w:cs="仿宋_GB2312" w:eastAsia="仿宋_GB2312"/>
                      <w:sz w:val="20"/>
                      <w:b/>
                      <w:color w:val="000000"/>
                    </w:rPr>
                    <w:t>系统：</w:t>
                  </w:r>
                  <w:r>
                    <w:rPr>
                      <w:rFonts w:ascii="仿宋_GB2312" w:hAnsi="仿宋_GB2312" w:cs="仿宋_GB2312" w:eastAsia="仿宋_GB2312"/>
                      <w:sz w:val="20"/>
                      <w:b/>
                      <w:color w:val="000000"/>
                    </w:rPr>
                    <w:t>预安装国产化操作系统</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教师计算机</w:t>
                  </w:r>
                </w:p>
              </w:tc>
              <w:tc>
                <w:tcPr>
                  <w:tcW w:type="dxa" w:w="2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1.处理器：</w:t>
                  </w:r>
                  <w:r>
                    <w:rPr>
                      <w:rFonts w:ascii="仿宋_GB2312" w:hAnsi="仿宋_GB2312" w:cs="仿宋_GB2312" w:eastAsia="仿宋_GB2312"/>
                      <w:sz w:val="20"/>
                      <w:color w:val="000000"/>
                    </w:rPr>
                    <w:t>采用国产处理器</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核心数：</w:t>
                  </w:r>
                  <w:r>
                    <w:rPr>
                      <w:rFonts w:ascii="仿宋_GB2312" w:hAnsi="仿宋_GB2312" w:cs="仿宋_GB2312" w:eastAsia="仿宋_GB2312"/>
                      <w:sz w:val="20"/>
                      <w:color w:val="000000"/>
                    </w:rPr>
                    <w:t>≥八核，主频：≥2.7GHz）;</w:t>
                  </w:r>
                </w:p>
                <w:p>
                  <w:pPr>
                    <w:pStyle w:val="null3"/>
                    <w:jc w:val="left"/>
                  </w:pPr>
                  <w:r>
                    <w:rPr>
                      <w:rFonts w:ascii="仿宋_GB2312" w:hAnsi="仿宋_GB2312" w:cs="仿宋_GB2312" w:eastAsia="仿宋_GB2312"/>
                      <w:sz w:val="20"/>
                      <w:color w:val="000000"/>
                    </w:rPr>
                    <w:t>2.内存:≥16GB;                                               3.硬盘:</w:t>
                  </w:r>
                  <w:r>
                    <w:rPr>
                      <w:rFonts w:ascii="仿宋_GB2312" w:hAnsi="仿宋_GB2312" w:cs="仿宋_GB2312" w:eastAsia="仿宋_GB2312"/>
                      <w:sz w:val="20"/>
                      <w:color w:val="000000"/>
                    </w:rPr>
                    <w:t>≥256GB SSD+1T HDD</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4.接口</w:t>
                  </w:r>
                  <w:r>
                    <w:rPr>
                      <w:rFonts w:ascii="仿宋_GB2312" w:hAnsi="仿宋_GB2312" w:cs="仿宋_GB2312" w:eastAsia="仿宋_GB2312"/>
                      <w:sz w:val="20"/>
                      <w:color w:val="000000"/>
                    </w:rPr>
                    <w:t>：</w:t>
                  </w:r>
                  <w:r>
                    <w:rPr>
                      <w:rFonts w:ascii="仿宋_GB2312" w:hAnsi="仿宋_GB2312" w:cs="仿宋_GB2312" w:eastAsia="仿宋_GB2312"/>
                      <w:sz w:val="20"/>
                      <w:color w:val="000000"/>
                    </w:rPr>
                    <w:t>≥6个USB接口（≥2个USB3.0）、1个千兆网口、1个VGA接口和1个HDMI接口、1对音频输入输出接口；</w:t>
                  </w:r>
                </w:p>
                <w:p>
                  <w:pPr>
                    <w:pStyle w:val="null3"/>
                    <w:jc w:val="left"/>
                  </w:pPr>
                  <w:r>
                    <w:rPr>
                      <w:rFonts w:ascii="仿宋_GB2312" w:hAnsi="仿宋_GB2312" w:cs="仿宋_GB2312" w:eastAsia="仿宋_GB2312"/>
                      <w:sz w:val="20"/>
                      <w:color w:val="000000"/>
                    </w:rPr>
                    <w:t xml:space="preserve">5.液晶屏≥23寸（分辨率：1920×1080，频率≥60Hz）  </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0"/>
                      <w:color w:val="000000"/>
                    </w:rPr>
                    <w:t>6.系统：</w:t>
                  </w:r>
                  <w:r>
                    <w:rPr>
                      <w:rFonts w:ascii="仿宋_GB2312" w:hAnsi="仿宋_GB2312" w:cs="仿宋_GB2312" w:eastAsia="仿宋_GB2312"/>
                      <w:sz w:val="20"/>
                      <w:b/>
                      <w:color w:val="000000"/>
                    </w:rPr>
                    <w:t>预安装国产化操作系统</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学生桌</w:t>
                  </w:r>
                </w:p>
              </w:tc>
              <w:tc>
                <w:tcPr>
                  <w:tcW w:type="dxa" w:w="2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0"/>
                      <w:color w:val="000000"/>
                    </w:rPr>
                    <w:t>1、 课桌尺寸：长、宽、高</w:t>
                  </w:r>
                  <w:r>
                    <w:rPr>
                      <w:rFonts w:ascii="仿宋_GB2312" w:hAnsi="仿宋_GB2312" w:cs="仿宋_GB2312" w:eastAsia="仿宋_GB2312"/>
                      <w:sz w:val="20"/>
                      <w:color w:val="000000"/>
                    </w:rPr>
                    <w:t>约为</w:t>
                  </w:r>
                  <w:r>
                    <w:rPr>
                      <w:rFonts w:ascii="仿宋_GB2312" w:hAnsi="仿宋_GB2312" w:cs="仿宋_GB2312" w:eastAsia="仿宋_GB2312"/>
                      <w:sz w:val="20"/>
                      <w:color w:val="000000"/>
                    </w:rPr>
                    <w:t>1200mm*600mm*750mm。</w:t>
                  </w:r>
                  <w:r>
                    <w:br/>
                  </w:r>
                  <w:r>
                    <w:rPr>
                      <w:rFonts w:ascii="仿宋_GB2312" w:hAnsi="仿宋_GB2312" w:cs="仿宋_GB2312" w:eastAsia="仿宋_GB2312"/>
                      <w:sz w:val="20"/>
                      <w:color w:val="000000"/>
                    </w:rPr>
                    <w:t>2、 材料：桌面板材采用环保实木颗粒板，厚度≥25mm；主要支撑部件采用优质冷轧钢管，钢管厚度≥1.0mm，</w:t>
                  </w:r>
                  <w:r>
                    <w:rPr>
                      <w:rFonts w:ascii="仿宋_GB2312" w:hAnsi="仿宋_GB2312" w:cs="仿宋_GB2312" w:eastAsia="仿宋_GB2312"/>
                      <w:sz w:val="20"/>
                      <w:color w:val="000000"/>
                    </w:rPr>
                    <w:t>桌体挡板采用冷轧钢板，厚度</w:t>
                  </w:r>
                  <w:r>
                    <w:rPr>
                      <w:rFonts w:ascii="仿宋_GB2312" w:hAnsi="仿宋_GB2312" w:cs="仿宋_GB2312" w:eastAsia="仿宋_GB2312"/>
                      <w:sz w:val="20"/>
                      <w:color w:val="000000"/>
                    </w:rPr>
                    <w:t>≥0.6mm</w:t>
                  </w:r>
                  <w:r>
                    <w:rPr>
                      <w:rFonts w:ascii="仿宋_GB2312" w:hAnsi="仿宋_GB2312" w:cs="仿宋_GB2312" w:eastAsia="仿宋_GB2312"/>
                      <w:sz w:val="20"/>
                      <w:color w:val="000000"/>
                    </w:rPr>
                    <w:t>；</w:t>
                  </w:r>
                  <w:r>
                    <w:rPr>
                      <w:rFonts w:ascii="仿宋_GB2312" w:hAnsi="仿宋_GB2312" w:cs="仿宋_GB2312" w:eastAsia="仿宋_GB2312"/>
                      <w:sz w:val="20"/>
                      <w:color w:val="000000"/>
                    </w:rPr>
                    <w:t>整体结构稳固、经久耐用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设计特点</w:t>
                  </w:r>
                  <w:r>
                    <w:br/>
                  </w:r>
                  <w:r>
                    <w:rPr>
                      <w:rFonts w:ascii="仿宋_GB2312" w:hAnsi="仿宋_GB2312" w:cs="仿宋_GB2312" w:eastAsia="仿宋_GB2312"/>
                      <w:sz w:val="20"/>
                      <w:color w:val="000000"/>
                    </w:rPr>
                    <w:t>1、 桌面板采用环保材料制作，具有耐磨，耐热、耐酸碱，耐烟灼，耐撞击等性能，且</w:t>
                  </w:r>
                  <w:r>
                    <w:rPr>
                      <w:rFonts w:ascii="仿宋_GB2312" w:hAnsi="仿宋_GB2312" w:cs="仿宋_GB2312" w:eastAsia="仿宋_GB2312"/>
                      <w:sz w:val="20"/>
                      <w:color w:val="000000"/>
                    </w:rPr>
                    <w:t>适配学生日常使用场景</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 钢管表面静电喷塑，其特点附着力强，丰泽度好，塑粉坚硬，耐磨，耐冲击，具有耐水、耐晒、保光、保色之性能</w:t>
                  </w:r>
                  <w:r>
                    <w:rPr>
                      <w:rFonts w:ascii="仿宋_GB2312" w:hAnsi="仿宋_GB2312" w:cs="仿宋_GB2312" w:eastAsia="仿宋_GB2312"/>
                      <w:sz w:val="20"/>
                      <w:color w:val="000000"/>
                    </w:rPr>
                    <w:t>，喷涂层表面平整光滑、</w:t>
                  </w:r>
                  <w:r>
                    <w:rPr>
                      <w:rFonts w:ascii="仿宋_GB2312" w:hAnsi="仿宋_GB2312" w:cs="仿宋_GB2312" w:eastAsia="仿宋_GB2312"/>
                      <w:sz w:val="20"/>
                      <w:color w:val="000000"/>
                    </w:rPr>
                    <w:t>符合校用家具表面处理质量标准</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3、 脚垫采用塑料静音防滑胶垫，让学生使用更加舒适安全。</w:t>
                  </w:r>
                  <w:r>
                    <w:br/>
                  </w:r>
                  <w:r>
                    <w:rPr>
                      <w:rFonts w:ascii="仿宋_GB2312" w:hAnsi="仿宋_GB2312" w:cs="仿宋_GB2312" w:eastAsia="仿宋_GB2312"/>
                      <w:sz w:val="20"/>
                      <w:color w:val="000000"/>
                    </w:rPr>
                    <w:t>4、 产品采用标准化设计，结构简单。不仅降低运输费用，也提高了到货安装的效率。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位</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学生凳子</w:t>
                  </w:r>
                </w:p>
              </w:tc>
              <w:tc>
                <w:tcPr>
                  <w:tcW w:type="dxa" w:w="2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1、凳子规格</w:t>
                  </w:r>
                  <w:r>
                    <w:rPr>
                      <w:rFonts w:ascii="仿宋_GB2312" w:hAnsi="仿宋_GB2312" w:cs="仿宋_GB2312" w:eastAsia="仿宋_GB2312"/>
                      <w:sz w:val="20"/>
                      <w:color w:val="000000"/>
                    </w:rPr>
                    <w:t>约为</w:t>
                  </w:r>
                  <w:r>
                    <w:rPr>
                      <w:rFonts w:ascii="仿宋_GB2312" w:hAnsi="仿宋_GB2312" w:cs="仿宋_GB2312" w:eastAsia="仿宋_GB2312"/>
                      <w:sz w:val="20"/>
                      <w:color w:val="000000"/>
                    </w:rPr>
                    <w:t>340mm*240mm*420mm，</w:t>
                  </w:r>
                  <w:r>
                    <w:br/>
                  </w:r>
                  <w:r>
                    <w:rPr>
                      <w:rFonts w:ascii="仿宋_GB2312" w:hAnsi="仿宋_GB2312" w:cs="仿宋_GB2312" w:eastAsia="仿宋_GB2312"/>
                      <w:sz w:val="20"/>
                      <w:color w:val="000000"/>
                    </w:rPr>
                    <w:t>2、材料：板材采用≥25mm三聚氰胺板桌面，厚度≥25mm；主要支撑部件采用优质冷轧钢板冲压成型，钢板厚度≥1.0mm，钢体结构小方凳，表面经环保漆喷凃处 理，采用全钢架构焊接，凳子面固定在钢架中间，</w:t>
                  </w:r>
                  <w:r>
                    <w:rPr>
                      <w:rFonts w:ascii="仿宋_GB2312" w:hAnsi="仿宋_GB2312" w:cs="仿宋_GB2312" w:eastAsia="仿宋_GB2312"/>
                      <w:sz w:val="20"/>
                      <w:color w:val="000000"/>
                    </w:rPr>
                    <w:t>整体结构稳固、经久耐用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3、脚垫采用塑料静音防滑胶垫。</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路由器</w:t>
                  </w:r>
                </w:p>
              </w:tc>
              <w:tc>
                <w:tcPr>
                  <w:tcW w:type="dxa" w:w="2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5口全千兆路由器，固化5个千兆电口;</w:t>
                  </w:r>
                </w:p>
                <w:p>
                  <w:pPr>
                    <w:pStyle w:val="null3"/>
                    <w:jc w:val="left"/>
                  </w:pPr>
                  <w:r>
                    <w:rPr>
                      <w:rFonts w:ascii="仿宋_GB2312" w:hAnsi="仿宋_GB2312" w:cs="仿宋_GB2312" w:eastAsia="仿宋_GB2312"/>
                      <w:sz w:val="20"/>
                      <w:color w:val="000000"/>
                    </w:rPr>
                    <w:t>推荐带终端数</w:t>
                  </w:r>
                  <w:r>
                    <w:rPr>
                      <w:rFonts w:ascii="仿宋_GB2312" w:hAnsi="仿宋_GB2312" w:cs="仿宋_GB2312" w:eastAsia="仿宋_GB2312"/>
                      <w:sz w:val="20"/>
                      <w:color w:val="000000"/>
                    </w:rPr>
                    <w:t>100-150台，推荐带宽≥1Gbps;</w:t>
                  </w:r>
                </w:p>
                <w:p>
                  <w:pPr>
                    <w:pStyle w:val="null3"/>
                    <w:jc w:val="left"/>
                  </w:pPr>
                  <w:r>
                    <w:rPr>
                      <w:rFonts w:ascii="仿宋_GB2312" w:hAnsi="仿宋_GB2312" w:cs="仿宋_GB2312" w:eastAsia="仿宋_GB2312"/>
                      <w:sz w:val="20"/>
                      <w:color w:val="000000"/>
                    </w:rPr>
                    <w:t>内置</w:t>
                  </w:r>
                  <w:r>
                    <w:rPr>
                      <w:rFonts w:ascii="仿宋_GB2312" w:hAnsi="仿宋_GB2312" w:cs="仿宋_GB2312" w:eastAsia="仿宋_GB2312"/>
                      <w:sz w:val="20"/>
                      <w:color w:val="000000"/>
                    </w:rPr>
                    <w:t>AC功能，</w:t>
                  </w:r>
                  <w:r>
                    <w:rPr>
                      <w:rFonts w:ascii="仿宋_GB2312" w:hAnsi="仿宋_GB2312" w:cs="仿宋_GB2312" w:eastAsia="仿宋_GB2312"/>
                      <w:sz w:val="20"/>
                      <w:color w:val="000000"/>
                    </w:rPr>
                    <w:t>可管理</w:t>
                  </w:r>
                  <w:r>
                    <w:rPr>
                      <w:rFonts w:ascii="仿宋_GB2312" w:hAnsi="仿宋_GB2312" w:cs="仿宋_GB2312" w:eastAsia="仿宋_GB2312"/>
                      <w:sz w:val="20"/>
                      <w:color w:val="000000"/>
                    </w:rPr>
                    <w:t>AP 数量≥32 台</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支持</w:t>
                  </w:r>
                  <w:r>
                    <w:rPr>
                      <w:rFonts w:ascii="仿宋_GB2312" w:hAnsi="仿宋_GB2312" w:cs="仿宋_GB2312" w:eastAsia="仿宋_GB2312"/>
                      <w:sz w:val="20"/>
                      <w:color w:val="000000"/>
                    </w:rPr>
                    <w:t>IPSec VPN、L2TP VPN，支持固定IP地址、DHCP自动获取地址、PPPoE拨号等多种方式、支持短信、微信公众号、账号等多种接入认证方式;</w:t>
                  </w:r>
                </w:p>
                <w:p>
                  <w:pPr>
                    <w:pStyle w:val="null3"/>
                    <w:jc w:val="left"/>
                  </w:pPr>
                  <w:r>
                    <w:rPr>
                      <w:rFonts w:ascii="仿宋_GB2312" w:hAnsi="仿宋_GB2312" w:cs="仿宋_GB2312" w:eastAsia="仿宋_GB2312"/>
                      <w:sz w:val="20"/>
                      <w:color w:val="000000"/>
                    </w:rPr>
                    <w:t>支持应用流控、应用阻断</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支持</w:t>
                  </w:r>
                  <w:r>
                    <w:rPr>
                      <w:rFonts w:ascii="仿宋_GB2312" w:hAnsi="仿宋_GB2312" w:cs="仿宋_GB2312" w:eastAsia="仿宋_GB2312"/>
                      <w:sz w:val="20"/>
                      <w:color w:val="000000"/>
                    </w:rPr>
                    <w:t>WEB</w:t>
                  </w:r>
                  <w:r>
                    <w:rPr>
                      <w:rFonts w:ascii="仿宋_GB2312" w:hAnsi="仿宋_GB2312" w:cs="仿宋_GB2312" w:eastAsia="仿宋_GB2312"/>
                      <w:sz w:val="20"/>
                      <w:color w:val="000000"/>
                    </w:rPr>
                    <w:t>端管理、云平台远程管理、移动端</w:t>
                  </w:r>
                  <w:r>
                    <w:rPr>
                      <w:rFonts w:ascii="仿宋_GB2312" w:hAnsi="仿宋_GB2312" w:cs="仿宋_GB2312" w:eastAsia="仿宋_GB2312"/>
                      <w:sz w:val="20"/>
                      <w:color w:val="000000"/>
                    </w:rPr>
                    <w:t>APP</w:t>
                  </w:r>
                  <w:r>
                    <w:rPr>
                      <w:rFonts w:ascii="仿宋_GB2312" w:hAnsi="仿宋_GB2312" w:cs="仿宋_GB2312" w:eastAsia="仿宋_GB2312"/>
                      <w:sz w:val="20"/>
                      <w:color w:val="000000"/>
                    </w:rPr>
                    <w:t>（</w:t>
                  </w:r>
                  <w:r>
                    <w:rPr>
                      <w:rFonts w:ascii="仿宋_GB2312" w:hAnsi="仿宋_GB2312" w:cs="仿宋_GB2312" w:eastAsia="仿宋_GB2312"/>
                      <w:sz w:val="20"/>
                      <w:color w:val="000000"/>
                    </w:rPr>
                    <w:t>比如小贝</w:t>
                  </w:r>
                  <w:r>
                    <w:rPr>
                      <w:rFonts w:ascii="仿宋_GB2312" w:hAnsi="仿宋_GB2312" w:cs="仿宋_GB2312" w:eastAsia="仿宋_GB2312"/>
                      <w:sz w:val="20"/>
                      <w:color w:val="000000"/>
                    </w:rPr>
                    <w:t>APP等</w:t>
                  </w:r>
                  <w:r>
                    <w:rPr>
                      <w:rFonts w:ascii="仿宋_GB2312" w:hAnsi="仿宋_GB2312" w:cs="仿宋_GB2312" w:eastAsia="仿宋_GB2312"/>
                      <w:sz w:val="20"/>
                      <w:color w:val="000000"/>
                    </w:rPr>
                    <w:t>）</w:t>
                  </w:r>
                  <w:r>
                    <w:rPr>
                      <w:rFonts w:ascii="仿宋_GB2312" w:hAnsi="仿宋_GB2312" w:cs="仿宋_GB2312" w:eastAsia="仿宋_GB2312"/>
                      <w:sz w:val="20"/>
                      <w:color w:val="000000"/>
                    </w:rPr>
                    <w:t>管理等多种管理方式</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交换机</w:t>
                  </w:r>
                </w:p>
              </w:tc>
              <w:tc>
                <w:tcPr>
                  <w:tcW w:type="dxa" w:w="2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交换容量</w:t>
                  </w:r>
                  <w:r>
                    <w:rPr>
                      <w:rFonts w:ascii="仿宋_GB2312" w:hAnsi="仿宋_GB2312" w:cs="仿宋_GB2312" w:eastAsia="仿宋_GB2312"/>
                      <w:sz w:val="20"/>
                      <w:color w:val="000000"/>
                    </w:rPr>
                    <w:t>≥</w:t>
                  </w:r>
                  <w:r>
                    <w:rPr>
                      <w:rFonts w:ascii="仿宋_GB2312" w:hAnsi="仿宋_GB2312" w:cs="仿宋_GB2312" w:eastAsia="仿宋_GB2312"/>
                      <w:sz w:val="20"/>
                      <w:color w:val="000000"/>
                    </w:rPr>
                    <w:t>32Gbps，转发能力</w:t>
                  </w:r>
                  <w:r>
                    <w:rPr>
                      <w:rFonts w:ascii="仿宋_GB2312" w:hAnsi="仿宋_GB2312" w:cs="仿宋_GB2312" w:eastAsia="仿宋_GB2312"/>
                      <w:sz w:val="20"/>
                      <w:color w:val="000000"/>
                    </w:rPr>
                    <w:t>≥</w:t>
                  </w:r>
                  <w:r>
                    <w:rPr>
                      <w:rFonts w:ascii="仿宋_GB2312" w:hAnsi="仿宋_GB2312" w:cs="仿宋_GB2312" w:eastAsia="仿宋_GB2312"/>
                      <w:sz w:val="20"/>
                      <w:color w:val="000000"/>
                    </w:rPr>
                    <w:t>23.8Mpps</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16个10/100/1000Base-T电口</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交换机</w:t>
                  </w:r>
                </w:p>
              </w:tc>
              <w:tc>
                <w:tcPr>
                  <w:tcW w:type="dxa" w:w="2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交换容量</w:t>
                  </w:r>
                  <w:r>
                    <w:rPr>
                      <w:rFonts w:ascii="仿宋_GB2312" w:hAnsi="仿宋_GB2312" w:cs="仿宋_GB2312" w:eastAsia="仿宋_GB2312"/>
                      <w:sz w:val="20"/>
                      <w:color w:val="000000"/>
                    </w:rPr>
                    <w:t>≥</w:t>
                  </w:r>
                  <w:r>
                    <w:rPr>
                      <w:rFonts w:ascii="仿宋_GB2312" w:hAnsi="仿宋_GB2312" w:cs="仿宋_GB2312" w:eastAsia="仿宋_GB2312"/>
                      <w:sz w:val="20"/>
                      <w:color w:val="000000"/>
                    </w:rPr>
                    <w:t>672Gbps/6.72Tbps，包转发</w:t>
                  </w:r>
                  <w:r>
                    <w:rPr>
                      <w:rFonts w:ascii="仿宋_GB2312" w:hAnsi="仿宋_GB2312" w:cs="仿宋_GB2312" w:eastAsia="仿宋_GB2312"/>
                      <w:sz w:val="20"/>
                      <w:color w:val="000000"/>
                    </w:rPr>
                    <w:t>≥</w:t>
                  </w:r>
                  <w:r>
                    <w:rPr>
                      <w:rFonts w:ascii="仿宋_GB2312" w:hAnsi="仿宋_GB2312" w:cs="仿宋_GB2312" w:eastAsia="仿宋_GB2312"/>
                      <w:sz w:val="20"/>
                      <w:color w:val="000000"/>
                    </w:rPr>
                    <w:t>144/166Mpps</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8个10/100/1000BASE-T电口</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4个1000BASE-X SFP端口</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服务器机柜</w:t>
                  </w:r>
                </w:p>
              </w:tc>
              <w:tc>
                <w:tcPr>
                  <w:tcW w:type="dxa" w:w="2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标准</w:t>
                  </w:r>
                  <w:r>
                    <w:rPr>
                      <w:rFonts w:ascii="仿宋_GB2312" w:hAnsi="仿宋_GB2312" w:cs="仿宋_GB2312" w:eastAsia="仿宋_GB2312"/>
                      <w:sz w:val="20"/>
                      <w:color w:val="000000"/>
                    </w:rPr>
                    <w:t>22U服务器机柜，</w:t>
                  </w:r>
                  <w:r>
                    <w:rPr>
                      <w:rFonts w:ascii="仿宋_GB2312" w:hAnsi="仿宋_GB2312" w:cs="仿宋_GB2312" w:eastAsia="仿宋_GB2312"/>
                      <w:sz w:val="20"/>
                      <w:color w:val="000000"/>
                    </w:rPr>
                    <w:t>配套</w:t>
                  </w:r>
                  <w:r>
                    <w:rPr>
                      <w:rFonts w:ascii="仿宋_GB2312" w:hAnsi="仿宋_GB2312" w:cs="仿宋_GB2312" w:eastAsia="仿宋_GB2312"/>
                      <w:sz w:val="20"/>
                      <w:color w:val="000000"/>
                    </w:rPr>
                    <w:t>PDU 电源插排≥1 个</w:t>
                  </w:r>
                  <w:r>
                    <w:rPr>
                      <w:rFonts w:ascii="仿宋_GB2312" w:hAnsi="仿宋_GB2312" w:cs="仿宋_GB2312" w:eastAsia="仿宋_GB2312"/>
                      <w:sz w:val="20"/>
                      <w:color w:val="000000"/>
                    </w:rPr>
                    <w:t>，</w:t>
                  </w:r>
                  <w:r>
                    <w:rPr>
                      <w:rFonts w:ascii="仿宋_GB2312" w:hAnsi="仿宋_GB2312" w:cs="仿宋_GB2312" w:eastAsia="仿宋_GB2312"/>
                      <w:sz w:val="20"/>
                      <w:color w:val="000000"/>
                    </w:rPr>
                    <w:t>插孔数量与功率满足机柜设备供电需求</w:t>
                  </w:r>
                  <w:r>
                    <w:rPr>
                      <w:rFonts w:ascii="仿宋_GB2312" w:hAnsi="仿宋_GB2312" w:cs="仿宋_GB2312" w:eastAsia="仿宋_GB2312"/>
                      <w:sz w:val="20"/>
                      <w:color w:val="000000"/>
                    </w:rPr>
                    <w:t>，</w:t>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1200*600*900</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教师桌椅</w:t>
                  </w:r>
                </w:p>
              </w:tc>
              <w:tc>
                <w:tcPr>
                  <w:tcW w:type="dxa" w:w="2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课桌尺寸：长、宽、高</w:t>
                  </w:r>
                  <w:r>
                    <w:rPr>
                      <w:rFonts w:ascii="仿宋_GB2312" w:hAnsi="仿宋_GB2312" w:cs="仿宋_GB2312" w:eastAsia="仿宋_GB2312"/>
                      <w:sz w:val="20"/>
                      <w:color w:val="000000"/>
                    </w:rPr>
                    <w:t>约为</w:t>
                  </w:r>
                  <w:r>
                    <w:rPr>
                      <w:rFonts w:ascii="仿宋_GB2312" w:hAnsi="仿宋_GB2312" w:cs="仿宋_GB2312" w:eastAsia="仿宋_GB2312"/>
                      <w:sz w:val="20"/>
                      <w:color w:val="000000"/>
                    </w:rPr>
                    <w:t>1400mm*600mm*750mm。</w:t>
                  </w:r>
                  <w:r>
                    <w:br/>
                  </w:r>
                  <w:r>
                    <w:rPr>
                      <w:rFonts w:ascii="仿宋_GB2312" w:hAnsi="仿宋_GB2312" w:cs="仿宋_GB2312" w:eastAsia="仿宋_GB2312"/>
                      <w:sz w:val="20"/>
                      <w:color w:val="000000"/>
                    </w:rPr>
                    <w:t>2、 材料：桌面板材采用环保实木颗粒板，厚度≥25mm；主要支撑部件采用优质冷轧钢管，钢管厚度≥1.0mm，</w:t>
                  </w:r>
                  <w:r>
                    <w:rPr>
                      <w:rFonts w:ascii="仿宋_GB2312" w:hAnsi="仿宋_GB2312" w:cs="仿宋_GB2312" w:eastAsia="仿宋_GB2312"/>
                      <w:sz w:val="20"/>
                      <w:color w:val="000000"/>
                    </w:rPr>
                    <w:t>桌子挡板为优质冷轧钢板，</w:t>
                  </w:r>
                  <w:r>
                    <w:rPr>
                      <w:rFonts w:ascii="仿宋_GB2312" w:hAnsi="仿宋_GB2312" w:cs="仿宋_GB2312" w:eastAsia="仿宋_GB2312"/>
                      <w:sz w:val="20"/>
                      <w:color w:val="000000"/>
                    </w:rPr>
                    <w:t>厚度</w:t>
                  </w:r>
                  <w:r>
                    <w:rPr>
                      <w:rFonts w:ascii="仿宋_GB2312" w:hAnsi="仿宋_GB2312" w:cs="仿宋_GB2312" w:eastAsia="仿宋_GB2312"/>
                      <w:sz w:val="20"/>
                      <w:color w:val="000000"/>
                    </w:rPr>
                    <w:t>≥0.6mm</w:t>
                  </w:r>
                  <w:r>
                    <w:br/>
                  </w:r>
                  <w:r>
                    <w:rPr>
                      <w:rFonts w:ascii="仿宋_GB2312" w:hAnsi="仿宋_GB2312" w:cs="仿宋_GB2312" w:eastAsia="仿宋_GB2312"/>
                      <w:sz w:val="20"/>
                      <w:color w:val="000000"/>
                    </w:rPr>
                    <w:t>设计特点</w:t>
                  </w:r>
                  <w:r>
                    <w:br/>
                  </w:r>
                  <w:r>
                    <w:rPr>
                      <w:rFonts w:ascii="仿宋_GB2312" w:hAnsi="仿宋_GB2312" w:cs="仿宋_GB2312" w:eastAsia="仿宋_GB2312"/>
                      <w:sz w:val="20"/>
                      <w:color w:val="000000"/>
                    </w:rPr>
                    <w:t>1、 桌面板采用环保材料制作，具有耐磨，耐热、耐酸碱，耐烟灼，耐撞击等性能。</w:t>
                  </w:r>
                  <w:r>
                    <w:br/>
                  </w:r>
                  <w:r>
                    <w:rPr>
                      <w:rFonts w:ascii="仿宋_GB2312" w:hAnsi="仿宋_GB2312" w:cs="仿宋_GB2312" w:eastAsia="仿宋_GB2312"/>
                      <w:sz w:val="20"/>
                      <w:color w:val="000000"/>
                    </w:rPr>
                    <w:t>2、 钢管表面静电喷塑。</w:t>
                  </w:r>
                  <w:r>
                    <w:br/>
                  </w:r>
                  <w:r>
                    <w:rPr>
                      <w:rFonts w:ascii="仿宋_GB2312" w:hAnsi="仿宋_GB2312" w:cs="仿宋_GB2312" w:eastAsia="仿宋_GB2312"/>
                      <w:sz w:val="20"/>
                      <w:color w:val="000000"/>
                    </w:rPr>
                    <w:t>3、 脚垫采用塑料静音防滑胶垫。</w:t>
                  </w:r>
                  <w:r>
                    <w:br/>
                  </w:r>
                  <w:r>
                    <w:rPr>
                      <w:rFonts w:ascii="仿宋_GB2312" w:hAnsi="仿宋_GB2312" w:cs="仿宋_GB2312" w:eastAsia="仿宋_GB2312"/>
                      <w:sz w:val="20"/>
                      <w:color w:val="000000"/>
                    </w:rPr>
                    <w:t>教师椅参数</w:t>
                  </w:r>
                  <w:r>
                    <w:br/>
                  </w:r>
                  <w:r>
                    <w:rPr>
                      <w:rFonts w:ascii="仿宋_GB2312" w:hAnsi="仿宋_GB2312" w:cs="仿宋_GB2312" w:eastAsia="仿宋_GB2312"/>
                      <w:sz w:val="20"/>
                      <w:color w:val="000000"/>
                    </w:rPr>
                    <w:t>背框：工程料</w:t>
                  </w:r>
                  <w:r>
                    <w:rPr>
                      <w:rFonts w:ascii="仿宋_GB2312" w:hAnsi="仿宋_GB2312" w:cs="仿宋_GB2312" w:eastAsia="仿宋_GB2312"/>
                      <w:sz w:val="20"/>
                      <w:color w:val="000000"/>
                    </w:rPr>
                    <w:t>PP+纤维;面料：优质透气网布;</w:t>
                  </w:r>
                  <w:r>
                    <w:br/>
                  </w:r>
                  <w:r>
                    <w:rPr>
                      <w:rFonts w:ascii="仿宋_GB2312" w:hAnsi="仿宋_GB2312" w:cs="仿宋_GB2312" w:eastAsia="仿宋_GB2312"/>
                      <w:sz w:val="20"/>
                      <w:color w:val="000000"/>
                    </w:rPr>
                    <w:t>座垫：高密度海绵</w:t>
                  </w:r>
                  <w:r>
                    <w:rPr>
                      <w:rFonts w:ascii="仿宋_GB2312" w:hAnsi="仿宋_GB2312" w:cs="仿宋_GB2312" w:eastAsia="仿宋_GB2312"/>
                      <w:sz w:val="20"/>
                      <w:color w:val="000000"/>
                    </w:rPr>
                    <w:t>;扶手：PP+纤固定扶手（可升降、旋转、逍遥）。</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稳压器</w:t>
                  </w:r>
                </w:p>
              </w:tc>
              <w:tc>
                <w:tcPr>
                  <w:tcW w:type="dxa" w:w="2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1.输入电压：277-430V（三相四线）</w:t>
                  </w:r>
                  <w:r>
                    <w:br/>
                  </w:r>
                  <w:r>
                    <w:rPr>
                      <w:rFonts w:ascii="仿宋_GB2312" w:hAnsi="仿宋_GB2312" w:cs="仿宋_GB2312" w:eastAsia="仿宋_GB2312"/>
                      <w:sz w:val="20"/>
                      <w:color w:val="000000"/>
                    </w:rPr>
                    <w:t>2.输出电压：380V±3%  相电压220V±3%</w:t>
                  </w:r>
                  <w:r>
                    <w:br/>
                  </w:r>
                  <w:r>
                    <w:rPr>
                      <w:rFonts w:ascii="仿宋_GB2312" w:hAnsi="仿宋_GB2312" w:cs="仿宋_GB2312" w:eastAsia="仿宋_GB2312"/>
                      <w:sz w:val="20"/>
                      <w:color w:val="000000"/>
                    </w:rPr>
                    <w:t>3.相数：三相</w:t>
                  </w:r>
                  <w:r>
                    <w:br/>
                  </w:r>
                  <w:r>
                    <w:rPr>
                      <w:rFonts w:ascii="仿宋_GB2312" w:hAnsi="仿宋_GB2312" w:cs="仿宋_GB2312" w:eastAsia="仿宋_GB2312"/>
                      <w:sz w:val="20"/>
                      <w:color w:val="000000"/>
                    </w:rPr>
                    <w:t>4.频率：50～60Hz</w:t>
                  </w:r>
                  <w:r>
                    <w:br/>
                  </w:r>
                  <w:r>
                    <w:rPr>
                      <w:rFonts w:ascii="仿宋_GB2312" w:hAnsi="仿宋_GB2312" w:cs="仿宋_GB2312" w:eastAsia="仿宋_GB2312"/>
                      <w:sz w:val="20"/>
                      <w:color w:val="000000"/>
                    </w:rPr>
                    <w:t>5.调整时间:&lt;1秒（输入电压变化10%时）</w:t>
                  </w:r>
                  <w:r>
                    <w:br/>
                  </w:r>
                  <w:r>
                    <w:rPr>
                      <w:rFonts w:ascii="仿宋_GB2312" w:hAnsi="仿宋_GB2312" w:cs="仿宋_GB2312" w:eastAsia="仿宋_GB2312"/>
                      <w:sz w:val="20"/>
                      <w:color w:val="000000"/>
                    </w:rPr>
                    <w:t>6.额定输出电流：</w:t>
                  </w:r>
                  <w:r>
                    <w:rPr>
                      <w:rFonts w:ascii="仿宋_GB2312" w:hAnsi="仿宋_GB2312" w:cs="仿宋_GB2312" w:eastAsia="仿宋_GB2312"/>
                      <w:sz w:val="20"/>
                      <w:color w:val="000000"/>
                    </w:rPr>
                    <w:t>≥</w:t>
                  </w:r>
                  <w:r>
                    <w:rPr>
                      <w:rFonts w:ascii="仿宋_GB2312" w:hAnsi="仿宋_GB2312" w:cs="仿宋_GB2312" w:eastAsia="仿宋_GB2312"/>
                      <w:sz w:val="20"/>
                      <w:color w:val="000000"/>
                    </w:rPr>
                    <w:t>50A</w:t>
                  </w:r>
                  <w:r>
                    <w:br/>
                  </w:r>
                  <w:r>
                    <w:rPr>
                      <w:rFonts w:ascii="仿宋_GB2312" w:hAnsi="仿宋_GB2312" w:cs="仿宋_GB2312" w:eastAsia="仿宋_GB2312"/>
                      <w:sz w:val="20"/>
                      <w:color w:val="000000"/>
                    </w:rPr>
                    <w:t>7.环境温度：-10℃～40℃</w:t>
                  </w:r>
                  <w:r>
                    <w:br/>
                  </w:r>
                  <w:r>
                    <w:rPr>
                      <w:rFonts w:ascii="仿宋_GB2312" w:hAnsi="仿宋_GB2312" w:cs="仿宋_GB2312" w:eastAsia="仿宋_GB2312"/>
                      <w:sz w:val="20"/>
                      <w:color w:val="000000"/>
                    </w:rPr>
                    <w:t>8.温升：&lt;60℃</w:t>
                  </w:r>
                  <w:r>
                    <w:br/>
                  </w:r>
                  <w:r>
                    <w:rPr>
                      <w:rFonts w:ascii="仿宋_GB2312" w:hAnsi="仿宋_GB2312" w:cs="仿宋_GB2312" w:eastAsia="仿宋_GB2312"/>
                      <w:sz w:val="20"/>
                      <w:color w:val="000000"/>
                    </w:rPr>
                    <w:t>9.抗电强度：</w:t>
                  </w:r>
                  <w:r>
                    <w:rPr>
                      <w:rFonts w:ascii="仿宋_GB2312" w:hAnsi="仿宋_GB2312" w:cs="仿宋_GB2312" w:eastAsia="仿宋_GB2312"/>
                      <w:sz w:val="20"/>
                      <w:color w:val="000000"/>
                    </w:rPr>
                    <w:t>≥</w:t>
                  </w:r>
                  <w:r>
                    <w:rPr>
                      <w:rFonts w:ascii="仿宋_GB2312" w:hAnsi="仿宋_GB2312" w:cs="仿宋_GB2312" w:eastAsia="仿宋_GB2312"/>
                      <w:sz w:val="20"/>
                      <w:color w:val="000000"/>
                    </w:rPr>
                    <w:t>1500V/1min</w:t>
                  </w:r>
                  <w:r>
                    <w:br/>
                  </w:r>
                  <w:r>
                    <w:rPr>
                      <w:rFonts w:ascii="仿宋_GB2312" w:hAnsi="仿宋_GB2312" w:cs="仿宋_GB2312" w:eastAsia="仿宋_GB2312"/>
                      <w:sz w:val="20"/>
                      <w:color w:val="000000"/>
                    </w:rPr>
                    <w:t>10.波形失真：无附加失真</w:t>
                  </w:r>
                  <w:r>
                    <w:br/>
                  </w:r>
                  <w:r>
                    <w:rPr>
                      <w:rFonts w:ascii="仿宋_GB2312" w:hAnsi="仿宋_GB2312" w:cs="仿宋_GB2312" w:eastAsia="仿宋_GB2312"/>
                      <w:sz w:val="20"/>
                      <w:color w:val="000000"/>
                    </w:rPr>
                    <w:t>11.效率：&gt;90%</w:t>
                  </w:r>
                  <w:r>
                    <w:br/>
                  </w:r>
                  <w:r>
                    <w:rPr>
                      <w:rFonts w:ascii="仿宋_GB2312" w:hAnsi="仿宋_GB2312" w:cs="仿宋_GB2312" w:eastAsia="仿宋_GB2312"/>
                      <w:sz w:val="20"/>
                      <w:color w:val="000000"/>
                    </w:rPr>
                    <w:t>12.绝缘电阻：&gt;2MΩ</w:t>
                  </w:r>
                  <w:r>
                    <w:br/>
                  </w:r>
                  <w:r>
                    <w:rPr>
                      <w:rFonts w:ascii="仿宋_GB2312" w:hAnsi="仿宋_GB2312" w:cs="仿宋_GB2312" w:eastAsia="仿宋_GB2312"/>
                      <w:sz w:val="20"/>
                      <w:color w:val="000000"/>
                    </w:rPr>
                    <w:t>13.负载功率因素：≥0.8</w:t>
                  </w:r>
                  <w:r>
                    <w:br/>
                  </w:r>
                  <w:r>
                    <w:rPr>
                      <w:rFonts w:ascii="仿宋_GB2312" w:hAnsi="仿宋_GB2312" w:cs="仿宋_GB2312" w:eastAsia="仿宋_GB2312"/>
                      <w:sz w:val="20"/>
                      <w:color w:val="000000"/>
                    </w:rPr>
                    <w:t>14.过压保</w:t>
                  </w:r>
                  <w:r>
                    <w:rPr>
                      <w:rFonts w:ascii="仿宋_GB2312" w:hAnsi="仿宋_GB2312" w:cs="仿宋_GB2312" w:eastAsia="仿宋_GB2312"/>
                      <w:sz w:val="20"/>
                      <w:color w:val="000000"/>
                    </w:rPr>
                    <w:t>护：</w:t>
                  </w:r>
                  <w:r>
                    <w:rPr>
                      <w:rFonts w:ascii="仿宋_GB2312" w:hAnsi="仿宋_GB2312" w:cs="仿宋_GB2312" w:eastAsia="仿宋_GB2312"/>
                      <w:sz w:val="20"/>
                      <w:color w:val="000000"/>
                    </w:rPr>
                    <w:t>246±4V</w:t>
                  </w:r>
                  <w:r>
                    <w:br/>
                  </w:r>
                  <w:r>
                    <w:rPr>
                      <w:rFonts w:ascii="仿宋_GB2312" w:hAnsi="仿宋_GB2312" w:cs="仿宋_GB2312" w:eastAsia="仿宋_GB2312"/>
                      <w:sz w:val="20"/>
                      <w:color w:val="000000"/>
                    </w:rPr>
                    <w:t>15：尺寸：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640</w:t>
                  </w:r>
                  <w:r>
                    <w:rPr>
                      <w:rFonts w:ascii="仿宋_GB2312" w:hAnsi="仿宋_GB2312" w:cs="仿宋_GB2312" w:eastAsia="仿宋_GB2312"/>
                      <w:sz w:val="20"/>
                      <w:color w:val="000000"/>
                    </w:rPr>
                    <w:t>*550*1060</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防静电地板</w:t>
                  </w:r>
                </w:p>
              </w:tc>
              <w:tc>
                <w:tcPr>
                  <w:tcW w:type="dxa" w:w="2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600×600×35（mm）,全钢基材，钢板壳结构，内腔填充发泡水泥，表面为HPL（三聚氰胺）面层，四周黑色导电PVC封边，燃烧性能：不燃A1n级，机械性能：中心载荷</w:t>
                  </w:r>
                  <w:r>
                    <w:rPr>
                      <w:rFonts w:ascii="仿宋_GB2312" w:hAnsi="仿宋_GB2312" w:cs="仿宋_GB2312" w:eastAsia="仿宋_GB2312"/>
                      <w:sz w:val="20"/>
                      <w:color w:val="000000"/>
                    </w:rPr>
                    <w:t>≥</w:t>
                  </w:r>
                  <w:r>
                    <w:rPr>
                      <w:rFonts w:ascii="仿宋_GB2312" w:hAnsi="仿宋_GB2312" w:cs="仿宋_GB2312" w:eastAsia="仿宋_GB2312"/>
                      <w:sz w:val="20"/>
                      <w:color w:val="000000"/>
                    </w:rPr>
                    <w:t>1960N，（挠度≤2mm，永久变形≤0.25mm）极限载荷≥5880N，均布载荷</w:t>
                  </w:r>
                  <w:r>
                    <w:rPr>
                      <w:rFonts w:ascii="仿宋_GB2312" w:hAnsi="仿宋_GB2312" w:cs="仿宋_GB2312" w:eastAsia="仿宋_GB2312"/>
                      <w:sz w:val="20"/>
                      <w:color w:val="000000"/>
                    </w:rPr>
                    <w:t>≥</w:t>
                  </w:r>
                  <w:r>
                    <w:rPr>
                      <w:rFonts w:ascii="仿宋_GB2312" w:hAnsi="仿宋_GB2312" w:cs="仿宋_GB2312" w:eastAsia="仿宋_GB2312"/>
                      <w:sz w:val="20"/>
                      <w:color w:val="000000"/>
                    </w:rPr>
                    <w:t>9720N/m2（挠度≤2mm），配件：支架：全钢材质，镀锌防锈，上托板</w:t>
                  </w:r>
                  <w:r>
                    <w:rPr>
                      <w:rFonts w:ascii="仿宋_GB2312" w:hAnsi="仿宋_GB2312" w:cs="仿宋_GB2312" w:eastAsia="仿宋_GB2312"/>
                      <w:sz w:val="20"/>
                      <w:color w:val="000000"/>
                    </w:rPr>
                    <w:t>≥</w:t>
                  </w:r>
                  <w:r>
                    <w:rPr>
                      <w:rFonts w:ascii="仿宋_GB2312" w:hAnsi="仿宋_GB2312" w:cs="仿宋_GB2312" w:eastAsia="仿宋_GB2312"/>
                      <w:sz w:val="20"/>
                      <w:color w:val="000000"/>
                    </w:rPr>
                    <w:t>68×68×3mm，下托板8</w:t>
                  </w:r>
                  <w:r>
                    <w:rPr>
                      <w:rFonts w:ascii="仿宋_GB2312" w:hAnsi="仿宋_GB2312" w:cs="仿宋_GB2312" w:eastAsia="仿宋_GB2312"/>
                      <w:sz w:val="20"/>
                      <w:color w:val="000000"/>
                    </w:rPr>
                    <w:t>≥</w:t>
                  </w:r>
                  <w:r>
                    <w:rPr>
                      <w:rFonts w:ascii="仿宋_GB2312" w:hAnsi="仿宋_GB2312" w:cs="仿宋_GB2312" w:eastAsia="仿宋_GB2312"/>
                      <w:sz w:val="20"/>
                      <w:color w:val="000000"/>
                    </w:rPr>
                    <w:t>2×82×2mm，管径</w:t>
                  </w:r>
                  <w:r>
                    <w:rPr>
                      <w:rFonts w:ascii="仿宋_GB2312" w:hAnsi="仿宋_GB2312" w:cs="仿宋_GB2312" w:eastAsia="仿宋_GB2312"/>
                      <w:sz w:val="20"/>
                      <w:color w:val="000000"/>
                    </w:rPr>
                    <w:t>≥</w:t>
                  </w:r>
                  <w:r>
                    <w:rPr>
                      <w:rFonts w:ascii="仿宋_GB2312" w:hAnsi="仿宋_GB2312" w:cs="仿宋_GB2312" w:eastAsia="仿宋_GB2312"/>
                      <w:sz w:val="20"/>
                      <w:color w:val="000000"/>
                    </w:rPr>
                    <w:t>28mm，</w:t>
                  </w:r>
                  <w:r>
                    <w:rPr>
                      <w:rFonts w:ascii="仿宋_GB2312" w:hAnsi="仿宋_GB2312" w:cs="仿宋_GB2312" w:eastAsia="仿宋_GB2312"/>
                      <w:sz w:val="20"/>
                      <w:color w:val="000000"/>
                    </w:rPr>
                    <w:t>高度</w:t>
                  </w:r>
                  <w:r>
                    <w:rPr>
                      <w:rFonts w:ascii="仿宋_GB2312" w:hAnsi="仿宋_GB2312" w:cs="仿宋_GB2312" w:eastAsia="仿宋_GB2312"/>
                      <w:sz w:val="20"/>
                      <w:color w:val="000000"/>
                    </w:rPr>
                    <w:t>100-300mm可调节。四倍集中载荷的力加载后保持1min不变形。横梁</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596×21×32mm,壁厚</w:t>
                  </w:r>
                  <w:r>
                    <w:rPr>
                      <w:rFonts w:ascii="仿宋_GB2312" w:hAnsi="仿宋_GB2312" w:cs="仿宋_GB2312" w:eastAsia="仿宋_GB2312"/>
                      <w:sz w:val="20"/>
                      <w:color w:val="000000"/>
                    </w:rPr>
                    <w:t>≥</w:t>
                  </w:r>
                  <w:r>
                    <w:rPr>
                      <w:rFonts w:ascii="仿宋_GB2312" w:hAnsi="仿宋_GB2312" w:cs="仿宋_GB2312" w:eastAsia="仿宋_GB2312"/>
                      <w:sz w:val="20"/>
                      <w:color w:val="000000"/>
                    </w:rPr>
                    <w:t>1.0mm，加载1470N后保持</w:t>
                  </w:r>
                  <w:r>
                    <w:rPr>
                      <w:rFonts w:ascii="仿宋_GB2312" w:hAnsi="仿宋_GB2312" w:cs="仿宋_GB2312" w:eastAsia="仿宋_GB2312"/>
                      <w:sz w:val="20"/>
                      <w:color w:val="000000"/>
                    </w:rPr>
                    <w:t>≥</w:t>
                  </w:r>
                  <w:r>
                    <w:rPr>
                      <w:rFonts w:ascii="仿宋_GB2312" w:hAnsi="仿宋_GB2312" w:cs="仿宋_GB2312" w:eastAsia="仿宋_GB2312"/>
                      <w:sz w:val="20"/>
                      <w:color w:val="000000"/>
                    </w:rPr>
                    <w:t>1mi</w:t>
                  </w:r>
                  <w:r>
                    <w:rPr>
                      <w:rFonts w:ascii="仿宋_GB2312" w:hAnsi="仿宋_GB2312" w:cs="仿宋_GB2312" w:eastAsia="仿宋_GB2312"/>
                      <w:sz w:val="20"/>
                      <w:color w:val="000000"/>
                    </w:rPr>
                    <w:t>n不变形（含上楼安装）</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网线</w:t>
                  </w:r>
                </w:p>
              </w:tc>
              <w:tc>
                <w:tcPr>
                  <w:tcW w:type="dxa" w:w="2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六类非屏蔽</w:t>
                  </w:r>
                  <w:r>
                    <w:rPr>
                      <w:rFonts w:ascii="仿宋_GB2312" w:hAnsi="仿宋_GB2312" w:cs="仿宋_GB2312" w:eastAsia="仿宋_GB2312"/>
                      <w:sz w:val="20"/>
                      <w:color w:val="000000"/>
                    </w:rPr>
                    <w:t>8 芯双绞线，符合 TIA/EIA 568-C.2 六类标准及国家综合布线相关标准；导体采用高纯无氧铜，线规≥23AWG；支持带宽≥250MHz，满足千兆网络传输需求；外皮采用阻燃 PVC 材质，具备相应阻燃等级</w:t>
                  </w:r>
                  <w:r>
                    <w:rPr>
                      <w:rFonts w:ascii="仿宋_GB2312" w:hAnsi="仿宋_GB2312" w:cs="仿宋_GB2312" w:eastAsia="仿宋_GB2312"/>
                      <w:sz w:val="20"/>
                      <w:color w:val="000000"/>
                    </w:rPr>
                    <w:t>。</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电源线</w:t>
                  </w:r>
                </w:p>
              </w:tc>
              <w:tc>
                <w:tcPr>
                  <w:tcW w:type="dxa" w:w="2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4mm² 多股铜芯聚氯乙烯绝缘电源线；导体采用高纯无氧铜，多股软芯结构；额定电压 450/750V；绝缘层采用阻燃 PVC 材质；红、蓝、绿三色各 1 卷，每卷标准长度 100 米，足米足量</w:t>
                  </w:r>
                  <w:r>
                    <w:rPr>
                      <w:rFonts w:ascii="仿宋_GB2312" w:hAnsi="仿宋_GB2312" w:cs="仿宋_GB2312" w:eastAsia="仿宋_GB2312"/>
                      <w:sz w:val="20"/>
                      <w:color w:val="000000"/>
                    </w:rPr>
                    <w:t>。</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3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耳机</w:t>
                  </w:r>
                </w:p>
              </w:tc>
              <w:tc>
                <w:tcPr>
                  <w:tcW w:type="dxa" w:w="2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喇叭阻抗：</w:t>
                  </w:r>
                  <w:r>
                    <w:rPr>
                      <w:rFonts w:ascii="仿宋_GB2312" w:hAnsi="仿宋_GB2312" w:cs="仿宋_GB2312" w:eastAsia="仿宋_GB2312"/>
                      <w:sz w:val="20"/>
                      <w:color w:val="000000"/>
                    </w:rPr>
                    <w:t>32欧+-15%</w:t>
                  </w:r>
                </w:p>
                <w:p>
                  <w:pPr>
                    <w:pStyle w:val="null3"/>
                    <w:jc w:val="left"/>
                  </w:pPr>
                  <w:r>
                    <w:rPr>
                      <w:rFonts w:ascii="仿宋_GB2312" w:hAnsi="仿宋_GB2312" w:cs="仿宋_GB2312" w:eastAsia="仿宋_GB2312"/>
                      <w:sz w:val="20"/>
                      <w:color w:val="000000"/>
                    </w:rPr>
                    <w:t>喇叭直径</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40MM(钕铁硼)</w:t>
                  </w:r>
                </w:p>
                <w:p>
                  <w:pPr>
                    <w:pStyle w:val="null3"/>
                    <w:jc w:val="left"/>
                  </w:pPr>
                  <w:r>
                    <w:rPr>
                      <w:rFonts w:ascii="仿宋_GB2312" w:hAnsi="仿宋_GB2312" w:cs="仿宋_GB2312" w:eastAsia="仿宋_GB2312"/>
                      <w:sz w:val="20"/>
                      <w:color w:val="000000"/>
                    </w:rPr>
                    <w:t>频率范围：</w:t>
                  </w:r>
                  <w:r>
                    <w:rPr>
                      <w:rFonts w:ascii="仿宋_GB2312" w:hAnsi="仿宋_GB2312" w:cs="仿宋_GB2312" w:eastAsia="仿宋_GB2312"/>
                      <w:sz w:val="20"/>
                      <w:color w:val="000000"/>
                    </w:rPr>
                    <w:t>20Hz-20KHz额定功率：15-50MW</w:t>
                  </w:r>
                </w:p>
                <w:p>
                  <w:pPr>
                    <w:pStyle w:val="null3"/>
                    <w:jc w:val="left"/>
                  </w:pPr>
                  <w:r>
                    <w:rPr>
                      <w:rFonts w:ascii="仿宋_GB2312" w:hAnsi="仿宋_GB2312" w:cs="仿宋_GB2312" w:eastAsia="仿宋_GB2312"/>
                      <w:sz w:val="20"/>
                      <w:color w:val="000000"/>
                    </w:rPr>
                    <w:t>灵敏度：</w:t>
                  </w:r>
                  <w:r>
                    <w:rPr>
                      <w:rFonts w:ascii="仿宋_GB2312" w:hAnsi="仿宋_GB2312" w:cs="仿宋_GB2312" w:eastAsia="仿宋_GB2312"/>
                      <w:sz w:val="20"/>
                      <w:color w:val="000000"/>
                    </w:rPr>
                    <w:t>105dB+-5dB S.P.Lat 1KHz</w:t>
                  </w:r>
                </w:p>
                <w:p>
                  <w:pPr>
                    <w:pStyle w:val="null3"/>
                    <w:jc w:val="left"/>
                  </w:pPr>
                  <w:r>
                    <w:rPr>
                      <w:rFonts w:ascii="仿宋_GB2312" w:hAnsi="仿宋_GB2312" w:cs="仿宋_GB2312" w:eastAsia="仿宋_GB2312"/>
                      <w:sz w:val="20"/>
                      <w:color w:val="000000"/>
                    </w:rPr>
                    <w:t>麦克风规格：直径</w:t>
                  </w:r>
                  <w:r>
                    <w:rPr>
                      <w:rFonts w:ascii="仿宋_GB2312" w:hAnsi="仿宋_GB2312" w:cs="仿宋_GB2312" w:eastAsia="仿宋_GB2312"/>
                      <w:sz w:val="20"/>
                      <w:color w:val="000000"/>
                    </w:rPr>
                    <w:t>≥</w:t>
                  </w:r>
                  <w:r>
                    <w:rPr>
                      <w:rFonts w:ascii="仿宋_GB2312" w:hAnsi="仿宋_GB2312" w:cs="仿宋_GB2312" w:eastAsia="仿宋_GB2312"/>
                      <w:sz w:val="20"/>
                      <w:color w:val="000000"/>
                    </w:rPr>
                    <w:t>6.0x5.0MM</w:t>
                  </w:r>
                </w:p>
                <w:p>
                  <w:pPr>
                    <w:pStyle w:val="null3"/>
                    <w:jc w:val="left"/>
                  </w:pPr>
                  <w:r>
                    <w:rPr>
                      <w:rFonts w:ascii="仿宋_GB2312" w:hAnsi="仿宋_GB2312" w:cs="仿宋_GB2312" w:eastAsia="仿宋_GB2312"/>
                      <w:sz w:val="20"/>
                      <w:color w:val="000000"/>
                    </w:rPr>
                    <w:t>麦克风灵敏度：</w:t>
                  </w:r>
                  <w:r>
                    <w:rPr>
                      <w:rFonts w:ascii="仿宋_GB2312" w:hAnsi="仿宋_GB2312" w:cs="仿宋_GB2312" w:eastAsia="仿宋_GB2312"/>
                      <w:sz w:val="20"/>
                      <w:color w:val="000000"/>
                    </w:rPr>
                    <w:t>-54dB+-2dB</w:t>
                  </w:r>
                </w:p>
                <w:p>
                  <w:pPr>
                    <w:pStyle w:val="null3"/>
                    <w:jc w:val="left"/>
                  </w:pPr>
                  <w:r>
                    <w:rPr>
                      <w:rFonts w:ascii="仿宋_GB2312" w:hAnsi="仿宋_GB2312" w:cs="仿宋_GB2312" w:eastAsia="仿宋_GB2312"/>
                      <w:sz w:val="20"/>
                      <w:color w:val="000000"/>
                    </w:rPr>
                    <w:t>麦克风频率范围：</w:t>
                  </w:r>
                  <w:r>
                    <w:rPr>
                      <w:rFonts w:ascii="仿宋_GB2312" w:hAnsi="仿宋_GB2312" w:cs="仿宋_GB2312" w:eastAsia="仿宋_GB2312"/>
                      <w:sz w:val="20"/>
                      <w:color w:val="000000"/>
                    </w:rPr>
                    <w:t>50-10KHZ</w:t>
                  </w:r>
                </w:p>
                <w:p>
                  <w:pPr>
                    <w:pStyle w:val="null3"/>
                    <w:jc w:val="left"/>
                  </w:pPr>
                  <w:r>
                    <w:rPr>
                      <w:rFonts w:ascii="仿宋_GB2312" w:hAnsi="仿宋_GB2312" w:cs="仿宋_GB2312" w:eastAsia="仿宋_GB2312"/>
                      <w:sz w:val="20"/>
                      <w:color w:val="000000"/>
                    </w:rPr>
                    <w:t>麦克风阻抗：</w:t>
                  </w:r>
                  <w:r>
                    <w:rPr>
                      <w:rFonts w:ascii="仿宋_GB2312" w:hAnsi="仿宋_GB2312" w:cs="仿宋_GB2312" w:eastAsia="仿宋_GB2312"/>
                      <w:sz w:val="20"/>
                      <w:color w:val="000000"/>
                    </w:rPr>
                    <w:t>≦</w:t>
                  </w:r>
                  <w:r>
                    <w:rPr>
                      <w:rFonts w:ascii="仿宋_GB2312" w:hAnsi="仿宋_GB2312" w:cs="仿宋_GB2312" w:eastAsia="仿宋_GB2312"/>
                      <w:sz w:val="20"/>
                      <w:color w:val="000000"/>
                    </w:rPr>
                    <w:t>2.2K/1KH</w:t>
                  </w:r>
                  <w:r>
                    <w:rPr>
                      <w:rFonts w:ascii="仿宋_GB2312" w:hAnsi="仿宋_GB2312" w:cs="仿宋_GB2312" w:eastAsia="仿宋_GB2312"/>
                      <w:sz w:val="20"/>
                      <w:color w:val="000000"/>
                    </w:rPr>
                    <w:t>Z</w:t>
                  </w:r>
                </w:p>
                <w:p>
                  <w:pPr>
                    <w:pStyle w:val="null3"/>
                    <w:jc w:val="left"/>
                  </w:pPr>
                  <w:r>
                    <w:rPr>
                      <w:rFonts w:ascii="仿宋_GB2312" w:hAnsi="仿宋_GB2312" w:cs="仿宋_GB2312" w:eastAsia="仿宋_GB2312"/>
                      <w:sz w:val="20"/>
                      <w:color w:val="000000"/>
                    </w:rPr>
                    <w:t>输入插头：</w:t>
                  </w:r>
                  <w:r>
                    <w:rPr>
                      <w:rFonts w:ascii="仿宋_GB2312" w:hAnsi="仿宋_GB2312" w:cs="仿宋_GB2312" w:eastAsia="仿宋_GB2312"/>
                      <w:sz w:val="20"/>
                      <w:color w:val="000000"/>
                    </w:rPr>
                    <w:t>USB</w:t>
                  </w:r>
                </w:p>
                <w:p>
                  <w:pPr>
                    <w:pStyle w:val="null3"/>
                    <w:jc w:val="left"/>
                  </w:pPr>
                  <w:r>
                    <w:rPr>
                      <w:rFonts w:ascii="仿宋_GB2312" w:hAnsi="仿宋_GB2312" w:cs="仿宋_GB2312" w:eastAsia="仿宋_GB2312"/>
                      <w:sz w:val="20"/>
                      <w:color w:val="000000"/>
                    </w:rPr>
                    <w:t>线长：</w:t>
                  </w:r>
                  <w:r>
                    <w:rPr>
                      <w:rFonts w:ascii="仿宋_GB2312" w:hAnsi="仿宋_GB2312" w:cs="仿宋_GB2312" w:eastAsia="仿宋_GB2312"/>
                      <w:sz w:val="20"/>
                      <w:color w:val="000000"/>
                    </w:rPr>
                    <w:t>≥2M</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3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吊顶及刷墙</w:t>
                  </w:r>
                </w:p>
              </w:tc>
              <w:tc>
                <w:tcPr>
                  <w:tcW w:type="dxa" w:w="2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选</w:t>
                  </w:r>
                  <w:r>
                    <w:rPr>
                      <w:rFonts w:ascii="仿宋_GB2312" w:hAnsi="仿宋_GB2312" w:cs="仿宋_GB2312" w:eastAsia="仿宋_GB2312"/>
                      <w:sz w:val="20"/>
                      <w:color w:val="000000"/>
                    </w:rPr>
                    <w:t>用</w:t>
                  </w:r>
                  <w:r>
                    <w:rPr>
                      <w:rFonts w:ascii="仿宋_GB2312" w:hAnsi="仿宋_GB2312" w:cs="仿宋_GB2312" w:eastAsia="仿宋_GB2312"/>
                      <w:sz w:val="20"/>
                      <w:color w:val="000000"/>
                    </w:rPr>
                    <w:t>≥6</w:t>
                  </w:r>
                  <w:r>
                    <w:rPr>
                      <w:rFonts w:ascii="仿宋_GB2312" w:hAnsi="仿宋_GB2312" w:cs="仿宋_GB2312" w:eastAsia="仿宋_GB2312"/>
                      <w:sz w:val="20"/>
                      <w:color w:val="000000"/>
                    </w:rPr>
                    <w:t>00mm*600mm铝扣板或矿棉板吊顶，</w:t>
                  </w:r>
                  <w:r>
                    <w:rPr>
                      <w:rFonts w:ascii="仿宋_GB2312" w:hAnsi="仿宋_GB2312" w:cs="仿宋_GB2312" w:eastAsia="仿宋_GB2312"/>
                      <w:sz w:val="20"/>
                      <w:color w:val="000000"/>
                    </w:rPr>
                    <w:t>墙面刷白色乳胶漆，包含基层找平、批刮腻子、打磨、涂刷等完整工序</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3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LED灯</w:t>
                  </w:r>
                </w:p>
              </w:tc>
              <w:tc>
                <w:tcPr>
                  <w:tcW w:type="dxa" w:w="2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600mm×600mm 一体式嵌入式 LED 面板灯，适配 </w:t>
                  </w:r>
                  <w:r>
                    <w:rPr>
                      <w:rFonts w:ascii="仿宋_GB2312" w:hAnsi="仿宋_GB2312" w:cs="仿宋_GB2312" w:eastAsia="仿宋_GB2312"/>
                      <w:sz w:val="20"/>
                      <w:color w:val="000000"/>
                    </w:rPr>
                    <w:t>≥</w:t>
                  </w:r>
                  <w:r>
                    <w:rPr>
                      <w:rFonts w:ascii="仿宋_GB2312" w:hAnsi="仿宋_GB2312" w:cs="仿宋_GB2312" w:eastAsia="仿宋_GB2312"/>
                      <w:sz w:val="20"/>
                      <w:color w:val="000000"/>
                    </w:rPr>
                    <w:t>600×600 标准吊顶龙骨安装；采用侧发光 / 直下式微晶防眩结构，全套满足教室、机房健康照明、节能、安全相关国标要求</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安装调试费</w:t>
                  </w:r>
                </w:p>
              </w:tc>
              <w:tc>
                <w:tcPr>
                  <w:tcW w:type="dxa" w:w="2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本项目安装调试费为包干综合费用，包含：电源插板布设安装（</w:t>
                  </w:r>
                  <w:r>
                    <w:rPr>
                      <w:rFonts w:ascii="仿宋_GB2312" w:hAnsi="仿宋_GB2312" w:cs="仿宋_GB2312" w:eastAsia="仿宋_GB2312"/>
                      <w:sz w:val="20"/>
                      <w:color w:val="000000"/>
                    </w:rPr>
                    <w:t>约</w:t>
                  </w:r>
                  <w:r>
                    <w:rPr>
                      <w:rFonts w:ascii="仿宋_GB2312" w:hAnsi="仿宋_GB2312" w:cs="仿宋_GB2312" w:eastAsia="仿宋_GB2312"/>
                      <w:sz w:val="20"/>
                      <w:color w:val="000000"/>
                    </w:rPr>
                    <w:t>55</w:t>
                  </w:r>
                  <w:r>
                    <w:rPr>
                      <w:rFonts w:ascii="仿宋_GB2312" w:hAnsi="仿宋_GB2312" w:cs="仿宋_GB2312" w:eastAsia="仿宋_GB2312"/>
                      <w:sz w:val="20"/>
                      <w:color w:val="000000"/>
                    </w:rPr>
                    <w:t>个）、现场线槽规整布设、原有老旧设备及电脑桌拆除、搬运至校方指定位置、本项目全部新设备进场安装、线路布设、系统调试、现场操作培训等全部工序，包含人工、辅材、搬运、工具、调试、培训、现场清理等所有费用，无任何隐形费用，确保项目整体完工可正常投入使用。</w:t>
                  </w:r>
                </w:p>
                <w:p>
                  <w:pPr>
                    <w:pStyle w:val="null3"/>
                    <w:jc w:val="left"/>
                  </w:p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点</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r>
          </w:tbl>
          <w:p>
            <w:pPr>
              <w:pStyle w:val="null3"/>
            </w:pPr>
            <w:r>
              <w:rPr>
                <w:rFonts w:ascii="仿宋_GB2312" w:hAnsi="仿宋_GB2312" w:cs="仿宋_GB2312" w:eastAsia="仿宋_GB2312"/>
                <w:sz w:val="24"/>
                <w:b/>
              </w:rPr>
              <w:t>注：本项目核心产品：</w:t>
            </w:r>
            <w:r>
              <w:rPr>
                <w:rFonts w:ascii="仿宋_GB2312" w:hAnsi="仿宋_GB2312" w:cs="仿宋_GB2312" w:eastAsia="仿宋_GB2312"/>
                <w:sz w:val="24"/>
                <w:b/>
              </w:rPr>
              <w:t>学生计算机</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color w:val="000000"/>
              </w:rPr>
              <w:t>商务要求：</w:t>
            </w:r>
          </w:p>
          <w:p>
            <w:pPr>
              <w:pStyle w:val="null3"/>
              <w:jc w:val="both"/>
            </w:pPr>
            <w:r>
              <w:rPr>
                <w:rFonts w:ascii="仿宋_GB2312" w:hAnsi="仿宋_GB2312" w:cs="仿宋_GB2312" w:eastAsia="仿宋_GB2312"/>
                <w:sz w:val="20"/>
                <w:color w:val="000000"/>
              </w:rPr>
              <w:t>交货期</w:t>
            </w:r>
            <w:r>
              <w:rPr>
                <w:rFonts w:ascii="仿宋_GB2312" w:hAnsi="仿宋_GB2312" w:cs="仿宋_GB2312" w:eastAsia="仿宋_GB2312"/>
                <w:sz w:val="20"/>
                <w:color w:val="000000"/>
              </w:rPr>
              <w:t>:自合同签订之日起20个日历日完成全部项目内容，并交付采购人验收合格。</w:t>
            </w:r>
          </w:p>
          <w:p>
            <w:pPr>
              <w:pStyle w:val="null3"/>
              <w:jc w:val="both"/>
            </w:pPr>
            <w:r>
              <w:rPr>
                <w:rFonts w:ascii="仿宋_GB2312" w:hAnsi="仿宋_GB2312" w:cs="仿宋_GB2312" w:eastAsia="仿宋_GB2312"/>
                <w:sz w:val="20"/>
                <w:color w:val="000000"/>
              </w:rPr>
              <w:t>交货地点：采购人指定地点。</w:t>
            </w:r>
          </w:p>
          <w:p>
            <w:pPr>
              <w:pStyle w:val="null3"/>
              <w:jc w:val="both"/>
            </w:pPr>
            <w:r>
              <w:rPr>
                <w:rFonts w:ascii="仿宋_GB2312" w:hAnsi="仿宋_GB2312" w:cs="仿宋_GB2312" w:eastAsia="仿宋_GB2312"/>
                <w:sz w:val="20"/>
                <w:color w:val="000000"/>
              </w:rPr>
              <w:t>质保期：自验收合格之日起一年。</w:t>
            </w:r>
          </w:p>
          <w:p>
            <w:pPr>
              <w:pStyle w:val="null3"/>
            </w:pPr>
            <w:r>
              <w:rPr>
                <w:rFonts w:ascii="仿宋_GB2312" w:hAnsi="仿宋_GB2312" w:cs="仿宋_GB2312" w:eastAsia="仿宋_GB2312"/>
                <w:sz w:val="20"/>
                <w:color w:val="000000"/>
              </w:rPr>
              <w:t>付款方式：全部产品安装调试完毕并验收合格后</w:t>
            </w:r>
            <w:r>
              <w:rPr>
                <w:rFonts w:ascii="仿宋_GB2312" w:hAnsi="仿宋_GB2312" w:cs="仿宋_GB2312" w:eastAsia="仿宋_GB2312"/>
                <w:sz w:val="20"/>
                <w:color w:val="000000"/>
              </w:rPr>
              <w:t>30日内，甲方向乙方支付合同总价款。</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color w:val="000000"/>
              </w:rPr>
              <w:t>服务要求：</w:t>
            </w:r>
          </w:p>
          <w:p>
            <w:pPr>
              <w:pStyle w:val="null3"/>
              <w:jc w:val="both"/>
            </w:pPr>
            <w:r>
              <w:rPr>
                <w:rFonts w:ascii="仿宋_GB2312" w:hAnsi="仿宋_GB2312" w:cs="仿宋_GB2312" w:eastAsia="仿宋_GB2312"/>
                <w:sz w:val="20"/>
                <w:color w:val="000000"/>
              </w:rPr>
              <w:t>一、供应商负责派技术人员到现场进行安装、调试至验收合格。</w:t>
            </w:r>
          </w:p>
          <w:p>
            <w:pPr>
              <w:pStyle w:val="null3"/>
              <w:jc w:val="both"/>
            </w:pPr>
            <w:r>
              <w:rPr>
                <w:rFonts w:ascii="仿宋_GB2312" w:hAnsi="仿宋_GB2312" w:cs="仿宋_GB2312" w:eastAsia="仿宋_GB2312"/>
                <w:sz w:val="20"/>
                <w:color w:val="000000"/>
              </w:rPr>
              <w:t>二、供应商负责派专业人员上门技术培训，应包含设备（产品）使用操作、保养、维修等培训内容。</w:t>
            </w:r>
          </w:p>
          <w:p>
            <w:pPr>
              <w:pStyle w:val="null3"/>
              <w:jc w:val="both"/>
            </w:pPr>
            <w:r>
              <w:rPr>
                <w:rFonts w:ascii="仿宋_GB2312" w:hAnsi="仿宋_GB2312" w:cs="仿宋_GB2312" w:eastAsia="仿宋_GB2312"/>
                <w:sz w:val="20"/>
                <w:color w:val="000000"/>
              </w:rPr>
              <w:t>三、要求供应商提供全年</w:t>
            </w:r>
            <w:r>
              <w:rPr>
                <w:rFonts w:ascii="仿宋_GB2312" w:hAnsi="仿宋_GB2312" w:cs="仿宋_GB2312" w:eastAsia="仿宋_GB2312"/>
                <w:sz w:val="20"/>
                <w:color w:val="000000"/>
              </w:rPr>
              <w:t>7×24小时的技术咨询服务。</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自合同签订之日起20个日历日完成全部项目内容，并交付采购人验收合格。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进度款，全部产品安装调试完毕并验收合格后支付总价款，达到付款条件起30个工作日内，支付合同总金额的100.0%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1.初验：货物到达交货地点后，由使用单位根据合同对货物（设备）的名称、品牌、规格、型号、产地、数量进行检查。初验合格填写项目移交单，双方签字盖章。 2.终验：所有货物(设备)安装、调试完毕，正常使用30个日历日后，由成交供应商向采购人提出终验书面申请，采购人确认后，组织成交供应商、有关专家及相关部门进行系统验收，并出具终验报告，验收及专家费用由成交供应商承担。验收合格后填写《政府采购项目验收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一、保修范围与维保服务 质保期内，供应商每年提供不少于 2 次上门巡检、检测、保养服务。 针对产品质量缺陷、货品短缺等问题，供应商在收到采购人书面 / 口头通知后 2 个日历日内，完成修复、更换、重新制作或物资补齐。 纳入三包管理的产品，供应商全面履行包修、包换、包退责任，所有产生的成本、费用均由供应商承担。 质保期内免收维修、人工、配件等所有费用。凡因产品设计、生产工艺、原材料本身缺陷造成的故障，由供应商无偿整改并承担全部费用，该缺陷责任不受质保期届满限制。 产品终身提供技术维护服务，长期保障原厂备品备件供应。 二、故障响应要求 一般故障：接报修通知后 30 分钟内电话应答，2 小时内技术人员到达现场维修。 重大故障：技术人员须在 8 小时内抵达现场处置；若故障 24 小时内无法排除，供应商须无偿提供同规格备用设备。 三、质保期限 自验收合格之日起一年。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按《中华人民共和国政府采购法》、《中华人民共和国民法典》中的相关条款执行。 未按合同或谈判文件要求提供的产品或者服务，质量不能满足采购人技术要求，采购单位有权终止合同，甚至对供应商违约行为进行追究。 解决争议的方法： 依法向有管辖权的人民法院提起诉讼。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1.本项目专门面向中小企业采购。 2.本项目属性为货物。 3.本项目合同包1采购标的所属行业为：工业； 4.本项目是否属于信用担保试点范围：否。 5.本项目为固定总价合同。 6.本项目核心产品：学生计算机。 7.为保障政府采购电子化交易平台项目实施，供应商需要在线提交所有通过电子化交易平台实施的政府采购项目的响应文件，同时，线下提交响应文件正本壹套、副本贰套。若电子响应文件与纸质响应文件不一致的，以电子响应文件为准；线下递交文件时间：详见本项目竞争性谈判公告文件截止时间；线下递交文件地点：陕西省西安市莲湖区土门十字西二环南段10号艺腾国际商务大厦503室。 8.谈判中出现下列情形之⼀的，谈判⼩组应当启动异常低价投标(响应)审查程序：（1）投标(响应)报价低于全部通过符合性审查供应商投标(响应)报价平均值50%的，即投标(响应)报价〈全部通过符合性审查供应商投标(响应)报价平均值X50%；（2）投标(响应)报价低于通过符合性审查的次低报价供应商投标(响应)报价50%的，即投标(响应)报价〈通过符合性审查的次低报价供应商投标(响应)报价X50%；（3）投标(响应)报价低于采购项⽬最⾼限价45%的，即投标(响应)报价&lt;采购项⽬最⾼限价X45%；（4）谈判⼩组基于专业判断，认为供应商报价过低，有可能影响产品质量或者不能诚信履约的其他情形。谈判⼩组启动异常低价投标(响应)审查后，属于前述第1项⾄第4项情形的，应当要求相关供应商在30分钟内对投标(响应)价格作出解释，提供项⽬具体成本测算等与报价合理性相关的书⾯说明及必要的证明材料，包括但不限于原材料成本、⼈⼯成本、制造费⽤等。其中，属于第3项情形，供应商已随投标(响应)⽂件⼀并提交相关书⾯说明及必要的证明材料的，在评审现场可不再重复提交。谈判⼩组依据专业经验，参考同类项⽬中标(成交)价格、类似产品市场价格⽔平、⾏业⼈⼯费⽤标准、国家有关部⻔指导⾏业协会发布的⾏业平均成本等情况，对报价合理性进⾏判断。投标(响应)供应商不能提供书⾯说明、证明材料，或者提供的书⾯说明、证明材料不能证明其报价合理性的，谈判⼩组应当将其作为⽆效投标(响应)处理。谈判⼩组借助互联⽹等渠道查询相关信息的，应当严格遵守评审⼯作纪律，不得实施影响评审公正的⾏为。异常低价投标(响应)审查的启动原因、审查意⻅和审查结果应当在评审报告中记录，并随供应商提供的相关书⾯说明及证明材料，以及谈判⼩组有关互联⽹浏览、查询历史⼀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投标截止日近半年内任意一月的纳税凭据或完税证明，依法免税的应提供相关证明材料；3.提供投标截止日近半年内任意一月的社会保障资金缴存单据或社保机构开具的社会保险参保缴费情况证明，依法不需要缴纳社会保障资金的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财务会计报告（成立时间至提交谈判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供应商企业关系关联承诺书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经审计的财务会计报告（成立时间至提交谈判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提供投标截止日近半年内任意一月的纳税凭据或完税证明，依法免税的应提供相关证明材料；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社会保险资金缴纳证明</w:t>
            </w:r>
          </w:p>
        </w:tc>
        <w:tc>
          <w:tcPr>
            <w:tcW w:type="dxa" w:w="3322"/>
          </w:tcPr>
          <w:p>
            <w:pPr>
              <w:pStyle w:val="null3"/>
            </w:pPr>
            <w:r>
              <w:rPr>
                <w:rFonts w:ascii="仿宋_GB2312" w:hAnsi="仿宋_GB2312" w:cs="仿宋_GB2312" w:eastAsia="仿宋_GB2312"/>
              </w:rPr>
              <w:t>提供投标截止日近半年内任意一月的社会保障资金缴存单据或社保机构开具的社会保险参保缴费情况证明，依法不需要缴纳社会保障资金的应提供相关证明材料；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法定代表人授权书（附法定代表人、被授权人身份证复印件及被授权人开标前三个月内任意一个月在本单位的社保缴纳证明），法定代表人直接参加谈判，须提供法定代表人身份证明；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谈判响应文件格式</w:t>
            </w:r>
          </w:p>
        </w:tc>
        <w:tc>
          <w:tcPr>
            <w:tcW w:type="dxa" w:w="3322"/>
          </w:tcPr>
          <w:p>
            <w:pPr>
              <w:pStyle w:val="null3"/>
            </w:pPr>
            <w:r>
              <w:rPr>
                <w:rFonts w:ascii="仿宋_GB2312" w:hAnsi="仿宋_GB2312" w:cs="仿宋_GB2312" w:eastAsia="仿宋_GB2312"/>
              </w:rPr>
              <w:t>符合“谈判响应文件格式”的要求</w:t>
            </w:r>
          </w:p>
        </w:tc>
        <w:tc>
          <w:tcPr>
            <w:tcW w:type="dxa" w:w="1661"/>
          </w:tcPr>
          <w:p>
            <w:pPr>
              <w:pStyle w:val="null3"/>
            </w:pPr>
            <w:r>
              <w:rPr>
                <w:rFonts w:ascii="仿宋_GB2312" w:hAnsi="仿宋_GB2312" w:cs="仿宋_GB2312" w:eastAsia="仿宋_GB2312"/>
              </w:rPr>
              <w:t>供应商参加政府采购活动承诺书 谈判方案 中小企业声明函 供应商应提交的相关资格证明材料 报价表 商务条款偏离表 响应文件封面 供应商企业关系关联承诺书 响应分项报价表 残疾人福利性单位声明函 其它说明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符合谈判文件规定的签字盖章要求</w:t>
            </w:r>
          </w:p>
        </w:tc>
        <w:tc>
          <w:tcPr>
            <w:tcW w:type="dxa" w:w="1661"/>
          </w:tcPr>
          <w:p>
            <w:pPr>
              <w:pStyle w:val="null3"/>
            </w:pPr>
            <w:r>
              <w:rPr>
                <w:rFonts w:ascii="仿宋_GB2312" w:hAnsi="仿宋_GB2312" w:cs="仿宋_GB2312" w:eastAsia="仿宋_GB2312"/>
              </w:rPr>
              <w:t>供应商参加政府采购活动承诺书 谈判方案 中小企业声明函 供应商应提交的相关资格证明材料 报价表 商务条款偏离表 响应文件封面 供应商企业关系关联承诺书 响应分项报价表 残疾人福利性单位声明函 其它说明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w:t>
            </w:r>
          </w:p>
        </w:tc>
        <w:tc>
          <w:tcPr>
            <w:tcW w:type="dxa" w:w="1661"/>
          </w:tcPr>
          <w:p>
            <w:pPr>
              <w:pStyle w:val="null3"/>
            </w:pPr>
            <w:r>
              <w:rPr>
                <w:rFonts w:ascii="仿宋_GB2312" w:hAnsi="仿宋_GB2312" w:cs="仿宋_GB2312" w:eastAsia="仿宋_GB2312"/>
              </w:rPr>
              <w:t>响应文件封面 响应分项报价表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应满足谈判文件中要求</w:t>
            </w:r>
          </w:p>
        </w:tc>
        <w:tc>
          <w:tcPr>
            <w:tcW w:type="dxa" w:w="1661"/>
          </w:tcPr>
          <w:p>
            <w:pPr>
              <w:pStyle w:val="null3"/>
            </w:pPr>
            <w:r>
              <w:rPr>
                <w:rFonts w:ascii="仿宋_GB2312" w:hAnsi="仿宋_GB2312" w:cs="仿宋_GB2312" w:eastAsia="仿宋_GB2312"/>
              </w:rPr>
              <w:t>响应文件封面 响应分项报价表 商务条款偏离表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按照要求响应，不能有任何采购人不能接受的附加条件</w:t>
            </w:r>
          </w:p>
        </w:tc>
        <w:tc>
          <w:tcPr>
            <w:tcW w:type="dxa" w:w="1661"/>
          </w:tcPr>
          <w:p>
            <w:pPr>
              <w:pStyle w:val="null3"/>
            </w:pPr>
            <w:r>
              <w:rPr>
                <w:rFonts w:ascii="仿宋_GB2312" w:hAnsi="仿宋_GB2312" w:cs="仿宋_GB2312" w:eastAsia="仿宋_GB2312"/>
              </w:rPr>
              <w:t>供应商参加政府采购活动承诺书 谈判方案 中小企业声明函 供应商应提交的相关资格证明材料 报价表 商务条款偏离表 响应文件封面 供应商企业关系关联承诺书 响应分项报价表 残疾人福利性单位声明函 其它说明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商务条款偏离表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商务条款偏离表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专门面向中小企业采购审查</w:t>
            </w:r>
          </w:p>
        </w:tc>
        <w:tc>
          <w:tcPr>
            <w:tcW w:type="dxa" w:w="3322"/>
          </w:tcPr>
          <w:p>
            <w:pPr>
              <w:pStyle w:val="null3"/>
            </w:pPr>
            <w:r>
              <w:rPr>
                <w:rFonts w:ascii="仿宋_GB2312" w:hAnsi="仿宋_GB2312" w:cs="仿宋_GB2312" w:eastAsia="仿宋_GB2312"/>
              </w:rPr>
              <w:t>参与的供应商（联合体）货物全部由符合政策要求的中小企业承接。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应满足采购技术要求</w:t>
            </w:r>
          </w:p>
        </w:tc>
        <w:tc>
          <w:tcPr>
            <w:tcW w:type="dxa" w:w="1661"/>
          </w:tcPr>
          <w:p>
            <w:pPr>
              <w:pStyle w:val="null3"/>
            </w:pPr>
            <w:r>
              <w:rPr>
                <w:rFonts w:ascii="仿宋_GB2312" w:hAnsi="仿宋_GB2312" w:cs="仿宋_GB2312" w:eastAsia="仿宋_GB2312"/>
              </w:rPr>
              <w:t>响应分项报价表 谈判方案 其它说明 商务条款偏离表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标的清单 关于符合本国产品标准的声明函 报价表</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详见附件：响应分项报价表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详见附件：谈判方案</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详见附件：供应商参加政府采购活动承诺书</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详见附件：其它说明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详见附件：合同附件.docx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