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04A63">
      <w:pPr>
        <w:pStyle w:val="9"/>
        <w:jc w:val="left"/>
        <w:outlineLvl w:val="1"/>
        <w:rPr>
          <w:rFonts w:hint="eastAsia" w:ascii="方正黑体简体" w:hAnsi="方正黑体简体" w:eastAsia="方正黑体简体" w:cs="方正黑体简体"/>
        </w:rPr>
      </w:pPr>
      <w:r>
        <w:rPr>
          <w:rFonts w:hint="eastAsia" w:ascii="方正黑体简体" w:hAnsi="方正黑体简体" w:eastAsia="方正黑体简体" w:cs="方正黑体简体"/>
          <w:b/>
          <w:sz w:val="36"/>
        </w:rPr>
        <w:t>三</w:t>
      </w:r>
      <w:r>
        <w:rPr>
          <w:rFonts w:hint="eastAsia" w:ascii="方正黑体简体" w:hAnsi="方正黑体简体" w:eastAsia="方正黑体简体" w:cs="方正黑体简体"/>
          <w:b/>
          <w:sz w:val="36"/>
          <w:lang w:eastAsia="zh-CN"/>
        </w:rPr>
        <w:t>、</w:t>
      </w:r>
      <w:r>
        <w:rPr>
          <w:rFonts w:hint="eastAsia" w:ascii="方正黑体简体" w:hAnsi="方正黑体简体" w:eastAsia="方正黑体简体" w:cs="方正黑体简体"/>
          <w:b/>
          <w:sz w:val="36"/>
        </w:rPr>
        <w:t xml:space="preserve"> 技术、服务</w:t>
      </w:r>
      <w:bookmarkStart w:id="0" w:name="_GoBack"/>
      <w:bookmarkEnd w:id="0"/>
      <w:r>
        <w:rPr>
          <w:rFonts w:hint="eastAsia" w:ascii="方正黑体简体" w:hAnsi="方正黑体简体" w:eastAsia="方正黑体简体" w:cs="方正黑体简体"/>
          <w:b/>
          <w:sz w:val="36"/>
        </w:rPr>
        <w:t>及其他要求</w:t>
      </w:r>
    </w:p>
    <w:p w14:paraId="78BDB862">
      <w:pPr>
        <w:pStyle w:val="9"/>
        <w:ind w:firstLine="480"/>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（注：本章的技术、服务及其他要求中，带“★”的要求为实质性要求。采购人、代理机构应当根据项目实际要求合理设定，并在第五章符合性审查中明确响应要求。）</w:t>
      </w:r>
    </w:p>
    <w:p w14:paraId="0F9BB7AF">
      <w:pPr>
        <w:pStyle w:val="9"/>
        <w:jc w:val="left"/>
        <w:outlineLvl w:val="2"/>
        <w:rPr>
          <w:rFonts w:hint="eastAsia" w:ascii="方正黑体简体" w:hAnsi="方正黑体简体" w:eastAsia="方正黑体简体" w:cs="方正黑体简体"/>
        </w:rPr>
      </w:pPr>
      <w:r>
        <w:rPr>
          <w:rFonts w:hint="eastAsia" w:ascii="方正黑体简体" w:hAnsi="方正黑体简体" w:eastAsia="方正黑体简体" w:cs="方正黑体简体"/>
          <w:b/>
          <w:sz w:val="28"/>
        </w:rPr>
        <w:t>3.1.采购内容</w:t>
      </w:r>
    </w:p>
    <w:p w14:paraId="70A801FC">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采购包1：</w:t>
      </w:r>
    </w:p>
    <w:p w14:paraId="0D8B9ECB">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采购包预算金额（元）: 379,984.00</w:t>
      </w:r>
    </w:p>
    <w:p w14:paraId="23F8A5D5">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采购包最高限价（元）: 379,984.00</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6"/>
        <w:gridCol w:w="1238"/>
        <w:gridCol w:w="725"/>
        <w:gridCol w:w="820"/>
        <w:gridCol w:w="1215"/>
        <w:gridCol w:w="726"/>
        <w:gridCol w:w="726"/>
        <w:gridCol w:w="726"/>
        <w:gridCol w:w="726"/>
        <w:gridCol w:w="587"/>
        <w:gridCol w:w="587"/>
      </w:tblGrid>
      <w:tr w14:paraId="05FF3C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FCD852E">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序号</w:t>
            </w:r>
          </w:p>
        </w:tc>
        <w:tc>
          <w:tcPr>
            <w:tcW w:w="821" w:type="dxa"/>
          </w:tcPr>
          <w:p w14:paraId="3AA30FBB">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采购品目名称</w:t>
            </w:r>
          </w:p>
        </w:tc>
        <w:tc>
          <w:tcPr>
            <w:tcW w:w="821" w:type="dxa"/>
          </w:tcPr>
          <w:p w14:paraId="41262D9B">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标的名称</w:t>
            </w:r>
          </w:p>
        </w:tc>
        <w:tc>
          <w:tcPr>
            <w:tcW w:w="821" w:type="dxa"/>
          </w:tcPr>
          <w:p w14:paraId="07388C6E">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数量</w:t>
            </w:r>
            <w:r>
              <w:rPr>
                <w:rFonts w:hint="eastAsia" w:ascii="方正黑体简体" w:hAnsi="方正黑体简体" w:eastAsia="方正黑体简体" w:cs="方正黑体简体"/>
              </w:rPr>
              <w:br w:type="textWrapping"/>
            </w:r>
            <w:r>
              <w:rPr>
                <w:rFonts w:hint="eastAsia" w:ascii="方正黑体简体" w:hAnsi="方正黑体简体" w:eastAsia="方正黑体简体" w:cs="方正黑体简体"/>
              </w:rPr>
              <w:t>(计量单位)</w:t>
            </w:r>
          </w:p>
        </w:tc>
        <w:tc>
          <w:tcPr>
            <w:tcW w:w="821" w:type="dxa"/>
          </w:tcPr>
          <w:p w14:paraId="45CBBEC8">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标的金额 （元）</w:t>
            </w:r>
          </w:p>
        </w:tc>
        <w:tc>
          <w:tcPr>
            <w:tcW w:w="821" w:type="dxa"/>
          </w:tcPr>
          <w:p w14:paraId="65CE3996">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所属行业</w:t>
            </w:r>
          </w:p>
        </w:tc>
        <w:tc>
          <w:tcPr>
            <w:tcW w:w="821" w:type="dxa"/>
          </w:tcPr>
          <w:p w14:paraId="1CCDA515">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是否涉及核心产品</w:t>
            </w:r>
          </w:p>
        </w:tc>
        <w:tc>
          <w:tcPr>
            <w:tcW w:w="821" w:type="dxa"/>
          </w:tcPr>
          <w:p w14:paraId="0E1F0308">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是否涉及采购进口产品</w:t>
            </w:r>
          </w:p>
        </w:tc>
        <w:tc>
          <w:tcPr>
            <w:tcW w:w="821" w:type="dxa"/>
          </w:tcPr>
          <w:p w14:paraId="78D46B86">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是否涉及强制采购节能产品</w:t>
            </w:r>
          </w:p>
        </w:tc>
        <w:tc>
          <w:tcPr>
            <w:tcW w:w="639" w:type="dxa"/>
          </w:tcPr>
          <w:p w14:paraId="2F7975E6">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是否涉及优先采购节能产品</w:t>
            </w:r>
          </w:p>
        </w:tc>
        <w:tc>
          <w:tcPr>
            <w:tcW w:w="639" w:type="dxa"/>
          </w:tcPr>
          <w:p w14:paraId="293ADA7F">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是否涉及优先采购环境标志产品</w:t>
            </w:r>
          </w:p>
        </w:tc>
      </w:tr>
      <w:tr w14:paraId="501803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949B78A">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1</w:t>
            </w:r>
          </w:p>
        </w:tc>
        <w:tc>
          <w:tcPr>
            <w:tcW w:w="821" w:type="dxa"/>
          </w:tcPr>
          <w:p w14:paraId="43147CBC">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A02010105 台式计算机</w:t>
            </w:r>
          </w:p>
        </w:tc>
        <w:tc>
          <w:tcPr>
            <w:tcW w:w="821" w:type="dxa"/>
          </w:tcPr>
          <w:p w14:paraId="3A538018">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台式计算机</w:t>
            </w:r>
          </w:p>
        </w:tc>
        <w:tc>
          <w:tcPr>
            <w:tcW w:w="821" w:type="dxa"/>
          </w:tcPr>
          <w:p w14:paraId="698B99E0">
            <w:pPr>
              <w:pStyle w:val="9"/>
              <w:jc w:val="right"/>
              <w:rPr>
                <w:rFonts w:hint="eastAsia" w:ascii="方正黑体简体" w:hAnsi="方正黑体简体" w:eastAsia="方正黑体简体" w:cs="方正黑体简体"/>
              </w:rPr>
            </w:pPr>
            <w:r>
              <w:rPr>
                <w:rFonts w:hint="eastAsia" w:ascii="方正黑体简体" w:hAnsi="方正黑体简体" w:eastAsia="方正黑体简体" w:cs="方正黑体简体"/>
              </w:rPr>
              <w:t>68.00（台）</w:t>
            </w:r>
          </w:p>
        </w:tc>
        <w:tc>
          <w:tcPr>
            <w:tcW w:w="821" w:type="dxa"/>
          </w:tcPr>
          <w:p w14:paraId="63C48347">
            <w:pPr>
              <w:pStyle w:val="9"/>
              <w:jc w:val="right"/>
              <w:rPr>
                <w:rFonts w:hint="eastAsia" w:ascii="方正黑体简体" w:hAnsi="方正黑体简体" w:eastAsia="方正黑体简体" w:cs="方正黑体简体"/>
              </w:rPr>
            </w:pPr>
            <w:r>
              <w:rPr>
                <w:rFonts w:hint="eastAsia" w:ascii="方正黑体简体" w:hAnsi="方正黑体简体" w:eastAsia="方正黑体简体" w:cs="方正黑体简体"/>
              </w:rPr>
              <w:t>322,864.00</w:t>
            </w:r>
          </w:p>
        </w:tc>
        <w:tc>
          <w:tcPr>
            <w:tcW w:w="821" w:type="dxa"/>
          </w:tcPr>
          <w:p w14:paraId="30E08172">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工业</w:t>
            </w:r>
          </w:p>
        </w:tc>
        <w:tc>
          <w:tcPr>
            <w:tcW w:w="821" w:type="dxa"/>
          </w:tcPr>
          <w:p w14:paraId="52483FB4">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是</w:t>
            </w:r>
          </w:p>
        </w:tc>
        <w:tc>
          <w:tcPr>
            <w:tcW w:w="821" w:type="dxa"/>
          </w:tcPr>
          <w:p w14:paraId="3F1726FF">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否</w:t>
            </w:r>
          </w:p>
        </w:tc>
        <w:tc>
          <w:tcPr>
            <w:tcW w:w="821" w:type="dxa"/>
          </w:tcPr>
          <w:p w14:paraId="4DD4F999">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是</w:t>
            </w:r>
          </w:p>
        </w:tc>
        <w:tc>
          <w:tcPr>
            <w:tcW w:w="639" w:type="dxa"/>
          </w:tcPr>
          <w:p w14:paraId="26A29C4E">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否</w:t>
            </w:r>
          </w:p>
        </w:tc>
        <w:tc>
          <w:tcPr>
            <w:tcW w:w="639" w:type="dxa"/>
          </w:tcPr>
          <w:p w14:paraId="20358D91">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是</w:t>
            </w:r>
          </w:p>
        </w:tc>
      </w:tr>
      <w:tr w14:paraId="0C380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80A7772">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2</w:t>
            </w:r>
          </w:p>
        </w:tc>
        <w:tc>
          <w:tcPr>
            <w:tcW w:w="821" w:type="dxa"/>
          </w:tcPr>
          <w:p w14:paraId="3D760322">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A02010105 台式计算机</w:t>
            </w:r>
          </w:p>
        </w:tc>
        <w:tc>
          <w:tcPr>
            <w:tcW w:w="821" w:type="dxa"/>
          </w:tcPr>
          <w:p w14:paraId="3DEFC484">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桌面操作系统</w:t>
            </w:r>
          </w:p>
        </w:tc>
        <w:tc>
          <w:tcPr>
            <w:tcW w:w="821" w:type="dxa"/>
          </w:tcPr>
          <w:p w14:paraId="674B0F58">
            <w:pPr>
              <w:pStyle w:val="9"/>
              <w:jc w:val="right"/>
              <w:rPr>
                <w:rFonts w:hint="eastAsia" w:ascii="方正黑体简体" w:hAnsi="方正黑体简体" w:eastAsia="方正黑体简体" w:cs="方正黑体简体"/>
              </w:rPr>
            </w:pPr>
            <w:r>
              <w:rPr>
                <w:rFonts w:hint="eastAsia" w:ascii="方正黑体简体" w:hAnsi="方正黑体简体" w:eastAsia="方正黑体简体" w:cs="方正黑体简体"/>
              </w:rPr>
              <w:t>68.00（套）</w:t>
            </w:r>
          </w:p>
        </w:tc>
        <w:tc>
          <w:tcPr>
            <w:tcW w:w="821" w:type="dxa"/>
          </w:tcPr>
          <w:p w14:paraId="78F66CB1">
            <w:pPr>
              <w:pStyle w:val="9"/>
              <w:jc w:val="right"/>
              <w:rPr>
                <w:rFonts w:hint="eastAsia" w:ascii="方正黑体简体" w:hAnsi="方正黑体简体" w:eastAsia="方正黑体简体" w:cs="方正黑体简体"/>
              </w:rPr>
            </w:pPr>
            <w:r>
              <w:rPr>
                <w:rFonts w:hint="eastAsia" w:ascii="方正黑体简体" w:hAnsi="方正黑体简体" w:eastAsia="方正黑体简体" w:cs="方正黑体简体"/>
              </w:rPr>
              <w:t>27,200.00</w:t>
            </w:r>
          </w:p>
        </w:tc>
        <w:tc>
          <w:tcPr>
            <w:tcW w:w="821" w:type="dxa"/>
          </w:tcPr>
          <w:p w14:paraId="5EB2B412">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软件和信息技术服务业</w:t>
            </w:r>
          </w:p>
        </w:tc>
        <w:tc>
          <w:tcPr>
            <w:tcW w:w="821" w:type="dxa"/>
          </w:tcPr>
          <w:p w14:paraId="5300E7AB">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否</w:t>
            </w:r>
          </w:p>
        </w:tc>
        <w:tc>
          <w:tcPr>
            <w:tcW w:w="821" w:type="dxa"/>
          </w:tcPr>
          <w:p w14:paraId="548472B6">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否</w:t>
            </w:r>
          </w:p>
        </w:tc>
        <w:tc>
          <w:tcPr>
            <w:tcW w:w="821" w:type="dxa"/>
          </w:tcPr>
          <w:p w14:paraId="06413749">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否</w:t>
            </w:r>
          </w:p>
        </w:tc>
        <w:tc>
          <w:tcPr>
            <w:tcW w:w="639" w:type="dxa"/>
          </w:tcPr>
          <w:p w14:paraId="740753F6">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否</w:t>
            </w:r>
          </w:p>
        </w:tc>
        <w:tc>
          <w:tcPr>
            <w:tcW w:w="639" w:type="dxa"/>
          </w:tcPr>
          <w:p w14:paraId="57C0E6A0">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否</w:t>
            </w:r>
          </w:p>
        </w:tc>
      </w:tr>
      <w:tr w14:paraId="70938D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3BA8A66">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3</w:t>
            </w:r>
          </w:p>
        </w:tc>
        <w:tc>
          <w:tcPr>
            <w:tcW w:w="821" w:type="dxa"/>
          </w:tcPr>
          <w:p w14:paraId="1065A182">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A02010105 台式计算机</w:t>
            </w:r>
          </w:p>
        </w:tc>
        <w:tc>
          <w:tcPr>
            <w:tcW w:w="821" w:type="dxa"/>
          </w:tcPr>
          <w:p w14:paraId="3524B150">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办公软件</w:t>
            </w:r>
          </w:p>
        </w:tc>
        <w:tc>
          <w:tcPr>
            <w:tcW w:w="821" w:type="dxa"/>
          </w:tcPr>
          <w:p w14:paraId="5646AB7F">
            <w:pPr>
              <w:pStyle w:val="9"/>
              <w:jc w:val="right"/>
              <w:rPr>
                <w:rFonts w:hint="eastAsia" w:ascii="方正黑体简体" w:hAnsi="方正黑体简体" w:eastAsia="方正黑体简体" w:cs="方正黑体简体"/>
              </w:rPr>
            </w:pPr>
            <w:r>
              <w:rPr>
                <w:rFonts w:hint="eastAsia" w:ascii="方正黑体简体" w:hAnsi="方正黑体简体" w:eastAsia="方正黑体简体" w:cs="方正黑体简体"/>
              </w:rPr>
              <w:t>68.00（套）</w:t>
            </w:r>
          </w:p>
        </w:tc>
        <w:tc>
          <w:tcPr>
            <w:tcW w:w="821" w:type="dxa"/>
          </w:tcPr>
          <w:p w14:paraId="7E66515B">
            <w:pPr>
              <w:pStyle w:val="9"/>
              <w:jc w:val="right"/>
              <w:rPr>
                <w:rFonts w:hint="eastAsia" w:ascii="方正黑体简体" w:hAnsi="方正黑体简体" w:eastAsia="方正黑体简体" w:cs="方正黑体简体"/>
              </w:rPr>
            </w:pPr>
            <w:r>
              <w:rPr>
                <w:rFonts w:hint="eastAsia" w:ascii="方正黑体简体" w:hAnsi="方正黑体简体" w:eastAsia="方正黑体简体" w:cs="方正黑体简体"/>
              </w:rPr>
              <w:t>29,920.00</w:t>
            </w:r>
          </w:p>
        </w:tc>
        <w:tc>
          <w:tcPr>
            <w:tcW w:w="821" w:type="dxa"/>
          </w:tcPr>
          <w:p w14:paraId="2C6D46B2">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软件和信息技术服务业</w:t>
            </w:r>
          </w:p>
        </w:tc>
        <w:tc>
          <w:tcPr>
            <w:tcW w:w="821" w:type="dxa"/>
          </w:tcPr>
          <w:p w14:paraId="21B0D877">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否</w:t>
            </w:r>
          </w:p>
        </w:tc>
        <w:tc>
          <w:tcPr>
            <w:tcW w:w="821" w:type="dxa"/>
          </w:tcPr>
          <w:p w14:paraId="12C15B8E">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否</w:t>
            </w:r>
          </w:p>
        </w:tc>
        <w:tc>
          <w:tcPr>
            <w:tcW w:w="821" w:type="dxa"/>
          </w:tcPr>
          <w:p w14:paraId="4E665723">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否</w:t>
            </w:r>
          </w:p>
        </w:tc>
        <w:tc>
          <w:tcPr>
            <w:tcW w:w="639" w:type="dxa"/>
          </w:tcPr>
          <w:p w14:paraId="481B2DD6">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否</w:t>
            </w:r>
          </w:p>
        </w:tc>
        <w:tc>
          <w:tcPr>
            <w:tcW w:w="639" w:type="dxa"/>
          </w:tcPr>
          <w:p w14:paraId="0FAFA779">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否</w:t>
            </w:r>
          </w:p>
        </w:tc>
      </w:tr>
    </w:tbl>
    <w:p w14:paraId="4A8EE7B2">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是否适用本国产品标准：是</w:t>
      </w:r>
    </w:p>
    <w:p w14:paraId="4A4DD4D8">
      <w:pPr>
        <w:pStyle w:val="9"/>
        <w:jc w:val="left"/>
        <w:outlineLvl w:val="3"/>
        <w:rPr>
          <w:rFonts w:hint="eastAsia" w:ascii="方正黑体简体" w:hAnsi="方正黑体简体" w:eastAsia="方正黑体简体" w:cs="方正黑体简体"/>
        </w:rPr>
      </w:pPr>
      <w:r>
        <w:rPr>
          <w:rFonts w:hint="eastAsia" w:ascii="方正黑体简体" w:hAnsi="方正黑体简体" w:eastAsia="方正黑体简体" w:cs="方正黑体简体"/>
          <w:b/>
          <w:sz w:val="24"/>
        </w:rPr>
        <w:t>报价要求</w:t>
      </w:r>
    </w:p>
    <w:p w14:paraId="2AAEFAA5">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66942E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221DAE0">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序号</w:t>
            </w:r>
          </w:p>
        </w:tc>
        <w:tc>
          <w:tcPr>
            <w:tcW w:w="1707" w:type="dxa"/>
          </w:tcPr>
          <w:p w14:paraId="26260F48">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报价内容</w:t>
            </w:r>
          </w:p>
        </w:tc>
        <w:tc>
          <w:tcPr>
            <w:tcW w:w="1138" w:type="dxa"/>
          </w:tcPr>
          <w:p w14:paraId="757F2A17">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数量（计量单位）</w:t>
            </w:r>
          </w:p>
        </w:tc>
        <w:tc>
          <w:tcPr>
            <w:tcW w:w="1365" w:type="dxa"/>
          </w:tcPr>
          <w:p w14:paraId="54FB8361">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最高限价</w:t>
            </w:r>
          </w:p>
        </w:tc>
        <w:tc>
          <w:tcPr>
            <w:tcW w:w="1138" w:type="dxa"/>
          </w:tcPr>
          <w:p w14:paraId="23813EBF">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价款形式</w:t>
            </w:r>
          </w:p>
        </w:tc>
        <w:tc>
          <w:tcPr>
            <w:tcW w:w="1934" w:type="dxa"/>
          </w:tcPr>
          <w:p w14:paraId="69AE1663">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报价说明</w:t>
            </w:r>
          </w:p>
        </w:tc>
      </w:tr>
      <w:tr w14:paraId="0BA477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A7004EE">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1</w:t>
            </w:r>
          </w:p>
        </w:tc>
        <w:tc>
          <w:tcPr>
            <w:tcW w:w="1707" w:type="dxa"/>
          </w:tcPr>
          <w:p w14:paraId="5973D5F2">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台式计算机</w:t>
            </w:r>
          </w:p>
        </w:tc>
        <w:tc>
          <w:tcPr>
            <w:tcW w:w="1138" w:type="dxa"/>
          </w:tcPr>
          <w:p w14:paraId="7F573290">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68.00（台）</w:t>
            </w:r>
          </w:p>
        </w:tc>
        <w:tc>
          <w:tcPr>
            <w:tcW w:w="1365" w:type="dxa"/>
          </w:tcPr>
          <w:p w14:paraId="0D9E2E3B">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322,864.00</w:t>
            </w:r>
          </w:p>
        </w:tc>
        <w:tc>
          <w:tcPr>
            <w:tcW w:w="1138" w:type="dxa"/>
          </w:tcPr>
          <w:p w14:paraId="547AF78E">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总价</w:t>
            </w:r>
          </w:p>
        </w:tc>
        <w:tc>
          <w:tcPr>
            <w:tcW w:w="1934" w:type="dxa"/>
          </w:tcPr>
          <w:p w14:paraId="6B879972">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无</w:t>
            </w:r>
          </w:p>
        </w:tc>
      </w:tr>
      <w:tr w14:paraId="547A92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85D835A">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2</w:t>
            </w:r>
          </w:p>
        </w:tc>
        <w:tc>
          <w:tcPr>
            <w:tcW w:w="1707" w:type="dxa"/>
          </w:tcPr>
          <w:p w14:paraId="06EE11FD">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桌面操作系统</w:t>
            </w:r>
          </w:p>
        </w:tc>
        <w:tc>
          <w:tcPr>
            <w:tcW w:w="1138" w:type="dxa"/>
          </w:tcPr>
          <w:p w14:paraId="38326BC8">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68.00（套）</w:t>
            </w:r>
          </w:p>
        </w:tc>
        <w:tc>
          <w:tcPr>
            <w:tcW w:w="1365" w:type="dxa"/>
          </w:tcPr>
          <w:p w14:paraId="7E04C3E8">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27,200.00</w:t>
            </w:r>
          </w:p>
        </w:tc>
        <w:tc>
          <w:tcPr>
            <w:tcW w:w="1138" w:type="dxa"/>
          </w:tcPr>
          <w:p w14:paraId="6FD8B2E1">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总价</w:t>
            </w:r>
          </w:p>
        </w:tc>
        <w:tc>
          <w:tcPr>
            <w:tcW w:w="1934" w:type="dxa"/>
          </w:tcPr>
          <w:p w14:paraId="0EEB2183">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无</w:t>
            </w:r>
          </w:p>
        </w:tc>
      </w:tr>
      <w:tr w14:paraId="372FA7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495489D">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3</w:t>
            </w:r>
          </w:p>
        </w:tc>
        <w:tc>
          <w:tcPr>
            <w:tcW w:w="1707" w:type="dxa"/>
          </w:tcPr>
          <w:p w14:paraId="395267FB">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办公软件</w:t>
            </w:r>
          </w:p>
        </w:tc>
        <w:tc>
          <w:tcPr>
            <w:tcW w:w="1138" w:type="dxa"/>
          </w:tcPr>
          <w:p w14:paraId="567EBCC6">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68.00（套）</w:t>
            </w:r>
          </w:p>
        </w:tc>
        <w:tc>
          <w:tcPr>
            <w:tcW w:w="1365" w:type="dxa"/>
          </w:tcPr>
          <w:p w14:paraId="43D9E921">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29,920.00</w:t>
            </w:r>
          </w:p>
        </w:tc>
        <w:tc>
          <w:tcPr>
            <w:tcW w:w="1138" w:type="dxa"/>
          </w:tcPr>
          <w:p w14:paraId="3B99012F">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总价</w:t>
            </w:r>
          </w:p>
        </w:tc>
        <w:tc>
          <w:tcPr>
            <w:tcW w:w="1934" w:type="dxa"/>
          </w:tcPr>
          <w:p w14:paraId="75D03A5B">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无</w:t>
            </w:r>
          </w:p>
        </w:tc>
      </w:tr>
    </w:tbl>
    <w:p w14:paraId="3A014EB6">
      <w:pPr>
        <w:pStyle w:val="9"/>
        <w:ind w:firstLine="480"/>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★注：投标人响应产品应当明确品牌和规格型号并指向唯一产品，不能指向唯一产品的，应通过报价表唯一产品说明栏补充说明。</w:t>
      </w:r>
    </w:p>
    <w:p w14:paraId="6CF59503">
      <w:pPr>
        <w:pStyle w:val="9"/>
        <w:jc w:val="left"/>
        <w:outlineLvl w:val="3"/>
        <w:rPr>
          <w:rFonts w:hint="eastAsia" w:ascii="方正黑体简体" w:hAnsi="方正黑体简体" w:eastAsia="方正黑体简体" w:cs="方正黑体简体"/>
        </w:rPr>
      </w:pPr>
      <w:r>
        <w:rPr>
          <w:rFonts w:hint="eastAsia" w:ascii="方正黑体简体" w:hAnsi="方正黑体简体" w:eastAsia="方正黑体简体" w:cs="方正黑体简体"/>
          <w:b/>
          <w:sz w:val="24"/>
        </w:rPr>
        <w:t>本项目涉及核心产品：</w:t>
      </w:r>
    </w:p>
    <w:p w14:paraId="3B38412F">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3280A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A439D93">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序号</w:t>
            </w:r>
          </w:p>
        </w:tc>
        <w:tc>
          <w:tcPr>
            <w:tcW w:w="2492" w:type="dxa"/>
          </w:tcPr>
          <w:p w14:paraId="5F022172">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采购品目名称</w:t>
            </w:r>
          </w:p>
        </w:tc>
        <w:tc>
          <w:tcPr>
            <w:tcW w:w="2492" w:type="dxa"/>
          </w:tcPr>
          <w:p w14:paraId="6E3AA0C5">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标的名称</w:t>
            </w:r>
          </w:p>
        </w:tc>
        <w:tc>
          <w:tcPr>
            <w:tcW w:w="2492" w:type="dxa"/>
          </w:tcPr>
          <w:p w14:paraId="7C03EC22">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产品名称</w:t>
            </w:r>
          </w:p>
        </w:tc>
      </w:tr>
      <w:tr w14:paraId="73BEC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E88D185">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1</w:t>
            </w:r>
          </w:p>
        </w:tc>
        <w:tc>
          <w:tcPr>
            <w:tcW w:w="2492" w:type="dxa"/>
          </w:tcPr>
          <w:p w14:paraId="020DBD57">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A02010105 台式计算机</w:t>
            </w:r>
          </w:p>
        </w:tc>
        <w:tc>
          <w:tcPr>
            <w:tcW w:w="2492" w:type="dxa"/>
          </w:tcPr>
          <w:p w14:paraId="230EB296">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台式计算机</w:t>
            </w:r>
          </w:p>
        </w:tc>
        <w:tc>
          <w:tcPr>
            <w:tcW w:w="2492" w:type="dxa"/>
          </w:tcPr>
          <w:p w14:paraId="10DE905A">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台式计算机</w:t>
            </w:r>
          </w:p>
        </w:tc>
      </w:tr>
    </w:tbl>
    <w:p w14:paraId="1617CA6D">
      <w:pPr>
        <w:pStyle w:val="9"/>
        <w:ind w:firstLine="480"/>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注：涉及核心产品的，具体评审规定见第五章。</w:t>
      </w:r>
    </w:p>
    <w:p w14:paraId="069CD6EF">
      <w:pPr>
        <w:pStyle w:val="9"/>
        <w:jc w:val="left"/>
        <w:outlineLvl w:val="3"/>
        <w:rPr>
          <w:rFonts w:hint="eastAsia" w:ascii="方正黑体简体" w:hAnsi="方正黑体简体" w:eastAsia="方正黑体简体" w:cs="方正黑体简体"/>
        </w:rPr>
      </w:pPr>
      <w:r>
        <w:rPr>
          <w:rFonts w:hint="eastAsia" w:ascii="方正黑体简体" w:hAnsi="方正黑体简体" w:eastAsia="方正黑体简体" w:cs="方正黑体简体"/>
          <w:b/>
          <w:sz w:val="24"/>
        </w:rPr>
        <w:t>本项目涉及采购进口产品：</w:t>
      </w:r>
    </w:p>
    <w:p w14:paraId="34A76D1E">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06882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BC20BCE">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序号</w:t>
            </w:r>
          </w:p>
        </w:tc>
        <w:tc>
          <w:tcPr>
            <w:tcW w:w="2492" w:type="dxa"/>
          </w:tcPr>
          <w:p w14:paraId="57E5CD2F">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采购品目名称</w:t>
            </w:r>
          </w:p>
        </w:tc>
        <w:tc>
          <w:tcPr>
            <w:tcW w:w="2492" w:type="dxa"/>
          </w:tcPr>
          <w:p w14:paraId="182F70DE">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标的名称</w:t>
            </w:r>
          </w:p>
        </w:tc>
        <w:tc>
          <w:tcPr>
            <w:tcW w:w="2492" w:type="dxa"/>
          </w:tcPr>
          <w:p w14:paraId="5A775539">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产品名称</w:t>
            </w:r>
          </w:p>
        </w:tc>
      </w:tr>
      <w:tr w14:paraId="28AE5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D0DDCAE">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不涉及</w:t>
            </w:r>
          </w:p>
        </w:tc>
      </w:tr>
    </w:tbl>
    <w:p w14:paraId="6A9E1949">
      <w:pPr>
        <w:pStyle w:val="9"/>
        <w:ind w:firstLine="480"/>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★注：不涉及采购进口产品时，投标人不得提供进口产品进行响应；涉及采购进口产品时，如国产产品满足采购需求，也可提供国产产品进行响应。</w:t>
      </w:r>
    </w:p>
    <w:p w14:paraId="24391672">
      <w:pPr>
        <w:pStyle w:val="9"/>
        <w:jc w:val="left"/>
        <w:outlineLvl w:val="3"/>
        <w:rPr>
          <w:rFonts w:hint="eastAsia" w:ascii="方正黑体简体" w:hAnsi="方正黑体简体" w:eastAsia="方正黑体简体" w:cs="方正黑体简体"/>
        </w:rPr>
      </w:pPr>
      <w:r>
        <w:rPr>
          <w:rFonts w:hint="eastAsia" w:ascii="方正黑体简体" w:hAnsi="方正黑体简体" w:eastAsia="方正黑体简体" w:cs="方正黑体简体"/>
          <w:b/>
          <w:sz w:val="24"/>
        </w:rPr>
        <w:t>本项目涉及强制采购节能产品：</w:t>
      </w:r>
    </w:p>
    <w:p w14:paraId="10A071E8">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45C4F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23BD772">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序号</w:t>
            </w:r>
          </w:p>
        </w:tc>
        <w:tc>
          <w:tcPr>
            <w:tcW w:w="2492" w:type="dxa"/>
          </w:tcPr>
          <w:p w14:paraId="64BADBBE">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采购品目名称</w:t>
            </w:r>
          </w:p>
        </w:tc>
        <w:tc>
          <w:tcPr>
            <w:tcW w:w="2492" w:type="dxa"/>
          </w:tcPr>
          <w:p w14:paraId="0F5DD1C6">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标的名称</w:t>
            </w:r>
          </w:p>
        </w:tc>
        <w:tc>
          <w:tcPr>
            <w:tcW w:w="2492" w:type="dxa"/>
          </w:tcPr>
          <w:p w14:paraId="69598AC2">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产品名称</w:t>
            </w:r>
          </w:p>
        </w:tc>
      </w:tr>
      <w:tr w14:paraId="044A8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257E808">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1</w:t>
            </w:r>
          </w:p>
        </w:tc>
        <w:tc>
          <w:tcPr>
            <w:tcW w:w="2492" w:type="dxa"/>
          </w:tcPr>
          <w:p w14:paraId="736FB430">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A02010105 台式计算机</w:t>
            </w:r>
          </w:p>
        </w:tc>
        <w:tc>
          <w:tcPr>
            <w:tcW w:w="2492" w:type="dxa"/>
          </w:tcPr>
          <w:p w14:paraId="6BB53574">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台式计算机</w:t>
            </w:r>
          </w:p>
        </w:tc>
        <w:tc>
          <w:tcPr>
            <w:tcW w:w="2492" w:type="dxa"/>
          </w:tcPr>
          <w:p w14:paraId="21CBA36C">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台式计算机</w:t>
            </w:r>
          </w:p>
        </w:tc>
      </w:tr>
    </w:tbl>
    <w:p w14:paraId="1F818A53">
      <w:pPr>
        <w:pStyle w:val="9"/>
        <w:ind w:firstLine="480"/>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3B7C212A">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b/>
        </w:rPr>
        <w:t>本项目涉及优先采购节能产品：</w:t>
      </w:r>
    </w:p>
    <w:p w14:paraId="5175D3F8">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CA46A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20D619D">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序号</w:t>
            </w:r>
          </w:p>
        </w:tc>
        <w:tc>
          <w:tcPr>
            <w:tcW w:w="2492" w:type="dxa"/>
          </w:tcPr>
          <w:p w14:paraId="0045C508">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采购品目名称</w:t>
            </w:r>
          </w:p>
        </w:tc>
        <w:tc>
          <w:tcPr>
            <w:tcW w:w="2492" w:type="dxa"/>
          </w:tcPr>
          <w:p w14:paraId="594FC41B">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标的名称</w:t>
            </w:r>
          </w:p>
        </w:tc>
        <w:tc>
          <w:tcPr>
            <w:tcW w:w="2492" w:type="dxa"/>
          </w:tcPr>
          <w:p w14:paraId="17B8E5CC">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产品名称</w:t>
            </w:r>
          </w:p>
        </w:tc>
      </w:tr>
      <w:tr w14:paraId="057DD4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2C7BE9B">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不涉及</w:t>
            </w:r>
          </w:p>
        </w:tc>
      </w:tr>
    </w:tbl>
    <w:p w14:paraId="7CFBB881">
      <w:pPr>
        <w:pStyle w:val="9"/>
        <w:ind w:firstLine="480"/>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5D5EB82A">
      <w:pPr>
        <w:pStyle w:val="9"/>
        <w:jc w:val="left"/>
        <w:outlineLvl w:val="3"/>
        <w:rPr>
          <w:rFonts w:hint="eastAsia" w:ascii="方正黑体简体" w:hAnsi="方正黑体简体" w:eastAsia="方正黑体简体" w:cs="方正黑体简体"/>
        </w:rPr>
      </w:pPr>
      <w:r>
        <w:rPr>
          <w:rFonts w:hint="eastAsia" w:ascii="方正黑体简体" w:hAnsi="方正黑体简体" w:eastAsia="方正黑体简体" w:cs="方正黑体简体"/>
          <w:b/>
          <w:sz w:val="24"/>
        </w:rPr>
        <w:t>本项目涉及优先采购环境标志产品：</w:t>
      </w:r>
    </w:p>
    <w:p w14:paraId="00DC56EC">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C556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7A93A20">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序号</w:t>
            </w:r>
          </w:p>
        </w:tc>
        <w:tc>
          <w:tcPr>
            <w:tcW w:w="2492" w:type="dxa"/>
          </w:tcPr>
          <w:p w14:paraId="3E35F773">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采购品目名称</w:t>
            </w:r>
          </w:p>
        </w:tc>
        <w:tc>
          <w:tcPr>
            <w:tcW w:w="2492" w:type="dxa"/>
          </w:tcPr>
          <w:p w14:paraId="65A085EC">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标的名称</w:t>
            </w:r>
          </w:p>
        </w:tc>
        <w:tc>
          <w:tcPr>
            <w:tcW w:w="2492" w:type="dxa"/>
          </w:tcPr>
          <w:p w14:paraId="6706DF62">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产品名称</w:t>
            </w:r>
          </w:p>
        </w:tc>
      </w:tr>
      <w:tr w14:paraId="33043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E287E0A">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1</w:t>
            </w:r>
          </w:p>
        </w:tc>
        <w:tc>
          <w:tcPr>
            <w:tcW w:w="2492" w:type="dxa"/>
          </w:tcPr>
          <w:p w14:paraId="53728F51">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A02010105 台式计算机</w:t>
            </w:r>
          </w:p>
        </w:tc>
        <w:tc>
          <w:tcPr>
            <w:tcW w:w="2492" w:type="dxa"/>
          </w:tcPr>
          <w:p w14:paraId="52065E6E">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台式计算机</w:t>
            </w:r>
          </w:p>
        </w:tc>
        <w:tc>
          <w:tcPr>
            <w:tcW w:w="2492" w:type="dxa"/>
          </w:tcPr>
          <w:p w14:paraId="0B6BFDCE">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台式计算机</w:t>
            </w:r>
          </w:p>
        </w:tc>
      </w:tr>
    </w:tbl>
    <w:p w14:paraId="401EAE25">
      <w:pPr>
        <w:pStyle w:val="9"/>
        <w:ind w:firstLine="480"/>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25330E16">
      <w:pPr>
        <w:pStyle w:val="9"/>
        <w:jc w:val="left"/>
        <w:outlineLvl w:val="2"/>
        <w:rPr>
          <w:rFonts w:hint="eastAsia" w:ascii="方正黑体简体" w:hAnsi="方正黑体简体" w:eastAsia="方正黑体简体" w:cs="方正黑体简体"/>
        </w:rPr>
      </w:pPr>
      <w:r>
        <w:rPr>
          <w:rFonts w:hint="eastAsia" w:ascii="方正黑体简体" w:hAnsi="方正黑体简体" w:eastAsia="方正黑体简体" w:cs="方正黑体简体"/>
          <w:b/>
          <w:sz w:val="28"/>
        </w:rPr>
        <w:t>3.2.技术要求</w:t>
      </w:r>
    </w:p>
    <w:p w14:paraId="2DB101E8">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采购包1：</w:t>
      </w:r>
    </w:p>
    <w:p w14:paraId="4C111D29">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标的名称：台式计算机</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49A8E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2FF812">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序号</w:t>
            </w:r>
          </w:p>
        </w:tc>
        <w:tc>
          <w:tcPr>
            <w:tcW w:w="581" w:type="dxa"/>
          </w:tcPr>
          <w:p w14:paraId="7D84373C">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符号标识</w:t>
            </w:r>
          </w:p>
        </w:tc>
        <w:tc>
          <w:tcPr>
            <w:tcW w:w="1495" w:type="dxa"/>
          </w:tcPr>
          <w:p w14:paraId="1D1BD2DD">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技术要求名称</w:t>
            </w:r>
          </w:p>
        </w:tc>
        <w:tc>
          <w:tcPr>
            <w:tcW w:w="5814" w:type="dxa"/>
          </w:tcPr>
          <w:p w14:paraId="790C71E6">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技术参数与性能指标</w:t>
            </w:r>
          </w:p>
        </w:tc>
      </w:tr>
      <w:tr w14:paraId="07754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42CC68">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1</w:t>
            </w:r>
          </w:p>
        </w:tc>
        <w:tc>
          <w:tcPr>
            <w:tcW w:w="581" w:type="dxa"/>
          </w:tcPr>
          <w:p w14:paraId="1D9AF3E4">
            <w:pPr>
              <w:rPr>
                <w:rFonts w:hint="eastAsia" w:ascii="方正黑体简体" w:hAnsi="方正黑体简体" w:eastAsia="方正黑体简体" w:cs="方正黑体简体"/>
              </w:rPr>
            </w:pPr>
          </w:p>
        </w:tc>
        <w:tc>
          <w:tcPr>
            <w:tcW w:w="1495" w:type="dxa"/>
          </w:tcPr>
          <w:p w14:paraId="49FF1686">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技术参数与性能指标</w:t>
            </w:r>
          </w:p>
        </w:tc>
        <w:tc>
          <w:tcPr>
            <w:tcW w:w="5814" w:type="dxa"/>
          </w:tcPr>
          <w:p w14:paraId="61B55AB8">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1.</w:t>
            </w:r>
            <w:r>
              <w:rPr>
                <w:rFonts w:hint="eastAsia" w:ascii="方正黑体简体" w:hAnsi="方正黑体简体" w:eastAsia="方正黑体简体" w:cs="方正黑体简体"/>
                <w:b/>
                <w:sz w:val="24"/>
              </w:rPr>
              <w:t>★</w:t>
            </w:r>
            <w:r>
              <w:rPr>
                <w:rFonts w:hint="eastAsia" w:ascii="方正黑体简体" w:hAnsi="方正黑体简体" w:eastAsia="方正黑体简体" w:cs="方正黑体简体"/>
                <w:sz w:val="24"/>
              </w:rPr>
              <w:t>CPU规格：处理器符合中国信息安全测评中心、国家保密科技测评中心的《安全可靠测评结果》。CPU物理核心数≥8核，每核心主频≥3.6 GHz， 末级缓存容量≥32MB，热设计功耗（TDP）≤80W；</w:t>
            </w:r>
            <w:r>
              <w:rPr>
                <w:rFonts w:hint="eastAsia" w:ascii="方正黑体简体" w:hAnsi="方正黑体简体" w:eastAsia="方正黑体简体" w:cs="方正黑体简体"/>
                <w:b/>
                <w:sz w:val="24"/>
              </w:rPr>
              <w:t>（供应商的响应文件需提供CPU符合安全可靠测评结果官网截图证明，并进行电子签章）</w:t>
            </w:r>
          </w:p>
          <w:p w14:paraId="7C4F8B71">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2.</w:t>
            </w:r>
            <w:r>
              <w:rPr>
                <w:rFonts w:hint="eastAsia" w:ascii="方正黑体简体" w:hAnsi="方正黑体简体" w:eastAsia="方正黑体简体" w:cs="方正黑体简体"/>
                <w:b/>
                <w:sz w:val="24"/>
              </w:rPr>
              <w:t>★</w:t>
            </w:r>
            <w:r>
              <w:rPr>
                <w:rFonts w:hint="eastAsia" w:ascii="方正黑体简体" w:hAnsi="方正黑体简体" w:eastAsia="方正黑体简体" w:cs="方正黑体简体"/>
                <w:sz w:val="24"/>
              </w:rPr>
              <w:t>主板PCI要求；≥1个PCIex 16,≥1个PCIex8,≥1个PCIex4；≥1个PCIex1；</w:t>
            </w:r>
          </w:p>
          <w:p w14:paraId="5B87900A">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3.</w:t>
            </w:r>
            <w:r>
              <w:rPr>
                <w:rFonts w:hint="eastAsia" w:ascii="方正黑体简体" w:hAnsi="方正黑体简体" w:eastAsia="方正黑体简体" w:cs="方正黑体简体"/>
                <w:b/>
                <w:sz w:val="24"/>
              </w:rPr>
              <w:t>★</w:t>
            </w:r>
            <w:r>
              <w:rPr>
                <w:rFonts w:hint="eastAsia" w:ascii="方正黑体简体" w:hAnsi="方正黑体简体" w:eastAsia="方正黑体简体" w:cs="方正黑体简体"/>
                <w:sz w:val="24"/>
              </w:rPr>
              <w:t>内存：≥16GB DDR4 3200Mhz， ≥2个内存插槽，最大支持64GB；</w:t>
            </w:r>
          </w:p>
          <w:p w14:paraId="1CF688FC">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4.</w:t>
            </w:r>
            <w:r>
              <w:rPr>
                <w:rFonts w:hint="eastAsia" w:ascii="方正黑体简体" w:hAnsi="方正黑体简体" w:eastAsia="方正黑体简体" w:cs="方正黑体简体"/>
                <w:b/>
                <w:sz w:val="24"/>
              </w:rPr>
              <w:t>★</w:t>
            </w:r>
            <w:r>
              <w:rPr>
                <w:rFonts w:hint="eastAsia" w:ascii="方正黑体简体" w:hAnsi="方正黑体简体" w:eastAsia="方正黑体简体" w:cs="方正黑体简体"/>
                <w:sz w:val="24"/>
              </w:rPr>
              <w:t>硬盘容量：≥512GBSSD固态硬盘，支持机械硬盘扩展；支持（SSD+SS D/SSD+HDD）多模式组合；</w:t>
            </w:r>
          </w:p>
          <w:p w14:paraId="24EB2FA1">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5.</w:t>
            </w:r>
            <w:r>
              <w:rPr>
                <w:rFonts w:hint="eastAsia" w:ascii="方正黑体简体" w:hAnsi="方正黑体简体" w:eastAsia="方正黑体简体" w:cs="方正黑体简体"/>
                <w:b/>
                <w:sz w:val="24"/>
              </w:rPr>
              <w:t>★</w:t>
            </w:r>
            <w:r>
              <w:rPr>
                <w:rFonts w:hint="eastAsia" w:ascii="方正黑体简体" w:hAnsi="方正黑体简体" w:eastAsia="方正黑体简体" w:cs="方正黑体简体"/>
                <w:sz w:val="24"/>
              </w:rPr>
              <w:t>显卡：高性能集成显卡；</w:t>
            </w:r>
          </w:p>
          <w:p w14:paraId="4C322DD1">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6.</w:t>
            </w:r>
            <w:r>
              <w:rPr>
                <w:rFonts w:hint="eastAsia" w:ascii="方正黑体简体" w:hAnsi="方正黑体简体" w:eastAsia="方正黑体简体" w:cs="方正黑体简体"/>
                <w:b/>
                <w:sz w:val="24"/>
              </w:rPr>
              <w:t>★</w:t>
            </w:r>
            <w:r>
              <w:rPr>
                <w:rFonts w:hint="eastAsia" w:ascii="方正黑体简体" w:hAnsi="方正黑体简体" w:eastAsia="方正黑体简体" w:cs="方正黑体简体"/>
                <w:sz w:val="24"/>
              </w:rPr>
              <w:t>鼠标键盘：USB有线键盘鼠标（防水抗菌键盘、抗菌鼠标）；</w:t>
            </w:r>
          </w:p>
          <w:p w14:paraId="4A62BB46">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7.</w:t>
            </w:r>
            <w:r>
              <w:rPr>
                <w:rFonts w:hint="eastAsia" w:ascii="方正黑体简体" w:hAnsi="方正黑体简体" w:eastAsia="方正黑体简体" w:cs="方正黑体简体"/>
                <w:b/>
                <w:sz w:val="24"/>
              </w:rPr>
              <w:t>★</w:t>
            </w:r>
            <w:r>
              <w:rPr>
                <w:rFonts w:hint="eastAsia" w:ascii="方正黑体简体" w:hAnsi="方正黑体简体" w:eastAsia="方正黑体简体" w:cs="方正黑体简体"/>
                <w:sz w:val="24"/>
              </w:rPr>
              <w:t>外部接口：USB接口总数≥8个，前置≥2个USB3.0， ≥2个USB2.0 ；可选1个Type-C接口）；后置≥2个USB3.0，≥2个USB2.0；所有USB接口非转接； M.2接口≥1个；SATA3.0接口≥3个，板载集成视频接口≥3个（非转接），≥2个PS2接口；</w:t>
            </w:r>
          </w:p>
          <w:p w14:paraId="3BC7AF6D">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8.</w:t>
            </w:r>
            <w:r>
              <w:rPr>
                <w:rFonts w:hint="eastAsia" w:ascii="方正黑体简体" w:hAnsi="方正黑体简体" w:eastAsia="方正黑体简体" w:cs="方正黑体简体"/>
                <w:b/>
                <w:sz w:val="24"/>
              </w:rPr>
              <w:t>★</w:t>
            </w:r>
            <w:r>
              <w:rPr>
                <w:rFonts w:hint="eastAsia" w:ascii="方正黑体简体" w:hAnsi="方正黑体简体" w:eastAsia="方正黑体简体" w:cs="方正黑体简体"/>
                <w:sz w:val="24"/>
              </w:rPr>
              <w:t>电源：≥200W；</w:t>
            </w:r>
          </w:p>
          <w:p w14:paraId="09D85BA0">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9.</w:t>
            </w:r>
            <w:r>
              <w:rPr>
                <w:rFonts w:hint="eastAsia" w:ascii="方正黑体简体" w:hAnsi="方正黑体简体" w:eastAsia="方正黑体简体" w:cs="方正黑体简体"/>
                <w:b/>
                <w:sz w:val="24"/>
              </w:rPr>
              <w:t>★</w:t>
            </w:r>
            <w:r>
              <w:rPr>
                <w:rFonts w:hint="eastAsia" w:ascii="方正黑体简体" w:hAnsi="方正黑体简体" w:eastAsia="方正黑体简体" w:cs="方正黑体简体"/>
                <w:sz w:val="24"/>
              </w:rPr>
              <w:t>显示设备要求</w:t>
            </w:r>
          </w:p>
          <w:p w14:paraId="4B3B2109">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（1）</w:t>
            </w:r>
            <w:r>
              <w:rPr>
                <w:rFonts w:hint="eastAsia" w:ascii="方正黑体简体" w:hAnsi="方正黑体简体" w:eastAsia="方正黑体简体" w:cs="方正黑体简体"/>
                <w:b/>
                <w:sz w:val="24"/>
              </w:rPr>
              <w:t>★</w:t>
            </w:r>
            <w:r>
              <w:rPr>
                <w:rFonts w:hint="eastAsia" w:ascii="方正黑体简体" w:hAnsi="方正黑体简体" w:eastAsia="方正黑体简体" w:cs="方正黑体简体"/>
                <w:sz w:val="24"/>
              </w:rPr>
              <w:t>显示屏屏占比：≥80%；</w:t>
            </w:r>
          </w:p>
          <w:p w14:paraId="609DAF2C">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（2）</w:t>
            </w:r>
            <w:r>
              <w:rPr>
                <w:rFonts w:hint="eastAsia" w:ascii="方正黑体简体" w:hAnsi="方正黑体简体" w:eastAsia="方正黑体简体" w:cs="方正黑体简体"/>
                <w:b/>
                <w:sz w:val="24"/>
              </w:rPr>
              <w:t>★</w:t>
            </w:r>
            <w:r>
              <w:rPr>
                <w:rFonts w:hint="eastAsia" w:ascii="方正黑体简体" w:hAnsi="方正黑体简体" w:eastAsia="方正黑体简体" w:cs="方正黑体简体"/>
                <w:sz w:val="24"/>
              </w:rPr>
              <w:t>显示屏分辨率：≥1920x1080；</w:t>
            </w:r>
          </w:p>
          <w:p w14:paraId="45807482">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（3）</w:t>
            </w:r>
            <w:r>
              <w:rPr>
                <w:rFonts w:hint="eastAsia" w:ascii="方正黑体简体" w:hAnsi="方正黑体简体" w:eastAsia="方正黑体简体" w:cs="方正黑体简体"/>
                <w:b/>
                <w:sz w:val="24"/>
              </w:rPr>
              <w:t>★</w:t>
            </w:r>
            <w:r>
              <w:rPr>
                <w:rFonts w:hint="eastAsia" w:ascii="方正黑体简体" w:hAnsi="方正黑体简体" w:eastAsia="方正黑体简体" w:cs="方正黑体简体"/>
                <w:sz w:val="24"/>
              </w:rPr>
              <w:t>显示屏尺寸：≥23.8英寸；</w:t>
            </w:r>
          </w:p>
          <w:p w14:paraId="2E052785">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（4）</w:t>
            </w:r>
            <w:r>
              <w:rPr>
                <w:rFonts w:hint="eastAsia" w:ascii="方正黑体简体" w:hAnsi="方正黑体简体" w:eastAsia="方正黑体简体" w:cs="方正黑体简体"/>
                <w:b/>
                <w:sz w:val="24"/>
              </w:rPr>
              <w:t>★</w:t>
            </w:r>
            <w:r>
              <w:rPr>
                <w:rFonts w:hint="eastAsia" w:ascii="方正黑体简体" w:hAnsi="方正黑体简体" w:eastAsia="方正黑体简体" w:cs="方正黑体简体"/>
                <w:sz w:val="24"/>
              </w:rPr>
              <w:t>显示屏屏幕比例：16:9；</w:t>
            </w:r>
          </w:p>
          <w:p w14:paraId="555D6CCC">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（5）</w:t>
            </w:r>
            <w:r>
              <w:rPr>
                <w:rFonts w:hint="eastAsia" w:ascii="方正黑体简体" w:hAnsi="方正黑体简体" w:eastAsia="方正黑体简体" w:cs="方正黑体简体"/>
                <w:b/>
                <w:sz w:val="24"/>
              </w:rPr>
              <w:t>★</w:t>
            </w:r>
            <w:r>
              <w:rPr>
                <w:rFonts w:hint="eastAsia" w:ascii="方正黑体简体" w:hAnsi="方正黑体简体" w:eastAsia="方正黑体简体" w:cs="方正黑体简体"/>
                <w:sz w:val="24"/>
              </w:rPr>
              <w:t>显示器外观颜色：黑色；</w:t>
            </w:r>
          </w:p>
          <w:p w14:paraId="0D9D3C58">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（6）</w:t>
            </w:r>
            <w:r>
              <w:rPr>
                <w:rFonts w:hint="eastAsia" w:ascii="方正黑体简体" w:hAnsi="方正黑体简体" w:eastAsia="方正黑体简体" w:cs="方正黑体简体"/>
                <w:b/>
                <w:sz w:val="24"/>
              </w:rPr>
              <w:t>★</w:t>
            </w:r>
            <w:r>
              <w:rPr>
                <w:rFonts w:hint="eastAsia" w:ascii="方正黑体简体" w:hAnsi="方正黑体简体" w:eastAsia="方正黑体简体" w:cs="方正黑体简体"/>
                <w:sz w:val="24"/>
              </w:rPr>
              <w:t>显示屏低频闪：显示屏支持低频闪≤-35dB；</w:t>
            </w:r>
          </w:p>
          <w:p w14:paraId="2D01C8B1">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（7）</w:t>
            </w:r>
            <w:r>
              <w:rPr>
                <w:rFonts w:hint="eastAsia" w:ascii="方正黑体简体" w:hAnsi="方正黑体简体" w:eastAsia="方正黑体简体" w:cs="方正黑体简体"/>
                <w:b/>
                <w:sz w:val="24"/>
              </w:rPr>
              <w:t>★</w:t>
            </w:r>
            <w:r>
              <w:rPr>
                <w:rFonts w:hint="eastAsia" w:ascii="方正黑体简体" w:hAnsi="方正黑体简体" w:eastAsia="方正黑体简体" w:cs="方正黑体简体"/>
                <w:sz w:val="24"/>
              </w:rPr>
              <w:t>显示屏防眩目：显示器镜面反射率≤10%；</w:t>
            </w:r>
          </w:p>
          <w:p w14:paraId="315D8974">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（8）</w:t>
            </w:r>
            <w:r>
              <w:rPr>
                <w:rFonts w:hint="eastAsia" w:ascii="方正黑体简体" w:hAnsi="方正黑体简体" w:eastAsia="方正黑体简体" w:cs="方正黑体简体"/>
                <w:b/>
                <w:sz w:val="24"/>
              </w:rPr>
              <w:t>★</w:t>
            </w:r>
            <w:r>
              <w:rPr>
                <w:rFonts w:hint="eastAsia" w:ascii="方正黑体简体" w:hAnsi="方正黑体简体" w:eastAsia="方正黑体简体" w:cs="方正黑体简体"/>
                <w:sz w:val="24"/>
              </w:rPr>
              <w:t>显示屏刷新率：≥100Hz；</w:t>
            </w:r>
          </w:p>
          <w:p w14:paraId="6055F88F">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1"/>
              </w:rPr>
              <w:t>10.★整机可靠性要求：MTBF≥100万小时；（供应商的响应文件需提供承诺函原件并进行电子签章，格式自拟）</w:t>
            </w:r>
          </w:p>
          <w:p w14:paraId="6EF8414D">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11.★兼容要求：支持流式软件、版式软件、浏览器、邮件采购人端、解压软件、多媒体、图形图像处理等常用软件；兼容满足≥9种（统信，麒麟，中科方德，东方亿盟，极域，金山，数科，360，奇安信，视宽科技，晟为）主流软硬件厂家的产品适配互认文件；</w:t>
            </w:r>
            <w:r>
              <w:rPr>
                <w:rFonts w:hint="eastAsia" w:ascii="方正黑体简体" w:hAnsi="方正黑体简体" w:eastAsia="方正黑体简体" w:cs="方正黑体简体"/>
                <w:b/>
                <w:sz w:val="24"/>
              </w:rPr>
              <w:t>（供应商的响应文件需提供适配互认文件证明材料复印件并进行电子签章）</w:t>
            </w:r>
          </w:p>
          <w:p w14:paraId="1190CEBC">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12. 机房管理软件</w:t>
            </w:r>
          </w:p>
          <w:p w14:paraId="64C574E0">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1）▲支持BIOS底层对终端进行还原类型设置，支持每次开机还原、手动还原、每天特定时间还原、每周特定时间还原、每月特定时间还原，以及不还原等多种数据还原方式，同时也可在Windows系统下通过主控端对被控端批量远程设置相同的还原参数。</w:t>
            </w:r>
            <w:r>
              <w:rPr>
                <w:rFonts w:hint="eastAsia" w:ascii="方正黑体简体" w:hAnsi="方正黑体简体" w:eastAsia="方正黑体简体" w:cs="方正黑体简体"/>
                <w:b/>
                <w:sz w:val="24"/>
              </w:rPr>
              <w:t>（供应商的响应文件需提供软件功能界面截图证明，并进行电子签章）</w:t>
            </w:r>
          </w:p>
          <w:p w14:paraId="7713D5F6">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（2）▲支持BIOS底层和Windows操作系统两种方式下，对管理员模式、还原模式、考试模式一键自由切换。</w:t>
            </w:r>
            <w:r>
              <w:rPr>
                <w:rFonts w:hint="eastAsia" w:ascii="方正黑体简体" w:hAnsi="方正黑体简体" w:eastAsia="方正黑体简体" w:cs="方正黑体简体"/>
                <w:b/>
                <w:sz w:val="24"/>
              </w:rPr>
              <w:t>（供应商的响应文件需提供软件功能界面截图证明，并进行电子签章）</w:t>
            </w:r>
          </w:p>
          <w:p w14:paraId="273C9F98">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（3）▲支持UEFI PXE和Legacy PXE双模式自动连线的智能对拷功能，可设置P2P、广播、组播、单播三种不同的智能对拷模式，以及根据实际网络情况设置全速、高速、快速、流畅四种延时类型，对拷过程中用户可查看当前对拷速度、当前对拷分区、延时、总剩余数据量、已用时间，剩余时间、克隆速率等相关对拷信息，实时掌握对拷进度和状态。</w:t>
            </w:r>
            <w:r>
              <w:rPr>
                <w:rFonts w:hint="eastAsia" w:ascii="方正黑体简体" w:hAnsi="方正黑体简体" w:eastAsia="方正黑体简体" w:cs="方正黑体简体"/>
                <w:b/>
                <w:sz w:val="24"/>
              </w:rPr>
              <w:t>（供应商的响应文件需提供软件功能界面截图证明，并进行电子签章）</w:t>
            </w:r>
          </w:p>
          <w:p w14:paraId="5FBA4548">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（4）支持虚拟系统快速建立功能，每个虚拟系统在BIOS底层开机启动菜单可显示到对应真实系统下，方便用户分辨虚拟系统和真实系统的所属关系，避免用户误操作。</w:t>
            </w:r>
            <w:r>
              <w:rPr>
                <w:rFonts w:hint="eastAsia" w:ascii="方正黑体简体" w:hAnsi="方正黑体简体" w:eastAsia="方正黑体简体" w:cs="方正黑体简体"/>
                <w:b/>
                <w:sz w:val="24"/>
              </w:rPr>
              <w:t>（供应商的响应文件需提供软件功能界面截图证明，并进行电子签章）</w:t>
            </w:r>
          </w:p>
          <w:p w14:paraId="550C8236">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（5）支持管理端登录超时机制，可设置从不、30分钟、1小时、3小时、6小时等不同超时时长。</w:t>
            </w:r>
            <w:r>
              <w:rPr>
                <w:rFonts w:hint="eastAsia" w:ascii="方正黑体简体" w:hAnsi="方正黑体简体" w:eastAsia="方正黑体简体" w:cs="方正黑体简体"/>
                <w:b/>
                <w:sz w:val="24"/>
              </w:rPr>
              <w:t>（供应商的响应文件需提供软件功能界面截图证明，并进行电子签章）</w:t>
            </w:r>
          </w:p>
          <w:p w14:paraId="276DE270">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（6）支持系统克隆功能，当需要安装多个相同系统时，无需重复多次安装操作，只需要在BIOS底层通过系统克隆功能即可完成多个系统的建立，同时可预设新克隆的系统数据还原方式</w:t>
            </w:r>
            <w:r>
              <w:rPr>
                <w:rFonts w:hint="eastAsia" w:ascii="方正黑体简体" w:hAnsi="方正黑体简体" w:eastAsia="方正黑体简体" w:cs="方正黑体简体"/>
                <w:b/>
                <w:sz w:val="24"/>
              </w:rPr>
              <w:t>。（供应商的响应文件需提供软件功能界面截图证明，并进行电子签章）</w:t>
            </w:r>
          </w:p>
          <w:p w14:paraId="50471A37">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（7）▲支持Windows系统下的在线考试功能，支持试卷编辑、下发试卷、开始考试、试卷查看、发送答案、试卷导出、停止考试等操作。</w:t>
            </w:r>
            <w:r>
              <w:rPr>
                <w:rFonts w:hint="eastAsia" w:ascii="方正黑体简体" w:hAnsi="方正黑体简体" w:eastAsia="方正黑体简体" w:cs="方正黑体简体"/>
                <w:b/>
                <w:sz w:val="24"/>
              </w:rPr>
              <w:t>（供应商的响应文件需提供软件功能界面截图证明，并进行电子签章）</w:t>
            </w:r>
          </w:p>
          <w:p w14:paraId="14DE38B1">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8）▲支持Windows系统下的随堂点名功能，点名过程中，学生端可输入班级、学号、姓名等信息，提交后教师端列表会显示当前点名的计算机名、学生名、班级、学号、在线状态、出勤状态、IP地址，学生总数、已签到人数、未签到人数等信息，也可将点名信息导出保存。</w:t>
            </w:r>
            <w:r>
              <w:rPr>
                <w:rFonts w:hint="eastAsia" w:ascii="方正黑体简体" w:hAnsi="方正黑体简体" w:eastAsia="方正黑体简体" w:cs="方正黑体简体"/>
                <w:b/>
                <w:sz w:val="24"/>
              </w:rPr>
              <w:t>（供应商的响应文件需提供软件功能界面截图证明，并进行电子签章）</w:t>
            </w:r>
          </w:p>
          <w:p w14:paraId="547E80A1">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（9）▲支持Windows系统下的发送消息功能，教师端对学生端可批量发送消息或通知，通知的内容会以滚动字幕的方式显示在接收端的系统桌面，滚动播放，时刻提醒用户注意查看重要信息。</w:t>
            </w:r>
            <w:r>
              <w:rPr>
                <w:rFonts w:hint="eastAsia" w:ascii="方正黑体简体" w:hAnsi="方正黑体简体" w:eastAsia="方正黑体简体" w:cs="方正黑体简体"/>
                <w:b/>
                <w:sz w:val="24"/>
              </w:rPr>
              <w:t>（供应商的响应文件需提供软件功能界面截图证明，并进行电子签章）</w:t>
            </w:r>
          </w:p>
          <w:p w14:paraId="1CE5A6D6">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（10）▲支持Windows系统下的本机操作功能，提供网络设置、快速保存、快速还原、分区设置、模式管理、系统切换、系统更新、智能USB、文件粉碎等多种本机管理功能。</w:t>
            </w:r>
            <w:r>
              <w:rPr>
                <w:rFonts w:hint="eastAsia" w:ascii="方正黑体简体" w:hAnsi="方正黑体简体" w:eastAsia="方正黑体简体" w:cs="方正黑体简体"/>
                <w:b/>
                <w:sz w:val="24"/>
              </w:rPr>
              <w:t>（供应商的响应文件需提供软件功能界面截图证明，并进行电子签章）</w:t>
            </w:r>
          </w:p>
          <w:p w14:paraId="7F35F439">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（11）▲可根据不同的终端硬件配置选择Intel集成显卡解码、NVIDIA显卡解码、DXVA2解码等多种不同的解码方式，实现最优的广播效果。</w:t>
            </w:r>
            <w:r>
              <w:rPr>
                <w:rFonts w:hint="eastAsia" w:ascii="方正黑体简体" w:hAnsi="方正黑体简体" w:eastAsia="方正黑体简体" w:cs="方正黑体简体"/>
                <w:b/>
                <w:sz w:val="24"/>
              </w:rPr>
              <w:t>（供应商的响应文件需提供软件功能界面截图证明，并进行电子签章）</w:t>
            </w:r>
          </w:p>
          <w:p w14:paraId="305A1C89">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12）▲支持Windows系统下组策略功能，教师端可对学生端批量禁止修改壁纸、禁止修改颜色外观和分辨率、禁止访问控制面板和设置、禁止访问注册表编辑器（Regedit.exe）、禁止访问关机、重启、睡眠和休眠命令、禁止访问设备管理器、禁止访问磁盘管理、禁止访问组策略编辑器、禁止访问计算机管理、禁止访问服务等多种管控机制，确保学生机教学环境不被损坏。</w:t>
            </w:r>
            <w:r>
              <w:rPr>
                <w:rFonts w:hint="eastAsia" w:ascii="方正黑体简体" w:hAnsi="方正黑体简体" w:eastAsia="方正黑体简体" w:cs="方正黑体简体"/>
                <w:b/>
                <w:sz w:val="24"/>
              </w:rPr>
              <w:t>（供应商的响应文件需提供软件功能界面截图证明，并进行电子签章）</w:t>
            </w:r>
          </w:p>
          <w:p w14:paraId="750C2C81">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13）▲支持Windows系统下的设备锁定功能，教师端可对学生端批量设置锁定键鼠、解锁键鼠、锁定屏幕、解锁屏幕、锁定USB、解锁USB、锁定光驱、解锁光驱、开启黑屏肃静、关闭黑屏肃静、禁用网络、启用网络、禁用扬声器、启用扬声器等多种操作。（</w:t>
            </w:r>
            <w:r>
              <w:rPr>
                <w:rFonts w:hint="eastAsia" w:ascii="方正黑体简体" w:hAnsi="方正黑体简体" w:eastAsia="方正黑体简体" w:cs="方正黑体简体"/>
                <w:b/>
                <w:sz w:val="24"/>
              </w:rPr>
              <w:t>供应商的响应文件需提供软件功能界面截图证明，并进行电子签章）</w:t>
            </w:r>
          </w:p>
          <w:p w14:paraId="5E16BCA9">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13.</w:t>
            </w:r>
            <w:r>
              <w:rPr>
                <w:rFonts w:hint="eastAsia" w:ascii="方正黑体简体" w:hAnsi="方正黑体简体" w:eastAsia="方正黑体简体" w:cs="方正黑体简体"/>
                <w:b/>
                <w:sz w:val="24"/>
              </w:rPr>
              <w:t>★</w:t>
            </w:r>
            <w:r>
              <w:rPr>
                <w:rFonts w:hint="eastAsia" w:ascii="方正黑体简体" w:hAnsi="方正黑体简体" w:eastAsia="方正黑体简体" w:cs="方正黑体简体"/>
                <w:sz w:val="24"/>
              </w:rPr>
              <w:t>其他未列明技术指标要求：供应商所投产品除以上参数外应满足财库〔2023〕29号关于印发《台式计算机政府采购需求标准(2023年版）》的通知文件中其他除“关键部件安全要求”外*指标要求。</w:t>
            </w:r>
            <w:r>
              <w:rPr>
                <w:rFonts w:hint="eastAsia" w:ascii="方正黑体简体" w:hAnsi="方正黑体简体" w:eastAsia="方正黑体简体" w:cs="方正黑体简体"/>
                <w:b/>
                <w:sz w:val="24"/>
              </w:rPr>
              <w:t>（供应商的响应文件需提供承诺函原件并进行电子签章，格式自拟）</w:t>
            </w:r>
          </w:p>
          <w:p w14:paraId="6F726369">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14.</w:t>
            </w:r>
            <w:r>
              <w:rPr>
                <w:rFonts w:hint="eastAsia" w:ascii="方正黑体简体" w:hAnsi="方正黑体简体" w:eastAsia="方正黑体简体" w:cs="方正黑体简体"/>
                <w:b/>
                <w:sz w:val="24"/>
              </w:rPr>
              <w:t>★</w:t>
            </w:r>
            <w:r>
              <w:rPr>
                <w:rFonts w:hint="eastAsia" w:ascii="方正黑体简体" w:hAnsi="方正黑体简体" w:eastAsia="方正黑体简体" w:cs="方正黑体简体"/>
                <w:sz w:val="24"/>
              </w:rPr>
              <w:t>供应商需提供国家强制性产品认证（3C认证）证书复印件或提供认证证书官网查询截图证明，并进行电子签章。</w:t>
            </w:r>
          </w:p>
          <w:p w14:paraId="48D7784E">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15.其他要求：为保证产品质量，供应商所供产品需享有品牌全国官方联保服务。</w:t>
            </w:r>
            <w:r>
              <w:rPr>
                <w:rFonts w:hint="eastAsia" w:ascii="方正黑体简体" w:hAnsi="方正黑体简体" w:eastAsia="方正黑体简体" w:cs="方正黑体简体"/>
                <w:b/>
                <w:sz w:val="24"/>
              </w:rPr>
              <w:t>（供应商的响应文件需提供品牌官网公示全国联保服务的完整截图，截图须清晰显示网页网址、页面内容，并在截图上进行电子签章）</w:t>
            </w:r>
          </w:p>
          <w:p w14:paraId="7E2FDAF1">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b/>
                <w:sz w:val="24"/>
              </w:rPr>
              <w:t>注：</w:t>
            </w:r>
          </w:p>
          <w:p w14:paraId="3C18DD1D">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b/>
                <w:sz w:val="24"/>
              </w:rPr>
              <w:t>★1.本项目涉及核心产品：台式计算机。</w:t>
            </w:r>
          </w:p>
          <w:p w14:paraId="36DB3003">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b/>
                <w:sz w:val="24"/>
              </w:rPr>
              <w:t>★2.本项目涉及强制采购节能产品：台式计算机。（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w:t>
            </w:r>
          </w:p>
          <w:p w14:paraId="74B400A8">
            <w:pPr>
              <w:pStyle w:val="9"/>
              <w:numPr>
                <w:ilvl w:val="0"/>
                <w:numId w:val="1"/>
              </w:numPr>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b/>
                <w:sz w:val="24"/>
              </w:rPr>
              <w:t>本项目涉及优先采购环境标志产品：台式计算机。（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w:t>
            </w:r>
          </w:p>
          <w:p w14:paraId="7B2FE205">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b/>
                <w:sz w:val="24"/>
              </w:rPr>
              <w:t>4.“▲”为重要技术参数条款，其他为一般技术参数；要求提供证明材料的条款，以供应商提供的证明材料为准，不提供或不满足按要求进行扣分，不影响其响应文件有效性。</w:t>
            </w:r>
          </w:p>
          <w:p w14:paraId="7E8045BA">
            <w:pPr>
              <w:pStyle w:val="9"/>
              <w:spacing w:after="120"/>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b/>
                <w:sz w:val="24"/>
              </w:rPr>
              <w:t>5.“★”技术参数条款为实质性要求，不允许负偏离。</w:t>
            </w:r>
          </w:p>
          <w:p w14:paraId="528BD8F6">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b/>
                <w:sz w:val="24"/>
              </w:rPr>
              <w:t>6.技术参数与性能指标中涉及的国家标准行业标准或地方标准若有最新标准以最新标准为准。</w:t>
            </w:r>
          </w:p>
          <w:p w14:paraId="4938021E">
            <w:pPr>
              <w:pStyle w:val="9"/>
              <w:jc w:val="left"/>
              <w:rPr>
                <w:rFonts w:hint="eastAsia" w:ascii="方正黑体简体" w:hAnsi="方正黑体简体" w:eastAsia="方正黑体简体" w:cs="方正黑体简体"/>
              </w:rPr>
            </w:pPr>
          </w:p>
        </w:tc>
      </w:tr>
    </w:tbl>
    <w:p w14:paraId="6C6268B0">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标的名称：桌面操作系统</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5DAA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5F3E7A0A">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序号</w:t>
            </w:r>
          </w:p>
        </w:tc>
        <w:tc>
          <w:tcPr>
            <w:tcW w:w="581" w:type="dxa"/>
          </w:tcPr>
          <w:p w14:paraId="2CC02C83">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符号标识</w:t>
            </w:r>
          </w:p>
        </w:tc>
        <w:tc>
          <w:tcPr>
            <w:tcW w:w="1495" w:type="dxa"/>
          </w:tcPr>
          <w:p w14:paraId="7988E0F2">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技术要求名称</w:t>
            </w:r>
          </w:p>
        </w:tc>
        <w:tc>
          <w:tcPr>
            <w:tcW w:w="5814" w:type="dxa"/>
          </w:tcPr>
          <w:p w14:paraId="12A94A76">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技术参数与性能指标</w:t>
            </w:r>
          </w:p>
        </w:tc>
      </w:tr>
      <w:tr w14:paraId="4F67E5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910090">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1</w:t>
            </w:r>
          </w:p>
        </w:tc>
        <w:tc>
          <w:tcPr>
            <w:tcW w:w="581" w:type="dxa"/>
          </w:tcPr>
          <w:p w14:paraId="54B43535">
            <w:pPr>
              <w:rPr>
                <w:rFonts w:hint="eastAsia" w:ascii="方正黑体简体" w:hAnsi="方正黑体简体" w:eastAsia="方正黑体简体" w:cs="方正黑体简体"/>
              </w:rPr>
            </w:pPr>
          </w:p>
        </w:tc>
        <w:tc>
          <w:tcPr>
            <w:tcW w:w="1495" w:type="dxa"/>
          </w:tcPr>
          <w:p w14:paraId="1DC8D25E">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技术参数与性能指标</w:t>
            </w:r>
          </w:p>
        </w:tc>
        <w:tc>
          <w:tcPr>
            <w:tcW w:w="5814" w:type="dxa"/>
          </w:tcPr>
          <w:p w14:paraId="66C5FAA1">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1.★操作系统应当符合安全可靠测评要求。</w:t>
            </w:r>
            <w:r>
              <w:rPr>
                <w:rFonts w:hint="eastAsia" w:ascii="方正黑体简体" w:hAnsi="方正黑体简体" w:eastAsia="方正黑体简体" w:cs="方正黑体简体"/>
                <w:b/>
                <w:sz w:val="24"/>
              </w:rPr>
              <w:t>（供应商的响应文件需提供通过中国信息安全测评中心或国家保密科技测评中心网站查看安全可靠测评结果截图证明，并进行电子签章）</w:t>
            </w:r>
          </w:p>
          <w:p w14:paraId="7BAA6F03">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2.★政府采购需求标准要求：满足财政部、工业和信息化部印发的《操作系统政府采购需求标准（2023年版）》文件中《桌面操作系统政府采购需求标准》规定的全部带“*”内容。</w:t>
            </w:r>
          </w:p>
          <w:p w14:paraId="6ADD16A8">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3.CPU支持：同源兼容ARM、AMD、LoongArch、MIPS 等平台架构的 CPU。</w:t>
            </w:r>
          </w:p>
          <w:p w14:paraId="31F491E4">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4.登录认证：当用户忘记密码后，需支持在公网环境、离线环境下通过手机号或邮箱方式快速找回密码。</w:t>
            </w:r>
            <w:r>
              <w:rPr>
                <w:rFonts w:hint="eastAsia" w:ascii="方正黑体简体" w:hAnsi="方正黑体简体" w:eastAsia="方正黑体简体" w:cs="方正黑体简体"/>
                <w:b/>
                <w:sz w:val="24"/>
              </w:rPr>
              <w:t>（供应商的响应文件需提供功能截图证明，并进行电子签章）</w:t>
            </w:r>
          </w:p>
          <w:p w14:paraId="5698E4BB">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5.系统修复工具：提供系统修复工具，当无法正常启动系统时，可以通过修复工具完成硬盘修复、磁盘清理、重置磁盘密码、引导修复、网络工具功能，方便系统维护。</w:t>
            </w:r>
            <w:r>
              <w:rPr>
                <w:rFonts w:hint="eastAsia" w:ascii="方正黑体简体" w:hAnsi="方正黑体简体" w:eastAsia="方正黑体简体" w:cs="方正黑体简体"/>
                <w:b/>
                <w:sz w:val="24"/>
              </w:rPr>
              <w:t>（供应商的响应文件需提供修复工具相关功能截图证明，并进行电子签章）</w:t>
            </w:r>
          </w:p>
          <w:p w14:paraId="164BAC07">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6.权限管控：系统具备开发者模式功能，为保障系统安全，未打开开发者模式无法获取root用户权限。同时具备应用软件数字签名的安全保护机制，确保安装应用软件来源可信，未签名的软件包无法正常安装成功。</w:t>
            </w:r>
            <w:r>
              <w:rPr>
                <w:rFonts w:hint="eastAsia" w:ascii="方正黑体简体" w:hAnsi="方正黑体简体" w:eastAsia="方正黑体简体" w:cs="方正黑体简体"/>
                <w:b/>
                <w:sz w:val="24"/>
              </w:rPr>
              <w:t>（供应商的响应文件需提供图形化打开开发者模式功能截图证明，并进行电子签章）</w:t>
            </w:r>
          </w:p>
          <w:p w14:paraId="64D587B3">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7.安全中心：系统预装自研安全中心，支持防火墙、登录安全、应用安全、联网控制、外设管理、病毒查杀等功能，支持接入至少2个杀毒引擎，支持病毒库自动升级。</w:t>
            </w:r>
            <w:r>
              <w:rPr>
                <w:rFonts w:hint="eastAsia" w:ascii="方正黑体简体" w:hAnsi="方正黑体简体" w:eastAsia="方正黑体简体" w:cs="方正黑体简体"/>
                <w:b/>
                <w:sz w:val="24"/>
              </w:rPr>
              <w:t>（供应商的响应文件需提供功能截图证明，并进行电子签章）</w:t>
            </w:r>
          </w:p>
          <w:p w14:paraId="0ABAC17A">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8.系统升级：操作系统支持保障安全升级的自动主备双根分区，支持升级自动备份，支持升级后回退机制，支持在图形界面设置不升级系统版本的情况下仅单独获取安全漏洞和兼容性相关更新等功能。</w:t>
            </w:r>
            <w:r>
              <w:rPr>
                <w:rFonts w:hint="eastAsia" w:ascii="方正黑体简体" w:hAnsi="方正黑体简体" w:eastAsia="方正黑体简体" w:cs="方正黑体简体"/>
                <w:b/>
                <w:sz w:val="24"/>
              </w:rPr>
              <w:t>（供应商的响应文件需提供功能截图证明，并进行电子签章）</w:t>
            </w:r>
          </w:p>
          <w:p w14:paraId="597CEE6B">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9.接口安全：系统支持USKI标准化内核安全框架，确保第三方安全模块可兼容主流安全开发标准；内核升级时，第三方安全模块应保持兼容性，不影响系统正常运行。</w:t>
            </w:r>
            <w:r>
              <w:rPr>
                <w:rFonts w:hint="eastAsia" w:ascii="方正黑体简体" w:hAnsi="方正黑体简体" w:eastAsia="方正黑体简体" w:cs="方正黑体简体"/>
                <w:b/>
                <w:sz w:val="24"/>
              </w:rPr>
              <w:t>（供应商的响应文件需提供接口介绍文档截图证明，并进行电子签章）</w:t>
            </w:r>
          </w:p>
          <w:p w14:paraId="79C4A219">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10.数据迁移：操作系统产品需预装自研数据迁移工具，支持在线、离线两种方式将windows上的数据迁移到操作系统上，便于用户快速完成化替换。</w:t>
            </w:r>
          </w:p>
          <w:p w14:paraId="181426E4">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11.基本功能：系统应具备桌面图标自动归类功能，支持对应用程序、文档、图片、文件夹等进行分类整理和生成桌面区域布局，减少桌面文件查找时间。</w:t>
            </w:r>
            <w:r>
              <w:rPr>
                <w:rFonts w:hint="eastAsia" w:ascii="方正黑体简体" w:hAnsi="方正黑体简体" w:eastAsia="方正黑体简体" w:cs="方正黑体简体"/>
                <w:b/>
                <w:sz w:val="24"/>
              </w:rPr>
              <w:t>（供应商的响应文件需提供功能截图证明，并进行电子签章）</w:t>
            </w:r>
          </w:p>
          <w:p w14:paraId="1DE81CE5">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12.操作系统产品具有应用商店，应用商店可针对教育行业提供教育专属应用，提供教育行业各地方教育资源平台入口。</w:t>
            </w:r>
          </w:p>
          <w:p w14:paraId="404CD2C7">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13.操作系统须具备集成AI助手的功能，并支持接入不同类型（如在线、本地、私有化部署）的AI模型，支持自定义划词AI快捷指令、MCP、联网搜索。需提供生成式人工智能服务和算法通过网信部门、国家互联网信息办公室登记与备案，符合国家对生成式AI的监管要求。</w:t>
            </w:r>
            <w:r>
              <w:rPr>
                <w:rFonts w:hint="eastAsia" w:ascii="方正黑体简体" w:hAnsi="方正黑体简体" w:eastAsia="方正黑体简体" w:cs="方正黑体简体"/>
                <w:b/>
                <w:sz w:val="24"/>
              </w:rPr>
              <w:t>（供应商的响应文件需提供互联网信息服务算法备案系统网站备案查询截图和国家互联网信息办公室登记备案清单复印件并进行电子签章）</w:t>
            </w:r>
          </w:p>
          <w:p w14:paraId="1A80D6E2">
            <w:pPr>
              <w:pStyle w:val="9"/>
              <w:ind w:firstLine="241"/>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b/>
                <w:sz w:val="24"/>
              </w:rPr>
              <w:t>注：</w:t>
            </w:r>
          </w:p>
          <w:p w14:paraId="17337E6C">
            <w:pPr>
              <w:pStyle w:val="9"/>
              <w:ind w:firstLine="241"/>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b/>
                <w:sz w:val="24"/>
              </w:rPr>
              <w:t>1.“▲”为重要技术参数条款，其他为一般技术参数；要求提供证明材料的条款，以供应商提供的证明材料为准，不提供或不满足按要求进行扣分，不影响其响应文件有效性。</w:t>
            </w:r>
          </w:p>
          <w:p w14:paraId="76488602">
            <w:pPr>
              <w:pStyle w:val="9"/>
              <w:spacing w:after="120"/>
              <w:ind w:firstLine="420"/>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b/>
                <w:sz w:val="24"/>
              </w:rPr>
              <w:t>2.“★”技术参数条款为实质性要求，不允许负偏离。</w:t>
            </w:r>
          </w:p>
          <w:p w14:paraId="5DF549A6">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b/>
                <w:sz w:val="24"/>
              </w:rPr>
              <w:t>3.技术参数与性能指标中涉及的国家标准行业标准或地方标准若有最新标准以最新标准为准。</w:t>
            </w:r>
          </w:p>
          <w:p w14:paraId="2A72EE42">
            <w:pPr>
              <w:pStyle w:val="9"/>
              <w:jc w:val="both"/>
              <w:rPr>
                <w:rFonts w:hint="eastAsia" w:ascii="方正黑体简体" w:hAnsi="方正黑体简体" w:eastAsia="方正黑体简体" w:cs="方正黑体简体"/>
              </w:rPr>
            </w:pPr>
          </w:p>
        </w:tc>
      </w:tr>
    </w:tbl>
    <w:p w14:paraId="6982844A">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标的名称：办公软件</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6B87D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663905">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序号</w:t>
            </w:r>
          </w:p>
        </w:tc>
        <w:tc>
          <w:tcPr>
            <w:tcW w:w="581" w:type="dxa"/>
          </w:tcPr>
          <w:p w14:paraId="2F929C11">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符号标识</w:t>
            </w:r>
          </w:p>
        </w:tc>
        <w:tc>
          <w:tcPr>
            <w:tcW w:w="1495" w:type="dxa"/>
          </w:tcPr>
          <w:p w14:paraId="4AA41DD4">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技术要求名称</w:t>
            </w:r>
          </w:p>
        </w:tc>
        <w:tc>
          <w:tcPr>
            <w:tcW w:w="5814" w:type="dxa"/>
          </w:tcPr>
          <w:p w14:paraId="444F085D">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技术参数与性能指标</w:t>
            </w:r>
          </w:p>
        </w:tc>
      </w:tr>
      <w:tr w14:paraId="0E06A6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294E07">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1</w:t>
            </w:r>
          </w:p>
        </w:tc>
        <w:tc>
          <w:tcPr>
            <w:tcW w:w="581" w:type="dxa"/>
          </w:tcPr>
          <w:p w14:paraId="51EF9380">
            <w:pPr>
              <w:rPr>
                <w:rFonts w:hint="eastAsia" w:ascii="方正黑体简体" w:hAnsi="方正黑体简体" w:eastAsia="方正黑体简体" w:cs="方正黑体简体"/>
              </w:rPr>
            </w:pPr>
          </w:p>
        </w:tc>
        <w:tc>
          <w:tcPr>
            <w:tcW w:w="1495" w:type="dxa"/>
          </w:tcPr>
          <w:p w14:paraId="01B9D4D9">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技术参数与性能指标</w:t>
            </w:r>
          </w:p>
        </w:tc>
        <w:tc>
          <w:tcPr>
            <w:tcW w:w="5814" w:type="dxa"/>
          </w:tcPr>
          <w:p w14:paraId="15F5098C">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1. 可运行在Windows或国产操作系统上的正版办公软件产品，包含文字处理、电子表格和演示文稿、PDF阅读器等功能模块，各模块可整合在同一窗口下，亦可分别在独立窗口中运行。</w:t>
            </w:r>
          </w:p>
          <w:p w14:paraId="05BAD9A5">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2.文件格式要求：所投办公软件能生成。doc/.docx/.dot/.wps/.xls/.xlsx/.ppt/.pptx等文件格式。</w:t>
            </w:r>
            <w:r>
              <w:rPr>
                <w:rFonts w:hint="eastAsia" w:ascii="方正黑体简体" w:hAnsi="方正黑体简体" w:eastAsia="方正黑体简体" w:cs="方正黑体简体"/>
                <w:b/>
                <w:sz w:val="24"/>
              </w:rPr>
              <w:t>（供应商的响应文件需提供软件功能截图证明，并进行电子签章）</w:t>
            </w:r>
          </w:p>
          <w:p w14:paraId="691B6956">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3.在服务端配合下，投标产品需要有文档安全功能服务，保障文档安全可控，可提供文档的阅读、打印、编辑、另存、复制、离线、授权等权限控件。</w:t>
            </w:r>
          </w:p>
          <w:p w14:paraId="1FFC1DA6">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4.演示模块制作演示文档，支持插入图片、图形、视频和音频来展示多彩的图像。所嵌入文件独立于来源文件，即使删除来源文件，已经嵌入文件仍能播放。支持文档、电子表格、演示文档支持输出为图片。输出为图片支持添加水印内容，选择图片品质。</w:t>
            </w:r>
          </w:p>
          <w:p w14:paraId="7F847505">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5.支持实时通讯能力，支持编辑在线智能文档格式时基于文档开启组织内成员的会话聊天，支持传统IM工具界面的一对一单聊会话和创建群聊会话；会话支持设置消息免打扰、聊天列表置顶等功能。</w:t>
            </w:r>
            <w:r>
              <w:rPr>
                <w:rFonts w:hint="eastAsia" w:ascii="方正黑体简体" w:hAnsi="方正黑体简体" w:eastAsia="方正黑体简体" w:cs="方正黑体简体"/>
                <w:b/>
                <w:sz w:val="24"/>
              </w:rPr>
              <w:t>（供应商的响应文件需提供软件功能截图证明，并进行电子签章）</w:t>
            </w:r>
          </w:p>
          <w:p w14:paraId="42E2A444">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sz w:val="24"/>
              </w:rPr>
              <w:t>6.</w:t>
            </w:r>
            <w:r>
              <w:rPr>
                <w:rFonts w:hint="eastAsia" w:ascii="方正黑体简体" w:hAnsi="方正黑体简体" w:eastAsia="方正黑体简体" w:cs="方正黑体简体"/>
                <w:b/>
                <w:sz w:val="24"/>
              </w:rPr>
              <w:t>★</w:t>
            </w:r>
            <w:r>
              <w:rPr>
                <w:rFonts w:hint="eastAsia" w:ascii="方正黑体简体" w:hAnsi="方正黑体简体" w:eastAsia="方正黑体简体" w:cs="方正黑体简体"/>
                <w:sz w:val="24"/>
              </w:rPr>
              <w:t>所投产品必须符合四川省教育厅办公室《2025 年教育系统推进使用正版软件工作计划》</w:t>
            </w:r>
            <w:r>
              <w:rPr>
                <w:rFonts w:hint="eastAsia" w:ascii="方正黑体简体" w:hAnsi="方正黑体简体" w:eastAsia="方正黑体简体" w:cs="方正黑体简体"/>
                <w:b/>
                <w:sz w:val="24"/>
              </w:rPr>
              <w:t>，</w:t>
            </w:r>
            <w:r>
              <w:rPr>
                <w:rFonts w:hint="eastAsia" w:ascii="方正黑体简体" w:hAnsi="方正黑体简体" w:eastAsia="方正黑体简体" w:cs="方正黑体简体"/>
                <w:sz w:val="24"/>
              </w:rPr>
              <w:t>中标供应商在签订合同时须提供官方可查的序列号或相关证明。</w:t>
            </w:r>
            <w:r>
              <w:rPr>
                <w:rFonts w:hint="eastAsia" w:ascii="方正黑体简体" w:hAnsi="方正黑体简体" w:eastAsia="方正黑体简体" w:cs="方正黑体简体"/>
                <w:b/>
                <w:sz w:val="24"/>
              </w:rPr>
              <w:t>（供应商的响应文件需提供承诺函原件并进行电子签章，格式自拟）</w:t>
            </w:r>
          </w:p>
          <w:p w14:paraId="3EC90925">
            <w:pPr>
              <w:pStyle w:val="9"/>
              <w:ind w:firstLine="241"/>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b/>
                <w:sz w:val="24"/>
              </w:rPr>
              <w:t>注：</w:t>
            </w:r>
          </w:p>
          <w:p w14:paraId="6888C0F4">
            <w:pPr>
              <w:pStyle w:val="9"/>
              <w:ind w:firstLine="241"/>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b/>
                <w:sz w:val="24"/>
              </w:rPr>
              <w:t>1.“▲”为重要技术参数条款，其他为一般技术参数；要求提供证明材料的条款，以供应商提供的证明材料为准，不提供或不满足按要求进行扣分，不影响其响应文件有效性。</w:t>
            </w:r>
          </w:p>
          <w:p w14:paraId="0857217E">
            <w:pPr>
              <w:pStyle w:val="9"/>
              <w:ind w:firstLine="241"/>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b/>
                <w:sz w:val="24"/>
              </w:rPr>
              <w:t>2.“★”技术参数条款为实质性要求，不允许负偏离。</w:t>
            </w:r>
          </w:p>
          <w:p w14:paraId="1F754893">
            <w:pPr>
              <w:pStyle w:val="9"/>
              <w:jc w:val="both"/>
              <w:rPr>
                <w:rFonts w:hint="eastAsia" w:ascii="方正黑体简体" w:hAnsi="方正黑体简体" w:eastAsia="方正黑体简体" w:cs="方正黑体简体"/>
              </w:rPr>
            </w:pPr>
            <w:r>
              <w:rPr>
                <w:rFonts w:hint="eastAsia" w:ascii="方正黑体简体" w:hAnsi="方正黑体简体" w:eastAsia="方正黑体简体" w:cs="方正黑体简体"/>
                <w:b/>
                <w:sz w:val="24"/>
              </w:rPr>
              <w:t>3.技术参数与性能指标中涉及的国家标准行业标准或地方标准若有最新标准以最新标准为准。</w:t>
            </w:r>
          </w:p>
          <w:p w14:paraId="277C5F3B">
            <w:pPr>
              <w:pStyle w:val="9"/>
              <w:jc w:val="both"/>
              <w:rPr>
                <w:rFonts w:hint="eastAsia" w:ascii="方正黑体简体" w:hAnsi="方正黑体简体" w:eastAsia="方正黑体简体" w:cs="方正黑体简体"/>
              </w:rPr>
            </w:pPr>
          </w:p>
        </w:tc>
      </w:tr>
    </w:tbl>
    <w:p w14:paraId="5E51EA5F">
      <w:pPr>
        <w:pStyle w:val="9"/>
        <w:jc w:val="left"/>
        <w:outlineLvl w:val="2"/>
        <w:rPr>
          <w:rFonts w:hint="eastAsia" w:ascii="方正黑体简体" w:hAnsi="方正黑体简体" w:eastAsia="方正黑体简体" w:cs="方正黑体简体"/>
        </w:rPr>
      </w:pPr>
      <w:r>
        <w:rPr>
          <w:rFonts w:hint="eastAsia" w:ascii="方正黑体简体" w:hAnsi="方正黑体简体" w:eastAsia="方正黑体简体" w:cs="方正黑体简体"/>
          <w:b/>
          <w:sz w:val="28"/>
        </w:rPr>
        <w:t>3.3.服务要求</w:t>
      </w:r>
    </w:p>
    <w:p w14:paraId="53B3D9BE">
      <w:pPr>
        <w:pStyle w:val="9"/>
        <w:jc w:val="left"/>
        <w:outlineLvl w:val="3"/>
        <w:rPr>
          <w:rFonts w:hint="eastAsia" w:ascii="方正黑体简体" w:hAnsi="方正黑体简体" w:eastAsia="方正黑体简体" w:cs="方正黑体简体"/>
        </w:rPr>
      </w:pPr>
      <w:r>
        <w:rPr>
          <w:rFonts w:hint="eastAsia" w:ascii="方正黑体简体" w:hAnsi="方正黑体简体" w:eastAsia="方正黑体简体" w:cs="方正黑体简体"/>
          <w:b/>
          <w:sz w:val="24"/>
        </w:rPr>
        <w:t>3.3.1.服务内容要求</w:t>
      </w:r>
    </w:p>
    <w:p w14:paraId="37ED6729">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786BB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E6DD173">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 xml:space="preserve"> 序号</w:t>
            </w:r>
          </w:p>
        </w:tc>
        <w:tc>
          <w:tcPr>
            <w:tcW w:w="581" w:type="dxa"/>
          </w:tcPr>
          <w:p w14:paraId="129C5C96">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 xml:space="preserve"> 符号标识</w:t>
            </w:r>
          </w:p>
        </w:tc>
        <w:tc>
          <w:tcPr>
            <w:tcW w:w="1495" w:type="dxa"/>
          </w:tcPr>
          <w:p w14:paraId="5607BD8B">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 xml:space="preserve"> 服务要求名称</w:t>
            </w:r>
          </w:p>
        </w:tc>
        <w:tc>
          <w:tcPr>
            <w:tcW w:w="5814" w:type="dxa"/>
          </w:tcPr>
          <w:p w14:paraId="0902DF4F">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 xml:space="preserve"> 服务要求内容</w:t>
            </w:r>
          </w:p>
        </w:tc>
      </w:tr>
      <w:tr w14:paraId="270E0D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3039FC">
            <w:pPr>
              <w:pStyle w:val="9"/>
              <w:jc w:val="center"/>
              <w:rPr>
                <w:rFonts w:hint="eastAsia" w:ascii="方正黑体简体" w:hAnsi="方正黑体简体" w:eastAsia="方正黑体简体" w:cs="方正黑体简体"/>
              </w:rPr>
            </w:pPr>
            <w:r>
              <w:rPr>
                <w:rFonts w:hint="eastAsia" w:ascii="方正黑体简体" w:hAnsi="方正黑体简体" w:eastAsia="方正黑体简体" w:cs="方正黑体简体"/>
              </w:rPr>
              <w:t>1</w:t>
            </w:r>
          </w:p>
        </w:tc>
        <w:tc>
          <w:tcPr>
            <w:tcW w:w="581" w:type="dxa"/>
          </w:tcPr>
          <w:p w14:paraId="04C695C0">
            <w:pPr>
              <w:rPr>
                <w:rFonts w:hint="eastAsia" w:ascii="方正黑体简体" w:hAnsi="方正黑体简体" w:eastAsia="方正黑体简体" w:cs="方正黑体简体"/>
              </w:rPr>
            </w:pPr>
          </w:p>
        </w:tc>
        <w:tc>
          <w:tcPr>
            <w:tcW w:w="1495" w:type="dxa"/>
          </w:tcPr>
          <w:p w14:paraId="4352CC15">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其他服务要求</w:t>
            </w:r>
          </w:p>
        </w:tc>
        <w:tc>
          <w:tcPr>
            <w:tcW w:w="5814" w:type="dxa"/>
          </w:tcPr>
          <w:p w14:paraId="43C10787">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针对本项目台式计算机、桌面操作系统、办公软件，作其他服务要求：</w:t>
            </w:r>
          </w:p>
          <w:p w14:paraId="5461BCF0">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本项目台式计算机、桌面操作系统、办公软件的采购需求是采购人针对项目实际情况提出的基本需求，为保障本项目履约质量，采购人期望获得供应商在满足此基础之上更优化的履约能力。供应商可以根据自身情况据实提供以下方案:</w:t>
            </w:r>
          </w:p>
          <w:p w14:paraId="0C2DF44C">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1.供应商根据自身情况提供有利于本项目的实施方案包含：①供货方案；②运输、装卸货物工具准备；③执行方案；④定制化服务；⑤确保按时供货的措施；⑥保障措施；⑦质量控制方案；⑧交接货方案。</w:t>
            </w:r>
          </w:p>
          <w:p w14:paraId="53B2A635">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2.供应商根据自身情况提供有利于本项目的售后服务方案，包含：①售后服务内容；②售后响应效率保障措施；③售后人员安排；④售后服务点及服务电话设置；⑤产品更换程序；⑥质保期满后货物服务内容；⑦售后培训计划。</w:t>
            </w:r>
          </w:p>
          <w:p w14:paraId="71F5361E">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b/>
              </w:rPr>
              <w:t>注：此项为评审依据，未完全满足仅按要求进行扣分，不影响其响应文件有效性。</w:t>
            </w:r>
          </w:p>
        </w:tc>
      </w:tr>
    </w:tbl>
    <w:p w14:paraId="56A46840">
      <w:pPr>
        <w:pStyle w:val="9"/>
        <w:jc w:val="left"/>
        <w:outlineLvl w:val="3"/>
        <w:rPr>
          <w:rFonts w:hint="eastAsia" w:ascii="方正黑体简体" w:hAnsi="方正黑体简体" w:eastAsia="方正黑体简体" w:cs="方正黑体简体"/>
        </w:rPr>
      </w:pPr>
      <w:r>
        <w:rPr>
          <w:rFonts w:hint="eastAsia" w:ascii="方正黑体简体" w:hAnsi="方正黑体简体" w:eastAsia="方正黑体简体" w:cs="方正黑体简体"/>
          <w:b/>
          <w:sz w:val="24"/>
        </w:rPr>
        <w:t>3.3.2.商务要求</w:t>
      </w:r>
    </w:p>
    <w:p w14:paraId="33EC7EB4">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2C4BC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1A8334C">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序号</w:t>
            </w:r>
          </w:p>
        </w:tc>
        <w:tc>
          <w:tcPr>
            <w:tcW w:w="2076" w:type="dxa"/>
          </w:tcPr>
          <w:p w14:paraId="50378F9B">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符号标识</w:t>
            </w:r>
          </w:p>
        </w:tc>
        <w:tc>
          <w:tcPr>
            <w:tcW w:w="2076" w:type="dxa"/>
          </w:tcPr>
          <w:p w14:paraId="045FA7B2">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商务要求名称</w:t>
            </w:r>
          </w:p>
        </w:tc>
        <w:tc>
          <w:tcPr>
            <w:tcW w:w="2076" w:type="dxa"/>
          </w:tcPr>
          <w:p w14:paraId="356869D4">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商务要求内容</w:t>
            </w:r>
          </w:p>
        </w:tc>
      </w:tr>
      <w:tr w14:paraId="0F4F80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FB40254">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1</w:t>
            </w:r>
          </w:p>
        </w:tc>
        <w:tc>
          <w:tcPr>
            <w:tcW w:w="2076" w:type="dxa"/>
          </w:tcPr>
          <w:p w14:paraId="56AD2B9B">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w:t>
            </w:r>
          </w:p>
        </w:tc>
        <w:tc>
          <w:tcPr>
            <w:tcW w:w="2076" w:type="dxa"/>
          </w:tcPr>
          <w:p w14:paraId="71B6A9E9">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交货时间</w:t>
            </w:r>
          </w:p>
        </w:tc>
        <w:tc>
          <w:tcPr>
            <w:tcW w:w="2076" w:type="dxa"/>
          </w:tcPr>
          <w:p w14:paraId="4A77A7AD">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合同签订之日起30日内完成交付。</w:t>
            </w:r>
          </w:p>
        </w:tc>
      </w:tr>
      <w:tr w14:paraId="07451F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D55A61B">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2</w:t>
            </w:r>
          </w:p>
        </w:tc>
        <w:tc>
          <w:tcPr>
            <w:tcW w:w="2076" w:type="dxa"/>
          </w:tcPr>
          <w:p w14:paraId="17E51325">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w:t>
            </w:r>
          </w:p>
        </w:tc>
        <w:tc>
          <w:tcPr>
            <w:tcW w:w="2076" w:type="dxa"/>
          </w:tcPr>
          <w:p w14:paraId="2B441AA2">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交货地点</w:t>
            </w:r>
          </w:p>
        </w:tc>
        <w:tc>
          <w:tcPr>
            <w:tcW w:w="2076" w:type="dxa"/>
          </w:tcPr>
          <w:p w14:paraId="3DC82A80">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威远县严陵镇中心学校</w:t>
            </w:r>
          </w:p>
        </w:tc>
      </w:tr>
      <w:tr w14:paraId="5792BD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9C525DB">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3</w:t>
            </w:r>
          </w:p>
        </w:tc>
        <w:tc>
          <w:tcPr>
            <w:tcW w:w="2076" w:type="dxa"/>
          </w:tcPr>
          <w:p w14:paraId="0F182027">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w:t>
            </w:r>
          </w:p>
        </w:tc>
        <w:tc>
          <w:tcPr>
            <w:tcW w:w="2076" w:type="dxa"/>
          </w:tcPr>
          <w:p w14:paraId="3DF00762">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支付方式</w:t>
            </w:r>
          </w:p>
        </w:tc>
        <w:tc>
          <w:tcPr>
            <w:tcW w:w="2076" w:type="dxa"/>
          </w:tcPr>
          <w:p w14:paraId="5D07DD3F">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分期付款</w:t>
            </w:r>
          </w:p>
        </w:tc>
      </w:tr>
      <w:tr w14:paraId="2789B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91DA14E">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4</w:t>
            </w:r>
          </w:p>
        </w:tc>
        <w:tc>
          <w:tcPr>
            <w:tcW w:w="2076" w:type="dxa"/>
          </w:tcPr>
          <w:p w14:paraId="345DC495">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w:t>
            </w:r>
          </w:p>
        </w:tc>
        <w:tc>
          <w:tcPr>
            <w:tcW w:w="2076" w:type="dxa"/>
          </w:tcPr>
          <w:p w14:paraId="68E18B4F">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付款进度安排</w:t>
            </w:r>
          </w:p>
        </w:tc>
        <w:tc>
          <w:tcPr>
            <w:tcW w:w="2076" w:type="dxa"/>
          </w:tcPr>
          <w:p w14:paraId="7386CFB6">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1付款条件：合同签订后，中标供应商向采购人提供合法有效完整的票据，采购人向中标供应商支付预付款，达到该付款条件起15个工作日内，支付合同总金额的20.00%</w:t>
            </w:r>
          </w:p>
          <w:p w14:paraId="1F7D19B7">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2付款条件：产品验收合格后，中标供应商向采购人提供合法有效完整的票据，达到该付款条件起15个工作日内，支付合同总金额的80.00%</w:t>
            </w:r>
          </w:p>
        </w:tc>
      </w:tr>
      <w:tr w14:paraId="3E5052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38B16B9">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5</w:t>
            </w:r>
          </w:p>
        </w:tc>
        <w:tc>
          <w:tcPr>
            <w:tcW w:w="2076" w:type="dxa"/>
          </w:tcPr>
          <w:p w14:paraId="3E70FA9A">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w:t>
            </w:r>
          </w:p>
        </w:tc>
        <w:tc>
          <w:tcPr>
            <w:tcW w:w="2076" w:type="dxa"/>
          </w:tcPr>
          <w:p w14:paraId="780BA765">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验收、交付标准和方法</w:t>
            </w:r>
          </w:p>
        </w:tc>
        <w:tc>
          <w:tcPr>
            <w:tcW w:w="2076" w:type="dxa"/>
          </w:tcPr>
          <w:p w14:paraId="07BB52CB">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1）按照政府采购相关法律法规以及《财政部关于进一步加强政府采购需求和履约验收管理的指导意见》（财库〔2016〕205号）的要求、采购文件的质量要求和技术指标、供应商的响应文件及承诺以及合同约定标准进行验收。（2）采购人最终整体验收结果合格的，供应商凭验收报告办理相关手续，采购人按采购合同约定支付合同款；验收结果不合格的，不予支付合同尾款。</w:t>
            </w:r>
          </w:p>
        </w:tc>
      </w:tr>
      <w:tr w14:paraId="3F8D0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D55C897">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6</w:t>
            </w:r>
          </w:p>
        </w:tc>
        <w:tc>
          <w:tcPr>
            <w:tcW w:w="2076" w:type="dxa"/>
          </w:tcPr>
          <w:p w14:paraId="0C7E37BF">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w:t>
            </w:r>
          </w:p>
        </w:tc>
        <w:tc>
          <w:tcPr>
            <w:tcW w:w="2076" w:type="dxa"/>
          </w:tcPr>
          <w:p w14:paraId="3BE0458A">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包装方式及运输</w:t>
            </w:r>
          </w:p>
        </w:tc>
        <w:tc>
          <w:tcPr>
            <w:tcW w:w="2076" w:type="dxa"/>
          </w:tcPr>
          <w:p w14:paraId="1D75F522">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r w14:paraId="444BE4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32473E3">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7</w:t>
            </w:r>
          </w:p>
        </w:tc>
        <w:tc>
          <w:tcPr>
            <w:tcW w:w="2076" w:type="dxa"/>
          </w:tcPr>
          <w:p w14:paraId="17B0956B">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w:t>
            </w:r>
          </w:p>
        </w:tc>
        <w:tc>
          <w:tcPr>
            <w:tcW w:w="2076" w:type="dxa"/>
          </w:tcPr>
          <w:p w14:paraId="65E04A5A">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质量保修范围和保修期</w:t>
            </w:r>
          </w:p>
        </w:tc>
        <w:tc>
          <w:tcPr>
            <w:tcW w:w="2076" w:type="dxa"/>
          </w:tcPr>
          <w:p w14:paraId="54BE13AF">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1、质保期：自终验合格之日起3年(产品本身厂家质保期大于等于3年的以产品厂家本身质保期为准)；供应商提供自检测试工具；供应商提供现场、电话、电子邮件、远程连接等多种形式服务；提供原厂中文服务；质保期内提供产品的维修、换件和升级等服务，维修更换的零配件须为原厂、正品；设备停产后应继续提供质量保障服务（含备品备件），服务终止时间与最后一批设备交付时间间隔不低于6年；产品停止服务时间应提前1年告知；供应商提供培训材料、产品手册、培训视频等培训相关内容；供应商提供典型问题解决说明文档或视频；供应商提供产品合格证；供应链合规性：供应商保障产品主要部件，提供6年的备件服务（自购买之日起），或提供可兼容原设备的升级换代产品；当产品部件出现供应风险时，供应商应通知采购人并提供风险应对方案确保产品的服务保障；供应商提供供应链稳定承诺书，确保产品的部件在产品服务周期内稳定供货。 2、供应商提供技术服务：供应商提供至少2名技术人员，在质保期内完成采购人需要的应用程序安装、软硬件问题维护、故障维修等日常技术保障服务，设备发生紧急故障时，维修人员须15分钟内抵达现场开展处置工作，一般故障维修人员须在30分钟内到场、2小时内完成解决故障。供应商提供备机服务：供应商必须在2小时内完成硬件故障排除，否则应提供不低于采购设备配置的备机。质保期满后，供应商仍应履行保修义务，只收取材料费。供应商及厂家除提供售后服务外，还应指导和配合采购人开展设备使用质量管理工作。</w:t>
            </w:r>
          </w:p>
        </w:tc>
      </w:tr>
      <w:tr w14:paraId="68587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896C2E7">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8</w:t>
            </w:r>
          </w:p>
        </w:tc>
        <w:tc>
          <w:tcPr>
            <w:tcW w:w="2076" w:type="dxa"/>
          </w:tcPr>
          <w:p w14:paraId="14FCC911">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w:t>
            </w:r>
          </w:p>
        </w:tc>
        <w:tc>
          <w:tcPr>
            <w:tcW w:w="2076" w:type="dxa"/>
          </w:tcPr>
          <w:p w14:paraId="398FB6C5">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违约责任与解决争议的方法</w:t>
            </w:r>
          </w:p>
        </w:tc>
        <w:tc>
          <w:tcPr>
            <w:tcW w:w="2076" w:type="dxa"/>
          </w:tcPr>
          <w:p w14:paraId="0DFADC3B">
            <w:pPr>
              <w:pStyle w:val="9"/>
              <w:jc w:val="left"/>
              <w:rPr>
                <w:rFonts w:hint="eastAsia" w:ascii="方正黑体简体" w:hAnsi="方正黑体简体" w:eastAsia="方正黑体简体" w:cs="方正黑体简体"/>
              </w:rPr>
            </w:pPr>
            <w:r>
              <w:rPr>
                <w:rFonts w:hint="eastAsia" w:ascii="方正黑体简体" w:hAnsi="方正黑体简体" w:eastAsia="方正黑体简体" w:cs="方正黑体简体"/>
              </w:rPr>
              <w:t>一、违约责任：1、供应商未按合同约定时间供货，每逾期一日，供应商应按合同总金额的1%向采购人支付违约金；逾期超过三十日，采购人有权解除合同，供应商应按合同总金额的 20% 向采购人支付违约金。如违约金不足以弥补采购人损失的，供应商应对差额部分进行全额补足。同时，履约保证金采购人有权不予退还。2、供应商交付货物的规格、型号、数量、质量、外包装不符合合同约定的，供应商应在采购人限定的期限内进行整改。如未按时整改或整改后仍不符合要求，视为供应商违约，采购人有权解除合同，供应商应按照合同总金额的20%支付违约金。如违约金不足以弥补采购人损失的，供应商应对差额部分进行全额补足。同时，履约保证金采购人有权不予退还。3、供应商所供货物如因质量问题给采购人或第三方造成损害的，应由供应商承担全部赔偿责任。若采购人已先行赔偿的，采购人有权向供应商全额追偿。4、供应商未按约定履行售后服务，每出现一次，供应商应按照1000元/次的标准向采购人支付违约金，且采购人有权另行选择第三方供应商提供售后服务，由此产生的相关费用及责任由供应商承担。5、如因一方违约导致解除合同，违约方应向守约方支付合同总金额的 30% ，违约金不足以弥补守约方实际损失的，由违约方予以补足，守约方有权向违约方主张全部损失，包含但不限于：鉴定费、公证费、律师费、诉讼费、保全费、保全担保费等实现债权的全部费用，以上费用金额以开具的合格发票金额为准。6.若采购人未按照合同约定逾期向供应商支付货物费用，采购人应以全国银行间同业拆借中心公布的贷款市场报价利率为标准支付逾期利息。7.采购人无正当理由拒收货物、拒付货款的，采购人应向供应商偿付拒付货款万分之三的违约金。8.因采购人原因造成合同变更、中止或者终止的，采购人应偿付不低于合同总价万分之三的违约金。 二、解决争议的方法：1.因货物的质量问题发生争议，由质量术监督部门或其指定的质量鉴定机构进行质量鉴定。货物符合标准的，鉴定费由采购人承担；货物不符合质量标准的，鉴定费由供应商承担。2.合同履行期间，若双方发生争议，可协商或由有关部门调解解决，协商或调解不成的，由采购人所在地的人民法院依法处理。</w:t>
            </w:r>
          </w:p>
        </w:tc>
      </w:tr>
    </w:tbl>
    <w:p w14:paraId="21B45367">
      <w:pPr>
        <w:pStyle w:val="9"/>
        <w:jc w:val="left"/>
        <w:outlineLvl w:val="2"/>
        <w:rPr>
          <w:rFonts w:hint="eastAsia" w:ascii="方正黑体简体" w:hAnsi="方正黑体简体" w:eastAsia="方正黑体简体" w:cs="方正黑体简体"/>
        </w:rPr>
      </w:pPr>
      <w:r>
        <w:rPr>
          <w:rFonts w:hint="eastAsia" w:ascii="方正黑体简体" w:hAnsi="方正黑体简体" w:eastAsia="方正黑体简体" w:cs="方正黑体简体"/>
          <w:b/>
          <w:sz w:val="28"/>
        </w:rPr>
        <w:t>3.4.其他要求</w:t>
      </w:r>
    </w:p>
    <w:p w14:paraId="23461320">
      <w:pPr>
        <w:pStyle w:val="9"/>
        <w:jc w:val="left"/>
        <w:rPr>
          <w:rFonts w:hint="eastAsia" w:ascii="方正黑体简体" w:hAnsi="方正黑体简体" w:eastAsia="方正黑体简体" w:cs="方正黑体简体"/>
          <w:b w:val="0"/>
          <w:bCs w:val="0"/>
          <w:color w:val="auto"/>
          <w:sz w:val="28"/>
          <w:szCs w:val="28"/>
          <w:highlight w:val="none"/>
        </w:rPr>
      </w:pPr>
      <w:r>
        <w:rPr>
          <w:rFonts w:hint="eastAsia" w:ascii="方正黑体简体" w:hAnsi="方正黑体简体" w:eastAsia="方正黑体简体" w:cs="方正黑体简体"/>
        </w:rPr>
        <w:t>无</w:t>
      </w:r>
      <w:r>
        <w:rPr>
          <w:rFonts w:hint="eastAsia" w:ascii="方正黑体简体" w:hAnsi="方正黑体简体" w:eastAsia="方正黑体简体" w:cs="方正黑体简体"/>
        </w:rPr>
        <w:br w:type="textWrapping"/>
      </w:r>
      <w:r>
        <w:rPr>
          <w:rFonts w:hint="eastAsia" w:ascii="方正黑体简体" w:hAnsi="方正黑体简体" w:eastAsia="方正黑体简体" w:cs="方正黑体简体"/>
          <w:b/>
          <w:bCs/>
          <w:color w:val="auto"/>
          <w:kern w:val="2"/>
          <w:sz w:val="28"/>
          <w:szCs w:val="28"/>
          <w:highlight w:val="none"/>
          <w:u w:val="none"/>
          <w:lang w:val="en-US" w:eastAsia="zh-CN" w:bidi="ar-SA"/>
        </w:rPr>
        <w:t>四、合同管理安排</w:t>
      </w:r>
    </w:p>
    <w:p w14:paraId="76977625">
      <w:pPr>
        <w:keepNext w:val="0"/>
        <w:keepLines w:val="0"/>
        <w:pageBreakBefore w:val="0"/>
        <w:numPr>
          <w:ilvl w:val="0"/>
          <w:numId w:val="0"/>
        </w:numPr>
        <w:tabs>
          <w:tab w:val="left" w:pos="9450"/>
        </w:tabs>
        <w:kinsoku/>
        <w:wordWrap/>
        <w:overflowPunct/>
        <w:topLinePunct w:val="0"/>
        <w:autoSpaceDE/>
        <w:autoSpaceDN/>
        <w:bidi w:val="0"/>
        <w:adjustRightInd/>
        <w:snapToGrid/>
        <w:spacing w:line="580" w:lineRule="exact"/>
        <w:ind w:left="0" w:leftChars="0" w:right="325" w:rightChars="155" w:firstLine="560" w:firstLineChars="200"/>
        <w:jc w:val="both"/>
        <w:textAlignment w:val="auto"/>
        <w:rPr>
          <w:rFonts w:hint="eastAsia" w:ascii="方正黑体简体" w:hAnsi="方正黑体简体" w:eastAsia="方正黑体简体" w:cs="方正黑体简体"/>
          <w:b w:val="0"/>
          <w:bCs w:val="0"/>
          <w:color w:val="auto"/>
          <w:sz w:val="28"/>
          <w:szCs w:val="28"/>
          <w:highlight w:val="none"/>
          <w:u w:val="none"/>
        </w:rPr>
      </w:pPr>
      <w:r>
        <w:rPr>
          <w:rFonts w:hint="eastAsia" w:ascii="方正黑体简体" w:hAnsi="方正黑体简体" w:eastAsia="方正黑体简体" w:cs="方正黑体简体"/>
          <w:b w:val="0"/>
          <w:bCs w:val="0"/>
          <w:color w:val="auto"/>
          <w:sz w:val="28"/>
          <w:szCs w:val="28"/>
          <w:highlight w:val="none"/>
          <w:u w:val="none"/>
          <w:lang w:val="en-US" w:eastAsia="zh-CN"/>
        </w:rPr>
        <w:t>1）</w:t>
      </w:r>
      <w:r>
        <w:rPr>
          <w:rFonts w:hint="eastAsia" w:ascii="方正黑体简体" w:hAnsi="方正黑体简体" w:eastAsia="方正黑体简体" w:cs="方正黑体简体"/>
          <w:b w:val="0"/>
          <w:bCs w:val="0"/>
          <w:color w:val="auto"/>
          <w:sz w:val="28"/>
          <w:szCs w:val="28"/>
          <w:highlight w:val="none"/>
          <w:u w:val="none"/>
        </w:rPr>
        <w:t>合同类型：</w:t>
      </w:r>
      <w:r>
        <w:rPr>
          <w:rFonts w:hint="eastAsia" w:ascii="方正黑体简体" w:hAnsi="方正黑体简体" w:eastAsia="方正黑体简体" w:cs="方正黑体简体"/>
          <w:b w:val="0"/>
          <w:bCs w:val="0"/>
          <w:color w:val="auto"/>
          <w:sz w:val="28"/>
          <w:szCs w:val="28"/>
          <w:highlight w:val="none"/>
          <w:u w:val="none"/>
          <w:lang w:val="en-US" w:eastAsia="zh-CN"/>
        </w:rPr>
        <w:t>买卖</w:t>
      </w:r>
      <w:r>
        <w:rPr>
          <w:rFonts w:hint="eastAsia" w:ascii="方正黑体简体" w:hAnsi="方正黑体简体" w:eastAsia="方正黑体简体" w:cs="方正黑体简体"/>
          <w:b w:val="0"/>
          <w:bCs w:val="0"/>
          <w:color w:val="auto"/>
          <w:sz w:val="28"/>
          <w:szCs w:val="28"/>
          <w:highlight w:val="none"/>
          <w:u w:val="none"/>
        </w:rPr>
        <w:t xml:space="preserve">合同 </w:t>
      </w:r>
    </w:p>
    <w:p w14:paraId="2621D994">
      <w:pPr>
        <w:keepNext w:val="0"/>
        <w:keepLines w:val="0"/>
        <w:pageBreakBefore w:val="0"/>
        <w:numPr>
          <w:ilvl w:val="0"/>
          <w:numId w:val="0"/>
        </w:numPr>
        <w:tabs>
          <w:tab w:val="left" w:pos="9450"/>
        </w:tabs>
        <w:kinsoku/>
        <w:wordWrap/>
        <w:overflowPunct/>
        <w:topLinePunct w:val="0"/>
        <w:autoSpaceDE/>
        <w:autoSpaceDN/>
        <w:bidi w:val="0"/>
        <w:adjustRightInd/>
        <w:snapToGrid/>
        <w:spacing w:line="580" w:lineRule="exact"/>
        <w:ind w:left="0" w:leftChars="0" w:right="325" w:rightChars="155" w:firstLine="560" w:firstLineChars="200"/>
        <w:jc w:val="both"/>
        <w:textAlignment w:val="auto"/>
        <w:rPr>
          <w:rFonts w:hint="eastAsia" w:ascii="方正黑体简体" w:hAnsi="方正黑体简体" w:eastAsia="方正黑体简体" w:cs="方正黑体简体"/>
          <w:b w:val="0"/>
          <w:bCs w:val="0"/>
          <w:color w:val="auto"/>
          <w:sz w:val="28"/>
          <w:szCs w:val="28"/>
          <w:highlight w:val="none"/>
          <w:u w:val="none"/>
        </w:rPr>
      </w:pPr>
      <w:r>
        <w:rPr>
          <w:rFonts w:hint="eastAsia" w:ascii="方正黑体简体" w:hAnsi="方正黑体简体" w:eastAsia="方正黑体简体" w:cs="方正黑体简体"/>
          <w:b w:val="0"/>
          <w:bCs w:val="0"/>
          <w:color w:val="auto"/>
          <w:sz w:val="28"/>
          <w:szCs w:val="28"/>
          <w:highlight w:val="none"/>
          <w:u w:val="none"/>
          <w:lang w:val="en-US" w:eastAsia="zh-CN"/>
        </w:rPr>
        <w:t>2）</w:t>
      </w:r>
      <w:r>
        <w:rPr>
          <w:rFonts w:hint="eastAsia" w:ascii="方正黑体简体" w:hAnsi="方正黑体简体" w:eastAsia="方正黑体简体" w:cs="方正黑体简体"/>
          <w:b w:val="0"/>
          <w:bCs w:val="0"/>
          <w:color w:val="auto"/>
          <w:sz w:val="28"/>
          <w:szCs w:val="28"/>
          <w:highlight w:val="none"/>
          <w:u w:val="none"/>
        </w:rPr>
        <w:t xml:space="preserve">合同定价方式：固定总价 </w:t>
      </w:r>
    </w:p>
    <w:p w14:paraId="50DED7C9">
      <w:pPr>
        <w:keepNext w:val="0"/>
        <w:keepLines w:val="0"/>
        <w:pageBreakBefore w:val="0"/>
        <w:numPr>
          <w:ilvl w:val="0"/>
          <w:numId w:val="0"/>
        </w:numPr>
        <w:tabs>
          <w:tab w:val="left" w:pos="9450"/>
        </w:tabs>
        <w:kinsoku/>
        <w:wordWrap/>
        <w:overflowPunct/>
        <w:topLinePunct w:val="0"/>
        <w:autoSpaceDE/>
        <w:autoSpaceDN/>
        <w:bidi w:val="0"/>
        <w:adjustRightInd/>
        <w:snapToGrid/>
        <w:spacing w:line="580" w:lineRule="exact"/>
        <w:ind w:left="0" w:leftChars="0" w:right="325" w:rightChars="155" w:firstLine="560" w:firstLineChars="200"/>
        <w:jc w:val="both"/>
        <w:textAlignment w:val="auto"/>
        <w:rPr>
          <w:rFonts w:hint="eastAsia" w:ascii="方正黑体简体" w:hAnsi="方正黑体简体" w:eastAsia="方正黑体简体" w:cs="方正黑体简体"/>
          <w:b w:val="0"/>
          <w:bCs w:val="0"/>
          <w:color w:val="auto"/>
          <w:sz w:val="28"/>
          <w:szCs w:val="28"/>
          <w:highlight w:val="none"/>
          <w:u w:val="none"/>
        </w:rPr>
      </w:pPr>
      <w:r>
        <w:rPr>
          <w:rFonts w:hint="eastAsia" w:ascii="方正黑体简体" w:hAnsi="方正黑体简体" w:eastAsia="方正黑体简体" w:cs="方正黑体简体"/>
          <w:b w:val="0"/>
          <w:bCs w:val="0"/>
          <w:color w:val="auto"/>
          <w:sz w:val="28"/>
          <w:szCs w:val="28"/>
          <w:highlight w:val="none"/>
          <w:u w:val="none"/>
          <w:lang w:val="en-US" w:eastAsia="zh-CN"/>
        </w:rPr>
        <w:t>3）</w:t>
      </w:r>
      <w:r>
        <w:rPr>
          <w:rFonts w:hint="eastAsia" w:ascii="方正黑体简体" w:hAnsi="方正黑体简体" w:eastAsia="方正黑体简体" w:cs="方正黑体简体"/>
          <w:b w:val="0"/>
          <w:bCs w:val="0"/>
          <w:color w:val="auto"/>
          <w:sz w:val="28"/>
          <w:szCs w:val="28"/>
          <w:highlight w:val="none"/>
          <w:u w:val="none"/>
        </w:rPr>
        <w:t>合同履行期限：</w:t>
      </w:r>
      <w:r>
        <w:rPr>
          <w:rFonts w:hint="eastAsia" w:ascii="方正黑体简体" w:hAnsi="方正黑体简体" w:eastAsia="方正黑体简体" w:cs="方正黑体简体"/>
          <w:b w:val="0"/>
          <w:bCs w:val="0"/>
          <w:color w:val="auto"/>
          <w:sz w:val="28"/>
          <w:szCs w:val="28"/>
          <w:highlight w:val="none"/>
          <w:u w:val="none"/>
          <w:lang w:val="en-US" w:eastAsia="zh-CN"/>
        </w:rPr>
        <w:t>合同签订之日起30日内完成交付</w:t>
      </w:r>
      <w:r>
        <w:rPr>
          <w:rFonts w:hint="eastAsia" w:ascii="方正黑体简体" w:hAnsi="方正黑体简体" w:eastAsia="方正黑体简体" w:cs="方正黑体简体"/>
          <w:b w:val="0"/>
          <w:bCs w:val="0"/>
          <w:color w:val="auto"/>
          <w:sz w:val="28"/>
          <w:szCs w:val="28"/>
          <w:highlight w:val="none"/>
          <w:u w:val="none"/>
        </w:rPr>
        <w:t>。</w:t>
      </w:r>
    </w:p>
    <w:p w14:paraId="0EB46A1E">
      <w:pPr>
        <w:keepNext w:val="0"/>
        <w:keepLines w:val="0"/>
        <w:pageBreakBefore w:val="0"/>
        <w:numPr>
          <w:ilvl w:val="0"/>
          <w:numId w:val="0"/>
        </w:numPr>
        <w:tabs>
          <w:tab w:val="left" w:pos="9450"/>
        </w:tabs>
        <w:kinsoku/>
        <w:wordWrap/>
        <w:overflowPunct/>
        <w:topLinePunct w:val="0"/>
        <w:autoSpaceDE/>
        <w:autoSpaceDN/>
        <w:bidi w:val="0"/>
        <w:adjustRightInd/>
        <w:snapToGrid/>
        <w:spacing w:line="580" w:lineRule="exact"/>
        <w:ind w:left="0" w:leftChars="0" w:right="325" w:rightChars="155" w:firstLine="560" w:firstLineChars="200"/>
        <w:jc w:val="both"/>
        <w:textAlignment w:val="auto"/>
        <w:rPr>
          <w:rFonts w:hint="eastAsia" w:ascii="方正黑体简体" w:hAnsi="方正黑体简体" w:eastAsia="方正黑体简体" w:cs="方正黑体简体"/>
          <w:b w:val="0"/>
          <w:bCs w:val="0"/>
          <w:color w:val="auto"/>
          <w:sz w:val="28"/>
          <w:szCs w:val="28"/>
          <w:highlight w:val="none"/>
          <w:u w:val="none"/>
          <w:lang w:val="en-US" w:eastAsia="zh-CN"/>
        </w:rPr>
      </w:pPr>
      <w:r>
        <w:rPr>
          <w:rFonts w:hint="eastAsia" w:ascii="方正黑体简体" w:hAnsi="方正黑体简体" w:eastAsia="方正黑体简体" w:cs="方正黑体简体"/>
          <w:b w:val="0"/>
          <w:bCs w:val="0"/>
          <w:color w:val="auto"/>
          <w:sz w:val="28"/>
          <w:szCs w:val="28"/>
          <w:highlight w:val="none"/>
          <w:u w:val="none"/>
          <w:lang w:val="en-US" w:eastAsia="zh-CN"/>
        </w:rPr>
        <w:t>4）</w:t>
      </w:r>
      <w:r>
        <w:rPr>
          <w:rFonts w:hint="eastAsia" w:ascii="方正黑体简体" w:hAnsi="方正黑体简体" w:eastAsia="方正黑体简体" w:cs="方正黑体简体"/>
          <w:b w:val="0"/>
          <w:bCs w:val="0"/>
          <w:color w:val="auto"/>
          <w:sz w:val="28"/>
          <w:szCs w:val="28"/>
          <w:highlight w:val="none"/>
          <w:u w:val="none"/>
        </w:rPr>
        <w:t>合同履约地点：</w:t>
      </w:r>
      <w:r>
        <w:rPr>
          <w:rFonts w:hint="eastAsia" w:ascii="方正黑体简体" w:hAnsi="方正黑体简体" w:eastAsia="方正黑体简体" w:cs="方正黑体简体"/>
          <w:b w:val="0"/>
          <w:bCs w:val="0"/>
          <w:color w:val="auto"/>
          <w:sz w:val="28"/>
          <w:szCs w:val="28"/>
          <w:highlight w:val="none"/>
          <w:u w:val="none"/>
          <w:lang w:val="en-US" w:eastAsia="zh-CN"/>
        </w:rPr>
        <w:t>威远县严陵镇中心学校（天成校区）</w:t>
      </w:r>
    </w:p>
    <w:p w14:paraId="43B6BF9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tabs>
          <w:tab w:val="left" w:pos="9450"/>
        </w:tabs>
        <w:kinsoku/>
        <w:wordWrap/>
        <w:overflowPunct/>
        <w:topLinePunct w:val="0"/>
        <w:autoSpaceDE/>
        <w:autoSpaceDN/>
        <w:bidi w:val="0"/>
        <w:adjustRightInd/>
        <w:snapToGrid/>
        <w:spacing w:before="0" w:beforeAutospacing="0" w:after="0" w:afterAutospacing="0" w:line="580" w:lineRule="exact"/>
        <w:ind w:left="0" w:leftChars="0" w:right="0" w:firstLine="560" w:firstLineChars="200"/>
        <w:jc w:val="both"/>
        <w:textAlignment w:val="auto"/>
        <w:rPr>
          <w:rFonts w:hint="eastAsia" w:ascii="方正黑体简体" w:hAnsi="方正黑体简体" w:eastAsia="方正黑体简体" w:cs="方正黑体简体"/>
          <w:b w:val="0"/>
          <w:bCs w:val="0"/>
          <w:color w:val="auto"/>
          <w:sz w:val="28"/>
          <w:szCs w:val="28"/>
          <w:highlight w:val="none"/>
          <w:u w:val="none"/>
        </w:rPr>
      </w:pPr>
      <w:r>
        <w:rPr>
          <w:rFonts w:hint="eastAsia" w:ascii="方正黑体简体" w:hAnsi="方正黑体简体" w:eastAsia="方正黑体简体" w:cs="方正黑体简体"/>
          <w:b w:val="0"/>
          <w:bCs w:val="0"/>
          <w:color w:val="auto"/>
          <w:sz w:val="28"/>
          <w:szCs w:val="28"/>
          <w:highlight w:val="none"/>
          <w:u w:val="none"/>
          <w:lang w:val="en-US" w:eastAsia="zh-CN"/>
        </w:rPr>
        <w:t>5）</w:t>
      </w:r>
      <w:r>
        <w:rPr>
          <w:rFonts w:hint="eastAsia" w:ascii="方正黑体简体" w:hAnsi="方正黑体简体" w:eastAsia="方正黑体简体" w:cs="方正黑体简体"/>
          <w:b w:val="0"/>
          <w:bCs w:val="0"/>
          <w:color w:val="auto"/>
          <w:sz w:val="28"/>
          <w:szCs w:val="28"/>
          <w:highlight w:val="none"/>
          <w:u w:val="none"/>
        </w:rPr>
        <w:t xml:space="preserve">支付方式：分期付款 </w:t>
      </w:r>
    </w:p>
    <w:p w14:paraId="7B1572AF">
      <w:pPr>
        <w:pStyle w:val="9"/>
        <w:keepNext w:val="0"/>
        <w:keepLines w:val="0"/>
        <w:pageBreakBefore w:val="0"/>
        <w:kinsoku/>
        <w:wordWrap/>
        <w:overflowPunct/>
        <w:topLinePunct w:val="0"/>
        <w:autoSpaceDE/>
        <w:autoSpaceDN/>
        <w:bidi w:val="0"/>
        <w:adjustRightInd/>
        <w:snapToGrid/>
        <w:spacing w:line="580" w:lineRule="exact"/>
        <w:ind w:left="0" w:leftChars="0" w:firstLine="560" w:firstLineChars="200"/>
        <w:jc w:val="both"/>
        <w:textAlignment w:val="auto"/>
        <w:rPr>
          <w:rFonts w:hint="eastAsia" w:ascii="方正黑体简体" w:hAnsi="方正黑体简体" w:eastAsia="方正黑体简体" w:cs="方正黑体简体"/>
          <w:b w:val="0"/>
          <w:bCs w:val="0"/>
          <w:color w:val="auto"/>
          <w:sz w:val="28"/>
          <w:szCs w:val="28"/>
          <w:highlight w:val="none"/>
        </w:rPr>
      </w:pPr>
      <w:r>
        <w:rPr>
          <w:rFonts w:hint="eastAsia" w:ascii="方正黑体简体" w:hAnsi="方正黑体简体" w:eastAsia="方正黑体简体" w:cs="方正黑体简体"/>
          <w:b w:val="0"/>
          <w:bCs w:val="0"/>
          <w:color w:val="auto"/>
          <w:sz w:val="28"/>
          <w:szCs w:val="28"/>
          <w:highlight w:val="none"/>
          <w:u w:val="none"/>
          <w:lang w:val="en-US" w:eastAsia="zh-CN"/>
        </w:rPr>
        <w:t>5.1</w:t>
      </w:r>
      <w:r>
        <w:rPr>
          <w:rFonts w:hint="eastAsia" w:ascii="方正黑体简体" w:hAnsi="方正黑体简体" w:eastAsia="方正黑体简体" w:cs="方正黑体简体"/>
          <w:b w:val="0"/>
          <w:bCs w:val="0"/>
          <w:color w:val="auto"/>
          <w:kern w:val="2"/>
          <w:sz w:val="28"/>
          <w:szCs w:val="28"/>
          <w:highlight w:val="none"/>
          <w:u w:val="none"/>
          <w:shd w:val="clear" w:color="auto" w:fill="auto"/>
          <w:lang w:val="en-US" w:eastAsia="zh-CN" w:bidi="ar-SA"/>
        </w:rPr>
        <w:t>付款方式：</w:t>
      </w:r>
    </w:p>
    <w:p w14:paraId="2F4A0C9E">
      <w:pPr>
        <w:pStyle w:val="9"/>
        <w:keepNext w:val="0"/>
        <w:keepLines w:val="0"/>
        <w:pageBreakBefore w:val="0"/>
        <w:kinsoku/>
        <w:wordWrap/>
        <w:overflowPunct/>
        <w:topLinePunct w:val="0"/>
        <w:autoSpaceDE/>
        <w:autoSpaceDN/>
        <w:bidi w:val="0"/>
        <w:adjustRightInd/>
        <w:snapToGrid/>
        <w:spacing w:line="580" w:lineRule="exact"/>
        <w:ind w:firstLine="560" w:firstLineChars="200"/>
        <w:jc w:val="both"/>
        <w:textAlignment w:val="auto"/>
        <w:rPr>
          <w:rFonts w:hint="eastAsia" w:ascii="方正黑体简体" w:hAnsi="方正黑体简体" w:eastAsia="方正黑体简体" w:cs="方正黑体简体"/>
          <w:b w:val="0"/>
          <w:bCs w:val="0"/>
          <w:color w:val="auto"/>
          <w:kern w:val="2"/>
          <w:sz w:val="28"/>
          <w:szCs w:val="28"/>
          <w:highlight w:val="none"/>
          <w:u w:val="none"/>
          <w:lang w:val="en-US" w:eastAsia="zh-CN" w:bidi="ar-SA"/>
        </w:rPr>
      </w:pPr>
      <w:r>
        <w:rPr>
          <w:rFonts w:hint="eastAsia" w:ascii="方正黑体简体" w:hAnsi="方正黑体简体" w:eastAsia="方正黑体简体" w:cs="方正黑体简体"/>
          <w:b w:val="0"/>
          <w:bCs w:val="0"/>
          <w:color w:val="auto"/>
          <w:kern w:val="2"/>
          <w:sz w:val="28"/>
          <w:szCs w:val="28"/>
          <w:highlight w:val="none"/>
          <w:u w:val="none"/>
          <w:lang w:val="en-US" w:eastAsia="zh-CN" w:bidi="ar-SA"/>
        </w:rPr>
        <w:t>①合同签订后，达到付款条件起15日内，支付合同总金额的20.00%；</w:t>
      </w:r>
    </w:p>
    <w:p w14:paraId="747B6D38">
      <w:pPr>
        <w:pStyle w:val="9"/>
        <w:keepNext w:val="0"/>
        <w:keepLines w:val="0"/>
        <w:pageBreakBefore w:val="0"/>
        <w:kinsoku/>
        <w:wordWrap/>
        <w:overflowPunct/>
        <w:topLinePunct w:val="0"/>
        <w:autoSpaceDE/>
        <w:autoSpaceDN/>
        <w:bidi w:val="0"/>
        <w:adjustRightInd/>
        <w:snapToGrid/>
        <w:spacing w:line="580" w:lineRule="exact"/>
        <w:ind w:firstLine="560" w:firstLineChars="200"/>
        <w:jc w:val="both"/>
        <w:textAlignment w:val="auto"/>
        <w:rPr>
          <w:rFonts w:hint="eastAsia" w:ascii="方正黑体简体" w:hAnsi="方正黑体简体" w:eastAsia="方正黑体简体" w:cs="方正黑体简体"/>
          <w:b w:val="0"/>
          <w:bCs w:val="0"/>
          <w:color w:val="auto"/>
          <w:kern w:val="2"/>
          <w:sz w:val="28"/>
          <w:szCs w:val="28"/>
          <w:highlight w:val="none"/>
          <w:u w:val="none"/>
          <w:lang w:val="en-US" w:eastAsia="zh-CN" w:bidi="ar-SA"/>
        </w:rPr>
      </w:pPr>
      <w:r>
        <w:rPr>
          <w:rFonts w:hint="eastAsia" w:ascii="方正黑体简体" w:hAnsi="方正黑体简体" w:eastAsia="方正黑体简体" w:cs="方正黑体简体"/>
          <w:b w:val="0"/>
          <w:bCs w:val="0"/>
          <w:color w:val="auto"/>
          <w:kern w:val="2"/>
          <w:sz w:val="28"/>
          <w:szCs w:val="28"/>
          <w:highlight w:val="none"/>
          <w:u w:val="none"/>
          <w:lang w:val="en-US" w:eastAsia="zh-CN" w:bidi="ar-SA"/>
        </w:rPr>
        <w:t>②验收合格且提供等额的正式有效票据后，达到付款条件起15日内，支付合同总金额的80.00%。</w:t>
      </w:r>
    </w:p>
    <w:p w14:paraId="566EC79C">
      <w:pPr>
        <w:pStyle w:val="9"/>
        <w:keepNext w:val="0"/>
        <w:keepLines w:val="0"/>
        <w:pageBreakBefore w:val="0"/>
        <w:kinsoku/>
        <w:wordWrap/>
        <w:overflowPunct/>
        <w:topLinePunct w:val="0"/>
        <w:autoSpaceDE/>
        <w:autoSpaceDN/>
        <w:bidi w:val="0"/>
        <w:adjustRightInd/>
        <w:snapToGrid/>
        <w:spacing w:line="580" w:lineRule="exact"/>
        <w:ind w:firstLine="560" w:firstLineChars="200"/>
        <w:jc w:val="both"/>
        <w:textAlignment w:val="auto"/>
        <w:rPr>
          <w:rFonts w:hint="eastAsia" w:ascii="方正黑体简体" w:hAnsi="方正黑体简体" w:eastAsia="方正黑体简体" w:cs="方正黑体简体"/>
          <w:b w:val="0"/>
          <w:bCs w:val="0"/>
          <w:color w:val="auto"/>
          <w:kern w:val="2"/>
          <w:sz w:val="28"/>
          <w:szCs w:val="28"/>
          <w:highlight w:val="none"/>
          <w:u w:val="none"/>
          <w:lang w:val="en-US" w:eastAsia="zh-CN" w:bidi="ar-SA"/>
        </w:rPr>
      </w:pPr>
      <w:r>
        <w:rPr>
          <w:rFonts w:hint="eastAsia" w:ascii="方正黑体简体" w:hAnsi="方正黑体简体" w:eastAsia="方正黑体简体" w:cs="方正黑体简体"/>
          <w:b w:val="0"/>
          <w:bCs w:val="0"/>
          <w:color w:val="auto"/>
          <w:kern w:val="2"/>
          <w:sz w:val="28"/>
          <w:szCs w:val="28"/>
          <w:highlight w:val="none"/>
          <w:u w:val="none"/>
          <w:lang w:val="en-US" w:eastAsia="zh-CN" w:bidi="ar-SA"/>
        </w:rPr>
        <w:t>6）履约保证金：不收取</w:t>
      </w:r>
    </w:p>
    <w:p w14:paraId="0562B66B">
      <w:pPr>
        <w:keepNext w:val="0"/>
        <w:keepLines w:val="0"/>
        <w:pageBreakBefore w:val="0"/>
        <w:numPr>
          <w:ilvl w:val="0"/>
          <w:numId w:val="0"/>
        </w:numPr>
        <w:tabs>
          <w:tab w:val="left" w:pos="9450"/>
        </w:tabs>
        <w:kinsoku/>
        <w:wordWrap/>
        <w:overflowPunct/>
        <w:topLinePunct w:val="0"/>
        <w:autoSpaceDE/>
        <w:autoSpaceDN/>
        <w:bidi w:val="0"/>
        <w:adjustRightInd/>
        <w:snapToGrid/>
        <w:spacing w:line="580" w:lineRule="exact"/>
        <w:ind w:right="325" w:rightChars="155" w:firstLine="560" w:firstLineChars="200"/>
        <w:jc w:val="both"/>
        <w:textAlignment w:val="auto"/>
        <w:rPr>
          <w:rFonts w:hint="eastAsia" w:ascii="方正黑体简体" w:hAnsi="方正黑体简体" w:eastAsia="方正黑体简体" w:cs="方正黑体简体"/>
          <w:b w:val="0"/>
          <w:bCs w:val="0"/>
          <w:color w:val="auto"/>
          <w:sz w:val="28"/>
          <w:szCs w:val="28"/>
          <w:highlight w:val="none"/>
          <w:u w:val="none"/>
          <w:lang w:val="en-US" w:eastAsia="zh-CN"/>
        </w:rPr>
      </w:pPr>
      <w:r>
        <w:rPr>
          <w:rFonts w:hint="eastAsia" w:ascii="方正黑体简体" w:hAnsi="方正黑体简体" w:eastAsia="方正黑体简体" w:cs="方正黑体简体"/>
          <w:b w:val="0"/>
          <w:bCs w:val="0"/>
          <w:color w:val="auto"/>
          <w:sz w:val="28"/>
          <w:szCs w:val="28"/>
          <w:highlight w:val="none"/>
          <w:u w:val="none"/>
          <w:lang w:val="en-US" w:eastAsia="zh-CN"/>
        </w:rPr>
        <w:t>7）</w:t>
      </w:r>
      <w:r>
        <w:rPr>
          <w:rFonts w:hint="eastAsia" w:ascii="方正黑体简体" w:hAnsi="方正黑体简体" w:eastAsia="方正黑体简体" w:cs="方正黑体简体"/>
          <w:b w:val="0"/>
          <w:bCs w:val="0"/>
          <w:color w:val="auto"/>
          <w:sz w:val="28"/>
          <w:szCs w:val="28"/>
          <w:highlight w:val="none"/>
          <w:u w:val="none"/>
        </w:rPr>
        <w:t>质量保证金及缴纳形式：</w:t>
      </w:r>
      <w:r>
        <w:rPr>
          <w:rFonts w:hint="eastAsia" w:ascii="方正黑体简体" w:hAnsi="方正黑体简体" w:eastAsia="方正黑体简体" w:cs="方正黑体简体"/>
          <w:b w:val="0"/>
          <w:bCs w:val="0"/>
          <w:color w:val="auto"/>
          <w:sz w:val="28"/>
          <w:szCs w:val="28"/>
          <w:highlight w:val="none"/>
          <w:u w:val="none"/>
          <w:lang w:val="en-US" w:eastAsia="zh-CN"/>
        </w:rPr>
        <w:t>不收取</w:t>
      </w:r>
    </w:p>
    <w:p w14:paraId="1BA863C3">
      <w:pPr>
        <w:keepNext w:val="0"/>
        <w:keepLines w:val="0"/>
        <w:pageBreakBefore w:val="0"/>
        <w:numPr>
          <w:ilvl w:val="0"/>
          <w:numId w:val="0"/>
        </w:numPr>
        <w:tabs>
          <w:tab w:val="left" w:pos="9450"/>
        </w:tabs>
        <w:kinsoku/>
        <w:wordWrap/>
        <w:overflowPunct/>
        <w:topLinePunct w:val="0"/>
        <w:autoSpaceDE/>
        <w:autoSpaceDN/>
        <w:bidi w:val="0"/>
        <w:adjustRightInd/>
        <w:snapToGrid/>
        <w:spacing w:line="580" w:lineRule="exact"/>
        <w:ind w:right="325" w:rightChars="155" w:firstLine="560" w:firstLineChars="200"/>
        <w:jc w:val="both"/>
        <w:textAlignment w:val="auto"/>
        <w:rPr>
          <w:rFonts w:hint="eastAsia" w:ascii="方正黑体简体" w:hAnsi="方正黑体简体" w:eastAsia="方正黑体简体" w:cs="方正黑体简体"/>
          <w:b w:val="0"/>
          <w:bCs w:val="0"/>
          <w:color w:val="auto"/>
          <w:kern w:val="2"/>
          <w:sz w:val="28"/>
          <w:szCs w:val="28"/>
          <w:highlight w:val="none"/>
          <w:u w:val="none"/>
          <w:lang w:val="en-US" w:eastAsia="zh-CN" w:bidi="ar-SA"/>
        </w:rPr>
      </w:pPr>
      <w:r>
        <w:rPr>
          <w:rFonts w:hint="eastAsia" w:ascii="方正黑体简体" w:hAnsi="方正黑体简体" w:eastAsia="方正黑体简体" w:cs="方正黑体简体"/>
          <w:b w:val="0"/>
          <w:bCs w:val="0"/>
          <w:color w:val="auto"/>
          <w:sz w:val="28"/>
          <w:szCs w:val="28"/>
          <w:highlight w:val="none"/>
          <w:u w:val="none"/>
          <w:lang w:val="en-US" w:eastAsia="zh-CN"/>
        </w:rPr>
        <w:t>8）</w:t>
      </w:r>
      <w:r>
        <w:rPr>
          <w:rFonts w:hint="eastAsia" w:ascii="方正黑体简体" w:hAnsi="方正黑体简体" w:eastAsia="方正黑体简体" w:cs="方正黑体简体"/>
          <w:b w:val="0"/>
          <w:bCs w:val="0"/>
          <w:color w:val="auto"/>
          <w:sz w:val="28"/>
          <w:szCs w:val="28"/>
          <w:highlight w:val="none"/>
          <w:u w:val="none"/>
        </w:rPr>
        <w:t>验收交付标准和方法：</w:t>
      </w:r>
      <w:r>
        <w:rPr>
          <w:rFonts w:hint="eastAsia" w:ascii="方正黑体简体" w:hAnsi="方正黑体简体" w:eastAsia="方正黑体简体" w:cs="方正黑体简体"/>
          <w:b w:val="0"/>
          <w:bCs w:val="0"/>
          <w:color w:val="auto"/>
          <w:kern w:val="2"/>
          <w:sz w:val="28"/>
          <w:szCs w:val="28"/>
          <w:highlight w:val="none"/>
          <w:u w:val="none"/>
          <w:lang w:val="en-US" w:eastAsia="zh-CN" w:bidi="ar-SA"/>
        </w:rPr>
        <w:t xml:space="preserve">（1）按照政府采购相关法律法规以及《财政部关于进一步加强政府采购需求和履约验收管理的指导意见》（财库〔2016〕205号）的要求、采购文件的质量要求和技术指标、供应商的响应文件及承诺以及合同约定标准进行验收。 （2）采购人最终整体验收结果合格的，供应商凭验收报告办理相关手续，采购人按采购合同约定支付合同款；验收结果不合格的，不予支付合同尾款。 </w:t>
      </w:r>
    </w:p>
    <w:p w14:paraId="79E94C7F">
      <w:pPr>
        <w:keepNext w:val="0"/>
        <w:keepLines w:val="0"/>
        <w:pageBreakBefore w:val="0"/>
        <w:widowControl w:val="0"/>
        <w:tabs>
          <w:tab w:val="left" w:pos="9450"/>
        </w:tabs>
        <w:kinsoku/>
        <w:wordWrap/>
        <w:overflowPunct/>
        <w:topLinePunct w:val="0"/>
        <w:autoSpaceDE/>
        <w:autoSpaceDN/>
        <w:bidi w:val="0"/>
        <w:adjustRightInd/>
        <w:snapToGrid/>
        <w:spacing w:line="580" w:lineRule="exact"/>
        <w:ind w:right="325" w:rightChars="155" w:firstLine="560" w:firstLineChars="200"/>
        <w:jc w:val="both"/>
        <w:textAlignment w:val="auto"/>
        <w:rPr>
          <w:rFonts w:hint="eastAsia" w:ascii="方正黑体简体" w:hAnsi="方正黑体简体" w:eastAsia="方正黑体简体" w:cs="方正黑体简体"/>
          <w:b w:val="0"/>
          <w:bCs w:val="0"/>
          <w:color w:val="auto"/>
          <w:kern w:val="2"/>
          <w:sz w:val="28"/>
          <w:szCs w:val="28"/>
          <w:highlight w:val="none"/>
          <w:u w:val="none"/>
          <w:lang w:val="en-US" w:eastAsia="zh-CN" w:bidi="ar-SA"/>
        </w:rPr>
      </w:pPr>
      <w:r>
        <w:rPr>
          <w:rFonts w:hint="eastAsia" w:ascii="方正黑体简体" w:hAnsi="方正黑体简体" w:eastAsia="方正黑体简体" w:cs="方正黑体简体"/>
          <w:b w:val="0"/>
          <w:bCs w:val="0"/>
          <w:color w:val="auto"/>
          <w:kern w:val="2"/>
          <w:sz w:val="28"/>
          <w:szCs w:val="28"/>
          <w:highlight w:val="none"/>
          <w:u w:val="none"/>
          <w:lang w:val="en-US" w:eastAsia="zh-CN" w:bidi="ar-SA"/>
        </w:rPr>
        <w:t>9）质量保修范围和保修期：  1、质保期：自终验合格之日起3年(产品本身厂家质保期大于等于3年的以产品厂家本身质保期为准)；供应商提供自检测试工具；供应商提供现场、电话、电子邮件、远程连接等多种形式服务；提供原厂中文服务；质保期内提供产品的维修、换件和升级等服务，维修更换的零配件须为原厂、正品；设备停产后应继续提供质量保障服务（含备品备件），服务终止时间与最后一批设备交付时间间隔不低于6年；产品停止服务时间应提前1年告知；供应商提供培训材料、产品手册、培训视频等培训相关内容；供应商提供典型问题解决说明文档或视频；供应商提供产品合格证；供应链合规性：供应商保障产品主要部件，提供6年的备件服务（自购买之日起），或提供可兼容原设备的升级换代产品；当产品部件出现供应风险时，供应商应通知采购人并提供风险应对方案确保产品的服务保障；供应商提供供应链稳定承诺书，确保产品的部件在产品服务周期内稳定供货。 2、供应商提供技术服务：供应商提供至少2名技术人员，在质保期内完成采购人需要的应用程序安装、软硬件问题维护、故障维修等日常技术保障服务，设备发生紧急故障时，驻场工程师须15分钟内抵达现场开展处置工作，一般故障驻场工程师须在30分钟内到场、2小时内完成解决故障。供应商提供备机服务：供应商必须在2小时内完成硬件故障排除，否则应提供不低于采购设备配置的备机。质保期满后，供应商仍应履行保修义务，只收取材料费。供应商及厂家除提供售后服务外，还应指导和配合采购人开展设备使用质量管理工作。</w:t>
      </w:r>
    </w:p>
    <w:p w14:paraId="79008BF1">
      <w:pPr>
        <w:keepNext w:val="0"/>
        <w:keepLines w:val="0"/>
        <w:pageBreakBefore w:val="0"/>
        <w:widowControl w:val="0"/>
        <w:tabs>
          <w:tab w:val="left" w:pos="9450"/>
        </w:tabs>
        <w:kinsoku/>
        <w:wordWrap/>
        <w:overflowPunct/>
        <w:topLinePunct w:val="0"/>
        <w:autoSpaceDE/>
        <w:autoSpaceDN/>
        <w:bidi w:val="0"/>
        <w:adjustRightInd/>
        <w:snapToGrid/>
        <w:spacing w:line="580" w:lineRule="exact"/>
        <w:ind w:right="325" w:rightChars="155" w:firstLine="560" w:firstLineChars="200"/>
        <w:jc w:val="both"/>
        <w:textAlignment w:val="auto"/>
        <w:rPr>
          <w:rFonts w:hint="eastAsia" w:ascii="方正黑体简体" w:hAnsi="方正黑体简体" w:eastAsia="方正黑体简体" w:cs="方正黑体简体"/>
          <w:b w:val="0"/>
          <w:bCs w:val="0"/>
          <w:color w:val="auto"/>
          <w:kern w:val="2"/>
          <w:sz w:val="28"/>
          <w:szCs w:val="28"/>
          <w:highlight w:val="none"/>
          <w:u w:val="none"/>
          <w:lang w:val="en-US" w:eastAsia="zh-CN" w:bidi="ar-SA"/>
        </w:rPr>
      </w:pPr>
      <w:r>
        <w:rPr>
          <w:rFonts w:hint="eastAsia" w:ascii="方正黑体简体" w:hAnsi="方正黑体简体" w:eastAsia="方正黑体简体" w:cs="方正黑体简体"/>
          <w:b w:val="0"/>
          <w:bCs w:val="0"/>
          <w:color w:val="auto"/>
          <w:kern w:val="2"/>
          <w:sz w:val="28"/>
          <w:szCs w:val="28"/>
          <w:highlight w:val="none"/>
          <w:u w:val="none"/>
          <w:lang w:val="en-US" w:eastAsia="zh-CN" w:bidi="ar-SA"/>
        </w:rPr>
        <w:t>10）知识产权归属和处理方式：</w:t>
      </w:r>
    </w:p>
    <w:p w14:paraId="677E304B">
      <w:pPr>
        <w:keepNext w:val="0"/>
        <w:keepLines w:val="0"/>
        <w:pageBreakBefore w:val="0"/>
        <w:widowControl w:val="0"/>
        <w:tabs>
          <w:tab w:val="left" w:pos="9450"/>
        </w:tabs>
        <w:kinsoku/>
        <w:wordWrap/>
        <w:overflowPunct/>
        <w:topLinePunct w:val="0"/>
        <w:autoSpaceDE/>
        <w:autoSpaceDN/>
        <w:bidi w:val="0"/>
        <w:adjustRightInd/>
        <w:snapToGrid/>
        <w:spacing w:line="580" w:lineRule="exact"/>
        <w:ind w:right="325" w:rightChars="155" w:firstLine="560" w:firstLineChars="200"/>
        <w:jc w:val="both"/>
        <w:textAlignment w:val="auto"/>
        <w:rPr>
          <w:rFonts w:hint="eastAsia" w:ascii="方正黑体简体" w:hAnsi="方正黑体简体" w:eastAsia="方正黑体简体" w:cs="方正黑体简体"/>
          <w:b w:val="0"/>
          <w:bCs w:val="0"/>
          <w:color w:val="auto"/>
          <w:kern w:val="2"/>
          <w:sz w:val="28"/>
          <w:szCs w:val="28"/>
          <w:highlight w:val="none"/>
          <w:u w:val="none"/>
          <w:lang w:val="en-US" w:eastAsia="zh-CN" w:bidi="ar-SA"/>
        </w:rPr>
      </w:pPr>
      <w:r>
        <w:rPr>
          <w:rFonts w:hint="eastAsia" w:ascii="方正黑体简体" w:hAnsi="方正黑体简体" w:eastAsia="方正黑体简体" w:cs="方正黑体简体"/>
          <w:b w:val="0"/>
          <w:bCs w:val="0"/>
          <w:color w:val="auto"/>
          <w:kern w:val="2"/>
          <w:sz w:val="28"/>
          <w:szCs w:val="28"/>
          <w:highlight w:val="none"/>
          <w:u w:val="none"/>
          <w:lang w:val="en-US" w:eastAsia="zh-CN" w:bidi="ar-SA"/>
        </w:rPr>
        <w:t>①供应商应保证在本项目中使用的任何技术、产品和服务（包括部分使用），不会产生因第三方提出侵犯其专利权、商标权或其他知识产权而引起的法律和经济纠纷，如存在前述情形，由供应商承担所有相关责任，并且赔偿由此给采购人带来的损失。采购人享有本项目实施过程中产生的知识成果及知识产权。</w:t>
      </w:r>
    </w:p>
    <w:p w14:paraId="41861A57">
      <w:pPr>
        <w:keepNext w:val="0"/>
        <w:keepLines w:val="0"/>
        <w:pageBreakBefore w:val="0"/>
        <w:widowControl w:val="0"/>
        <w:tabs>
          <w:tab w:val="left" w:pos="9450"/>
        </w:tabs>
        <w:kinsoku/>
        <w:wordWrap/>
        <w:overflowPunct/>
        <w:topLinePunct w:val="0"/>
        <w:autoSpaceDE/>
        <w:autoSpaceDN/>
        <w:bidi w:val="0"/>
        <w:adjustRightInd/>
        <w:snapToGrid/>
        <w:spacing w:line="580" w:lineRule="exact"/>
        <w:ind w:right="325" w:rightChars="155" w:firstLine="560" w:firstLineChars="200"/>
        <w:jc w:val="both"/>
        <w:textAlignment w:val="auto"/>
        <w:rPr>
          <w:rFonts w:hint="eastAsia" w:ascii="方正黑体简体" w:hAnsi="方正黑体简体" w:eastAsia="方正黑体简体" w:cs="方正黑体简体"/>
          <w:b w:val="0"/>
          <w:bCs w:val="0"/>
          <w:color w:val="auto"/>
          <w:kern w:val="2"/>
          <w:sz w:val="28"/>
          <w:szCs w:val="28"/>
          <w:highlight w:val="none"/>
          <w:u w:val="none"/>
          <w:lang w:val="en-US" w:eastAsia="zh-CN" w:bidi="ar-SA"/>
        </w:rPr>
      </w:pPr>
      <w:r>
        <w:rPr>
          <w:rFonts w:hint="eastAsia" w:ascii="方正黑体简体" w:hAnsi="方正黑体简体" w:eastAsia="方正黑体简体" w:cs="方正黑体简体"/>
          <w:b w:val="0"/>
          <w:bCs w:val="0"/>
          <w:color w:val="auto"/>
          <w:kern w:val="2"/>
          <w:sz w:val="28"/>
          <w:szCs w:val="28"/>
          <w:highlight w:val="none"/>
          <w:u w:val="none"/>
          <w:lang w:val="en-US" w:eastAsia="zh-CN" w:bidi="ar-SA"/>
        </w:rPr>
        <w:t>②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2002B887">
      <w:pPr>
        <w:keepNext w:val="0"/>
        <w:keepLines w:val="0"/>
        <w:pageBreakBefore w:val="0"/>
        <w:widowControl w:val="0"/>
        <w:tabs>
          <w:tab w:val="left" w:pos="9450"/>
        </w:tabs>
        <w:kinsoku/>
        <w:wordWrap/>
        <w:overflowPunct/>
        <w:topLinePunct w:val="0"/>
        <w:autoSpaceDE/>
        <w:autoSpaceDN/>
        <w:bidi w:val="0"/>
        <w:adjustRightInd/>
        <w:snapToGrid/>
        <w:spacing w:line="580" w:lineRule="exact"/>
        <w:ind w:right="325" w:rightChars="155" w:firstLine="560" w:firstLineChars="200"/>
        <w:jc w:val="both"/>
        <w:textAlignment w:val="auto"/>
        <w:rPr>
          <w:rFonts w:hint="eastAsia" w:ascii="方正黑体简体" w:hAnsi="方正黑体简体" w:eastAsia="方正黑体简体" w:cs="方正黑体简体"/>
          <w:b w:val="0"/>
          <w:bCs w:val="0"/>
          <w:color w:val="auto"/>
          <w:kern w:val="2"/>
          <w:sz w:val="28"/>
          <w:szCs w:val="28"/>
          <w:highlight w:val="none"/>
          <w:u w:val="none"/>
          <w:lang w:val="en-US" w:eastAsia="zh-CN" w:bidi="ar-SA"/>
        </w:rPr>
      </w:pPr>
      <w:r>
        <w:rPr>
          <w:rFonts w:hint="eastAsia" w:ascii="方正黑体简体" w:hAnsi="方正黑体简体" w:eastAsia="方正黑体简体" w:cs="方正黑体简体"/>
          <w:b w:val="0"/>
          <w:bCs w:val="0"/>
          <w:color w:val="auto"/>
          <w:kern w:val="2"/>
          <w:sz w:val="28"/>
          <w:szCs w:val="28"/>
          <w:highlight w:val="none"/>
          <w:u w:val="none"/>
          <w:lang w:val="en-US" w:eastAsia="zh-CN" w:bidi="ar-SA"/>
        </w:rPr>
        <w:t>③如使用供应商所不拥有的知识产权，则在报价中必须包括合法使用该知识产权的相关费用。</w:t>
      </w:r>
    </w:p>
    <w:p w14:paraId="0FF7A71D">
      <w:pPr>
        <w:pStyle w:val="6"/>
        <w:keepNext w:val="0"/>
        <w:keepLines w:val="0"/>
        <w:pageBreakBefore w:val="0"/>
        <w:widowControl w:val="0"/>
        <w:tabs>
          <w:tab w:val="left" w:pos="9450"/>
        </w:tabs>
        <w:kinsoku/>
        <w:wordWrap/>
        <w:overflowPunct/>
        <w:topLinePunct w:val="0"/>
        <w:autoSpaceDE/>
        <w:autoSpaceDN/>
        <w:bidi w:val="0"/>
        <w:adjustRightInd/>
        <w:snapToGrid/>
        <w:spacing w:line="580" w:lineRule="exact"/>
        <w:ind w:left="0" w:leftChars="0" w:firstLine="560" w:firstLineChars="200"/>
        <w:jc w:val="both"/>
        <w:textAlignment w:val="auto"/>
        <w:rPr>
          <w:rFonts w:hint="eastAsia" w:ascii="方正黑体简体" w:hAnsi="方正黑体简体" w:eastAsia="方正黑体简体" w:cs="方正黑体简体"/>
          <w:b w:val="0"/>
          <w:bCs w:val="0"/>
          <w:color w:val="auto"/>
          <w:kern w:val="2"/>
          <w:sz w:val="28"/>
          <w:szCs w:val="28"/>
          <w:highlight w:val="none"/>
          <w:u w:val="none"/>
          <w:lang w:val="en-US" w:eastAsia="zh-CN" w:bidi="ar-SA"/>
        </w:rPr>
      </w:pPr>
      <w:r>
        <w:rPr>
          <w:rFonts w:hint="eastAsia" w:ascii="方正黑体简体" w:hAnsi="方正黑体简体" w:eastAsia="方正黑体简体" w:cs="方正黑体简体"/>
          <w:b w:val="0"/>
          <w:bCs w:val="0"/>
          <w:color w:val="auto"/>
          <w:sz w:val="28"/>
          <w:szCs w:val="28"/>
          <w:highlight w:val="none"/>
          <w:u w:val="none"/>
          <w:lang w:val="en-US" w:eastAsia="zh-CN"/>
        </w:rPr>
        <w:t>11）</w:t>
      </w:r>
      <w:r>
        <w:rPr>
          <w:rFonts w:hint="eastAsia" w:ascii="方正黑体简体" w:hAnsi="方正黑体简体" w:eastAsia="方正黑体简体" w:cs="方正黑体简体"/>
          <w:b w:val="0"/>
          <w:bCs w:val="0"/>
          <w:color w:val="auto"/>
          <w:sz w:val="28"/>
          <w:szCs w:val="28"/>
          <w:highlight w:val="none"/>
          <w:u w:val="none"/>
        </w:rPr>
        <w:t>成本补偿和风险分担约定：</w:t>
      </w:r>
      <w:r>
        <w:rPr>
          <w:rFonts w:hint="eastAsia" w:ascii="方正黑体简体" w:hAnsi="方正黑体简体" w:eastAsia="方正黑体简体" w:cs="方正黑体简体"/>
          <w:b w:val="0"/>
          <w:bCs w:val="0"/>
          <w:color w:val="auto"/>
          <w:kern w:val="2"/>
          <w:sz w:val="28"/>
          <w:szCs w:val="28"/>
          <w:highlight w:val="none"/>
          <w:u w:val="none"/>
          <w:lang w:val="en-US" w:eastAsia="zh-CN" w:bidi="ar-SA"/>
        </w:rPr>
        <w:t>采购人不进行成本补偿，因市场变化或政策变化造成的潜在风险，由供应商自行负责。</w:t>
      </w:r>
    </w:p>
    <w:p w14:paraId="4CEA5974">
      <w:pPr>
        <w:pStyle w:val="2"/>
        <w:keepNext w:val="0"/>
        <w:keepLines w:val="0"/>
        <w:pageBreakBefore w:val="0"/>
        <w:widowControl w:val="0"/>
        <w:numPr>
          <w:ilvl w:val="0"/>
          <w:numId w:val="0"/>
        </w:numPr>
        <w:tabs>
          <w:tab w:val="left" w:pos="9450"/>
        </w:tabs>
        <w:kinsoku/>
        <w:wordWrap/>
        <w:overflowPunct/>
        <w:topLinePunct w:val="0"/>
        <w:autoSpaceDE/>
        <w:autoSpaceDN/>
        <w:bidi w:val="0"/>
        <w:adjustRightInd/>
        <w:snapToGrid/>
        <w:spacing w:line="580" w:lineRule="exact"/>
        <w:ind w:left="0" w:leftChars="0" w:right="325" w:rightChars="155" w:firstLine="560" w:firstLineChars="200"/>
        <w:jc w:val="both"/>
        <w:textAlignment w:val="auto"/>
        <w:rPr>
          <w:rFonts w:hint="eastAsia" w:ascii="方正黑体简体" w:hAnsi="方正黑体简体" w:eastAsia="方正黑体简体" w:cs="方正黑体简体"/>
          <w:b w:val="0"/>
          <w:bCs w:val="0"/>
          <w:color w:val="auto"/>
          <w:sz w:val="28"/>
          <w:szCs w:val="28"/>
          <w:highlight w:val="none"/>
          <w:u w:val="none"/>
        </w:rPr>
      </w:pPr>
      <w:r>
        <w:rPr>
          <w:rFonts w:hint="eastAsia" w:ascii="方正黑体简体" w:hAnsi="方正黑体简体" w:eastAsia="方正黑体简体" w:cs="方正黑体简体"/>
          <w:b w:val="0"/>
          <w:bCs w:val="0"/>
          <w:color w:val="auto"/>
          <w:sz w:val="28"/>
          <w:szCs w:val="28"/>
          <w:highlight w:val="none"/>
          <w:u w:val="none"/>
          <w:lang w:val="en-US" w:eastAsia="zh-CN"/>
        </w:rPr>
        <w:t>12）</w:t>
      </w:r>
      <w:r>
        <w:rPr>
          <w:rFonts w:hint="eastAsia" w:ascii="方正黑体简体" w:hAnsi="方正黑体简体" w:eastAsia="方正黑体简体" w:cs="方正黑体简体"/>
          <w:b w:val="0"/>
          <w:bCs w:val="0"/>
          <w:color w:val="auto"/>
          <w:sz w:val="28"/>
          <w:szCs w:val="28"/>
          <w:highlight w:val="none"/>
          <w:u w:val="none"/>
        </w:rPr>
        <w:t>违约责任与解决争议的方法：</w:t>
      </w:r>
    </w:p>
    <w:p w14:paraId="7A803BC8">
      <w:pPr>
        <w:pStyle w:val="2"/>
        <w:keepNext w:val="0"/>
        <w:keepLines w:val="0"/>
        <w:pageBreakBefore w:val="0"/>
        <w:numPr>
          <w:ilvl w:val="0"/>
          <w:numId w:val="0"/>
        </w:numPr>
        <w:tabs>
          <w:tab w:val="left" w:pos="9450"/>
        </w:tabs>
        <w:kinsoku/>
        <w:wordWrap/>
        <w:overflowPunct/>
        <w:topLinePunct w:val="0"/>
        <w:autoSpaceDE/>
        <w:autoSpaceDN/>
        <w:bidi w:val="0"/>
        <w:adjustRightInd/>
        <w:snapToGrid/>
        <w:spacing w:line="580" w:lineRule="exact"/>
        <w:ind w:right="325" w:rightChars="155" w:firstLine="560" w:firstLineChars="200"/>
        <w:jc w:val="both"/>
        <w:textAlignment w:val="auto"/>
        <w:rPr>
          <w:rFonts w:hint="eastAsia" w:ascii="方正黑体简体" w:hAnsi="方正黑体简体" w:eastAsia="方正黑体简体" w:cs="方正黑体简体"/>
          <w:b w:val="0"/>
          <w:bCs w:val="0"/>
          <w:color w:val="auto"/>
          <w:kern w:val="2"/>
          <w:sz w:val="28"/>
          <w:szCs w:val="28"/>
          <w:highlight w:val="none"/>
          <w:u w:val="none"/>
          <w:lang w:val="en-US" w:eastAsia="zh-CN" w:bidi="ar-SA"/>
        </w:rPr>
      </w:pPr>
      <w:r>
        <w:rPr>
          <w:rFonts w:hint="eastAsia" w:ascii="方正黑体简体" w:hAnsi="方正黑体简体" w:eastAsia="方正黑体简体" w:cs="方正黑体简体"/>
          <w:b w:val="0"/>
          <w:bCs w:val="0"/>
          <w:color w:val="auto"/>
          <w:kern w:val="2"/>
          <w:sz w:val="28"/>
          <w:szCs w:val="28"/>
          <w:highlight w:val="none"/>
          <w:u w:val="none"/>
          <w:lang w:val="en-US" w:eastAsia="zh-CN" w:bidi="ar-SA"/>
        </w:rPr>
        <w:t>一、违约责任：1、供应商未按合同约定时间供货，每逾期一日，供应商应按合同总金额的1%向采购人支付违约金；逾期超过三十日，采购人有权解除合同，供应商应按合同总金额的 20% 向采购人支付违约金。如违约金不足以弥补采购人损失的，供应商应对差额部分进行全额补足。同时，履约保证金采购人有权不予退还。2、供应商交付货物的规格、型号、数量、质量、外包装不符合合同约定的，供应商应在采购人限定的期限内进行整改。如未按时整改或整改后仍不符合要求，视为供应商违约，采购人有权解除合同，供应商应按照合同总金额的20%支付违约金。如违约金不足以弥补采购人损失的，供应商应对差额部分进行全额补足。同时，履约保证金采购人有权不予退还。3、供应商所供货物如因质量问题给采购人或第三方造成损害的，应由供应商承担全部赔偿责任。若采购人已先行赔偿的，采购人有权向供应商全额追偿。4、供应商未按约定履行售后服务，每出现一次，供应商应按照1000元/次的标准向采购人支付违约金，且采购人有权另行选择第三方供应商提供售后服务，由此产生的相关费用及责任由供应商承担。5、如因一方违约导致解除合同，违约方应向守约方支付合同总金额的 30% ，违约金不足以弥补守约方实际损失的，由违约方予以补足，守约方有权向违约方主张全部损失，包含但不限于：鉴定费、公证费、律师费、诉讼费、保全费、保全担保费等实现债权的全部费用，以上费用金额以开具的合格发票金额为准。6.若采购人未按照合同约定逾期向供应商支付货物费用，采购人应以全国银行间同业拆借中心公布的贷款市场报价利率为标准支付逾期利息。7.采购人无正当理由拒收货物、拒付货款的，采购人应向供应商偿付拒付货款万分之三的违约金。8.因采购人原因造成合同变更、中止或者终止的，采购人应偿付不低于合同总价万分之三的违约金。</w:t>
      </w:r>
    </w:p>
    <w:p w14:paraId="572A5BEC">
      <w:pPr>
        <w:pStyle w:val="2"/>
        <w:keepNext w:val="0"/>
        <w:keepLines w:val="0"/>
        <w:pageBreakBefore w:val="0"/>
        <w:numPr>
          <w:ilvl w:val="0"/>
          <w:numId w:val="0"/>
        </w:numPr>
        <w:tabs>
          <w:tab w:val="left" w:pos="9450"/>
        </w:tabs>
        <w:kinsoku/>
        <w:wordWrap/>
        <w:overflowPunct/>
        <w:topLinePunct w:val="0"/>
        <w:autoSpaceDE/>
        <w:autoSpaceDN/>
        <w:bidi w:val="0"/>
        <w:adjustRightInd/>
        <w:snapToGrid/>
        <w:spacing w:line="580" w:lineRule="exact"/>
        <w:ind w:right="325" w:rightChars="155" w:firstLine="560" w:firstLineChars="200"/>
        <w:jc w:val="both"/>
        <w:textAlignment w:val="auto"/>
        <w:rPr>
          <w:rFonts w:hint="eastAsia" w:ascii="方正黑体简体" w:hAnsi="方正黑体简体" w:eastAsia="方正黑体简体" w:cs="方正黑体简体"/>
          <w:b w:val="0"/>
          <w:bCs w:val="0"/>
          <w:color w:val="auto"/>
          <w:kern w:val="2"/>
          <w:sz w:val="28"/>
          <w:szCs w:val="28"/>
          <w:highlight w:val="none"/>
          <w:u w:val="none"/>
          <w:lang w:val="en-US" w:eastAsia="zh-CN" w:bidi="ar-SA"/>
        </w:rPr>
      </w:pPr>
      <w:r>
        <w:rPr>
          <w:rFonts w:hint="eastAsia" w:ascii="方正黑体简体" w:hAnsi="方正黑体简体" w:eastAsia="方正黑体简体" w:cs="方正黑体简体"/>
          <w:b w:val="0"/>
          <w:bCs w:val="0"/>
          <w:color w:val="auto"/>
          <w:kern w:val="2"/>
          <w:sz w:val="28"/>
          <w:szCs w:val="28"/>
          <w:highlight w:val="none"/>
          <w:u w:val="none"/>
          <w:lang w:val="en-US" w:eastAsia="zh-CN" w:bidi="ar-SA"/>
        </w:rPr>
        <w:t xml:space="preserve"> 二、解决争议的方法：1.因货物的质量问题发生争议，由质量术监督部门或其指定的质量鉴定机构进行质量鉴定。货物符合标准的，鉴定费由采购人承担；货物不符合质量标准的，鉴定费由供应商承担。2.合同履行期间，若双方发生争议，可协商或由有关部门调解解决，协商或调解不成的，由采购人所在地的人民法院依法处理。</w:t>
      </w:r>
    </w:p>
    <w:p w14:paraId="5AB57F8E">
      <w:pPr>
        <w:pStyle w:val="2"/>
        <w:keepNext w:val="0"/>
        <w:keepLines w:val="0"/>
        <w:pageBreakBefore w:val="0"/>
        <w:numPr>
          <w:ilvl w:val="0"/>
          <w:numId w:val="0"/>
        </w:numPr>
        <w:tabs>
          <w:tab w:val="left" w:pos="9450"/>
        </w:tabs>
        <w:kinsoku/>
        <w:wordWrap/>
        <w:overflowPunct/>
        <w:topLinePunct w:val="0"/>
        <w:autoSpaceDE/>
        <w:autoSpaceDN/>
        <w:bidi w:val="0"/>
        <w:adjustRightInd/>
        <w:snapToGrid/>
        <w:spacing w:line="580" w:lineRule="exact"/>
        <w:ind w:right="325" w:rightChars="155" w:firstLine="560" w:firstLineChars="200"/>
        <w:jc w:val="both"/>
        <w:textAlignment w:val="auto"/>
        <w:rPr>
          <w:rFonts w:hint="eastAsia" w:ascii="方正黑体简体" w:hAnsi="方正黑体简体" w:eastAsia="方正黑体简体" w:cs="方正黑体简体"/>
          <w:b w:val="0"/>
          <w:bCs w:val="0"/>
          <w:color w:val="auto"/>
          <w:sz w:val="28"/>
          <w:szCs w:val="28"/>
          <w:highlight w:val="none"/>
          <w:u w:val="none"/>
        </w:rPr>
      </w:pPr>
      <w:r>
        <w:rPr>
          <w:rFonts w:hint="eastAsia" w:ascii="方正黑体简体" w:hAnsi="方正黑体简体" w:eastAsia="方正黑体简体" w:cs="方正黑体简体"/>
          <w:b w:val="0"/>
          <w:bCs w:val="0"/>
          <w:color w:val="auto"/>
          <w:sz w:val="28"/>
          <w:szCs w:val="28"/>
          <w:highlight w:val="none"/>
          <w:u w:val="none"/>
          <w:lang w:val="en-US" w:eastAsia="zh-CN"/>
        </w:rPr>
        <w:t>13）</w:t>
      </w:r>
      <w:r>
        <w:rPr>
          <w:rFonts w:hint="eastAsia" w:ascii="方正黑体简体" w:hAnsi="方正黑体简体" w:eastAsia="方正黑体简体" w:cs="方正黑体简体"/>
          <w:b w:val="0"/>
          <w:bCs w:val="0"/>
          <w:color w:val="auto"/>
          <w:sz w:val="28"/>
          <w:szCs w:val="28"/>
          <w:highlight w:val="none"/>
          <w:u w:val="none"/>
        </w:rPr>
        <w:t>合同其他条款：无</w:t>
      </w:r>
    </w:p>
    <w:p w14:paraId="3ACBCA98">
      <w:pPr>
        <w:pStyle w:val="2"/>
        <w:keepNext w:val="0"/>
        <w:keepLines w:val="0"/>
        <w:pageBreakBefore w:val="0"/>
        <w:numPr>
          <w:ilvl w:val="0"/>
          <w:numId w:val="0"/>
        </w:numPr>
        <w:tabs>
          <w:tab w:val="left" w:pos="9450"/>
        </w:tabs>
        <w:kinsoku/>
        <w:wordWrap/>
        <w:overflowPunct/>
        <w:topLinePunct w:val="0"/>
        <w:autoSpaceDE/>
        <w:autoSpaceDN/>
        <w:bidi w:val="0"/>
        <w:adjustRightInd/>
        <w:snapToGrid/>
        <w:spacing w:line="580" w:lineRule="exact"/>
        <w:ind w:right="325" w:rightChars="155" w:firstLine="562" w:firstLineChars="200"/>
        <w:jc w:val="both"/>
        <w:textAlignment w:val="auto"/>
        <w:rPr>
          <w:rFonts w:hint="eastAsia" w:ascii="方正黑体简体" w:hAnsi="方正黑体简体" w:eastAsia="方正黑体简体" w:cs="方正黑体简体"/>
          <w:b/>
          <w:bCs/>
          <w:color w:val="auto"/>
          <w:sz w:val="28"/>
          <w:szCs w:val="28"/>
          <w:highlight w:val="none"/>
          <w:u w:val="none"/>
        </w:rPr>
      </w:pPr>
      <w:r>
        <w:rPr>
          <w:rFonts w:hint="eastAsia" w:ascii="方正黑体简体" w:hAnsi="方正黑体简体" w:eastAsia="方正黑体简体" w:cs="方正黑体简体"/>
          <w:b/>
          <w:bCs/>
          <w:color w:val="auto"/>
          <w:sz w:val="28"/>
          <w:szCs w:val="28"/>
          <w:highlight w:val="none"/>
          <w:u w:val="none"/>
          <w:lang w:eastAsia="zh-CN"/>
        </w:rPr>
        <w:t>五、</w:t>
      </w:r>
      <w:r>
        <w:rPr>
          <w:rFonts w:hint="eastAsia" w:ascii="方正黑体简体" w:hAnsi="方正黑体简体" w:eastAsia="方正黑体简体" w:cs="方正黑体简体"/>
          <w:b/>
          <w:bCs/>
          <w:color w:val="auto"/>
          <w:sz w:val="28"/>
          <w:szCs w:val="28"/>
          <w:highlight w:val="none"/>
          <w:u w:val="none"/>
        </w:rPr>
        <w:t xml:space="preserve">履约验收方案 </w:t>
      </w:r>
    </w:p>
    <w:p w14:paraId="50E4D91D">
      <w:pPr>
        <w:pStyle w:val="2"/>
        <w:keepNext w:val="0"/>
        <w:keepLines w:val="0"/>
        <w:pageBreakBefore w:val="0"/>
        <w:widowControl w:val="0"/>
        <w:numPr>
          <w:ilvl w:val="0"/>
          <w:numId w:val="0"/>
        </w:numPr>
        <w:tabs>
          <w:tab w:val="left" w:pos="9450"/>
        </w:tabs>
        <w:kinsoku/>
        <w:wordWrap/>
        <w:overflowPunct/>
        <w:topLinePunct w:val="0"/>
        <w:autoSpaceDE/>
        <w:autoSpaceDN/>
        <w:bidi w:val="0"/>
        <w:adjustRightInd/>
        <w:snapToGrid/>
        <w:spacing w:line="580" w:lineRule="exact"/>
        <w:ind w:left="0" w:leftChars="0" w:right="325" w:rightChars="155" w:firstLine="560" w:firstLineChars="200"/>
        <w:jc w:val="both"/>
        <w:textAlignment w:val="auto"/>
        <w:rPr>
          <w:rFonts w:hint="eastAsia" w:ascii="方正黑体简体" w:hAnsi="方正黑体简体" w:eastAsia="方正黑体简体" w:cs="方正黑体简体"/>
          <w:b w:val="0"/>
          <w:bCs w:val="0"/>
          <w:color w:val="auto"/>
          <w:sz w:val="28"/>
          <w:szCs w:val="28"/>
          <w:highlight w:val="none"/>
          <w:u w:val="none"/>
        </w:rPr>
      </w:pPr>
      <w:r>
        <w:rPr>
          <w:rFonts w:hint="eastAsia" w:ascii="方正黑体简体" w:hAnsi="方正黑体简体" w:eastAsia="方正黑体简体" w:cs="方正黑体简体"/>
          <w:b w:val="0"/>
          <w:bCs w:val="0"/>
          <w:color w:val="auto"/>
          <w:sz w:val="28"/>
          <w:szCs w:val="28"/>
          <w:highlight w:val="none"/>
          <w:u w:val="none"/>
          <w:lang w:val="en-US" w:eastAsia="zh-CN"/>
        </w:rPr>
        <w:t>1）</w:t>
      </w:r>
      <w:r>
        <w:rPr>
          <w:rFonts w:hint="eastAsia" w:ascii="方正黑体简体" w:hAnsi="方正黑体简体" w:eastAsia="方正黑体简体" w:cs="方正黑体简体"/>
          <w:b w:val="0"/>
          <w:bCs w:val="0"/>
          <w:color w:val="auto"/>
          <w:sz w:val="28"/>
          <w:szCs w:val="28"/>
          <w:highlight w:val="none"/>
          <w:u w:val="none"/>
        </w:rPr>
        <w:t xml:space="preserve">验收组织方式：自行验收 </w:t>
      </w:r>
    </w:p>
    <w:p w14:paraId="2AB9BB95">
      <w:pPr>
        <w:pStyle w:val="2"/>
        <w:keepNext w:val="0"/>
        <w:keepLines w:val="0"/>
        <w:pageBreakBefore w:val="0"/>
        <w:widowControl w:val="0"/>
        <w:numPr>
          <w:ilvl w:val="0"/>
          <w:numId w:val="0"/>
        </w:numPr>
        <w:tabs>
          <w:tab w:val="left" w:pos="9450"/>
        </w:tabs>
        <w:kinsoku/>
        <w:wordWrap/>
        <w:overflowPunct/>
        <w:topLinePunct w:val="0"/>
        <w:autoSpaceDE/>
        <w:autoSpaceDN/>
        <w:bidi w:val="0"/>
        <w:adjustRightInd/>
        <w:snapToGrid/>
        <w:spacing w:line="580" w:lineRule="exact"/>
        <w:ind w:left="0" w:leftChars="0" w:right="325" w:rightChars="155" w:firstLine="560" w:firstLineChars="200"/>
        <w:jc w:val="both"/>
        <w:textAlignment w:val="auto"/>
        <w:rPr>
          <w:rFonts w:hint="eastAsia" w:ascii="方正黑体简体" w:hAnsi="方正黑体简体" w:eastAsia="方正黑体简体" w:cs="方正黑体简体"/>
          <w:b w:val="0"/>
          <w:bCs w:val="0"/>
          <w:color w:val="auto"/>
          <w:sz w:val="28"/>
          <w:szCs w:val="28"/>
          <w:highlight w:val="none"/>
          <w:u w:val="none"/>
        </w:rPr>
      </w:pPr>
      <w:r>
        <w:rPr>
          <w:rFonts w:hint="eastAsia" w:ascii="方正黑体简体" w:hAnsi="方正黑体简体" w:eastAsia="方正黑体简体" w:cs="方正黑体简体"/>
          <w:b w:val="0"/>
          <w:bCs w:val="0"/>
          <w:color w:val="auto"/>
          <w:sz w:val="28"/>
          <w:szCs w:val="28"/>
          <w:highlight w:val="none"/>
          <w:u w:val="none"/>
          <w:lang w:val="en-US" w:eastAsia="zh-CN"/>
        </w:rPr>
        <w:t>2）</w:t>
      </w:r>
      <w:r>
        <w:rPr>
          <w:rFonts w:hint="eastAsia" w:ascii="方正黑体简体" w:hAnsi="方正黑体简体" w:eastAsia="方正黑体简体" w:cs="方正黑体简体"/>
          <w:b w:val="0"/>
          <w:bCs w:val="0"/>
          <w:color w:val="auto"/>
          <w:sz w:val="28"/>
          <w:szCs w:val="28"/>
          <w:highlight w:val="none"/>
          <w:u w:val="none"/>
        </w:rPr>
        <w:t xml:space="preserve">是否邀请本项目的其他供应商：否 </w:t>
      </w:r>
    </w:p>
    <w:p w14:paraId="775033F6">
      <w:pPr>
        <w:pStyle w:val="2"/>
        <w:keepNext w:val="0"/>
        <w:keepLines w:val="0"/>
        <w:pageBreakBefore w:val="0"/>
        <w:widowControl w:val="0"/>
        <w:numPr>
          <w:ilvl w:val="0"/>
          <w:numId w:val="0"/>
        </w:numPr>
        <w:tabs>
          <w:tab w:val="left" w:pos="9450"/>
        </w:tabs>
        <w:kinsoku/>
        <w:wordWrap/>
        <w:overflowPunct/>
        <w:topLinePunct w:val="0"/>
        <w:autoSpaceDE/>
        <w:autoSpaceDN/>
        <w:bidi w:val="0"/>
        <w:adjustRightInd/>
        <w:snapToGrid/>
        <w:spacing w:line="580" w:lineRule="exact"/>
        <w:ind w:left="0" w:leftChars="0" w:right="325" w:rightChars="155" w:firstLine="560" w:firstLineChars="200"/>
        <w:jc w:val="both"/>
        <w:textAlignment w:val="auto"/>
        <w:rPr>
          <w:rFonts w:hint="eastAsia" w:ascii="方正黑体简体" w:hAnsi="方正黑体简体" w:eastAsia="方正黑体简体" w:cs="方正黑体简体"/>
          <w:b w:val="0"/>
          <w:bCs w:val="0"/>
          <w:color w:val="auto"/>
          <w:sz w:val="28"/>
          <w:szCs w:val="28"/>
          <w:highlight w:val="none"/>
          <w:u w:val="none"/>
        </w:rPr>
      </w:pPr>
      <w:r>
        <w:rPr>
          <w:rFonts w:hint="eastAsia" w:ascii="方正黑体简体" w:hAnsi="方正黑体简体" w:eastAsia="方正黑体简体" w:cs="方正黑体简体"/>
          <w:b w:val="0"/>
          <w:bCs w:val="0"/>
          <w:color w:val="auto"/>
          <w:sz w:val="28"/>
          <w:szCs w:val="28"/>
          <w:highlight w:val="none"/>
          <w:u w:val="none"/>
          <w:lang w:val="en-US" w:eastAsia="zh-CN"/>
        </w:rPr>
        <w:t>3）</w:t>
      </w:r>
      <w:r>
        <w:rPr>
          <w:rFonts w:hint="eastAsia" w:ascii="方正黑体简体" w:hAnsi="方正黑体简体" w:eastAsia="方正黑体简体" w:cs="方正黑体简体"/>
          <w:b w:val="0"/>
          <w:bCs w:val="0"/>
          <w:color w:val="auto"/>
          <w:sz w:val="28"/>
          <w:szCs w:val="28"/>
          <w:highlight w:val="none"/>
          <w:u w:val="none"/>
        </w:rPr>
        <w:t>是否邀请专家：</w:t>
      </w:r>
      <w:r>
        <w:rPr>
          <w:rFonts w:hint="eastAsia" w:ascii="方正黑体简体" w:hAnsi="方正黑体简体" w:eastAsia="方正黑体简体" w:cs="方正黑体简体"/>
          <w:b w:val="0"/>
          <w:bCs w:val="0"/>
          <w:color w:val="auto"/>
          <w:sz w:val="28"/>
          <w:szCs w:val="28"/>
          <w:highlight w:val="none"/>
          <w:u w:val="none"/>
          <w:lang w:val="en-US" w:eastAsia="zh-CN"/>
        </w:rPr>
        <w:t>是</w:t>
      </w:r>
      <w:r>
        <w:rPr>
          <w:rFonts w:hint="eastAsia" w:ascii="方正黑体简体" w:hAnsi="方正黑体简体" w:eastAsia="方正黑体简体" w:cs="方正黑体简体"/>
          <w:b w:val="0"/>
          <w:bCs w:val="0"/>
          <w:color w:val="auto"/>
          <w:sz w:val="28"/>
          <w:szCs w:val="28"/>
          <w:highlight w:val="none"/>
          <w:u w:val="none"/>
        </w:rPr>
        <w:t xml:space="preserve"> </w:t>
      </w:r>
    </w:p>
    <w:p w14:paraId="276FAD95">
      <w:pPr>
        <w:pStyle w:val="2"/>
        <w:keepNext w:val="0"/>
        <w:keepLines w:val="0"/>
        <w:pageBreakBefore w:val="0"/>
        <w:widowControl w:val="0"/>
        <w:numPr>
          <w:ilvl w:val="0"/>
          <w:numId w:val="0"/>
        </w:numPr>
        <w:tabs>
          <w:tab w:val="left" w:pos="9450"/>
        </w:tabs>
        <w:kinsoku/>
        <w:wordWrap/>
        <w:overflowPunct/>
        <w:topLinePunct w:val="0"/>
        <w:autoSpaceDE/>
        <w:autoSpaceDN/>
        <w:bidi w:val="0"/>
        <w:adjustRightInd/>
        <w:snapToGrid/>
        <w:spacing w:line="580" w:lineRule="exact"/>
        <w:ind w:left="0" w:leftChars="0" w:right="325" w:rightChars="155" w:firstLine="560" w:firstLineChars="200"/>
        <w:jc w:val="both"/>
        <w:textAlignment w:val="auto"/>
        <w:rPr>
          <w:rFonts w:hint="eastAsia" w:ascii="方正黑体简体" w:hAnsi="方正黑体简体" w:eastAsia="方正黑体简体" w:cs="方正黑体简体"/>
          <w:b w:val="0"/>
          <w:bCs w:val="0"/>
          <w:color w:val="auto"/>
          <w:sz w:val="28"/>
          <w:szCs w:val="28"/>
          <w:highlight w:val="none"/>
          <w:u w:val="none"/>
          <w:lang w:eastAsia="zh-CN"/>
        </w:rPr>
      </w:pPr>
      <w:r>
        <w:rPr>
          <w:rFonts w:hint="eastAsia" w:ascii="方正黑体简体" w:hAnsi="方正黑体简体" w:eastAsia="方正黑体简体" w:cs="方正黑体简体"/>
          <w:b w:val="0"/>
          <w:bCs w:val="0"/>
          <w:color w:val="auto"/>
          <w:sz w:val="28"/>
          <w:szCs w:val="28"/>
          <w:highlight w:val="none"/>
          <w:u w:val="none"/>
          <w:lang w:val="en-US" w:eastAsia="zh-CN"/>
        </w:rPr>
        <w:t>4）</w:t>
      </w:r>
      <w:r>
        <w:rPr>
          <w:rFonts w:hint="eastAsia" w:ascii="方正黑体简体" w:hAnsi="方正黑体简体" w:eastAsia="方正黑体简体" w:cs="方正黑体简体"/>
          <w:b w:val="0"/>
          <w:bCs w:val="0"/>
          <w:color w:val="auto"/>
          <w:sz w:val="28"/>
          <w:szCs w:val="28"/>
          <w:highlight w:val="none"/>
          <w:u w:val="none"/>
        </w:rPr>
        <w:t>是否邀请服务对象：</w:t>
      </w:r>
      <w:r>
        <w:rPr>
          <w:rFonts w:hint="eastAsia" w:ascii="方正黑体简体" w:hAnsi="方正黑体简体" w:eastAsia="方正黑体简体" w:cs="方正黑体简体"/>
          <w:b w:val="0"/>
          <w:bCs w:val="0"/>
          <w:color w:val="auto"/>
          <w:sz w:val="28"/>
          <w:szCs w:val="28"/>
          <w:highlight w:val="none"/>
          <w:u w:val="none"/>
          <w:lang w:val="en-US" w:eastAsia="zh-CN"/>
        </w:rPr>
        <w:t>否</w:t>
      </w:r>
    </w:p>
    <w:p w14:paraId="0D5C77CC">
      <w:pPr>
        <w:pStyle w:val="2"/>
        <w:keepNext w:val="0"/>
        <w:keepLines w:val="0"/>
        <w:pageBreakBefore w:val="0"/>
        <w:widowControl w:val="0"/>
        <w:numPr>
          <w:ilvl w:val="0"/>
          <w:numId w:val="0"/>
        </w:numPr>
        <w:tabs>
          <w:tab w:val="left" w:pos="9450"/>
        </w:tabs>
        <w:kinsoku/>
        <w:wordWrap/>
        <w:overflowPunct/>
        <w:topLinePunct w:val="0"/>
        <w:autoSpaceDE/>
        <w:autoSpaceDN/>
        <w:bidi w:val="0"/>
        <w:adjustRightInd/>
        <w:snapToGrid/>
        <w:spacing w:line="580" w:lineRule="exact"/>
        <w:ind w:left="0" w:leftChars="0" w:right="325" w:rightChars="155" w:firstLine="560" w:firstLineChars="200"/>
        <w:jc w:val="both"/>
        <w:textAlignment w:val="auto"/>
        <w:rPr>
          <w:rFonts w:hint="eastAsia" w:ascii="方正黑体简体" w:hAnsi="方正黑体简体" w:eastAsia="方正黑体简体" w:cs="方正黑体简体"/>
          <w:b w:val="0"/>
          <w:bCs w:val="0"/>
          <w:color w:val="auto"/>
          <w:sz w:val="28"/>
          <w:szCs w:val="28"/>
          <w:highlight w:val="none"/>
          <w:u w:val="none"/>
        </w:rPr>
      </w:pPr>
      <w:r>
        <w:rPr>
          <w:rFonts w:hint="eastAsia" w:ascii="方正黑体简体" w:hAnsi="方正黑体简体" w:eastAsia="方正黑体简体" w:cs="方正黑体简体"/>
          <w:b w:val="0"/>
          <w:bCs w:val="0"/>
          <w:color w:val="auto"/>
          <w:sz w:val="28"/>
          <w:szCs w:val="28"/>
          <w:highlight w:val="none"/>
          <w:u w:val="none"/>
          <w:lang w:val="en-US" w:eastAsia="zh-CN"/>
        </w:rPr>
        <w:t>5）</w:t>
      </w:r>
      <w:r>
        <w:rPr>
          <w:rFonts w:hint="eastAsia" w:ascii="方正黑体简体" w:hAnsi="方正黑体简体" w:eastAsia="方正黑体简体" w:cs="方正黑体简体"/>
          <w:b w:val="0"/>
          <w:bCs w:val="0"/>
          <w:color w:val="auto"/>
          <w:sz w:val="28"/>
          <w:szCs w:val="28"/>
          <w:highlight w:val="none"/>
          <w:u w:val="none"/>
        </w:rPr>
        <w:t>是否邀请第三方检测机构：否</w:t>
      </w:r>
    </w:p>
    <w:p w14:paraId="52B30417">
      <w:pPr>
        <w:pStyle w:val="2"/>
        <w:keepNext w:val="0"/>
        <w:keepLines w:val="0"/>
        <w:pageBreakBefore w:val="0"/>
        <w:widowControl w:val="0"/>
        <w:numPr>
          <w:ilvl w:val="0"/>
          <w:numId w:val="0"/>
        </w:numPr>
        <w:tabs>
          <w:tab w:val="left" w:pos="9450"/>
        </w:tabs>
        <w:kinsoku/>
        <w:wordWrap/>
        <w:overflowPunct/>
        <w:topLinePunct w:val="0"/>
        <w:autoSpaceDE/>
        <w:autoSpaceDN/>
        <w:bidi w:val="0"/>
        <w:adjustRightInd/>
        <w:snapToGrid/>
        <w:spacing w:line="580" w:lineRule="exact"/>
        <w:ind w:left="0" w:leftChars="0" w:right="325" w:rightChars="155" w:firstLine="560" w:firstLineChars="200"/>
        <w:jc w:val="both"/>
        <w:textAlignment w:val="auto"/>
        <w:rPr>
          <w:rFonts w:hint="eastAsia" w:ascii="方正黑体简体" w:hAnsi="方正黑体简体" w:eastAsia="方正黑体简体" w:cs="方正黑体简体"/>
          <w:b w:val="0"/>
          <w:bCs w:val="0"/>
          <w:color w:val="auto"/>
          <w:sz w:val="28"/>
          <w:szCs w:val="28"/>
          <w:highlight w:val="none"/>
          <w:u w:val="none"/>
        </w:rPr>
      </w:pPr>
      <w:r>
        <w:rPr>
          <w:rFonts w:hint="eastAsia" w:ascii="方正黑体简体" w:hAnsi="方正黑体简体" w:eastAsia="方正黑体简体" w:cs="方正黑体简体"/>
          <w:b w:val="0"/>
          <w:bCs w:val="0"/>
          <w:color w:val="auto"/>
          <w:sz w:val="28"/>
          <w:szCs w:val="28"/>
          <w:highlight w:val="none"/>
          <w:u w:val="none"/>
          <w:lang w:val="en-US" w:eastAsia="zh-CN"/>
        </w:rPr>
        <w:t>6）</w:t>
      </w:r>
      <w:r>
        <w:rPr>
          <w:rFonts w:hint="eastAsia" w:ascii="方正黑体简体" w:hAnsi="方正黑体简体" w:eastAsia="方正黑体简体" w:cs="方正黑体简体"/>
          <w:b w:val="0"/>
          <w:bCs w:val="0"/>
          <w:color w:val="auto"/>
          <w:sz w:val="28"/>
          <w:szCs w:val="28"/>
          <w:highlight w:val="none"/>
          <w:u w:val="none"/>
        </w:rPr>
        <w:t xml:space="preserve">履约验收程序：一次性验收 </w:t>
      </w:r>
    </w:p>
    <w:p w14:paraId="3C84D7A8">
      <w:pPr>
        <w:pStyle w:val="2"/>
        <w:keepNext w:val="0"/>
        <w:keepLines w:val="0"/>
        <w:pageBreakBefore w:val="0"/>
        <w:widowControl w:val="0"/>
        <w:numPr>
          <w:ilvl w:val="0"/>
          <w:numId w:val="0"/>
        </w:numPr>
        <w:tabs>
          <w:tab w:val="left" w:pos="9450"/>
        </w:tabs>
        <w:kinsoku/>
        <w:wordWrap/>
        <w:overflowPunct/>
        <w:topLinePunct w:val="0"/>
        <w:autoSpaceDE/>
        <w:autoSpaceDN/>
        <w:bidi w:val="0"/>
        <w:adjustRightInd/>
        <w:snapToGrid/>
        <w:spacing w:line="580" w:lineRule="exact"/>
        <w:ind w:left="0" w:leftChars="0" w:right="325" w:rightChars="155" w:firstLine="560" w:firstLineChars="200"/>
        <w:jc w:val="both"/>
        <w:textAlignment w:val="auto"/>
        <w:rPr>
          <w:rFonts w:hint="eastAsia" w:ascii="方正黑体简体" w:hAnsi="方正黑体简体" w:eastAsia="方正黑体简体" w:cs="方正黑体简体"/>
          <w:b w:val="0"/>
          <w:bCs w:val="0"/>
          <w:color w:val="auto"/>
          <w:sz w:val="28"/>
          <w:szCs w:val="28"/>
          <w:highlight w:val="none"/>
          <w:u w:val="none"/>
        </w:rPr>
      </w:pPr>
      <w:r>
        <w:rPr>
          <w:rFonts w:hint="eastAsia" w:ascii="方正黑体简体" w:hAnsi="方正黑体简体" w:eastAsia="方正黑体简体" w:cs="方正黑体简体"/>
          <w:b w:val="0"/>
          <w:bCs w:val="0"/>
          <w:color w:val="auto"/>
          <w:sz w:val="28"/>
          <w:szCs w:val="28"/>
          <w:highlight w:val="none"/>
          <w:u w:val="none"/>
          <w:lang w:val="en-US" w:eastAsia="zh-CN"/>
        </w:rPr>
        <w:t>7）</w:t>
      </w:r>
      <w:r>
        <w:rPr>
          <w:rFonts w:hint="eastAsia" w:ascii="方正黑体简体" w:hAnsi="方正黑体简体" w:eastAsia="方正黑体简体" w:cs="方正黑体简体"/>
          <w:b w:val="0"/>
          <w:bCs w:val="0"/>
          <w:color w:val="auto"/>
          <w:sz w:val="28"/>
          <w:szCs w:val="28"/>
          <w:highlight w:val="none"/>
          <w:u w:val="none"/>
        </w:rPr>
        <w:t>履约验收时间： 供应商提出验收申请之日起 ，达到验收条件起 1</w:t>
      </w:r>
      <w:r>
        <w:rPr>
          <w:rFonts w:hint="eastAsia" w:ascii="方正黑体简体" w:hAnsi="方正黑体简体" w:eastAsia="方正黑体简体" w:cs="方正黑体简体"/>
          <w:b w:val="0"/>
          <w:bCs w:val="0"/>
          <w:color w:val="auto"/>
          <w:sz w:val="28"/>
          <w:szCs w:val="28"/>
          <w:highlight w:val="none"/>
          <w:u w:val="none"/>
          <w:lang w:val="en-US" w:eastAsia="zh-CN"/>
        </w:rPr>
        <w:t>5</w:t>
      </w:r>
      <w:r>
        <w:rPr>
          <w:rFonts w:hint="eastAsia" w:ascii="方正黑体简体" w:hAnsi="方正黑体简体" w:eastAsia="方正黑体简体" w:cs="方正黑体简体"/>
          <w:b w:val="0"/>
          <w:bCs w:val="0"/>
          <w:color w:val="auto"/>
          <w:sz w:val="28"/>
          <w:szCs w:val="28"/>
          <w:highlight w:val="none"/>
          <w:u w:val="none"/>
        </w:rPr>
        <w:t xml:space="preserve"> 日内，验收合同总金额的 100.00 %； </w:t>
      </w:r>
    </w:p>
    <w:p w14:paraId="07D1F968">
      <w:pPr>
        <w:pStyle w:val="2"/>
        <w:keepNext w:val="0"/>
        <w:keepLines w:val="0"/>
        <w:pageBreakBefore w:val="0"/>
        <w:widowControl w:val="0"/>
        <w:numPr>
          <w:ilvl w:val="0"/>
          <w:numId w:val="0"/>
        </w:numPr>
        <w:tabs>
          <w:tab w:val="left" w:pos="9450"/>
        </w:tabs>
        <w:kinsoku/>
        <w:wordWrap/>
        <w:overflowPunct/>
        <w:topLinePunct w:val="0"/>
        <w:autoSpaceDE/>
        <w:autoSpaceDN/>
        <w:bidi w:val="0"/>
        <w:adjustRightInd/>
        <w:snapToGrid/>
        <w:spacing w:line="580" w:lineRule="exact"/>
        <w:ind w:left="0" w:leftChars="0" w:right="325" w:rightChars="155" w:firstLine="560" w:firstLineChars="200"/>
        <w:jc w:val="both"/>
        <w:textAlignment w:val="auto"/>
        <w:rPr>
          <w:rFonts w:hint="eastAsia" w:ascii="方正黑体简体" w:hAnsi="方正黑体简体" w:eastAsia="方正黑体简体" w:cs="方正黑体简体"/>
          <w:b w:val="0"/>
          <w:bCs w:val="0"/>
          <w:color w:val="auto"/>
          <w:sz w:val="28"/>
          <w:szCs w:val="28"/>
          <w:highlight w:val="none"/>
          <w:u w:val="none"/>
        </w:rPr>
      </w:pPr>
      <w:r>
        <w:rPr>
          <w:rFonts w:hint="eastAsia" w:ascii="方正黑体简体" w:hAnsi="方正黑体简体" w:eastAsia="方正黑体简体" w:cs="方正黑体简体"/>
          <w:b w:val="0"/>
          <w:bCs w:val="0"/>
          <w:color w:val="auto"/>
          <w:sz w:val="28"/>
          <w:szCs w:val="28"/>
          <w:highlight w:val="none"/>
          <w:u w:val="none"/>
          <w:lang w:val="en-US" w:eastAsia="zh-CN"/>
        </w:rPr>
        <w:t>8）</w:t>
      </w:r>
      <w:r>
        <w:rPr>
          <w:rFonts w:hint="eastAsia" w:ascii="方正黑体简体" w:hAnsi="方正黑体简体" w:eastAsia="方正黑体简体" w:cs="方正黑体简体"/>
          <w:b w:val="0"/>
          <w:bCs w:val="0"/>
          <w:color w:val="auto"/>
          <w:sz w:val="28"/>
          <w:szCs w:val="28"/>
          <w:highlight w:val="none"/>
          <w:u w:val="none"/>
        </w:rPr>
        <w:t>验收组织的其他事项：无</w:t>
      </w:r>
    </w:p>
    <w:p w14:paraId="6FD6029B">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560" w:firstLineChars="200"/>
        <w:jc w:val="both"/>
        <w:textAlignment w:val="auto"/>
        <w:rPr>
          <w:rFonts w:hint="eastAsia" w:ascii="方正黑体简体" w:hAnsi="方正黑体简体" w:eastAsia="方正黑体简体" w:cs="方正黑体简体"/>
          <w:b w:val="0"/>
          <w:bCs w:val="0"/>
          <w:color w:val="auto"/>
          <w:sz w:val="28"/>
          <w:szCs w:val="28"/>
          <w:highlight w:val="none"/>
          <w:u w:val="none"/>
        </w:rPr>
      </w:pPr>
      <w:r>
        <w:rPr>
          <w:rFonts w:hint="eastAsia" w:ascii="方正黑体简体" w:hAnsi="方正黑体简体" w:eastAsia="方正黑体简体" w:cs="方正黑体简体"/>
          <w:b w:val="0"/>
          <w:bCs w:val="0"/>
          <w:color w:val="auto"/>
          <w:sz w:val="28"/>
          <w:szCs w:val="28"/>
          <w:highlight w:val="none"/>
          <w:u w:val="none"/>
          <w:lang w:val="en-US" w:eastAsia="zh-CN"/>
        </w:rPr>
        <w:t>9）技术履约验收内容：</w:t>
      </w:r>
      <w:r>
        <w:rPr>
          <w:rFonts w:hint="eastAsia" w:ascii="方正黑体简体" w:hAnsi="方正黑体简体" w:eastAsia="方正黑体简体" w:cs="方正黑体简体"/>
          <w:b w:val="0"/>
          <w:bCs w:val="0"/>
          <w:color w:val="auto"/>
          <w:sz w:val="28"/>
          <w:szCs w:val="28"/>
          <w:highlight w:val="none"/>
          <w:u w:val="none"/>
        </w:rPr>
        <w:t>验收内容主要包括每一项技术内容及要求的履约情况。不能明确客观标准、涉及主观判断的，可以</w:t>
      </w:r>
      <w:r>
        <w:rPr>
          <w:rFonts w:hint="eastAsia" w:ascii="方正黑体简体" w:hAnsi="方正黑体简体" w:eastAsia="方正黑体简体" w:cs="方正黑体简体"/>
          <w:b w:val="0"/>
          <w:bCs w:val="0"/>
          <w:color w:val="auto"/>
          <w:sz w:val="28"/>
          <w:szCs w:val="28"/>
          <w:highlight w:val="none"/>
          <w:u w:val="none"/>
          <w:lang w:eastAsia="zh-CN"/>
        </w:rPr>
        <w:t>通过</w:t>
      </w:r>
      <w:r>
        <w:rPr>
          <w:rFonts w:hint="eastAsia" w:ascii="方正黑体简体" w:hAnsi="方正黑体简体" w:eastAsia="方正黑体简体" w:cs="方正黑体简体"/>
          <w:b w:val="0"/>
          <w:bCs w:val="0"/>
          <w:color w:val="auto"/>
          <w:sz w:val="28"/>
          <w:szCs w:val="28"/>
          <w:highlight w:val="none"/>
          <w:u w:val="none"/>
        </w:rPr>
        <w:t>采购人、咨询专家或行业主管部门等方式，转化为客观、量化的验收。</w:t>
      </w:r>
    </w:p>
    <w:p w14:paraId="10CD3BAB">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560" w:firstLineChars="200"/>
        <w:jc w:val="both"/>
        <w:textAlignment w:val="auto"/>
        <w:rPr>
          <w:rFonts w:hint="eastAsia" w:ascii="方正黑体简体" w:hAnsi="方正黑体简体" w:eastAsia="方正黑体简体" w:cs="方正黑体简体"/>
          <w:b w:val="0"/>
          <w:bCs w:val="0"/>
          <w:color w:val="auto"/>
          <w:sz w:val="28"/>
          <w:szCs w:val="28"/>
          <w:highlight w:val="none"/>
          <w:u w:val="none"/>
        </w:rPr>
      </w:pPr>
      <w:r>
        <w:rPr>
          <w:rFonts w:hint="eastAsia" w:ascii="方正黑体简体" w:hAnsi="方正黑体简体" w:eastAsia="方正黑体简体" w:cs="方正黑体简体"/>
          <w:b w:val="0"/>
          <w:bCs w:val="0"/>
          <w:color w:val="auto"/>
          <w:sz w:val="28"/>
          <w:szCs w:val="28"/>
          <w:highlight w:val="none"/>
          <w:u w:val="none"/>
          <w:lang w:val="en-US" w:eastAsia="zh-CN"/>
        </w:rPr>
        <w:t>10）商务履约验收内容：</w:t>
      </w:r>
      <w:r>
        <w:rPr>
          <w:rFonts w:hint="eastAsia" w:ascii="方正黑体简体" w:hAnsi="方正黑体简体" w:eastAsia="方正黑体简体" w:cs="方正黑体简体"/>
          <w:b w:val="0"/>
          <w:bCs w:val="0"/>
          <w:color w:val="auto"/>
          <w:sz w:val="28"/>
          <w:szCs w:val="28"/>
          <w:highlight w:val="none"/>
          <w:u w:val="none"/>
        </w:rPr>
        <w:t>验收内容主要包括每一项商务要求的履约情况。不能明确客观标准、涉及主观判断的，可以</w:t>
      </w:r>
      <w:r>
        <w:rPr>
          <w:rFonts w:hint="eastAsia" w:ascii="方正黑体简体" w:hAnsi="方正黑体简体" w:eastAsia="方正黑体简体" w:cs="方正黑体简体"/>
          <w:b w:val="0"/>
          <w:bCs w:val="0"/>
          <w:color w:val="auto"/>
          <w:sz w:val="28"/>
          <w:szCs w:val="28"/>
          <w:highlight w:val="none"/>
          <w:u w:val="none"/>
          <w:lang w:eastAsia="zh-CN"/>
        </w:rPr>
        <w:t>通过</w:t>
      </w:r>
      <w:r>
        <w:rPr>
          <w:rFonts w:hint="eastAsia" w:ascii="方正黑体简体" w:hAnsi="方正黑体简体" w:eastAsia="方正黑体简体" w:cs="方正黑体简体"/>
          <w:b w:val="0"/>
          <w:bCs w:val="0"/>
          <w:color w:val="auto"/>
          <w:sz w:val="28"/>
          <w:szCs w:val="28"/>
          <w:highlight w:val="none"/>
          <w:u w:val="none"/>
        </w:rPr>
        <w:t>采购人、咨询专家或行业主管部门等方式，转化为客观、量化的验收。</w:t>
      </w:r>
    </w:p>
    <w:p w14:paraId="4AB43D5A">
      <w:pPr>
        <w:pStyle w:val="6"/>
        <w:keepNext w:val="0"/>
        <w:keepLines w:val="0"/>
        <w:pageBreakBefore w:val="0"/>
        <w:widowControl w:val="0"/>
        <w:numPr>
          <w:ilvl w:val="0"/>
          <w:numId w:val="0"/>
        </w:numPr>
        <w:tabs>
          <w:tab w:val="left" w:pos="9450"/>
        </w:tabs>
        <w:kinsoku/>
        <w:wordWrap/>
        <w:overflowPunct/>
        <w:topLinePunct w:val="0"/>
        <w:autoSpaceDE/>
        <w:autoSpaceDN/>
        <w:bidi w:val="0"/>
        <w:adjustRightInd/>
        <w:snapToGrid/>
        <w:spacing w:line="580" w:lineRule="exact"/>
        <w:ind w:left="0" w:leftChars="0" w:firstLine="560" w:firstLineChars="200"/>
        <w:jc w:val="both"/>
        <w:textAlignment w:val="auto"/>
        <w:rPr>
          <w:rFonts w:hint="eastAsia" w:ascii="方正黑体简体" w:hAnsi="方正黑体简体" w:eastAsia="方正黑体简体" w:cs="方正黑体简体"/>
          <w:b w:val="0"/>
          <w:bCs w:val="0"/>
          <w:color w:val="auto"/>
          <w:sz w:val="28"/>
          <w:szCs w:val="28"/>
          <w:highlight w:val="none"/>
          <w:u w:val="none"/>
          <w:lang w:val="en-US" w:eastAsia="zh-CN"/>
        </w:rPr>
      </w:pPr>
      <w:r>
        <w:rPr>
          <w:rFonts w:hint="eastAsia" w:ascii="方正黑体简体" w:hAnsi="方正黑体简体" w:eastAsia="方正黑体简体" w:cs="方正黑体简体"/>
          <w:b w:val="0"/>
          <w:bCs w:val="0"/>
          <w:color w:val="auto"/>
          <w:sz w:val="28"/>
          <w:szCs w:val="28"/>
          <w:highlight w:val="none"/>
          <w:u w:val="none"/>
          <w:lang w:val="en-US" w:eastAsia="zh-CN"/>
        </w:rPr>
        <w:t xml:space="preserve">11）履约验收标准：①按照政府采购相关法律法规以及《财政部关于进一步加强政府采购需求和履约验收管理的指导意见》（财库〔2016〕205号）的要求、采购文件的质量要求和技术指标、供应商的响应文件及承诺以及合同约定标准进行验收。②验收结果合格的，供应商凭验收报告办理相关手续，采购人按采购合同约定支付采购资金；验收结果不合格的，不予支付采购尾款。 </w:t>
      </w:r>
    </w:p>
    <w:p w14:paraId="6CE51AA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560" w:firstLineChars="200"/>
        <w:jc w:val="both"/>
        <w:textAlignment w:val="auto"/>
        <w:outlineLvl w:val="1"/>
        <w:rPr>
          <w:rFonts w:hint="eastAsia" w:ascii="方正黑体简体" w:hAnsi="方正黑体简体" w:eastAsia="方正黑体简体" w:cs="方正黑体简体"/>
          <w:b w:val="0"/>
          <w:bCs w:val="0"/>
          <w:color w:val="auto"/>
          <w:sz w:val="28"/>
          <w:szCs w:val="28"/>
          <w:highlight w:val="none"/>
          <w:u w:val="none"/>
        </w:rPr>
      </w:pPr>
      <w:r>
        <w:rPr>
          <w:rFonts w:hint="eastAsia" w:ascii="方正黑体简体" w:hAnsi="方正黑体简体" w:eastAsia="方正黑体简体" w:cs="方正黑体简体"/>
          <w:b w:val="0"/>
          <w:bCs w:val="0"/>
          <w:color w:val="auto"/>
          <w:sz w:val="28"/>
          <w:szCs w:val="28"/>
          <w:highlight w:val="none"/>
          <w:u w:val="none"/>
        </w:rPr>
        <w:t>12）履约验收其他事项：无</w:t>
      </w:r>
    </w:p>
    <w:p w14:paraId="3D4B8F3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562" w:firstLineChars="200"/>
        <w:jc w:val="both"/>
        <w:textAlignment w:val="auto"/>
        <w:outlineLvl w:val="1"/>
        <w:rPr>
          <w:rFonts w:hint="eastAsia" w:ascii="方正黑体简体" w:hAnsi="方正黑体简体" w:eastAsia="方正黑体简体" w:cs="方正黑体简体"/>
          <w:b/>
          <w:bCs/>
          <w:color w:val="auto"/>
          <w:sz w:val="28"/>
          <w:szCs w:val="28"/>
          <w:highlight w:val="none"/>
          <w:u w:val="none"/>
        </w:rPr>
      </w:pPr>
      <w:r>
        <w:rPr>
          <w:rFonts w:hint="eastAsia" w:ascii="方正黑体简体" w:hAnsi="方正黑体简体" w:eastAsia="方正黑体简体" w:cs="方正黑体简体"/>
          <w:b/>
          <w:bCs/>
          <w:color w:val="auto"/>
          <w:sz w:val="28"/>
          <w:szCs w:val="28"/>
          <w:highlight w:val="none"/>
          <w:u w:val="none"/>
          <w:lang w:eastAsia="zh-CN"/>
        </w:rPr>
        <w:t>六</w:t>
      </w:r>
      <w:r>
        <w:rPr>
          <w:rFonts w:hint="eastAsia" w:ascii="方正黑体简体" w:hAnsi="方正黑体简体" w:eastAsia="方正黑体简体" w:cs="方正黑体简体"/>
          <w:b/>
          <w:bCs/>
          <w:color w:val="auto"/>
          <w:sz w:val="28"/>
          <w:szCs w:val="28"/>
          <w:highlight w:val="none"/>
          <w:u w:val="none"/>
        </w:rPr>
        <w:t>、风险控制措施和替代方案</w:t>
      </w:r>
    </w:p>
    <w:p w14:paraId="1A9021A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560" w:firstLineChars="200"/>
        <w:jc w:val="both"/>
        <w:textAlignment w:val="auto"/>
        <w:outlineLvl w:val="1"/>
        <w:rPr>
          <w:rFonts w:hint="eastAsia" w:ascii="方正黑体简体" w:hAnsi="方正黑体简体" w:eastAsia="方正黑体简体" w:cs="方正黑体简体"/>
          <w:b w:val="0"/>
          <w:bCs w:val="0"/>
          <w:color w:val="auto"/>
          <w:sz w:val="28"/>
          <w:szCs w:val="28"/>
          <w:highlight w:val="none"/>
          <w:u w:val="none"/>
        </w:rPr>
      </w:pPr>
      <w:r>
        <w:rPr>
          <w:rFonts w:hint="eastAsia" w:ascii="方正黑体简体" w:hAnsi="方正黑体简体" w:eastAsia="方正黑体简体" w:cs="方正黑体简体"/>
          <w:b w:val="0"/>
          <w:bCs w:val="0"/>
          <w:color w:val="auto"/>
          <w:sz w:val="28"/>
          <w:szCs w:val="28"/>
          <w:highlight w:val="none"/>
          <w:u w:val="none"/>
        </w:rPr>
        <w:t>该采购项目按照《政府采购需求管理办法》第二十五条规定，本项目是否需要组</w:t>
      </w:r>
    </w:p>
    <w:p w14:paraId="1925BE2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560" w:firstLineChars="200"/>
        <w:jc w:val="both"/>
        <w:textAlignment w:val="auto"/>
        <w:outlineLvl w:val="1"/>
        <w:rPr>
          <w:rFonts w:hint="eastAsia" w:ascii="方正黑体简体" w:hAnsi="方正黑体简体" w:eastAsia="方正黑体简体" w:cs="方正黑体简体"/>
          <w:b w:val="0"/>
          <w:bCs w:val="0"/>
          <w:color w:val="auto"/>
          <w:sz w:val="28"/>
          <w:szCs w:val="28"/>
          <w:highlight w:val="none"/>
          <w:u w:val="none"/>
        </w:rPr>
      </w:pPr>
      <w:r>
        <w:rPr>
          <w:rFonts w:hint="eastAsia" w:ascii="方正黑体简体" w:hAnsi="方正黑体简体" w:eastAsia="方正黑体简体" w:cs="方正黑体简体"/>
          <w:b w:val="0"/>
          <w:bCs w:val="0"/>
          <w:color w:val="auto"/>
          <w:sz w:val="28"/>
          <w:szCs w:val="28"/>
          <w:highlight w:val="none"/>
          <w:u w:val="none"/>
        </w:rPr>
        <w:t>织风险判断、提出处置措施和替代方案：否</w:t>
      </w:r>
    </w:p>
    <w:p w14:paraId="1482770C">
      <w:pPr>
        <w:rPr>
          <w:rFonts w:hint="eastAsia" w:ascii="方正黑体简体" w:hAnsi="方正黑体简体" w:eastAsia="方正黑体简体" w:cs="方正黑体简体"/>
          <w:b w:val="0"/>
          <w:bCs w:val="0"/>
          <w:color w:val="auto"/>
          <w:sz w:val="28"/>
          <w:szCs w:val="28"/>
          <w:highlight w:val="none"/>
          <w:lang w:val="en-US" w:eastAsia="zh-CN"/>
        </w:rPr>
      </w:pPr>
    </w:p>
    <w:p w14:paraId="6B0D7818">
      <w:pPr>
        <w:pStyle w:val="9"/>
        <w:rPr>
          <w:rFonts w:hint="eastAsia" w:ascii="方正黑体简体" w:hAnsi="方正黑体简体" w:eastAsia="方正黑体简体" w:cs="方正黑体简体"/>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黑体简体">
    <w:panose1 w:val="02000000000000000000"/>
    <w:charset w:val="86"/>
    <w:family w:val="auto"/>
    <w:pitch w:val="default"/>
    <w:sig w:usb0="00000001" w:usb1="080E0000" w:usb2="00000000" w:usb3="00000000" w:csb0="00040000" w:csb1="00000000"/>
    <w:embedRegular r:id="rId1" w:fontKey="{F6112BE1-7C6D-429D-B70B-EF60459FA2C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5B7D76A2"/>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rPr>
      <w:rFonts w:ascii="Times New Roman"/>
      <w:kern w:val="2"/>
      <w:sz w:val="21"/>
      <w:szCs w:val="24"/>
    </w:rPr>
  </w:style>
  <w:style w:type="paragraph" w:styleId="3">
    <w:name w:val="Subtitle"/>
    <w:basedOn w:val="1"/>
    <w:next w:val="1"/>
    <w:qFormat/>
    <w:uiPriority w:val="0"/>
    <w:pPr>
      <w:spacing w:line="312" w:lineRule="auto"/>
      <w:jc w:val="left"/>
      <w:outlineLvl w:val="1"/>
    </w:pPr>
    <w:rPr>
      <w:rFonts w:ascii="Cambria" w:hAnsi="Cambria" w:cs="Times New Roman"/>
      <w:b/>
      <w:bCs/>
      <w:color w:val="auto"/>
      <w:kern w:val="28"/>
      <w:sz w:val="21"/>
      <w:szCs w:val="32"/>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Body Text First Indent"/>
    <w:basedOn w:val="2"/>
    <w:unhideWhenUsed/>
    <w:qFormat/>
    <w:uiPriority w:val="99"/>
    <w:pPr>
      <w:ind w:firstLine="420" w:firstLineChars="100"/>
    </w:pPr>
  </w:style>
  <w:style w:type="paragraph" w:customStyle="1" w:styleId="9">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1995</Words>
  <Characters>2210</Characters>
  <Lines>0</Lines>
  <Paragraphs>0</Paragraphs>
  <TotalTime>4</TotalTime>
  <ScaleCrop>false</ScaleCrop>
  <LinksUpToDate>false</LinksUpToDate>
  <CharactersWithSpaces>2244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邱献宪</cp:lastModifiedBy>
  <dcterms:modified xsi:type="dcterms:W3CDTF">2026-07-23T07:07:35Z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eyJoZGlkIjoiYTIwN2RiNTI0NDUxMTM2MWJiYzM3ZTM5YzZlNjA2N2QiLCJ1c2VySWQiOiIyNDI2NDA0OTUifQ==</vt:lpwstr>
  </property>
  <property fmtid="{D5CDD505-2E9C-101B-9397-08002B2CF9AE}" pid="4" name="ICV">
    <vt:lpwstr>7B4D92D7131C4AA792701819A9A9A6D0_12</vt:lpwstr>
  </property>
</Properties>
</file>