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BC272">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第三章 技术、服务及其他要求</w:t>
      </w:r>
    </w:p>
    <w:p w14:paraId="32607D0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16C33E31">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1E4E30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3AA0EE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19,000,000.00</w:t>
      </w:r>
    </w:p>
    <w:p w14:paraId="11A80C5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15,850,000.00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697"/>
        <w:gridCol w:w="819"/>
        <w:gridCol w:w="1516"/>
        <w:gridCol w:w="697"/>
        <w:gridCol w:w="697"/>
        <w:gridCol w:w="697"/>
        <w:gridCol w:w="697"/>
        <w:gridCol w:w="571"/>
        <w:gridCol w:w="571"/>
      </w:tblGrid>
      <w:tr w14:paraId="56E88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E07A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56A467B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637840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775F18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60A187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4DA26CB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1F17938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6207B00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444C323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6394CA5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70632E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62566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47C1D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659CF8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A02321200 医用 X 线诊断设备</w:t>
            </w:r>
          </w:p>
        </w:tc>
        <w:tc>
          <w:tcPr>
            <w:tcW w:w="821" w:type="dxa"/>
          </w:tcPr>
          <w:p w14:paraId="42AC10E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X线计算机断层扫描仪</w:t>
            </w:r>
          </w:p>
        </w:tc>
        <w:tc>
          <w:tcPr>
            <w:tcW w:w="821" w:type="dxa"/>
          </w:tcPr>
          <w:p w14:paraId="43510FA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19A6E25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15,850,000.00</w:t>
            </w:r>
          </w:p>
        </w:tc>
        <w:tc>
          <w:tcPr>
            <w:tcW w:w="821" w:type="dxa"/>
          </w:tcPr>
          <w:p w14:paraId="16B55A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88EB6A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77F623D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CC388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91EFD9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451E3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33A83A5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是否适用本国产品标准：是</w:t>
      </w:r>
    </w:p>
    <w:p w14:paraId="015001F3">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0786350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516"/>
        <w:gridCol w:w="1138"/>
        <w:gridCol w:w="1934"/>
      </w:tblGrid>
      <w:tr w14:paraId="125F1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C42E5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6B25A53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078AD50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6FC3DF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755C2C6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21CDA3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42A07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3815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3DB2FC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X线计算机断层扫描仪</w:t>
            </w:r>
          </w:p>
        </w:tc>
        <w:tc>
          <w:tcPr>
            <w:tcW w:w="1138" w:type="dxa"/>
          </w:tcPr>
          <w:p w14:paraId="2A68C93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1B572E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15,850,000.00</w:t>
            </w:r>
          </w:p>
        </w:tc>
        <w:tc>
          <w:tcPr>
            <w:tcW w:w="1138" w:type="dxa"/>
          </w:tcPr>
          <w:p w14:paraId="290D51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03C6A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46B4AF5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02E8C19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2863EAE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2192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7B3851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898995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7392F2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5B31F7E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20AF9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A5CE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741133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A02321200 医用 X 线诊断设备</w:t>
            </w:r>
          </w:p>
        </w:tc>
        <w:tc>
          <w:tcPr>
            <w:tcW w:w="2492" w:type="dxa"/>
          </w:tcPr>
          <w:p w14:paraId="3D5EA5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X线计算机断层扫描仪</w:t>
            </w:r>
          </w:p>
        </w:tc>
        <w:tc>
          <w:tcPr>
            <w:tcW w:w="2492" w:type="dxa"/>
          </w:tcPr>
          <w:p w14:paraId="18244BE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X线计算机断层扫描仪</w:t>
            </w:r>
          </w:p>
        </w:tc>
      </w:tr>
    </w:tbl>
    <w:p w14:paraId="34BE0F7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38792219">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0C49625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150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67255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E9D74C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198D51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EDC20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33786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9CE70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68442E4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2BFF3C96">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7E3D22B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DADB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24C03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B71A42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C7690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AD927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43FB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570F5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7C006C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1911046D">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78A605F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7511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3AA26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DD2662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31774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494E22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A753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6B6A0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B1FA44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6DAE97E2">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37B87E2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564F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5ADE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30D145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12D0D5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123B53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1410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2A005E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34D3677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E9DDA12">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21960A5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436C02A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标的名称：X线计算机断层扫描仪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6CF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6E06F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77A2B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DAD144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1DEA63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7B672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CF588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39F6A12">
            <w:pPr>
              <w:rPr>
                <w:rFonts w:ascii="Calibri" w:hAnsi="Calibri" w:eastAsia="宋体" w:cs="Times New Roman"/>
              </w:rPr>
            </w:pPr>
          </w:p>
        </w:tc>
        <w:tc>
          <w:tcPr>
            <w:tcW w:w="1495" w:type="dxa"/>
          </w:tcPr>
          <w:p w14:paraId="0CC10FE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w:t>
            </w:r>
          </w:p>
        </w:tc>
        <w:tc>
          <w:tcPr>
            <w:tcW w:w="5814" w:type="dxa"/>
          </w:tcPr>
          <w:p w14:paraId="10DBA996">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一数据采集及X线系统</w:t>
            </w:r>
          </w:p>
          <w:p w14:paraId="1154504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单源CT排数≥256排且高压发生器最大功率＞100kW（非等效）或单源CT排数≥320排且高压发生器最大功率≥100kW（非等效）；双源CT排数≥96排×2且高压发生器功率≥120kW（非等效）；或双层探测器CT排数≥128排×2且高压发生器功率≥120kW（非等效）。</w:t>
            </w:r>
          </w:p>
          <w:p w14:paraId="1B3C943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 探测器在等中心线轴扫覆盖的Z轴宽度≥16cm。</w:t>
            </w:r>
          </w:p>
          <w:p w14:paraId="5BC2D42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1.3 ▲探测器X-Y轴每排物理单元数（每排探测器单元数量不一致时按照最小值计算）≥890个。   </w:t>
            </w:r>
          </w:p>
          <w:p w14:paraId="5B0BBD5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 探测器Z轴排列方式为等距排列（探测器单元尺寸在Z轴方向具备一致性）且每排单元最小像素尺寸（投影至旋转中心）≤0.6mm。</w:t>
            </w:r>
          </w:p>
          <w:p w14:paraId="0EA667D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1.5▲数据最大采样率≥4700view/圈。</w:t>
            </w:r>
          </w:p>
          <w:p w14:paraId="00844EF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1.6具备3D防散射光栅。</w:t>
            </w:r>
          </w:p>
          <w:p w14:paraId="5080D3E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1.7探测器散射线比例(SPR)：≤10%。</w:t>
            </w:r>
          </w:p>
          <w:p w14:paraId="49C7E10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1.8球管轴承类型：液态金属轴承。</w:t>
            </w:r>
          </w:p>
          <w:p w14:paraId="69B47CE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1.9球管阳极热容量≥30MHU。</w:t>
            </w:r>
          </w:p>
          <w:p w14:paraId="0AE44A4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1.10球管阳极散热率≥1300kHU/min。</w:t>
            </w:r>
          </w:p>
          <w:p w14:paraId="06EDDFA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1.11 焦点个数≥3个。</w:t>
            </w:r>
          </w:p>
          <w:p w14:paraId="2C4AE27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1.12▲最小焦点尺寸≤0.4mm x 0.8mm。</w:t>
            </w:r>
          </w:p>
          <w:p w14:paraId="0467019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1.13▲最大焦点尺寸≤1.1mm x 1.2mm 。</w:t>
            </w:r>
          </w:p>
          <w:p w14:paraId="1F89B75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1.14▲最长连续曝光时间≥120s 。</w:t>
            </w:r>
          </w:p>
          <w:p w14:paraId="1021A0E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1.15最低输出管电流≤10mA。</w:t>
            </w:r>
          </w:p>
          <w:p w14:paraId="3735B94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1.16最高输出管电流（不含等效概念）≥800mA。</w:t>
            </w:r>
          </w:p>
          <w:p w14:paraId="5B97A73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1.17管电流步进≤1mA。</w:t>
            </w:r>
          </w:p>
          <w:p w14:paraId="29EAB8E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1.18最低管电压≤70kV。</w:t>
            </w:r>
          </w:p>
          <w:p w14:paraId="01D8093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1.19最高管电压≥140kV。</w:t>
            </w:r>
          </w:p>
          <w:p w14:paraId="7B29DD4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1.20管电压可选档数≥5档。</w:t>
            </w:r>
          </w:p>
          <w:p w14:paraId="2E1BB38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1.21具备X、Y轴方向飞焦点。</w:t>
            </w:r>
          </w:p>
          <w:p w14:paraId="16755BE4">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二扫描机架</w:t>
            </w:r>
          </w:p>
          <w:p w14:paraId="7FC6E25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2.1★机架孔径：≥76cm且≤82cm。</w:t>
            </w:r>
          </w:p>
          <w:p w14:paraId="4CB3FC8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2.2机架物理最快转速（非等效）≤0.28s/圈。</w:t>
            </w:r>
          </w:p>
          <w:p w14:paraId="33CEFEC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2.3▲焦点到探测器距离≥107cm。</w:t>
            </w:r>
          </w:p>
          <w:p w14:paraId="6D4FE15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2.4焦点到等中心点距离≥57cm 。</w:t>
            </w:r>
          </w:p>
          <w:p w14:paraId="3CDAA17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2.5 机架倾斜角度包含-30°~+30°。</w:t>
            </w:r>
          </w:p>
          <w:p w14:paraId="506AEA6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2.6滑环类型：低压滑环。</w:t>
            </w:r>
          </w:p>
          <w:p w14:paraId="0C339AE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2.7机架内部冷却方式：水冷或风冷。</w:t>
            </w:r>
          </w:p>
          <w:p w14:paraId="1CD672E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2.8机架内置触控屏显示系统数量≥2个。</w:t>
            </w:r>
          </w:p>
          <w:p w14:paraId="4B6A1F7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2.9床旁提供患者信息、扫描床位置、扫描时间的显示。</w:t>
            </w:r>
          </w:p>
          <w:p w14:paraId="25F5D28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2.10具备语音呼吸导航系统。</w:t>
            </w:r>
          </w:p>
          <w:p w14:paraId="2F3FAFB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2.11具备视觉呼吸导航系统。</w:t>
            </w:r>
          </w:p>
          <w:p w14:paraId="44C6660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2.12具备内外激光定位灯。</w:t>
            </w:r>
          </w:p>
          <w:p w14:paraId="3F641EC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2.13具备机架自动摆位技术。</w:t>
            </w:r>
          </w:p>
          <w:p w14:paraId="3BCD0F72">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三扫描床系统</w:t>
            </w:r>
          </w:p>
          <w:p w14:paraId="7BF270B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3.1▲扫描床承重≥305Kg。</w:t>
            </w:r>
          </w:p>
          <w:p w14:paraId="7B752FA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3.2水平移动范围≥200cm。</w:t>
            </w:r>
          </w:p>
          <w:p w14:paraId="0522802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3.3螺旋可扫描范围≥200cm。</w:t>
            </w:r>
          </w:p>
          <w:p w14:paraId="54158D3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3.4水平移床速度≥400mm/s。</w:t>
            </w:r>
          </w:p>
          <w:p w14:paraId="63E98FF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3.5垂直升降最低位置≤50cm。</w:t>
            </w:r>
          </w:p>
          <w:p w14:paraId="19A5A95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3.6垂直升降最高位置≥90cm。</w:t>
            </w:r>
          </w:p>
          <w:p w14:paraId="7C7DEE5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3.7▲垂直升降速度≥55mm/s 。</w:t>
            </w:r>
          </w:p>
          <w:p w14:paraId="624802C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3.8水平定位精度-0.25mm~0.25mm之间。   </w:t>
            </w:r>
          </w:p>
          <w:p w14:paraId="0A78908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3.9具备扫描床控制脚踏开关。  </w:t>
            </w:r>
          </w:p>
          <w:p w14:paraId="6168FD0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3.10 内置式心电监护系统。</w:t>
            </w:r>
          </w:p>
          <w:p w14:paraId="49DCFAB6">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四控制台及重建医用工作站系统</w:t>
            </w:r>
          </w:p>
          <w:p w14:paraId="605C6DD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4.1主控台医用工作站内存≥24GB。</w:t>
            </w:r>
          </w:p>
          <w:p w14:paraId="3152849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4.2主控台固态硬盘容量≥2TB。</w:t>
            </w:r>
          </w:p>
          <w:p w14:paraId="35E2429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★4.3主控台图像存储量（512x512矩阵，非压缩图像）≥3,000,000幅。</w:t>
            </w:r>
          </w:p>
          <w:p w14:paraId="6E0EC8D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★4.4主控台医用工作站操作系统：Windows系统。</w:t>
            </w:r>
          </w:p>
          <w:p w14:paraId="7661762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4.5重建医用工作站CPU≥8核。</w:t>
            </w:r>
          </w:p>
          <w:p w14:paraId="5D72FC8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4.6 重建医用工作站内存≥32GB。</w:t>
            </w:r>
          </w:p>
          <w:p w14:paraId="7A681AD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4.7重建医用工作站固态硬盘容量≥4TB。</w:t>
            </w:r>
          </w:p>
          <w:p w14:paraId="4F5552D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4.8显示器尺寸≥24英寸。</w:t>
            </w:r>
          </w:p>
          <w:p w14:paraId="641A807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4.9显示器分辨率≥2560x1440。</w:t>
            </w:r>
          </w:p>
          <w:p w14:paraId="6DAC697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★4.10支持CD/DVD读取和刻录。</w:t>
            </w:r>
          </w:p>
          <w:p w14:paraId="4BDF152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★4.11具备USB外置硬盘接口。</w:t>
            </w:r>
          </w:p>
          <w:p w14:paraId="15E1A08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★4.12提供DICOM 3.0接口，支持DICOM 格式数据的传输、接收、打印、归档、查询。</w:t>
            </w:r>
          </w:p>
          <w:p w14:paraId="2359E44B">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五图像后处理工作站系统</w:t>
            </w:r>
          </w:p>
          <w:p w14:paraId="6AD599C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5.1后处理系统为CT设备厂商同品牌。</w:t>
            </w:r>
          </w:p>
          <w:p w14:paraId="68C5965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5.2▲工作站系统为服务器架构，可院内远程登录。</w:t>
            </w:r>
          </w:p>
          <w:p w14:paraId="16DA7CD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5.3CPU≥4核。</w:t>
            </w:r>
          </w:p>
          <w:p w14:paraId="6FC3BC8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5.4内存≥32GB。</w:t>
            </w:r>
          </w:p>
          <w:p w14:paraId="75E4F32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5.5固态硬盘容量≥2TB 。</w:t>
            </w:r>
          </w:p>
          <w:p w14:paraId="6E57D27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5.6显示器尺寸≥24英寸。</w:t>
            </w:r>
          </w:p>
          <w:p w14:paraId="60ACB94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5.7显示器分辨率≥2560x1440。</w:t>
            </w:r>
          </w:p>
          <w:p w14:paraId="7676BDB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★5.8支持CD/DVD读取和刻录。</w:t>
            </w:r>
          </w:p>
          <w:p w14:paraId="6F5E26D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★5.9具备USB外置硬盘接口。</w:t>
            </w:r>
          </w:p>
          <w:p w14:paraId="096CCEE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★5.10 提供DICOM 3.0接口，支持DICOM 格式数据的传输、接收、打印、归档、查询。</w:t>
            </w:r>
          </w:p>
          <w:p w14:paraId="6F200A41">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 xml:space="preserve">六扫描重建参数与图像质量   </w:t>
            </w:r>
            <w:r>
              <w:rPr>
                <w:rFonts w:hint="eastAsia" w:ascii="仿宋_GB2312" w:hAnsi="仿宋_GB2312" w:eastAsia="仿宋_GB2312" w:cs="仿宋_GB2312"/>
                <w:color w:val="000000"/>
                <w:sz w:val="21"/>
                <w:lang w:val="en-US" w:eastAsia="zh-Hans"/>
              </w:rPr>
              <w:t xml:space="preserve">  </w:t>
            </w:r>
          </w:p>
          <w:p w14:paraId="122EF59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6.1▲螺旋扫描时扫描层厚（螺旋最大采集层数模式下且扫描准直宽度大于8cm时）≤0.6mm</w:t>
            </w:r>
          </w:p>
          <w:p w14:paraId="036870D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6.2▲断层扫描时扫描层厚（断层最大采集层数模式下且扫描准直宽度大于8cm时）≤0.6mm。</w:t>
            </w:r>
          </w:p>
          <w:p w14:paraId="49BF072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6.3螺旋扫描螺距≥2.0。</w:t>
            </w:r>
          </w:p>
          <w:p w14:paraId="6BDC565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6.4螺旋扫描Z轴准直覆盖范围≥8cm。</w:t>
            </w:r>
          </w:p>
          <w:p w14:paraId="08E3F0C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6.5提供轴扫和螺旋融合扫描功能。</w:t>
            </w:r>
          </w:p>
          <w:p w14:paraId="54FDD55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6.6提供门控和非门控融合扫描功能。   </w:t>
            </w:r>
          </w:p>
          <w:p w14:paraId="7B9EAF3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6.7扫描FOV≥50cm。</w:t>
            </w:r>
          </w:p>
          <w:p w14:paraId="28680A9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6.8重建FOV范围≥50cm。</w:t>
            </w:r>
          </w:p>
          <w:p w14:paraId="51CBEF4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6.9扩展重建FOV≥60cm。</w:t>
            </w:r>
          </w:p>
          <w:p w14:paraId="109B090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6.10图像重建矩阵≥1024x1024。</w:t>
            </w:r>
          </w:p>
          <w:p w14:paraId="3237DF7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6.11最小CT值（非扩展）≤-1024HU。</w:t>
            </w:r>
          </w:p>
          <w:p w14:paraId="5187671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6.12最大CT值（非扩展）≥3072HU。</w:t>
            </w:r>
          </w:p>
          <w:p w14:paraId="5E97217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6.13图像重建速度≥60幅/秒。   </w:t>
            </w:r>
          </w:p>
          <w:p w14:paraId="4F91318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6.14X-Y平面空间分辨率 MTF 0%≥20 lp/cm。</w:t>
            </w:r>
          </w:p>
          <w:p w14:paraId="6794597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6.15 Z方向空间分辨率 MTF 0%≥20 lp/cm。</w:t>
            </w:r>
          </w:p>
          <w:p w14:paraId="5647AB1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6.16 低对比度分辨率2mm@0.3%≤22mGy。</w:t>
            </w:r>
          </w:p>
          <w:p w14:paraId="7363A899">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七剂量控制方案</w:t>
            </w:r>
          </w:p>
          <w:p w14:paraId="61FCF8C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7.1具备低剂量管理功能。</w:t>
            </w:r>
          </w:p>
          <w:p w14:paraId="58DD43A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7.2具备扫描剂量预估功能。</w:t>
            </w:r>
          </w:p>
          <w:p w14:paraId="47D7F05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7.3具备剂量报告功能。</w:t>
            </w:r>
          </w:p>
          <w:p w14:paraId="7CB2ACB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7.4具备扫描剂量智能监控预警平台。</w:t>
            </w:r>
          </w:p>
          <w:p w14:paraId="7C411A0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7.5具备3D自动mA功能。</w:t>
            </w:r>
          </w:p>
          <w:p w14:paraId="65FC123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7.6具备自动kV功能：根据定位相自动推荐最佳kV和mA。</w:t>
            </w:r>
          </w:p>
          <w:p w14:paraId="6E90879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7.7具备70kV低剂量扫描模式。     </w:t>
            </w:r>
          </w:p>
          <w:p w14:paraId="1D3F65A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7.8根据扫描部位和患者体型，提供不同扫描FOV≥3种 。</w:t>
            </w:r>
          </w:p>
          <w:p w14:paraId="4976C51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7.9提供儿童低剂量协议。</w:t>
            </w:r>
          </w:p>
          <w:p w14:paraId="16320275">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八基础临床应用软件</w:t>
            </w:r>
          </w:p>
          <w:p w14:paraId="191127A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8.1具备多平面重建（MPR）。</w:t>
            </w:r>
          </w:p>
          <w:p w14:paraId="7245DF9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8.2具备最大密度投影（MIP）。</w:t>
            </w:r>
          </w:p>
          <w:p w14:paraId="11A00EC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8.3具备最小密度投影（MinP）。</w:t>
            </w:r>
          </w:p>
          <w:p w14:paraId="761B0BB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8.4具备曲面重建（CPR）。</w:t>
            </w:r>
          </w:p>
          <w:p w14:paraId="0E04D31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8.5具备容积三维重建（VR）。</w:t>
            </w:r>
          </w:p>
          <w:p w14:paraId="473DF05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8.6具备区域生长。</w:t>
            </w:r>
          </w:p>
          <w:p w14:paraId="387B350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8.7具备表面重建（SSD）。</w:t>
            </w:r>
          </w:p>
          <w:p w14:paraId="73CAEAE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8.8提供容积三维重建模板≥5种。</w:t>
            </w:r>
          </w:p>
          <w:p w14:paraId="0546CB1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8.9具备三维仿真内窥镜显示功能。</w:t>
            </w:r>
          </w:p>
          <w:p w14:paraId="349FC38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8.10具备图像剪影功能。</w:t>
            </w:r>
          </w:p>
          <w:p w14:paraId="186B208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8.11具备电影模式图像浏览功能。</w:t>
            </w:r>
          </w:p>
          <w:p w14:paraId="0CA7FE7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8.12具备组织裁剪功能。</w:t>
            </w:r>
          </w:p>
          <w:p w14:paraId="5430CB9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8.13可随扫描曝光进行实时MPR图像预览。</w:t>
            </w:r>
          </w:p>
          <w:p w14:paraId="3DFF471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8.14可随扫描曝光进行实时VR图像预览。</w:t>
            </w:r>
          </w:p>
          <w:p w14:paraId="0291D82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8.15具备多期增强扫描功能。</w:t>
            </w:r>
          </w:p>
          <w:p w14:paraId="223FB85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8.16具备CTA血管造影功能。  </w:t>
            </w:r>
          </w:p>
          <w:p w14:paraId="1F1ED8F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8.17具备CTU尿路造影功能。</w:t>
            </w:r>
          </w:p>
          <w:p w14:paraId="3F1347B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8.18具备造影剂自动跟踪功能。  </w:t>
            </w:r>
          </w:p>
          <w:p w14:paraId="47674D7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8.19具备小剂量团注跟踪测试功能。  </w:t>
            </w:r>
          </w:p>
          <w:p w14:paraId="0AE8C6A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8.20具备脑出血测量功能。  </w:t>
            </w:r>
          </w:p>
          <w:p w14:paraId="4F55BED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8.21具备脑容积测量功能。</w:t>
            </w:r>
          </w:p>
          <w:p w14:paraId="38E3E82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8.22具备齿科全景图。</w:t>
            </w:r>
          </w:p>
          <w:p w14:paraId="5515670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8.23具备齿科剖面图。</w:t>
            </w:r>
          </w:p>
          <w:p w14:paraId="5045336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8.24具备融合软件包。</w:t>
            </w:r>
          </w:p>
          <w:p w14:paraId="3996058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8.25具备肿瘤评估后处理软件</w:t>
            </w:r>
          </w:p>
          <w:p w14:paraId="3B2B9287">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九肺实质分析后处理软件</w:t>
            </w:r>
          </w:p>
          <w:p w14:paraId="2ECF653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9.1 支持肺自动分割。</w:t>
            </w:r>
          </w:p>
          <w:p w14:paraId="3303D07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9.2支持肺轮廓编辑。</w:t>
            </w:r>
          </w:p>
          <w:p w14:paraId="114C8C5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9.3 支持肺叶自动分割。</w:t>
            </w:r>
          </w:p>
          <w:p w14:paraId="126612A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9.4 支持肺裂线调整、肺叶结果编辑。</w:t>
            </w:r>
          </w:p>
          <w:p w14:paraId="2F632C1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9.5支持根据密度高低阈值调节的肺密度分析。</w:t>
            </w:r>
          </w:p>
          <w:p w14:paraId="5E2903F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9.6支持肺气肿量化测量和颜色标记。</w:t>
            </w:r>
          </w:p>
          <w:p w14:paraId="7794ACF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9.7至少包含支持左肺右肺全肺体积参数、肺叶体积参数、密度直方图。</w:t>
            </w:r>
          </w:p>
          <w:p w14:paraId="0230471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9.8支持气管自动分割、中心线自动提取，多截面及拉直CPR显示。</w:t>
            </w:r>
          </w:p>
          <w:p w14:paraId="5BE9307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9.9支持中心线手动提取、中心线校正、气管内外径轮廓编辑。</w:t>
            </w:r>
          </w:p>
          <w:p w14:paraId="1EBE74C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9.10支持气道定量计算：至少提供截面积、气道壁面积和占比参数。</w:t>
            </w:r>
          </w:p>
          <w:p w14:paraId="30544E1E">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十肺结节分析后处理软件</w:t>
            </w:r>
          </w:p>
          <w:p w14:paraId="29BDF3A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10.1支持肺结节自动检测和分割。</w:t>
            </w:r>
          </w:p>
          <w:p w14:paraId="1232A33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10.2支持不同类型结节的提取：实性结节、磨玻璃结节、混合性结节。</w:t>
            </w:r>
          </w:p>
          <w:p w14:paraId="59AD79A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10.3结节轮廓线可编辑。</w:t>
            </w:r>
          </w:p>
          <w:p w14:paraId="56BD792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10.4至少支持自动测量结节直径、体积、CT值参数。</w:t>
            </w:r>
          </w:p>
          <w:p w14:paraId="606EB53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10.5支持自动计算结节中不同密度成分占比并以图文形式展示。</w:t>
            </w:r>
          </w:p>
          <w:p w14:paraId="7FD7DDA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10.6支持同一患者在不同时间段的两个序列的图像比较，同步翻页阅片。</w:t>
            </w:r>
          </w:p>
          <w:p w14:paraId="4D94BD4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10.7支持结节传递：随访数据的结节半自动分割。</w:t>
            </w:r>
          </w:p>
          <w:p w14:paraId="7EAD716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10.8支持评估结节的变化曲线。</w:t>
            </w:r>
          </w:p>
          <w:p w14:paraId="12485F14">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十一头颈部血管分析后处理软件</w:t>
            </w:r>
          </w:p>
          <w:p w14:paraId="6566A1A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11.1头颈部血管一键提取，无需平扫数据。</w:t>
            </w:r>
          </w:p>
          <w:p w14:paraId="4AAD20F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11.2支持头颈部DSA剪影去骨。</w:t>
            </w:r>
          </w:p>
          <w:p w14:paraId="0CD5D79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11.3支持一键分割和提取动脉瘤。</w:t>
            </w:r>
          </w:p>
          <w:p w14:paraId="304B627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11.4支持动脉瘤体积、截面积、直径自动计算。</w:t>
            </w:r>
          </w:p>
          <w:p w14:paraId="26DD1F0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11.5支持自动去除静脉窦。</w:t>
            </w:r>
          </w:p>
          <w:p w14:paraId="606B17D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11.6支持通过多点追踪、管径轮廓编辑、血管/骨区域生长对血管进行编辑。</w:t>
            </w:r>
          </w:p>
          <w:p w14:paraId="0C80880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11.7支持中心线自动提取、中心线追踪、中心线编辑、显示/隐藏。</w:t>
            </w:r>
          </w:p>
          <w:p w14:paraId="5965C2C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11.8支持对血管狭窄异常进行手动标记。</w:t>
            </w:r>
          </w:p>
          <w:p w14:paraId="4045C01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11.9支持狭窄程度计算：参考面选取、面积、直径、狭窄率。</w:t>
            </w:r>
          </w:p>
          <w:p w14:paraId="6E53548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11.10支持血管多参数计算：长度、直径、面积、角度。</w:t>
            </w:r>
          </w:p>
          <w:p w14:paraId="7DBE0FD5">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十二心血管成像及后处理软件</w:t>
            </w:r>
          </w:p>
          <w:p w14:paraId="0F789A1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12.1零键式心脏工作流，自动完成冠脉束提取和分析。</w:t>
            </w:r>
          </w:p>
          <w:p w14:paraId="3D1B148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12.2具备心脏全自动分析。</w:t>
            </w:r>
          </w:p>
          <w:p w14:paraId="2883EEF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12.3具备冠状动脉树自动提取。</w:t>
            </w:r>
          </w:p>
          <w:p w14:paraId="71A69CB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12.4具备冠状动脉名称自动标识。</w:t>
            </w:r>
          </w:p>
          <w:p w14:paraId="47803C6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12.5具备冠状动脉长度测量。</w:t>
            </w:r>
          </w:p>
          <w:p w14:paraId="43D4770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12.6具备冠脉横断面积测量。</w:t>
            </w:r>
          </w:p>
          <w:p w14:paraId="2A13A9A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12.7具备冠脉狭窄度测量。</w:t>
            </w:r>
          </w:p>
          <w:p w14:paraId="24F7B48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12.8具备冠状斑块定性定量分析。</w:t>
            </w:r>
          </w:p>
          <w:p w14:paraId="06D2662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12.9具备冠脉斑块体积定量分析。</w:t>
            </w:r>
          </w:p>
          <w:p w14:paraId="746396D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12.10具备类血管内超声功能。</w:t>
            </w:r>
          </w:p>
          <w:p w14:paraId="684F186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12.11具备多期相重建。</w:t>
            </w:r>
          </w:p>
          <w:p w14:paraId="4CA9666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12.12支持瓣膜快速定位。</w:t>
            </w:r>
          </w:p>
          <w:p w14:paraId="6B1692F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12.13支持腔室结果编辑。</w:t>
            </w:r>
          </w:p>
          <w:p w14:paraId="1C8C9E3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12.14支持长短轴编辑。</w:t>
            </w:r>
          </w:p>
          <w:p w14:paraId="614796C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12.15支持心室参数计算。</w:t>
            </w:r>
          </w:p>
          <w:p w14:paraId="16A53F3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12.16支持心房参数计算</w:t>
            </w:r>
          </w:p>
          <w:p w14:paraId="6AA40C9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12.17支持自动标记心肌。</w:t>
            </w:r>
          </w:p>
          <w:p w14:paraId="39A1407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12.18支持牛眼图显示室壁运动位移、厚度。</w:t>
            </w:r>
          </w:p>
          <w:p w14:paraId="60E3058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12.19支持电影播放心脏多时相运动。</w:t>
            </w:r>
          </w:p>
          <w:p w14:paraId="74F5082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12.20支持标记并以伪彩区分钙化点。</w:t>
            </w:r>
          </w:p>
          <w:p w14:paraId="0A3A333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12.21支持钙化点修改，支持用户确认或重命名钙化点。</w:t>
            </w:r>
          </w:p>
          <w:p w14:paraId="4894D61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12.22支持钙化点增加</w:t>
            </w:r>
          </w:p>
          <w:p w14:paraId="3499973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12.23以质量积分计算钙化积分。</w:t>
            </w:r>
          </w:p>
          <w:p w14:paraId="053C5AF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12.24以agatston积分计算钙化积分。</w:t>
            </w:r>
          </w:p>
          <w:p w14:paraId="183406C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12.25以体积积分计算钙化积分。</w:t>
            </w:r>
          </w:p>
          <w:p w14:paraId="3ABF88C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12.26支持快速保存功能。</w:t>
            </w:r>
          </w:p>
          <w:p w14:paraId="6B815E2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12.27高级后处理结果一键发送到结构化报告</w:t>
            </w:r>
          </w:p>
          <w:p w14:paraId="3B6F06F7">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十三多部位血管联合分析后处理软件</w:t>
            </w:r>
          </w:p>
          <w:p w14:paraId="6D055D3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13.1一站式提取多种血管并联合显示。</w:t>
            </w:r>
          </w:p>
          <w:p w14:paraId="744CD54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13.2支持自动中心线提取和标识。</w:t>
            </w:r>
          </w:p>
          <w:p w14:paraId="55DEB13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13.3支持多点中心线追踪。</w:t>
            </w:r>
          </w:p>
          <w:p w14:paraId="35BB4E9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13.4支持斑块分割和成分计算。</w:t>
            </w:r>
          </w:p>
          <w:p w14:paraId="3E7FCBB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13.5支持血管狭窄异常标记和定量计算。</w:t>
            </w:r>
          </w:p>
          <w:p w14:paraId="1D72A26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13.6支持心功能计算。</w:t>
            </w:r>
          </w:p>
          <w:p w14:paraId="7568B44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13.7支持心肌定量计算。</w:t>
            </w:r>
          </w:p>
          <w:p w14:paraId="5CABC65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13.8支持主动脉瓣环平面自动定位。</w:t>
            </w:r>
          </w:p>
          <w:p w14:paraId="5B94FCA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13.9支持左右冠脉口自动定位。</w:t>
            </w:r>
          </w:p>
          <w:p w14:paraId="1B8CF30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13.10支持TAVR术前规划计算。</w:t>
            </w:r>
          </w:p>
          <w:p w14:paraId="5BA8604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13.11一键式结构化报告，可将计算结果、截图直接发送至报告。</w:t>
            </w:r>
          </w:p>
          <w:p w14:paraId="598AC3E3">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十四体部血管分析后处理软件</w:t>
            </w:r>
          </w:p>
          <w:p w14:paraId="3C74414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14.1体部血管一键提取，无需平扫数据。</w:t>
            </w:r>
          </w:p>
          <w:p w14:paraId="275368D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14.2 支持泌尿系统一键提取（输尿管、膀胱、尿道）。</w:t>
            </w:r>
          </w:p>
          <w:p w14:paraId="0C2155F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14.3支持探针手动去骨。</w:t>
            </w:r>
          </w:p>
          <w:p w14:paraId="21F18FB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14.4支持通过多点追踪、管径轮廓编辑、血管/骨区域生长对血管进行编辑。</w:t>
            </w:r>
          </w:p>
          <w:p w14:paraId="41916CC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14.5支持中心线自动提取、中心线追踪、中心线编辑、显示/隐藏。</w:t>
            </w:r>
          </w:p>
          <w:p w14:paraId="11C2775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14.6支持对血管狭窄异常进行手动标记。</w:t>
            </w:r>
          </w:p>
          <w:p w14:paraId="62163DB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14.7支持狭窄程度计算：参考面选取、面积、直径、狭窄率。</w:t>
            </w:r>
          </w:p>
          <w:p w14:paraId="1DF41B9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14.8支持血管多参数计算：长度、直径、面积、角度。</w:t>
            </w:r>
          </w:p>
          <w:p w14:paraId="012B7CD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14.9一键式结构化报告，可将计算结果、截图直接发送至报告。</w:t>
            </w:r>
          </w:p>
          <w:p w14:paraId="39E9F7B0">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十五灌注成像及后处理软件</w:t>
            </w:r>
          </w:p>
          <w:p w14:paraId="0B84E2A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15.1具备灌注扫描与图像重建功能。</w:t>
            </w:r>
          </w:p>
          <w:p w14:paraId="31400AE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15.2无需动床的最大灌注扫描范围≥16cm。</w:t>
            </w:r>
          </w:p>
          <w:p w14:paraId="3D4FD5F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15.3灌注采样最短间隔时间≤1s。</w:t>
            </w:r>
          </w:p>
          <w:p w14:paraId="50B0786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15.4具备灌注非等间隔采样功能。</w:t>
            </w:r>
          </w:p>
          <w:p w14:paraId="207378E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15.5支持神经系统一站式成像。</w:t>
            </w:r>
          </w:p>
          <w:p w14:paraId="5BA7993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15.6提供将参数图像和解剖图像进行3D 或2D 融合。</w:t>
            </w:r>
          </w:p>
          <w:p w14:paraId="16C39A5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15.7提供卒中、肿瘤协议。</w:t>
            </w:r>
          </w:p>
          <w:p w14:paraId="5B9695C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15.8提供头部运动校正。</w:t>
            </w:r>
          </w:p>
          <w:p w14:paraId="7AF488D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15.9提供自动去骨分割。</w:t>
            </w:r>
          </w:p>
          <w:p w14:paraId="3049AE1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15.10提供自动脑脊液分割。</w:t>
            </w:r>
          </w:p>
          <w:p w14:paraId="5FBDC88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15.11提供自动动静脉点选择。</w:t>
            </w:r>
          </w:p>
          <w:p w14:paraId="5FCBF12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15.12支持手动选取动静脉点</w:t>
            </w:r>
          </w:p>
          <w:p w14:paraId="68C80B6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15.13血管抑制屏蔽不参与计算的血管。</w:t>
            </w:r>
          </w:p>
          <w:p w14:paraId="6AED264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15.14至少支持自动计算CBV，CBF，TTP，MTT、Tmax和PS 灌注参数。</w:t>
            </w:r>
          </w:p>
          <w:p w14:paraId="2952760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15.15支持自动计算感兴趣区的面积、最大值、最小值、平均值参数。</w:t>
            </w:r>
          </w:p>
          <w:p w14:paraId="37B0A06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15.16支持自动绘制感兴趣区的时间密度曲线。</w:t>
            </w:r>
          </w:p>
          <w:p w14:paraId="0DCD764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15.17支持自动生成中心线对称的ROI。</w:t>
            </w:r>
          </w:p>
          <w:p w14:paraId="0A69391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15.18支持对称ROI对比统计分析。</w:t>
            </w:r>
          </w:p>
          <w:p w14:paraId="5EEE67F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15.19支持根据灌注参数阈值的缺血半暗带，梗死和缺血区计算。</w:t>
            </w:r>
          </w:p>
          <w:p w14:paraId="5DDBEE8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15.20支持不同程度滤波调节，可对图像进行降噪。</w:t>
            </w:r>
          </w:p>
          <w:p w14:paraId="3AFFC69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15.21提供脑部灌注分析模板。</w:t>
            </w:r>
          </w:p>
          <w:p w14:paraId="7E708C9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15.22提供体部灌注分析模板：≥5个。</w:t>
            </w:r>
          </w:p>
          <w:p w14:paraId="06583A8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15.23提供运动校正。</w:t>
            </w:r>
          </w:p>
          <w:p w14:paraId="5FD84ED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15.24提供自动/手动软组织分割。</w:t>
            </w:r>
          </w:p>
          <w:p w14:paraId="0576A84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15.25提供自动肝动脉和门静脉选择。</w:t>
            </w:r>
          </w:p>
          <w:p w14:paraId="0A692BA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15.26支持手动定义肝动脉和门静脉。</w:t>
            </w:r>
          </w:p>
          <w:p w14:paraId="32BD29A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15.27支持血管抑制屏蔽不参与计算的血管。</w:t>
            </w:r>
          </w:p>
          <w:p w14:paraId="3046E669">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十六肝脏评估后处理软件</w:t>
            </w:r>
          </w:p>
          <w:p w14:paraId="7BB10FF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16.1支持平扫期、动脉期、门脉期、延时期多期相数据同时加载、同步浏览。</w:t>
            </w:r>
          </w:p>
          <w:p w14:paraId="1D1BC71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16.2支持自动肝脏分割提取。</w:t>
            </w:r>
          </w:p>
          <w:p w14:paraId="603B938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16.3支持自动血管分割提取（肝动脉、门静脉、肝静脉）。</w:t>
            </w:r>
          </w:p>
          <w:p w14:paraId="2D09207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16.4支持病灶支持半自动分割。</w:t>
            </w:r>
          </w:p>
          <w:p w14:paraId="242F8E3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16.5至少提供VOI、区域生长手动工具进行自定义组织提取。   </w:t>
            </w:r>
          </w:p>
          <w:p w14:paraId="2FC5D06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16.6最多支持肝段分割数量≥8段。</w:t>
            </w:r>
          </w:p>
          <w:p w14:paraId="6130C9A8">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十七骨结构评估后处理软件</w:t>
            </w:r>
          </w:p>
          <w:p w14:paraId="0A2FE43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17.1支持自动肋骨提取。</w:t>
            </w:r>
          </w:p>
          <w:p w14:paraId="4D111C6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17.2支持自动肋骨标记。</w:t>
            </w:r>
          </w:p>
          <w:p w14:paraId="3D6ACA4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17.3支持自动肋骨3D显示。</w:t>
            </w:r>
          </w:p>
          <w:p w14:paraId="5CC8CFB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17.4支持自动单肋骨CPR显示。</w:t>
            </w:r>
          </w:p>
          <w:p w14:paraId="358BE7E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17.5支持自动多肋骨CPR显示。</w:t>
            </w:r>
          </w:p>
          <w:p w14:paraId="2EE3C5C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17.6支持手动肋骨骨折标记并记录至列表。</w:t>
            </w:r>
          </w:p>
          <w:p w14:paraId="471B4B3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17.7支持自动椎间盘标记，包含颈椎、腰椎、胸椎。</w:t>
            </w:r>
          </w:p>
          <w:p w14:paraId="662CDA4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17.8支持多组椎间盘批处理重建同时进行。</w:t>
            </w:r>
          </w:p>
          <w:p w14:paraId="7EF76885">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十八结肠分析后处理软件</w:t>
            </w:r>
          </w:p>
          <w:p w14:paraId="62743F0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18.1支持自动结肠分割。</w:t>
            </w:r>
          </w:p>
          <w:p w14:paraId="03DC114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18.2支持自动中心线提取。</w:t>
            </w:r>
          </w:p>
          <w:p w14:paraId="656E981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18.3支持电子清肠：具备自动清除残留造影剂的功能</w:t>
            </w:r>
          </w:p>
          <w:p w14:paraId="018BCB1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18.4支持一键小肠隐藏，仅显示结肠结构。</w:t>
            </w:r>
          </w:p>
          <w:p w14:paraId="20E5DEB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18.5支持自动息肉检测和分割。</w:t>
            </w:r>
          </w:p>
          <w:p w14:paraId="433514C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18.6可使用手动标记工具对可疑息肉进行标记、分割。</w:t>
            </w:r>
          </w:p>
          <w:p w14:paraId="4138375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18.7提供息肉参数信息：体积、长短径、CT值、距离肛门距离。</w:t>
            </w:r>
          </w:p>
          <w:p w14:paraId="7689C2B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18.8具备腔内漫游功能，可对结肠内窥视图进行漫游，</w:t>
            </w:r>
          </w:p>
          <w:p w14:paraId="74D6A23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18.9具备多视图显示功能，可在结肠展开视图、MPR 图像、腔内视图、全VR图像上查看分割后的息肉组织。</w:t>
            </w:r>
          </w:p>
          <w:p w14:paraId="602FF6BD">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十九能谱成像及高级后处理软件包</w:t>
            </w:r>
          </w:p>
          <w:p w14:paraId="5EC7C5A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19.1具备能谱扫描与重建技术。</w:t>
            </w:r>
          </w:p>
          <w:p w14:paraId="7ABB20A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19.2无需动床最大能谱扫描范围≥16cm。    </w:t>
            </w:r>
          </w:p>
          <w:p w14:paraId="040DA7D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19.3双能量扫描最大FOV≥50cm。</w:t>
            </w:r>
          </w:p>
          <w:p w14:paraId="6C60513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19.4单KeV图像能级≥150级。</w:t>
            </w:r>
          </w:p>
          <w:p w14:paraId="74792F5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19.5能谱基物质对数量≥6个。</w:t>
            </w:r>
          </w:p>
          <w:p w14:paraId="1E48F47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19.6最佳CNR图像。</w:t>
            </w:r>
          </w:p>
          <w:p w14:paraId="30B5521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19.7混合增强图像。  </w:t>
            </w:r>
          </w:p>
          <w:p w14:paraId="55E80AD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19.8有效原子序数图像。  </w:t>
            </w:r>
          </w:p>
          <w:p w14:paraId="34F61D5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19.9电子密度图像。  </w:t>
            </w:r>
          </w:p>
          <w:p w14:paraId="7A83681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19.10尿酸成分分析。  </w:t>
            </w:r>
          </w:p>
          <w:p w14:paraId="280B7B3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19.11结石成分分析。  </w:t>
            </w:r>
          </w:p>
          <w:p w14:paraId="579B009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19.12能谱曲线图像。</w:t>
            </w:r>
          </w:p>
          <w:p w14:paraId="55F47F5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19.13直方图分析工具。  </w:t>
            </w:r>
          </w:p>
          <w:p w14:paraId="704323C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19.14散点图分析工具。  </w:t>
            </w:r>
          </w:p>
          <w:p w14:paraId="1B3D522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 xml:space="preserve">19.15虚拟平扫功能。  </w:t>
            </w:r>
          </w:p>
          <w:p w14:paraId="379A37D9">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二十其余配套</w:t>
            </w:r>
          </w:p>
          <w:p w14:paraId="52E28C2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20.1★泌尿手术智能规划系统</w:t>
            </w:r>
            <w:r>
              <w:rPr>
                <w:rFonts w:hint="eastAsia" w:ascii="仿宋_GB2312" w:hAnsi="仿宋_GB2312" w:eastAsia="仿宋_GB2312" w:cs="仿宋_GB2312"/>
                <w:color w:val="000000"/>
                <w:sz w:val="21"/>
                <w:lang w:val="en-US" w:eastAsia="zh-Hans"/>
              </w:rPr>
              <w:t xml:space="preserve"> 1套</w:t>
            </w:r>
          </w:p>
          <w:p w14:paraId="1E95A65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20.2★肝胆外科手术智能规划系统</w:t>
            </w:r>
            <w:r>
              <w:rPr>
                <w:rFonts w:hint="eastAsia" w:ascii="仿宋_GB2312" w:hAnsi="仿宋_GB2312" w:eastAsia="仿宋_GB2312" w:cs="仿宋_GB2312"/>
                <w:color w:val="000000"/>
                <w:sz w:val="21"/>
                <w:lang w:val="en-US" w:eastAsia="zh-Hans"/>
              </w:rPr>
              <w:t xml:space="preserve"> 1套</w:t>
            </w:r>
          </w:p>
          <w:p w14:paraId="4CCCA5E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20.3★CT骨密度人工智能分析软件</w:t>
            </w:r>
            <w:r>
              <w:rPr>
                <w:rFonts w:hint="eastAsia" w:ascii="仿宋_GB2312" w:hAnsi="仿宋_GB2312" w:eastAsia="仿宋_GB2312" w:cs="仿宋_GB2312"/>
                <w:color w:val="000000"/>
                <w:sz w:val="21"/>
                <w:lang w:val="en-US" w:eastAsia="zh-Hans"/>
              </w:rPr>
              <w:t xml:space="preserve"> 1套</w:t>
            </w:r>
          </w:p>
          <w:p w14:paraId="397D93A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20.4★CT淋巴结人工智能分析软件</w:t>
            </w:r>
            <w:r>
              <w:rPr>
                <w:rFonts w:hint="eastAsia" w:ascii="仿宋_GB2312" w:hAnsi="仿宋_GB2312" w:eastAsia="仿宋_GB2312" w:cs="仿宋_GB2312"/>
                <w:color w:val="000000"/>
                <w:sz w:val="21"/>
                <w:lang w:val="en-US" w:eastAsia="zh-Hans"/>
              </w:rPr>
              <w:t xml:space="preserve"> 1套</w:t>
            </w:r>
          </w:p>
          <w:p w14:paraId="560FAEF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20.5★脑转移瘤人工智能分析系统</w:t>
            </w:r>
            <w:r>
              <w:rPr>
                <w:rFonts w:hint="eastAsia" w:ascii="仿宋_GB2312" w:hAnsi="仿宋_GB2312" w:eastAsia="仿宋_GB2312" w:cs="仿宋_GB2312"/>
                <w:color w:val="000000"/>
                <w:sz w:val="21"/>
                <w:lang w:val="en-US" w:eastAsia="zh-Hans"/>
              </w:rPr>
              <w:t xml:space="preserve"> 1套</w:t>
            </w:r>
          </w:p>
          <w:p w14:paraId="08AD807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20.6★双筒高压注射器1套</w:t>
            </w:r>
          </w:p>
          <w:p w14:paraId="112E56D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20.7★对机房改造及更换辐射防护门</w:t>
            </w:r>
          </w:p>
          <w:p w14:paraId="5460E6A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20.8★按照GBZ-130-2020标准配备两套防护用品【1套成人（至少一件防护衣、一件铅方巾、一个铅围脖、一顶铅帽）；1套儿童（至少一件防护衣、一件铅方巾、一个铅围脖、一顶铅帽）】</w:t>
            </w:r>
          </w:p>
          <w:p w14:paraId="510D123B">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4"/>
                <w:lang w:val="en-US" w:eastAsia="zh-Hans"/>
              </w:rPr>
              <w:t>二十一安装要求</w:t>
            </w:r>
          </w:p>
          <w:p w14:paraId="12178AA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21.1★根据场地已有现状，完成区域内局部设计、改造(包含但不限于操作间、机房、控制室及其附属用房和设备设施正常投用的一切相关使用条件等)和办理验收(含环评、卫评等)、试运行、移交手续等所包含的全部内容，符合开展医疗工作环境要求，达到采购人采购文件、双方签订的合同要求，并在保修期内承担保修义务</w:t>
            </w:r>
          </w:p>
        </w:tc>
      </w:tr>
    </w:tbl>
    <w:p w14:paraId="5A51C6DB">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3AC76F3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4708DA9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BF3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D213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6D426A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39B8629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6D254A5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18C31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9A60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A14333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4929A9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服务要求</w:t>
            </w:r>
          </w:p>
        </w:tc>
        <w:tc>
          <w:tcPr>
            <w:tcW w:w="5814" w:type="dxa"/>
          </w:tcPr>
          <w:p w14:paraId="7F5E3F18">
            <w:pPr>
              <w:jc w:val="both"/>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1.质量要求：</w:t>
            </w:r>
          </w:p>
          <w:p w14:paraId="2AA71014">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质量符合或优于中国法律法规规定和（或）行业的标准，同时通过NMPA（如适用），符合采购文件质量要求、技术指标与出厂标准，保证是原产地生产的原装全新产品（含零部件、配件等），表面无划伤、无碰撞痕迹，且权属清楚，货物质量出现问题，中标人应负责三包（包修、包换、包退），费用由中标人负担，否则采购人有权拒绝收货，并要求中标人赔偿损失。具体技术参数详见采购文件、投标（响应）文件、合同附件、产品技术说明等。（合同附件应包含：配置清单、装箱清单、零配件易耗品价格清单）</w:t>
            </w:r>
          </w:p>
          <w:p w14:paraId="659982C6">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1.2中标人所提供的货物应符合国家有关安全、环保、卫生的规定。</w:t>
            </w:r>
          </w:p>
          <w:p w14:paraId="3BA0037A">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中标人必须保证该套货物配置齐全，达到该套货物的所有技术参数及功能，如配置清单没列举完整的，中标人也应无条件提供，对此，中标人应当基于自己的行业经验充分合理预判，费用已包含在合同价款之中。若短缺配置市场采购价高于原合同单价的，差价由中标人承担；短缺导致采购周期超过30日的，按合同第八条承担违约责任，如因短缺或其它因素造成该套货物不能按时完全正常使用，中标人负责赔偿由此给采购人造成的所有损失。</w:t>
            </w:r>
          </w:p>
          <w:p w14:paraId="24759C5E">
            <w:pPr>
              <w:jc w:val="both"/>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【注：供应商须在投标（响应）文件中单独提供配置清单（不同产品分别提供，配置清单格式参见《附件-投标人认为需要提供的其他证明材料》，采购人将以此为依据进行验收。】</w:t>
            </w:r>
          </w:p>
          <w:p w14:paraId="6AD1BC09">
            <w:pPr>
              <w:jc w:val="both"/>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2.安装调试、培训</w:t>
            </w:r>
          </w:p>
          <w:p w14:paraId="0875862B">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2.1安装、调试</w:t>
            </w:r>
          </w:p>
          <w:p w14:paraId="638AEA2C">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2.1.1中标人接到采购人通知后30日内，中标人向采购人提供全面的机房建筑设计、供水供电、专用地线技术要求等设计图纸及安装条件的技术要求（如适用），并派专人现场进行技术服务和指导，配合完成设备安装所应当具备的全部条件。</w:t>
            </w:r>
          </w:p>
          <w:p w14:paraId="75B30E36">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2.1.2开箱后，双方如无异议，中标人派有经验的工程技术人员开始负责安装和调试；如有异议，待问题解决后，中标人当日派人负责安装调试。如采购人的异议成立，则中标人的安装调试期限不顺延。</w:t>
            </w:r>
          </w:p>
          <w:p w14:paraId="1964361C">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2.1.3安装、调试期限为货到30日内。中标人应在规定的安装调试期内完成该项工作。如因中标人责任而造成延期，所有因延期而产生的费用由中标人承担。</w:t>
            </w:r>
          </w:p>
          <w:p w14:paraId="64B36CD7">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2.1.4安装调试过程中，中标人不得损坏采购人墙体等结构，若对采购人墙体等结构造成损坏，中标人需负责修复，所有修复费用由中标人承担，同时按照中标人不能履约处理，造成采购人损失的应当予以全额赔偿。同时所有进场费用（包括但不限于吊车装运费用等）由中标人承担。嵌入设备与原基建装修单位产生的安装相关费用由供应商自行承担。</w:t>
            </w:r>
          </w:p>
          <w:p w14:paraId="282D2FB5">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2.1.5中标人所派安装、调试及维修、维保人员名单必须与投标（响应）文件拟派人员名单（如有）一致，如需更换需事先书面征得采购人同意，且更换后人员的资质等级、工作经验等不得低于投标（响应）文件拟派人员。</w:t>
            </w:r>
          </w:p>
          <w:p w14:paraId="3AEE8011">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2.2培训</w:t>
            </w:r>
          </w:p>
          <w:p w14:paraId="050D148D">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2.2.1中标人提供完整的培训计划和方案。</w:t>
            </w:r>
          </w:p>
          <w:p w14:paraId="755864DA">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2.2.2 操作培训：在设备安装调试完毕后，由中标人应用专家进行现场操作使用的培训和指导。出席对象为采购人对该设备的操作技术人员、医师、物理师及相关人员等。培训目的是让操作技术人员完全掌握该设备的操作流程和方法，采购人受培训人员签字后视为培训合格。上述培训为货物的标准配套服务，培训所需全部费用均由中标人支付。</w:t>
            </w:r>
          </w:p>
          <w:p w14:paraId="6975D2E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2.2.3维修培训：安装调试时，由中标人工程师对采购人维修工程师进行现场培训，培训的目的是让采购人维修工程师掌握常见故障的判断与常规处理方法以及日常的维护保养方法，采购人维修工程师签字后视为培训合格。上述培训为该货物的标准配套服务，培训所需全部费用均由中标人支付。</w:t>
            </w:r>
          </w:p>
        </w:tc>
      </w:tr>
      <w:tr w14:paraId="774B2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670E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0006FD79">
            <w:pPr>
              <w:rPr>
                <w:rFonts w:ascii="Calibri" w:hAnsi="Calibri" w:eastAsia="宋体" w:cs="Times New Roman"/>
              </w:rPr>
            </w:pPr>
          </w:p>
        </w:tc>
        <w:tc>
          <w:tcPr>
            <w:tcW w:w="1495" w:type="dxa"/>
          </w:tcPr>
          <w:p w14:paraId="7E12FC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保修期后的易耗品及零配件供应</w:t>
            </w:r>
          </w:p>
        </w:tc>
        <w:tc>
          <w:tcPr>
            <w:tcW w:w="5814" w:type="dxa"/>
          </w:tcPr>
          <w:p w14:paraId="58825FA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lang w:val="en-US" w:eastAsia="zh-Hans"/>
              </w:rPr>
              <w:t>收费易耗品及零配件按照年用量为5000人次的标准计算年度合计金额。年度合计金额最低的报价将作为基准价。投标人须确保投标文件完整包含所有可能发生的费用。若投标人未提供消耗品及零配件清单，或清单中存在未列明价格、标注价格为0元的情况，均视为相关物料及服务费用已全部纳入投标总价。中标后采购人在标的使用过程中所涉及的一切易耗品更换、零配件维护及其他可能产生的费用，均包含在本项目总报价范围内，中标人不得以任何理由另行收取费用。保修期结束后，中标人应继续提供易耗品及零配件，直至采购人不再使用相应标的。</w:t>
            </w:r>
          </w:p>
          <w:p w14:paraId="7EB29380">
            <w:pPr>
              <w:jc w:val="left"/>
              <w:rPr>
                <w:rFonts w:hint="eastAsia" w:ascii="Calibri" w:hAnsi="Calibri" w:eastAsia="宋体" w:cs="Times New Roman"/>
                <w:lang w:val="en-US" w:eastAsia="zh-Hans"/>
              </w:rPr>
            </w:pPr>
            <w:r>
              <w:rPr>
                <w:rFonts w:hint="eastAsia" w:ascii="仿宋_GB2312" w:hAnsi="仿宋_GB2312" w:eastAsia="仿宋_GB2312" w:cs="仿宋_GB2312"/>
                <w:b/>
                <w:color w:val="000000"/>
                <w:sz w:val="21"/>
                <w:lang w:val="en-US" w:eastAsia="zh-Hans"/>
              </w:rPr>
              <w:t>（注：保修期后的易耗品及零配件报价清单格式参见附件-《保修期后的易耗品及零配件报价清单》，此部分内容不属于技术参数要求评审内容，对应评分表）</w:t>
            </w:r>
          </w:p>
        </w:tc>
      </w:tr>
      <w:tr w14:paraId="5EB66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EEA87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5E5D90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D64C2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医疗器械</w:t>
            </w:r>
          </w:p>
        </w:tc>
        <w:tc>
          <w:tcPr>
            <w:tcW w:w="5814" w:type="dxa"/>
          </w:tcPr>
          <w:p w14:paraId="04C90CC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本项目采购标的（至少包含：X线计算机断层扫描仪及图像后处理工作站系统</w:t>
            </w:r>
            <w:r>
              <w:rPr>
                <w:rFonts w:hint="eastAsia" w:ascii="仿宋_GB2312" w:hAnsi="仿宋_GB2312" w:eastAsia="仿宋_GB2312" w:cs="仿宋_GB2312"/>
                <w:sz w:val="20"/>
                <w:lang w:val="en-US" w:eastAsia="zh-Hans"/>
              </w:rPr>
              <w:t>、防护衣、铅方巾、铅围脖、铅帽</w:t>
            </w:r>
            <w:r>
              <w:rPr>
                <w:rFonts w:hint="eastAsia" w:ascii="仿宋_GB2312" w:hAnsi="仿宋_GB2312" w:eastAsia="仿宋_GB2312" w:cs="仿宋_GB2312"/>
                <w:sz w:val="21"/>
                <w:lang w:val="en-US" w:eastAsia="zh-Hans"/>
              </w:rPr>
              <w:t>）为医疗器械，所投医疗器械须符合《医疗器械注册与备案管理办法》等政策法规要求并具有中华人民共和国医疗器械注册/备案证明材料。（投标文件中须提供有效的证明材料扫描件）</w:t>
            </w:r>
          </w:p>
        </w:tc>
      </w:tr>
      <w:tr w14:paraId="06BAA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6E03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2B63F30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D8636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42C46BF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因系统固化原因，3.3.2.商务要求中“付款进度安排”不适用于本项目，本项目“付款进度安排”以此为准（供应商应答“付款进度安排”时仅需应答此条要求即可，无需再应答3.3.2.商务要求中“付款进度安排”】货物运到采购人指定地点后，采购人应在收到中标人提交的付款申请、发票（发票金额为到货货物的总金额）之日起60日内支付到货货物金额的60%；安装验收合格后，采购人应在收到中标人提交的付款申请之日起60日内支付到货货物金额的40%。</w:t>
            </w:r>
          </w:p>
        </w:tc>
      </w:tr>
      <w:tr w14:paraId="0A860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D915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5FBFCAC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EEC2C1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72E2518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【因系统固化原因，本项目的“违约责任与解决争议的方法”以此处内容为准，供应商应答只需应答此处内容】</w:t>
            </w:r>
          </w:p>
          <w:p w14:paraId="3907C2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（以下甲方指采购人，乙方指中标供应商）</w:t>
            </w:r>
          </w:p>
          <w:p w14:paraId="65E6F6BE">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1.甲方违约责任</w:t>
            </w:r>
          </w:p>
          <w:p w14:paraId="583669F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甲方无正当理由拒收货物的应赔偿乙方损失，但赔偿金不超过拒收货物价款的10%。甲方拒收的产品，由乙方自行处置，甲方不承担保管、搬离以及货物丢失、损毁、灭失等的责任和由此产生的费用或损失。</w:t>
            </w:r>
          </w:p>
          <w:p w14:paraId="6BA4AA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甲方逾期支付货款的，除应及时付足货款外，应向乙方偿付欠款总额万分之二/天的违约金，有正当理由除外。</w:t>
            </w:r>
          </w:p>
          <w:p w14:paraId="482E2AF3">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2.乙方违约责任</w:t>
            </w:r>
          </w:p>
          <w:p w14:paraId="5B24970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2.1乙方交付的货物质量不符合规定的，须在合同规定的交货时间内更换合格的货物给甲方，且不顺延交货期限，乙方逾期交货的，则按2.2规定由乙方偿付违约金给甲方。</w:t>
            </w:r>
          </w:p>
          <w:p w14:paraId="28E60D4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乙方如不能按时交货，必须承担本合同约定的违约责任及由此给甲方造成的所有损失，同时甲方有权解除合同并追究乙方违约责任。交货是指乙方将货物运送至甲方指定地点，甲方按照本合同配置清单及装箱清单等进行核对无误后，视为交货完成。经甲方核对，乙方未能按本合同配置清单及装箱清单等交付的，甲方有权拒收全部货物，甲方拒收的，即为乙方未交货。拒收的货物由乙方负责处置，甲方不承担保管等责任。乙方不能交付/调试安装货物或逾期交付/调试安装货物而违约的，除应及时交足货物外，应向甲方偿付货款总额的万分之二/天的违约金及赔偿由此给甲方造成的全部损失；逾期交货/调试安装超过30天，甲方有权解除合同，乙方则应按合同总价的20%的款额向甲方偿付赔偿金，并须全额退还甲方已经支付给乙方的货款及同期银行贷款利息。</w:t>
            </w:r>
          </w:p>
          <w:p w14:paraId="1951A50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 乙方货物经甲方送交具有法定资格条件的质量技术监督机构检测后，如检测结果认定货物质量不符合本合同规定标准的，则视为乙方没有按时交货而违约，乙方须在30天内无条件更换合格的货物，且交货时间不顺延。如逾期不能更换合格的货物，甲方有权解除本合同，乙方应另付合同总价的20%的违约金给甲方，并须全额退还甲方已经付给乙方的货款及同期银行贷款利息。</w:t>
            </w:r>
          </w:p>
          <w:p w14:paraId="3499803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2.4 乙方保证本合同项目的权利无瑕疵，包括货物或服务的所有权及知识产权等权利无瑕疵。如任何第三方经法院裁决有权对上述项目主张权利或国家机关依法对货物进行没收、查封、责令停止侵权行为等的，乙方除应向甲方返还已收款项及同期银行贷款利息外，还应另按合同总价的20%向甲方支付违约金并赔偿因此给甲方造成的一切直接及间接损失。甲方向第三方承担赔偿责任后，有权向乙方追偿。</w:t>
            </w:r>
          </w:p>
          <w:p w14:paraId="12080C0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2.5 乙方未按照本协议约定及时履行其质保义务的，甲方有权委托其他有资质的机构进行维修，由此产生的一切费用由乙方承担，甲方有权从剩余货款中直接扣除；若甲方已完成货款支付的，乙方应当按照甲方期限要求向甲方另行支付第三方维修费用。若因此给甲方造成了损失的，乙方还应全额赔偿。</w:t>
            </w:r>
          </w:p>
          <w:p w14:paraId="1A2C33D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2.6 合同生效后乙方未经甲方同意拒绝交付货物，或除法定可以解除合同的情形外单方面解除合同的，乙方应向甲方支付合同总价的20%的违约金。</w:t>
            </w:r>
          </w:p>
          <w:p w14:paraId="22E16AE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2.7 乙方违反本合同其他约定，经甲方通知后在30天内不改正或整改后仍不符合合同约定的，甲方有权解除合同、不支付乙方任何款项并追究乙方的违约责任，乙方应当退还甲方已支付的款项（如有），未支付的款项甲方不再支付。</w:t>
            </w:r>
          </w:p>
          <w:p w14:paraId="15FBEB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2.8因乙方的原因（包括但不限于乙方拒绝交付货物、货物验收不合格等）致合同解除的，乙方应当退还甲方已支付的款项（如有），未支付的款项甲方不再支付，乙方还应当按合同金额的20%向甲方支付违约金。</w:t>
            </w:r>
          </w:p>
          <w:p w14:paraId="405B4C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2.9乙方违约除按上述约定承担违约责任外，还应另行赔偿由此给甲方造成的全部损失（包括但不限于重新采购/购买的费用、重新采购/购买货物（含维保）的差价、因货物未能到位期间给甲方造成的运营损失及其他损失、甲方因乙方违约向第三方承担的违约金及赔偿金、诉讼费、保全费、律师费、鉴定费、差旅费等）。</w:t>
            </w:r>
          </w:p>
          <w:p w14:paraId="42D06FF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2.10乙方根据本合同约定应承担违约金和赔偿金，乙方拒绝支付的，甲方有权从应付款中扣除相应金额，乙方对此无异议。</w:t>
            </w:r>
          </w:p>
          <w:p w14:paraId="7130C1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2.11合同解除的，货物由乙方自行处置并承担相关费用，甲方不负责保管、拆除、送返等。</w:t>
            </w:r>
          </w:p>
          <w:p w14:paraId="58541BB0">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3.其他违约责任</w:t>
            </w:r>
          </w:p>
          <w:p w14:paraId="4D29148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除本项目协议另有约定外，一方擅自解除本项目协议的，应当赔偿守约方损失，并支付违约金，违约金按照合同价格的10%计算。</w:t>
            </w:r>
          </w:p>
          <w:p w14:paraId="08476B68">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4.争议解决方法：</w:t>
            </w:r>
          </w:p>
          <w:p w14:paraId="1BF5FF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4.1争议的解决</w:t>
            </w:r>
          </w:p>
          <w:p w14:paraId="0AAABBA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4.1.1招标文件、投标文件、承诺约定、本合同的附件、补充协议、会议纪要等是构成本合同不可分割的部分，与本合同具有同等法律效力，如以上各文件相互有冲突或有内容不一致的地方，或上述文件中表述出现歧义致甲乙双方的理解不同的，应以有利于甲方解释为准。</w:t>
            </w:r>
          </w:p>
          <w:p w14:paraId="143AAAB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4.1.2招标文件、投标文件、承诺约定、本合同的附件及本合同等如有中、英文两种版本应以中文版本为准且应做有利于甲方解释。</w:t>
            </w:r>
          </w:p>
          <w:p w14:paraId="437EC2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4.1.3未尽事宜，双方另行协商解决，并签订补充协议。</w:t>
            </w:r>
          </w:p>
          <w:p w14:paraId="5ABD380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4.2法律管辖及诉讼</w:t>
            </w:r>
          </w:p>
          <w:p w14:paraId="36AEEA0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甲乙双方之合同受中华人民共和国法律之管辖并依其进行解释。如有争议，在双方友好交涉无法解决时，根据中国法律在中国境内（甲方所在地）进行起诉。</w:t>
            </w:r>
          </w:p>
          <w:p w14:paraId="00EDEA1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4.3如甲乙双方有争议的事项不影响合同其他部分的履行，在争议解决期间，合同其他部分应当继续履行。</w:t>
            </w:r>
          </w:p>
        </w:tc>
      </w:tr>
    </w:tbl>
    <w:p w14:paraId="1A97F3A2">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3D53328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439A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9887D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076" w:type="dxa"/>
          </w:tcPr>
          <w:p w14:paraId="66ADA2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2076" w:type="dxa"/>
          </w:tcPr>
          <w:p w14:paraId="5A09F65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2076" w:type="dxa"/>
          </w:tcPr>
          <w:p w14:paraId="49A7A8F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08148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A867B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076" w:type="dxa"/>
          </w:tcPr>
          <w:p w14:paraId="49F8D6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2076" w:type="dxa"/>
          </w:tcPr>
          <w:p w14:paraId="47BC80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2076" w:type="dxa"/>
          </w:tcPr>
          <w:p w14:paraId="5DE665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中标人按采购人实际需求进行交货，每批次货物需在收到采购人通知之日起30日内交货安装，单次交货数量需按采购人要求执行</w:t>
            </w:r>
          </w:p>
        </w:tc>
      </w:tr>
      <w:tr w14:paraId="5E91C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A3CE6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2076" w:type="dxa"/>
          </w:tcPr>
          <w:p w14:paraId="0123DC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2076" w:type="dxa"/>
          </w:tcPr>
          <w:p w14:paraId="7543F28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2076" w:type="dxa"/>
          </w:tcPr>
          <w:p w14:paraId="5C0C4FB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四川省肿瘤医院指定地点</w:t>
            </w:r>
          </w:p>
        </w:tc>
      </w:tr>
      <w:tr w14:paraId="6ED92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D84D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2076" w:type="dxa"/>
          </w:tcPr>
          <w:p w14:paraId="248C52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2076" w:type="dxa"/>
          </w:tcPr>
          <w:p w14:paraId="7FDA29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2076" w:type="dxa"/>
          </w:tcPr>
          <w:p w14:paraId="086640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79B84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1C39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2076" w:type="dxa"/>
          </w:tcPr>
          <w:p w14:paraId="255C8646">
            <w:pPr>
              <w:rPr>
                <w:rFonts w:ascii="Calibri" w:hAnsi="Calibri" w:eastAsia="宋体" w:cs="Times New Roman"/>
              </w:rPr>
            </w:pPr>
          </w:p>
        </w:tc>
        <w:tc>
          <w:tcPr>
            <w:tcW w:w="2076" w:type="dxa"/>
          </w:tcPr>
          <w:p w14:paraId="31616C7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2076" w:type="dxa"/>
          </w:tcPr>
          <w:p w14:paraId="3C3225C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1、付款前提，货物运到采购人指定地点后，采购人应在收到中标人提交的付款申请、发票（发票金额为到货货物的总金额），达到付款条件起10个工作日内，支付合同总金额的60.0%</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2、尾款，安装验收合格后，采购人应在收到中标人提交的付款申请，达到付款条件起10个工作日内，支付合同总金额的40.0%</w:t>
            </w:r>
            <w:r>
              <w:rPr>
                <w:rFonts w:hint="eastAsia" w:ascii="Calibri" w:hAnsi="Calibri" w:eastAsia="宋体" w:cs="Times New Roman"/>
                <w:lang w:val="en-US" w:eastAsia="zh-Hans"/>
              </w:rPr>
              <w:br w:type="textWrapping"/>
            </w:r>
          </w:p>
        </w:tc>
      </w:tr>
      <w:tr w14:paraId="7DA65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945F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2076" w:type="dxa"/>
          </w:tcPr>
          <w:p w14:paraId="51C2CF8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2076" w:type="dxa"/>
          </w:tcPr>
          <w:p w14:paraId="48556F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2076" w:type="dxa"/>
          </w:tcPr>
          <w:p w14:paraId="171A215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一、验收组织方式： 采购包1： 自行验收 二、是否邀请本项目的其他供应商： 采购包1： 否 三、是否邀请专家： 采购包1： 否 四、是否邀请服务对象： 采购包1： 否 五、是否邀请第三方检测机构： 采购包1： 否 六、履约验收程序： 采购包1： 一次性验收 七、履约验收时间： 采购包1： 1、 验收条件说明： 供应商提出验收申请 ，达到验收条件起 30 日内，验收合同总金额的 100%； 八、验收组织的其他事项： 采购包1： 无 九、技术履约验收内容： 采购包1： 按照本项目招标文件要求及中标人投标文件进行验收 十、商务履约验收内容： 采购包1： 按照本项目招标文件要求及中标人投标文件进行验收 十一、履约验收标准： 采购包1： 1.中标人交付的货物应当符合下列约定： （1）验收依据：招标文件、投标文件、承诺约定、合同及附件。 （2）货物配置齐全，中标人保证完全按时提供货物的硬件、软件和技术资料等。质量符合中国法律法规规定的标准，NMPA（如适用），是原产地生产的原装全新产品；技术参数和性能指标达到招投标（响应）文件、合同附件、产品技术说明等。验收时向采购人提供保证其产品质量的相关手续。如双方对质量和参数性能有异议，由买、卖双方认可的国家相关部门专家验收，出具检测验收报告为准，采购人也可委托中国有资格的单位对上述仪器的质量、技术参数、精度等进行检测校准，发生的所有费用由中标人承担。采购人与供应商双方如对质量要求和技术指标的约定标准有相互抵触或异议的事项，由采购人在招标与投标（响应）文件中按质量要求和技术指标比较优胜的原则确定该项的约定标准进行验收。如货物经中标人一次维修或更换仍不能达到合同约定的质量标准，采购人有权退货，并视作中标人不能交付货物而须支付违约赔偿金给采购人，采购人还可依法追究中标人的违约责任。 技术资料齐全（中文版本或中外文对照），中标人应当在采购人验收时将所提供货物的装箱清单、配件、随机工具、用户使用手册、原厂保修卡等资料交付给采购人。进口设备需提供商检证明及按照现行法律规定需要提供的其他证明。中标人不能完整交付本款规定的资料的，必须负责补齐，否则视为未按合同约定交货。如包装有损坏、产品有质量缺陷、配置短缺、规格型号不符、数量不符、资料不全等或不符合上述标准的，由中标人在7日内给予更换、补齐，并承担由此产生的全部费用，且交货时间不顺延。若更换后仍不符合要求，采购人有权退货并要求中标人承担合同总额30%的惩罚性违约金。 2.验收方式 （1）由采购人编写验收资料[含配置验收、主要性能和质量验收、质量检测（涉及到需要计量检测的设备提供检测合格报告）及防护验收（如适用）、培训验收等]，自中标人书面提出验收申请之日起30日内组织相关部门与中标人共同验收，达到所有标准后，甲乙双方签字认可后开始计算质保期。 （2）验收时如发现所交付的货物有短缺、次品、损坏或其它不符合标准及本合同规定之情形者，采购人应做出详尽的现场记录（验收报告）或由甲乙双方签署备忘录，此现场记录或备忘录可用作补充、缺失和更换损坏部件的有效证据，中标人应按照采购人要求整改，及时修理、重整或更换，由此产生的时间延误与有关费用由中标人承担，验收期限相应顺延，但交货时间不顺延。 3.若中标人出现下列情形之一，即为验收不合格： （1）逾期30日未予整改； （2）整改后仍不符合招标（采购）文件、投标（响应）文件、承诺函、合同及其附件、补充协议或备忘录（如有）所定标准； （3）无正当理由拒不申请验收、拒不参与验收、拒不配合验收； （4）拒绝签署记载验收情况的文件； 中标人出现上述情况的，采购人有权单方解除本合同，中标人应当按照采购人要求期限退还已支付费用，剩余价款不再支付，且中标人须自收到解除通知之日起10日内拆除、运离全部设备，将安装场地恢复原状，并承担上述费用。逾期未履行的，采购人可自行处置设备及场地（含破坏性拆除），由此产生的全部费用均由中标人承担，自合同解除通知送达中标人之日起采购人不承担对中标人设备任何保管责任或其他法律责任。 十二、履约验收其他事项： 采购包1： 无</w:t>
            </w:r>
          </w:p>
        </w:tc>
      </w:tr>
      <w:tr w14:paraId="5D745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CB25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2076" w:type="dxa"/>
          </w:tcPr>
          <w:p w14:paraId="1637F6F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2076" w:type="dxa"/>
          </w:tcPr>
          <w:p w14:paraId="2205F1A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2076" w:type="dxa"/>
          </w:tcPr>
          <w:p w14:paraId="315E6E2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1.保修期 质保期限：自验收报告双方签字之日起全套货物质保期为（5）年，供应商提供承诺函承诺满足。同时供应商还必须在承诺函中明确：在签订合同前，提供设备生产厂家签署的满足原厂整机全套货物质保期为（5）年的设备质保期承诺函。 质保期内，中标人工程师每年不少于4次巡回保养服务。 2.质量保修范围 2.1硬件在质保期内，如果出现三次以上因质量引起的故障，中标人负责更换同类新硬件。中标人应按生产厂家的质保规定和投标（响应）文件说明服务承诺做好质保等服务，质保期内维修、零部件、易损件及工时费等已含在总价内。软件如发生三次（含三次）以上缺陷问题，影响仪器、设备的正常运转，中标人必须更换性能更好、稳定性更高的软件。终身开放所有网络接口并永久提供安装密码、使用密码和维修密码给采购人。采购人任何时候开放软件及端口，中标人协助无缝连接，上述所有费用均包含在中标人报价内，采购人不再额外支付。 2.2质保期后，中标人终身上门服务。 2.3维修时间和时限：中标人接到采购人通知后2小时内，作出反应，如4小时内无法电话解决问题，8小时内中标人工程师到达采购人现场进行维修与更换零部件，维修期间，根据采购人需求，中标人应向采购人提供替用设备。解决时间：不更换零部件自采购人通知之时起24小时内解决；更换非大型部件48小时内解决；更换大型部件10日内解决。以上所有时间均含节假日。 2.4易耗品与零配件供应及价格：中标人终身提供设备的易耗品与零配件，其易耗品与零配件价格以中标人投标响应为准。 2.5开机率：在质保期内，年开机率≥95％，开机天数每少一天，质保期增加10天。 2.6质保期后如采购人购买维保服务的，年维保费用（全保）不超过设备总价的5%，维保的内容和要求与质保期一致。中标人拒绝按前述约定与采购人签订维保合同的，采购人有权委托第三方进行维保，采购人支付给第三方的维保费超过前述约定价格的部分由中标人承担，造成采购人其他损失的，中标人还应当赔偿。如第三方无法提供维保服务，中标人又拒绝按前述约定与采购人签订维保合同的，采购人有权解除本合同，不支付剩余款项（如有），中标人应当向采购人支付本合同金额20%的违约金，并返还合同金额50%的款项，造成采购人其他损失的，中标人还应当赔偿。 2.7中标人应当在货物（仪器设备）的正常使用年限内保证零配件、专用耗材的供应，中标人违反本条约定的，采购人有权解除合同，不支付剩余款项(如有)。并视违约情况，采购人有权要求中标人向采购人支付本合同金额20%的违约金，并返还合同金额20-50 %的款项，造成采购人其他损失的【包括但不限于购买、安装替代货物与本合同货物的价差、重新招标（比选）的费用、更换货物导致的采购人的运营损失及第三方的损失等】，中标人还应当赔偿。</w:t>
            </w:r>
          </w:p>
        </w:tc>
      </w:tr>
      <w:tr w14:paraId="45448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04CA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2076" w:type="dxa"/>
          </w:tcPr>
          <w:p w14:paraId="055B2F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2076" w:type="dxa"/>
          </w:tcPr>
          <w:p w14:paraId="30CC4BD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2076" w:type="dxa"/>
          </w:tcPr>
          <w:p w14:paraId="2BFB13A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19DFC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FB7C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2076" w:type="dxa"/>
          </w:tcPr>
          <w:p w14:paraId="6B56D584">
            <w:pPr>
              <w:rPr>
                <w:rFonts w:ascii="Calibri" w:hAnsi="Calibri" w:eastAsia="宋体" w:cs="Times New Roman"/>
              </w:rPr>
            </w:pPr>
          </w:p>
        </w:tc>
        <w:tc>
          <w:tcPr>
            <w:tcW w:w="2076" w:type="dxa"/>
          </w:tcPr>
          <w:p w14:paraId="15FA414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2076" w:type="dxa"/>
          </w:tcPr>
          <w:p w14:paraId="578FDC6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因系统字数限制，此处内容详见3.3.1服务内容要求</w:t>
            </w:r>
          </w:p>
        </w:tc>
      </w:tr>
    </w:tbl>
    <w:p w14:paraId="489D7028">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00F7465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【因系统固化原因，此处内容仅作告知说明，供应商无需单独应答，按要求制作投标文件内容即可】 1、未载明或者载明的标的名称、数量、计量单位及其他政府采购合同实质性内容与采购文件要求不一致，且采购单位无法接受的，属于无效响应。 2、非特定美国企业生产产品：根据《关于在政府采购活动中对有关美国企业采取相关措施的通知》（财库〔2026〕10号）规定，供应商不得提供该通知中所列46家美国企业（不包括在华美资企业）生产的产品，否则投标（响应）无效。</w:t>
      </w:r>
    </w:p>
    <w:p w14:paraId="1B8A7E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A1ADB"/>
    <w:rsid w:val="5FCA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2026-07-10T06:12:00Z</dcterms:created>
  <dc:creator>hu</dc:creator>
  <cp:lastModifiedBy>hu</cp:lastModifiedBy>
  <dcterms:modified xsi:type="dcterms:W3CDTF">2026-07-10T06:13:06Z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F875CDEC795E469588C3EDEFB35D5C78_11</vt:lpwstr>
  </property>
  <property fmtid="{D5CDD505-2E9C-101B-9397-08002B2CF9AE}" pid="4" name="KSOTemplateDocerSaveRecord">
    <vt:lpwstr>eyJoZGlkIjoiN2E2ODMwZTU2NTk2NGY5N2ZlYzBkMzcwYjY2YzYzMDgiLCJ1c2VySWQiOiI1MDQxNDc4ODMifQ==</vt:lpwstr>
  </property>
</Properties>
</file>