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版本号：N510104202600007020260601001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锦江区教育科学研究院2026年学校教师计算机设备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N5101042026000070</w:t>
      </w:r>
    </w:p>
    <w:p>
      <w:pPr>
        <w:pStyle w:val="null3"/>
        <w:jc w:val="left"/>
        <w:outlineLvl w:val="2"/>
      </w:pPr>
      <w:r>
        <w:rPr>
          <w:rFonts w:ascii="仿宋_GB2312" w:hAnsi="仿宋_GB2312" w:cs="仿宋_GB2312" w:eastAsia="仿宋_GB2312"/>
          <w:sz w:val="28"/>
          <w:b/>
        </w:rPr>
        <w:t>成都市锦江区教育科学研究院</w:t>
      </w:r>
    </w:p>
    <w:p>
      <w:pPr>
        <w:pStyle w:val="null3"/>
        <w:jc w:val="center"/>
        <w:outlineLvl w:val="2"/>
      </w:pPr>
      <w:r>
        <w:rPr>
          <w:rFonts w:ascii="仿宋_GB2312" w:hAnsi="仿宋_GB2312" w:cs="仿宋_GB2312" w:eastAsia="仿宋_GB2312"/>
          <w:sz w:val="28"/>
          <w:b/>
        </w:rPr>
        <w:t>成都市锦江区政府采购中心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成都市锦江区政府采购中心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成都市锦江区教育科学研究院</w:t>
      </w:r>
      <w:r>
        <w:rPr>
          <w:rFonts w:ascii="仿宋_GB2312" w:hAnsi="仿宋_GB2312" w:cs="仿宋_GB2312" w:eastAsia="仿宋_GB2312"/>
        </w:rPr>
        <w:t xml:space="preserve"> 委托，拟对 </w:t>
      </w:r>
      <w:r>
        <w:rPr>
          <w:rFonts w:ascii="仿宋_GB2312" w:hAnsi="仿宋_GB2312" w:cs="仿宋_GB2312" w:eastAsia="仿宋_GB2312"/>
        </w:rPr>
        <w:t>锦江区教育科学研究院2026年学校教师计算机设备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成都市锦江区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N5101042026000070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锦江区教育科学研究院2026年学校教师计算机设备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为满足锦江区教育发展需求，推进信创工作，拟采购一批2026年学校教师计算机设备。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成都市锦江区教育科学研究院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成都市锦江区皇经楼三街1号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周皓</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84471172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成都市锦江区政府采购中心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成都市锦江区南三环路二段一号6101室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唐若芝</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028-86614055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采购包1：2,194,500.00元</w:t>
            </w:r>
          </w:p>
          <w:p>
            <w:pPr>
              <w:pStyle w:val="null3"/>
              <w:jc w:val="left"/>
            </w:pPr>
            <w:r>
              <w:rPr>
                <w:rFonts w:ascii="仿宋_GB2312" w:hAnsi="仿宋_GB2312" w:cs="仿宋_GB2312" w:eastAsia="仿宋_GB2312"/>
              </w:rPr>
              <w:t>采购包2：480,000.00元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p>
          <w:p>
            <w:pPr>
              <w:pStyle w:val="null3"/>
              <w:jc w:val="left"/>
            </w:pPr>
            <w:r>
              <w:rPr>
                <w:rFonts w:ascii="仿宋_GB2312" w:hAnsi="仿宋_GB2312" w:cs="仿宋_GB2312" w:eastAsia="仿宋_GB2312"/>
              </w:rPr>
              <w:t>采购包2：最低评标价法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供应商应在领取中标(成交）通知书后，在合同签订前，以非现金的方式（允许自主选择以支票、汇票、本票、保函等非现金形式提交）向采购人提交规定金额的履约保证金，履约保证金为合同金额的5%。履约保证金在项目验收合格后，中标供应商提交履约保证金退还申请，采购人在收到申请后的 10 个日历日内无息退还中标供应商的履约保证金；如果中标供应商未能履行合同规定的部分或全部义务，该保证金将视情况予以部分或全部没收。如果采购人无正当理由逾期退还履约保证金的，每逾期一天，应以全国银行间同业拆借中心公布的贷款市场报价利率为标准向中标供应商支付违约金。</w:t>
              <w:br/>
              <w:t>履约保证金汇入的银行及账号：</w:t>
              <w:br/>
              <w:t>收款单位：成都市锦江区教育科学研究院</w:t>
              <w:br/>
              <w:t>统一社会信用代码：12510104450770483M</w:t>
              <w:br/>
              <w:t>开户银行：成都银行锦江支行</w:t>
              <w:br/>
              <w:t>银行账号：1001300000452387</w:t>
              <w:br/>
              <w:t>备注：履约保证金。</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供应商应在领取中标(成交）通知书后，在合同签订前，以非现金的方式（允许自主选择以支票、汇票、本票、保函等非现金形式提交）向采购人提交规定金额的履约保证金，履约保证金为合同金额的5%。履约保证金在项目验收合格后，中标供应商提交履约保证金退还申请，采购人在收到申请后的 10 个日历日内无息退还中标供应商的履约保证金；如果中标供应商未能履行合同规定的部分或全部义务，该保证金将视情况予以部分或全部没收。如果采购人无正当理由逾期退还履约保证金的，每逾期一天，应以全国银行间同业拆借中心公布的贷款市场报价利率为标准向中标供应商支付违约金。</w:t>
              <w:br/>
              <w:t>履约保证金汇入的银行及账号：</w:t>
              <w:br/>
              <w:t>收款单位：成都市锦江区教育科学研究院</w:t>
              <w:br/>
              <w:t>统一社会信用代码：12510104450770483M</w:t>
              <w:br/>
              <w:t>开户银行：成都银行锦江支行</w:t>
              <w:br/>
              <w:t>银行账号：1001300000452387</w:t>
              <w:br/>
              <w:t>备注：履约保证金。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成都市锦江区教育科学研究院</w:t>
      </w:r>
      <w:r>
        <w:rPr>
          <w:rFonts w:ascii="仿宋_GB2312" w:hAnsi="仿宋_GB2312" w:cs="仿宋_GB2312" w:eastAsia="仿宋_GB2312"/>
        </w:rPr>
        <w:t xml:space="preserve"> 和 </w:t>
      </w:r>
      <w:r>
        <w:rPr>
          <w:rFonts w:ascii="仿宋_GB2312" w:hAnsi="仿宋_GB2312" w:cs="仿宋_GB2312" w:eastAsia="仿宋_GB2312"/>
        </w:rPr>
        <w:t>成都市锦江区政府采购中心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成都市锦江区教育科学研究院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成都市锦江区政府采购中心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履约验收时间为中标人提出验收申请之日起10日内组织验收。验收方式为自行组织验收，履约验收内容为合同约定内容、招标（采购）文件的技术和商务要求、投标（响应）文件中响应和承诺。</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履约验收时间为中标人提出验收申请之日起10日内组织验收。验收方式为自行组织验收，履约验收内容为合同约定内容、招标（采购）文件的技术和商务要求、投标（响应）文件中响应和承诺。</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采购文件及响应文件中的技术部分。</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采购文件及响应文件中的技术部分。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采购文件及响应文件中的商务部分。</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采购文件及响应文件中的商务部分。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成都市锦江区教育科学研究院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成都市锦江区政府采购中心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成都市锦江区政府采购中心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联系人：周皓</w:t>
      </w:r>
    </w:p>
    <w:p>
      <w:pPr>
        <w:pStyle w:val="null3"/>
        <w:jc w:val="left"/>
      </w:pPr>
      <w:r>
        <w:rPr>
          <w:rFonts w:ascii="仿宋_GB2312" w:hAnsi="仿宋_GB2312" w:cs="仿宋_GB2312" w:eastAsia="仿宋_GB2312"/>
        </w:rPr>
        <w:t>联系电话：028-84471172</w:t>
      </w:r>
    </w:p>
    <w:p>
      <w:pPr>
        <w:pStyle w:val="null3"/>
        <w:jc w:val="left"/>
      </w:pPr>
      <w:r>
        <w:rPr>
          <w:rFonts w:ascii="仿宋_GB2312" w:hAnsi="仿宋_GB2312" w:cs="仿宋_GB2312" w:eastAsia="仿宋_GB2312"/>
        </w:rPr>
        <w:t>地址：成都市锦江区皇经楼三街1号</w:t>
      </w:r>
    </w:p>
    <w:p>
      <w:pPr>
        <w:pStyle w:val="null3"/>
        <w:jc w:val="left"/>
      </w:pPr>
      <w:r>
        <w:rPr>
          <w:rFonts w:ascii="仿宋_GB2312" w:hAnsi="仿宋_GB2312" w:cs="仿宋_GB2312" w:eastAsia="仿宋_GB2312"/>
        </w:rPr>
        <w:t>邮编：610023</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联系人：乔慧琳</w:t>
      </w:r>
    </w:p>
    <w:p>
      <w:pPr>
        <w:pStyle w:val="null3"/>
        <w:jc w:val="left"/>
      </w:pPr>
      <w:r>
        <w:rPr>
          <w:rFonts w:ascii="仿宋_GB2312" w:hAnsi="仿宋_GB2312" w:cs="仿宋_GB2312" w:eastAsia="仿宋_GB2312"/>
        </w:rPr>
        <w:t>联系电话：028-86755728</w:t>
      </w:r>
    </w:p>
    <w:p>
      <w:pPr>
        <w:pStyle w:val="null3"/>
        <w:jc w:val="left"/>
      </w:pPr>
      <w:r>
        <w:rPr>
          <w:rFonts w:ascii="仿宋_GB2312" w:hAnsi="仿宋_GB2312" w:cs="仿宋_GB2312" w:eastAsia="仿宋_GB2312"/>
        </w:rPr>
        <w:t>地址：成都市锦江区南三环路二段一号6101室</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2,194,500.00</w:t>
      </w:r>
    </w:p>
    <w:p>
      <w:pPr>
        <w:pStyle w:val="null3"/>
        <w:jc w:val="left"/>
      </w:pPr>
      <w:r>
        <w:rPr>
          <w:rFonts w:ascii="仿宋_GB2312" w:hAnsi="仿宋_GB2312" w:cs="仿宋_GB2312" w:eastAsia="仿宋_GB2312"/>
        </w:rPr>
        <w:t>采购包最高限价（元）: 2,194,500.00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便携式计算机</w:t>
            </w:r>
          </w:p>
        </w:tc>
        <w:tc>
          <w:tcPr>
            <w:tcW w:type="dxa" w:w="821"/>
          </w:tcPr>
          <w:p>
            <w:pPr>
              <w:pStyle w:val="null3"/>
              <w:jc w:val="right"/>
            </w:pPr>
            <w:r>
              <w:rPr>
                <w:rFonts w:ascii="仿宋_GB2312" w:hAnsi="仿宋_GB2312" w:cs="仿宋_GB2312" w:eastAsia="仿宋_GB2312"/>
              </w:rPr>
              <w:t>399.00（台）</w:t>
            </w:r>
          </w:p>
        </w:tc>
        <w:tc>
          <w:tcPr>
            <w:tcW w:type="dxa" w:w="821"/>
          </w:tcPr>
          <w:p>
            <w:pPr>
              <w:pStyle w:val="null3"/>
              <w:jc w:val="right"/>
            </w:pPr>
            <w:r>
              <w:rPr>
                <w:rFonts w:ascii="仿宋_GB2312" w:hAnsi="仿宋_GB2312" w:cs="仿宋_GB2312" w:eastAsia="仿宋_GB2312"/>
              </w:rPr>
              <w:t>2,194,500.00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96.00（台）</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便携式计算机</w:t>
            </w:r>
          </w:p>
        </w:tc>
        <w:tc>
          <w:tcPr>
            <w:tcW w:type="dxa" w:w="1138"/>
          </w:tcPr>
          <w:p>
            <w:pPr>
              <w:pStyle w:val="null3"/>
              <w:jc w:val="center"/>
            </w:pPr>
            <w:r>
              <w:rPr>
                <w:rFonts w:ascii="仿宋_GB2312" w:hAnsi="仿宋_GB2312" w:cs="仿宋_GB2312" w:eastAsia="仿宋_GB2312"/>
              </w:rPr>
              <w:t>399.00（台）</w:t>
            </w:r>
          </w:p>
        </w:tc>
        <w:tc>
          <w:tcPr>
            <w:tcW w:type="dxa" w:w="1365"/>
          </w:tcPr>
          <w:p>
            <w:pPr>
              <w:pStyle w:val="null3"/>
              <w:jc w:val="center"/>
            </w:pPr>
            <w:r>
              <w:rPr>
                <w:rFonts w:ascii="仿宋_GB2312" w:hAnsi="仿宋_GB2312" w:cs="仿宋_GB2312" w:eastAsia="仿宋_GB2312"/>
              </w:rPr>
              <w:t>2,194,500.00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96.00（台）</w:t>
            </w:r>
          </w:p>
        </w:tc>
        <w:tc>
          <w:tcPr>
            <w:tcW w:type="dxa" w:w="1365"/>
          </w:tcPr>
          <w:p>
            <w:pPr>
              <w:pStyle w:val="null3"/>
              <w:jc w:val="center"/>
            </w:pPr>
            <w:r>
              <w:rPr>
                <w:rFonts w:ascii="仿宋_GB2312" w:hAnsi="仿宋_GB2312" w:cs="仿宋_GB2312" w:eastAsia="仿宋_GB2312"/>
              </w:rPr>
              <w:t>480,000.00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★A02010105 便携式 计算机；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★A02010104 台式计 算机；★A0201060401 液晶 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A02010105 便携式计算机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A02010104 台式计算机；A0201060401 液晶显示器</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标的名称：便携式计算机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便携式计算机</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4665"/>
            </w:tblGrid>
            <w:tr>
              <w:tc>
                <w:tcPr>
                  <w:tcW w:type="dxa" w:w="4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1、CPU：兼容x86指令集的国产处理器。CPU要求为核心数≥8核、主频≥2.3GHz、线程数量≥16，或CPU要求为核心数≥8核、主频≥3.5GHz、线程数量≥8。</w:t>
                  </w:r>
                  <w:r>
                    <w:br/>
                  </w:r>
                  <w:r>
                    <w:rPr>
                      <w:rFonts w:ascii="仿宋_GB2312" w:hAnsi="仿宋_GB2312" w:cs="仿宋_GB2312" w:eastAsia="仿宋_GB2312"/>
                      <w:sz w:val="20"/>
                      <w:color w:val="000000"/>
                    </w:rPr>
                    <w:t>2、内存≥16GB。</w:t>
                  </w:r>
                  <w:r>
                    <w:br/>
                  </w:r>
                  <w:r>
                    <w:rPr>
                      <w:rFonts w:ascii="仿宋_GB2312" w:hAnsi="仿宋_GB2312" w:cs="仿宋_GB2312" w:eastAsia="仿宋_GB2312"/>
                      <w:sz w:val="20"/>
                      <w:color w:val="000000"/>
                    </w:rPr>
                    <w:t>3、固态硬盘容量≥512GB。</w:t>
                  </w:r>
                  <w:r>
                    <w:br/>
                  </w:r>
                  <w:r>
                    <w:rPr>
                      <w:rFonts w:ascii="仿宋_GB2312" w:hAnsi="仿宋_GB2312" w:cs="仿宋_GB2312" w:eastAsia="仿宋_GB2312"/>
                      <w:sz w:val="20"/>
                      <w:color w:val="000000"/>
                    </w:rPr>
                    <w:t>4、集成显卡或独立显卡（若配置独立显卡，显存容量≥2GB），显示分辨率≥1920x1080。</w:t>
                  </w:r>
                  <w:r>
                    <w:br/>
                  </w:r>
                  <w:r>
                    <w:rPr>
                      <w:rFonts w:ascii="仿宋_GB2312" w:hAnsi="仿宋_GB2312" w:cs="仿宋_GB2312" w:eastAsia="仿宋_GB2312"/>
                      <w:sz w:val="20"/>
                      <w:color w:val="000000"/>
                    </w:rPr>
                    <w:t>5、显示屏尺寸≥14英寸。</w:t>
                  </w:r>
                  <w:r>
                    <w:br/>
                  </w:r>
                  <w:r>
                    <w:rPr>
                      <w:rFonts w:ascii="仿宋_GB2312" w:hAnsi="仿宋_GB2312" w:cs="仿宋_GB2312" w:eastAsia="仿宋_GB2312"/>
                      <w:sz w:val="20"/>
                      <w:color w:val="000000"/>
                    </w:rPr>
                    <w:t>6、HDMI接口≥1个，Type-C接口≥2个。</w:t>
                  </w:r>
                  <w:r>
                    <w:br/>
                  </w:r>
                  <w:r>
                    <w:rPr>
                      <w:rFonts w:ascii="仿宋_GB2312" w:hAnsi="仿宋_GB2312" w:cs="仿宋_GB2312" w:eastAsia="仿宋_GB2312"/>
                      <w:sz w:val="20"/>
                      <w:color w:val="000000"/>
                    </w:rPr>
                    <w:t>7、有线网卡数量≥1，无线网卡数量≥1，支持Wifi6。</w:t>
                  </w:r>
                  <w:r>
                    <w:br/>
                  </w:r>
                  <w:r>
                    <w:rPr>
                      <w:rFonts w:ascii="仿宋_GB2312" w:hAnsi="仿宋_GB2312" w:cs="仿宋_GB2312" w:eastAsia="仿宋_GB2312"/>
                      <w:sz w:val="20"/>
                      <w:color w:val="000000"/>
                    </w:rPr>
                    <w:t>8、整机平均无故障时间MTBF(m1)≥30万小时。</w:t>
                  </w:r>
                  <w:r>
                    <w:br/>
                  </w:r>
                  <w:r>
                    <w:rPr>
                      <w:rFonts w:ascii="仿宋_GB2312" w:hAnsi="仿宋_GB2312" w:cs="仿宋_GB2312" w:eastAsia="仿宋_GB2312"/>
                      <w:sz w:val="20"/>
                      <w:color w:val="000000"/>
                    </w:rPr>
                    <w:t>9、电池容量≥65Wh。</w:t>
                  </w:r>
                  <w:r>
                    <w:br/>
                  </w:r>
                  <w:r>
                    <w:rPr>
                      <w:rFonts w:ascii="仿宋_GB2312" w:hAnsi="仿宋_GB2312" w:cs="仿宋_GB2312" w:eastAsia="仿宋_GB2312"/>
                      <w:sz w:val="20"/>
                      <w:color w:val="000000"/>
                    </w:rPr>
                    <w:t>10、整机重量≤1.6kg。</w:t>
                  </w:r>
                  <w:r>
                    <w:br/>
                  </w:r>
                  <w:r>
                    <w:rPr>
                      <w:rFonts w:ascii="仿宋_GB2312" w:hAnsi="仿宋_GB2312" w:cs="仿宋_GB2312" w:eastAsia="仿宋_GB2312"/>
                      <w:sz w:val="20"/>
                      <w:color w:val="000000"/>
                    </w:rPr>
                    <w:t>11、配鼠标、笔记本包。</w:t>
                  </w:r>
                  <w:r>
                    <w:br/>
                  </w:r>
                  <w:r>
                    <w:rPr>
                      <w:rFonts w:ascii="仿宋_GB2312" w:hAnsi="仿宋_GB2312" w:cs="仿宋_GB2312" w:eastAsia="仿宋_GB2312"/>
                      <w:sz w:val="20"/>
                      <w:color w:val="000000"/>
                    </w:rPr>
                    <w:t>12、预装操作系统：预装符合桌面操作系统政府采购需求标准的正版操作系统。</w:t>
                  </w:r>
                  <w:r>
                    <w:br/>
                  </w:r>
                  <w:r>
                    <w:rPr>
                      <w:rFonts w:ascii="仿宋_GB2312" w:hAnsi="仿宋_GB2312" w:cs="仿宋_GB2312" w:eastAsia="仿宋_GB2312"/>
                      <w:sz w:val="20"/>
                      <w:color w:val="000000"/>
                    </w:rPr>
                    <w:t>13、CPU和操作系统等关键部件应满足财库〔2023〕30号《关于印发《便携式计算机政府采购需求标准（2023年版）》的通知》的附件《便携式计算机政府采购需求标准（2023年版）》序号189的指标要求。</w:t>
                  </w:r>
                  <w:r>
                    <w:br/>
                  </w:r>
                  <w:r>
                    <w:rPr>
                      <w:rFonts w:ascii="仿宋_GB2312" w:hAnsi="仿宋_GB2312" w:cs="仿宋_GB2312" w:eastAsia="仿宋_GB2312"/>
                      <w:sz w:val="20"/>
                      <w:color w:val="000000"/>
                    </w:rPr>
                    <w:t>14、投标人所投产品应满足财库〔2023〕30号《关于印发《便携式计算机政府采购需求标准（2023年版）》的通知》中全部加*指标要求，并提供承诺函，承诺函格式自拟。</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台式计算机</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4674"/>
            </w:tblGrid>
            <w:tr>
              <w:tc>
                <w:tcPr>
                  <w:tcW w:type="dxa" w:w="4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1、CPU：兼容x86指令集的国产处理器，</w:t>
                  </w:r>
                  <w:r>
                    <w:rPr>
                      <w:rFonts w:ascii="仿宋_GB2312" w:hAnsi="仿宋_GB2312" w:cs="仿宋_GB2312" w:eastAsia="仿宋_GB2312"/>
                      <w:sz w:val="20"/>
                      <w:color w:val="000000"/>
                    </w:rPr>
                    <w:t>核心数</w:t>
                  </w:r>
                  <w:r>
                    <w:rPr>
                      <w:rFonts w:ascii="仿宋_GB2312" w:hAnsi="仿宋_GB2312" w:cs="仿宋_GB2312" w:eastAsia="仿宋_GB2312"/>
                      <w:sz w:val="20"/>
                      <w:color w:val="000000"/>
                    </w:rPr>
                    <w:t>≥8核，主频≥3.0GHz，线程数量≥</w:t>
                  </w:r>
                  <w:r>
                    <w:rPr>
                      <w:rFonts w:ascii="仿宋_GB2312" w:hAnsi="仿宋_GB2312" w:cs="仿宋_GB2312" w:eastAsia="仿宋_GB2312"/>
                      <w:sz w:val="20"/>
                      <w:color w:val="000000"/>
                    </w:rPr>
                    <w:t>8。</w:t>
                  </w:r>
                </w:p>
                <w:p>
                  <w:pPr>
                    <w:pStyle w:val="null3"/>
                    <w:jc w:val="both"/>
                  </w:pPr>
                  <w:r>
                    <w:rPr>
                      <w:rFonts w:ascii="仿宋_GB2312" w:hAnsi="仿宋_GB2312" w:cs="仿宋_GB2312" w:eastAsia="仿宋_GB2312"/>
                      <w:sz w:val="19"/>
                    </w:rPr>
                    <w:t>2、内存≥16GB。</w:t>
                  </w:r>
                </w:p>
                <w:p>
                  <w:pPr>
                    <w:pStyle w:val="null3"/>
                    <w:jc w:val="both"/>
                  </w:pPr>
                  <w:r>
                    <w:rPr>
                      <w:rFonts w:ascii="仿宋_GB2312" w:hAnsi="仿宋_GB2312" w:cs="仿宋_GB2312" w:eastAsia="仿宋_GB2312"/>
                      <w:sz w:val="19"/>
                    </w:rPr>
                    <w:t>3、固态硬盘容量≥1TB，机械硬盘容量≥500GB。</w:t>
                  </w:r>
                </w:p>
                <w:p>
                  <w:pPr>
                    <w:pStyle w:val="null3"/>
                    <w:jc w:val="both"/>
                  </w:pPr>
                  <w:r>
                    <w:rPr>
                      <w:rFonts w:ascii="仿宋_GB2312" w:hAnsi="仿宋_GB2312" w:cs="仿宋_GB2312" w:eastAsia="仿宋_GB2312"/>
                      <w:sz w:val="19"/>
                    </w:rPr>
                    <w:t>4、独立显卡，显存容量≥2GB。</w:t>
                  </w:r>
                </w:p>
                <w:p>
                  <w:pPr>
                    <w:pStyle w:val="null3"/>
                    <w:jc w:val="both"/>
                  </w:pPr>
                  <w:r>
                    <w:rPr>
                      <w:rFonts w:ascii="仿宋_GB2312" w:hAnsi="仿宋_GB2312" w:cs="仿宋_GB2312" w:eastAsia="仿宋_GB2312"/>
                      <w:sz w:val="19"/>
                    </w:rPr>
                    <w:t>5、板载单口千兆网卡，1000/100M自适应。</w:t>
                  </w:r>
                </w:p>
                <w:p>
                  <w:pPr>
                    <w:pStyle w:val="null3"/>
                    <w:jc w:val="both"/>
                  </w:pPr>
                  <w:r>
                    <w:rPr>
                      <w:rFonts w:ascii="仿宋_GB2312" w:hAnsi="仿宋_GB2312" w:cs="仿宋_GB2312" w:eastAsia="仿宋_GB2312"/>
                      <w:sz w:val="19"/>
                    </w:rPr>
                    <w:t>6、USB接口数量≥8，含4个USB3.0及以上接口。</w:t>
                  </w:r>
                </w:p>
                <w:p>
                  <w:pPr>
                    <w:pStyle w:val="null3"/>
                    <w:jc w:val="both"/>
                  </w:pPr>
                  <w:r>
                    <w:rPr>
                      <w:rFonts w:ascii="仿宋_GB2312" w:hAnsi="仿宋_GB2312" w:cs="仿宋_GB2312" w:eastAsia="仿宋_GB2312"/>
                      <w:sz w:val="19"/>
                    </w:rPr>
                    <w:t>7、液晶显示器，显示器尺寸≥23英寸，分辨率≥1920x1080，刷新率≥100Hz，接口支持VGA和HDMI。</w:t>
                  </w:r>
                </w:p>
                <w:p>
                  <w:pPr>
                    <w:pStyle w:val="null3"/>
                    <w:jc w:val="both"/>
                  </w:pPr>
                  <w:r>
                    <w:rPr>
                      <w:rFonts w:ascii="仿宋_GB2312" w:hAnsi="仿宋_GB2312" w:cs="仿宋_GB2312" w:eastAsia="仿宋_GB2312"/>
                      <w:sz w:val="19"/>
                    </w:rPr>
                    <w:t>8、整机平均无故障时间MTBF(m1)≥30万小时。</w:t>
                  </w:r>
                </w:p>
                <w:p>
                  <w:pPr>
                    <w:pStyle w:val="null3"/>
                    <w:jc w:val="both"/>
                  </w:pPr>
                  <w:r>
                    <w:rPr>
                      <w:rFonts w:ascii="仿宋_GB2312" w:hAnsi="仿宋_GB2312" w:cs="仿宋_GB2312" w:eastAsia="仿宋_GB2312"/>
                      <w:sz w:val="19"/>
                    </w:rPr>
                    <w:t>9、配有线键盘鼠标。</w:t>
                  </w:r>
                </w:p>
                <w:p>
                  <w:pPr>
                    <w:pStyle w:val="null3"/>
                    <w:jc w:val="both"/>
                  </w:pPr>
                  <w:r>
                    <w:rPr>
                      <w:rFonts w:ascii="仿宋_GB2312" w:hAnsi="仿宋_GB2312" w:cs="仿宋_GB2312" w:eastAsia="仿宋_GB2312"/>
                      <w:sz w:val="19"/>
                    </w:rPr>
                    <w:t>10、预装操作系统：预装符合桌面操作系统政府采购需求标准的正版操作系统。</w:t>
                  </w:r>
                </w:p>
                <w:p>
                  <w:pPr>
                    <w:pStyle w:val="null3"/>
                    <w:jc w:val="both"/>
                  </w:pPr>
                  <w:r>
                    <w:rPr>
                      <w:rFonts w:ascii="仿宋_GB2312" w:hAnsi="仿宋_GB2312" w:cs="仿宋_GB2312" w:eastAsia="仿宋_GB2312"/>
                      <w:sz w:val="19"/>
                    </w:rPr>
                    <w:t>11、CPU和操作系统等关键部件应满足财库〔2023〕29 号《关于印发《台式计算机政府采购需求标准（2023年版）》的通知》的附件《台式计算机政府采购需求标准（2023年版）》序号183的指标要求。</w:t>
                  </w:r>
                </w:p>
                <w:p>
                  <w:pPr>
                    <w:pStyle w:val="null3"/>
                    <w:jc w:val="both"/>
                  </w:pPr>
                  <w:r>
                    <w:rPr>
                      <w:rFonts w:ascii="仿宋_GB2312" w:hAnsi="仿宋_GB2312" w:cs="仿宋_GB2312" w:eastAsia="仿宋_GB2312"/>
                      <w:sz w:val="19"/>
                    </w:rPr>
                    <w:t>12、投标人所投产品应满足财库〔2023〕29 号《关于印发《台式计算机政府采购需求标准（2023年版）》的通知》中全部加*指标要求，并提供承诺函，承诺函格式自拟。</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中标人交货及安装期限：签订合同后30个日历日内完成安装调试，确保所有设备系统正常使用。(2)如因学校的基建或其他原因不能送货安装的，学校出具延期收货说明，货物在中标人处存放，之后根据学校确定的时间送货到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锦江区行政区范围内所涉及中小学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1、合同签订后，采购人在收到中标人出具合法有效完整的完税发票后10个工作日内，支付合同总金额的40%（第一期款项），达到付款条件起14日内，支付合同总金额的40.00%</w:t>
            </w:r>
          </w:p>
          <w:p>
            <w:pPr>
              <w:pStyle w:val="null3"/>
              <w:jc w:val="left"/>
            </w:pPr>
            <w:r>
              <w:rPr>
                <w:rFonts w:ascii="仿宋_GB2312" w:hAnsi="仿宋_GB2312" w:cs="仿宋_GB2312" w:eastAsia="仿宋_GB2312"/>
              </w:rPr>
              <w:t>2、所有设备安装调试完毕，经项目最终验收合格并签署验收合格报告后，采购人在收到中标人出具合法有效完整的完税发票后10个工作日内，支付合同总金额的60%（第二期款项），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(1)本项目履约验收主体为成都市锦江区教育科学研究院，邀请实际使用人（学校）参与验收工作，邀请专家参与验收工作，验收由采购人组织，中标供应商配合进行。 (2)履约验收时间为中标人提出验收申请之日起10日内组织验收。验收方式为自行组织验收，履约验收内容为合同约定内容、招标（采购）文件的技术和商务要求、投标（响应）文件中响应和承诺。 (3)履约验收方式：本项目采用一次性验收方式。 (4)验收程序 ①中标人按照采购合同要求，完成项目全部货物（服务）的供应、安装、调试及其他等内容建设； ②中标人所提供的货物（包括服务）实现功能、技术指标、建设质量等符合采购合同、采购文件、投标（响应）文件要求，并进行试运行及用户培训，设备/系统运行正常，无安全隐患等； ③项目全面完成，由相关学校初验并出具初验报告表。 ④以上履约及验收准备工作完成后，中标人向采购人提交书面验收申请，经项目负责人和验收负责人检查同意后，开展履约验收。 ⑤采购人拟定验收方案，组织由政府采购专家和学校代表组成的验收小组进行最终验收。最终验收严格按照履约验收标准对每一项技术和商务要求的履约情况进行查验，包括对收货单的检查、产品功能验收及性能验收。终验合格后，经双方确认，形成终验报告，验收小组签字生效。 (5)履约验收标准：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从最终履约验收合格之日起开始计算。本次采购项目所有系统及设备的质保期为36个月。除易耗易损品及人为损坏外，保修期内所有更换零部件、上门服务等产生的一切费用由中标供应商负责，采购人无需另外支付任何费用。 (2)产品出现质量问题，如不能通过电话指导解决问题，乙方维修人员需在接到甲方或者使用人（学校、幼儿园）的维修通知后4小时内响应、8小时内到达现场，及时排除故障；如发生安全隐患，必须在4小时内到达现场，24小时内消除隐患。若产品出现问题且在24小时内无法修复，乙方须无条件提供不低于原产品性能的备用设备供学校使用，直至原设备修复。 (3)中标供应商须指派专人负责与采购人联系售后服务事宜。姓名： ，岗位： ，电话： ，邮箱： 。（针对此条提供单独承诺函，格式自拟）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质量瑕疵的违约责任 （1）乙方提供的货物不符合合同约定的质量标准或存在产品质量缺陷，应在合同工期内免费更换合格的货物，逾期未更换的，视为乙方不能交货，按本合同第十一条第2款第（2）项承担违约责任。 （2）乙方货物及配套服务第一次验收不合格的，甲方出具书面整改通知，乙方限期整改；整改后再次验收仍不合格的，甲方有权解除合同，乙方按合同总价20%支付违约金，并全额退还甲方已付货款及利息（按全国银行间同业拆借中心公布的贷款市场报价利率计算）。 2. 迟延交货的违约责任 （1）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除应及时交足货物和提供相关服务外，逾期交货超过30天，甲方有权终止本合同，乙方则应按合同总价金额的20%向甲方偿付违约金，并须全额退还甲方已支付给乙方的货款，并按合同总价金额为基数计算利息（利息按同期全国银行间同业拆借中心公布的一年期贷款市场报价利率（LPR）的4倍计算，自甲方首次付款之日起至款项全额退还之日止）。 3. 迟延支付的违约责任 甲方逾期支付货款的，除应及时付足货款外，还应就逾期未付部分的金额，按同期全国银行间同业拆借中心公布的一年期贷款市场报价利率（LPR）的4倍计算，向乙方支付逾期付款利息，直至款项付清之日为止。 4. 其他违约责任 （1）对质量或技术参数要求甲乙双方存在争议的货物，或根据采购文件要求进行检测的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付合同总价的20%的违约金给甲方。检测结果认定货物质量不符合本合同规定标准的，检测费用由乙方承担。 （2）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20%向甲方支付违约金。 （3）乙方偿付的违约金不足以弥补甲方损失的，还应按甲方损失尚未弥补的部分，支付赔偿金给甲方，包括但不限于律师费、诉讼费、公证费、鉴定费、保全费、保全保险费、差旅费等，因乙方违约给甲方造成损失的，乙方应全额赔偿。</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中标人交货及安装期限：签订合同后30个日历日内完成安装调试，确保所有设备系统正常使用。(2)如因学校的基建或其他原因不能送货安装的，学校出具延期收货说明，货物在中标人处存放，之后根据学校确定的时间送货到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锦江区行政区范围内所涉及中小学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1、合同签订后，采购人在收到中标人出具合法有效完整的完税发票后10个工作日内，支付合同总金额的40%（第一期款项），达到付款条件起14日内，支付合同总金额的40.00%</w:t>
            </w:r>
          </w:p>
          <w:p>
            <w:pPr>
              <w:pStyle w:val="null3"/>
              <w:jc w:val="left"/>
            </w:pPr>
            <w:r>
              <w:rPr>
                <w:rFonts w:ascii="仿宋_GB2312" w:hAnsi="仿宋_GB2312" w:cs="仿宋_GB2312" w:eastAsia="仿宋_GB2312"/>
              </w:rPr>
              <w:t>2、所有设备安装调试完毕，经项目最终验收合格并签署验收合格报告后，采购人在收到中标人出具合法有效完整的完税发票后10个工作日内，支付合同总金额的60%（第二期款项），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(1)本项目履约验收主体为成都市锦江区教育科学研究院，邀请实际使用人（学校）参与验收工作，邀请专家参与验收工作，验收由采购人组织，中标供应商配合进行。 (2)履约验收时间为中标人提出验收申请之日起10日内组织验收。验收方式为自行组织验收，履约验收内容为合同约定内容、招标（采购）文件的技术和商务要求、投标（响应）文件中响应和承诺。 (3)履约验收方式：本项目采用一次性验收方式。 (4)验收程序 ①中标人按照采购合同要求，完成项目全部货物（服务）的供应、安装、调试及其他等内容建设； ②中标人所提供的货物（包括服务）实现功能、技术指标、建设质量等符合采购合同、采购文件、投标（响应）文件要求，并进行试运行及用户培训，设备/系统运行正常，无安全隐患等； ③项目全面完成，由相关学校初验并出具初验报告表。 ④以上履约及验收准备工作完成后，中标人向采购人提交书面验收申请，经项目负责人和验收负责人检查同意后，开展履约验收。 ⑤采购人拟定验收方案，组织由政府采购专家和学校代表组成的验收小组进行最终验收。最终验收严格按照履约验收标准对每一项技术和商务要求的履约情况进行查验，包括对收货单的检查、产品功能验收及性能验收。终验合格后，经双方确认，形成终验报告，验收小组签字生效。 (5)履约验收标准：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证期从最终履约验收合格之日起开始计算。本次采购项目所有系统及设备的质保期为36个月。除易耗易损品及人为损坏外，保修期内所有更换零部件、上门服务等产生的一切费用由中标供应商负责，采购人无需另外支付任何费用。 (2)产品出现质量问题，如不能通过电话指导解决问题，乙方维修人员需在接到甲方或者使用人（学校、幼儿园）的维修通知后4小时内响应、8小时内到达现场，及时排除故障；如发生安全隐患，必须在4小时内到达现场，24小时内消除隐患。若产品出现问题且在24小时内无法修复，乙方须无条件提供不低于原产品性能的备用设备供学校使用，直至原设备修复。 (3)中标供应商须指派专人负责与采购人联系售后服务事宜。姓名： ，岗位： ，电话： ，邮箱： 。（针对此条提供单独承诺函，格式自拟）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质量瑕疵的违约责任 （1）乙方提供的货物不符合合同约定的质量标准或存在产品质量缺陷，应在合同工期内免费更换合格的货物，逾期未更换的，视为乙方不能交货，按本合同第十一条第2款第（2）项承担违约责任。 （2）乙方货物及配套服务第一次验收不合格的，甲方出具书面整改通知，乙方限期整改；整改后再次验收仍不合格的，甲方有权解除合同，乙方按合同总价20%支付违约金，并全额退还甲方已付货款及利息（按全国银行间同业拆借中心公布的贷款市场报价利率计算）。 2. 迟延交货的违约责任 （1）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如果乙方没有按照合同规定的时间交货和提供相关服务，除应及时交足货物和提供相关服务外，逾期交货超过30天，甲方有权终止本合同，乙方则应按合同总价金额的20%向甲方偿付违约金，并须全额退还甲方已支付给乙方的货款，并按合同总价金额为基数计算利息（利息按同期全国银行间同业拆借中心公布的一年期贷款市场报价利率（LPR）的4倍计算，自甲方首次付款之日起至款项全额退还之日止）。 3. 迟延支付的违约责任 甲方逾期支付货款的，除应及时付足货款外，还应就逾期未付部分的金额，按同期全国银行间同业拆借中心公布的一年期贷款市场报价利率（LPR）的4倍计算，向乙方支付逾期付款利息，直至款项付清之日为止。 4. 其他违约责任 （1）对质量或技术参数要求甲乙双方存在争议的货物，或根据采购文件要求进行检测的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付合同总价的20%的违约金给甲方。检测结果认定货物质量不符合本合同规定标准的，检测费用由乙方承担。 （2）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20%向甲方支付违约金。 （3）乙方偿付的违约金不足以弥补甲方损失的，还应按甲方损失尚未弥补的部分，支付赔偿金给甲方，包括但不限于律师费、诉讼费、公证费、鉴定费、保全费、保全保险费、差旅费等，因乙方违约给甲方造成损失的，乙方应全额赔偿。</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 投标人所投产品若涉及国家强制性产品认证（CCC认证）或前置许可认证的，须在投标文件中提交符合国家相关强制认证、前置许可要求的单独承诺函（加盖供应商公章）；在供货环节，须将相关许可、认证材料一并提交，确保所供产品的认证文件齐全、有效，符合国家相关规定。 ★2. 本采购项目应遵循以下标准、规范及要求：供应商提供的货物应达到以下标准要求，供应商应在实际施工中遵循以下标准要求，项目验收也将以下标准要求（以最新的标准规范为准）作为验收标准。《音视频、信息技术和通信技术设备 第1部分：安全要求》GB 4943.1-2022。 3、采购需求编制要求 （1）. 采购需求应当符合法律法规、政府采购政策和国家有关规定，符合国家强制性标准，遵循预算、资产和财务等相关管理制度规定，符合采购项目特点和实际需要。 （2）. 采购需求应当依据部门预算（工程项目概预算）确定。 （3）. 采购需求应当清楚明了、表述规范、含义准确。技术要求和商务要求应当客观，量化指标应当明确相应等次，有连续区间的按照区间划分等次。需由供应商提供设计方案、解决方案或者组织方案的采购项目，应当说明采购标的的功能、应用场景、目标等基本要求，并尽可能明确其中的客观、量化指标。 采购需求可以直接引用相关国家标准、行业标准、地方标准等标准、规范，也可以根据项目目标提出更高的技术要求。 ★4.补充说明：（1）支付时限：合同签订后，采购人在收到中标人出具合法有效完整的完税发票后10个工作日内，支付合同总金额的40%（第一期款项），所有设备安装调试完毕，经项目最终验收合格并签署验收合格报告后，采购人在收到中标人出具合法有效完整的完税发票后10个工作日内，支付合同总金额的60%（第二期款项）。（2）完税发票必须由中标人指定专人送达：姓名： ，岗位： ，电话： ，送达采购人指定人员，姓名： ，岗位： ，电话： ，送达地址：成都市锦江区皇经楼三街1号 ，采购人拒绝接收邮寄和快递等方式送达的发票。（3）若因中标人所供货物及配套服务未达到合同、招标（采购）文件及投标（响应）文件中明确的技术要求和商务要求，导致项目验收不合格的，采购人将向中标人出具书面整改通知，责令其在规定期限内采取措施依法进行整改。整改工作完成后，中标人须向采购单位提交整改验收申请，采购人将重新组织验收。若验收仍不合格的，采购人将停止支付采购资金，并严格按照采购合同约定，依法追究中标人的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分项报价表.docx,报价表,投标（响应）函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法定代表人或主要负责人身份证明书.docx,投标文件封面,投标（响应）函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分项报价表.docx,报价表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投标人应提交的相关证明材料,法定代表人或主要负责人身份证明书.docx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投标人应提交的相关证明材料,产品技术参数响应表,其他资料格式自拟.docx,服务应答表,投标（响应）函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报价表,投标（响应）函,分项报价表1.docx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投标人应提交的相关证明材料,法定代表人或主要负责人身份证明书.docx,报价表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报价表,分项报价表1.docx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投标人应提交的相关证明材料,法定代表人或主要负责人身份证明书.docx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投标人应提交的相关证明材料,产品技术参数响应表,其他资料格式自拟.docx,服务应答表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分项报价表.docx,报价表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报价表,分项报价表1.docx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其他资料格式自拟.docx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详见附件：其他资料格式自拟.docx</w:t>
      </w:r>
    </w:p>
    <w:p>
      <w:pPr>
        <w:pStyle w:val="null3"/>
        <w:ind w:firstLine="960"/>
        <w:jc w:val="left"/>
      </w:pPr>
      <w:r>
        <w:rPr>
          <w:rFonts w:ascii="仿宋_GB2312" w:hAnsi="仿宋_GB2312" w:cs="仿宋_GB2312" w:eastAsia="仿宋_GB2312"/>
        </w:rPr>
        <w:t>详见附件：分项报价表.docx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详见附件：其他资料格式自拟.docx</w:t>
      </w:r>
    </w:p>
    <w:p>
      <w:pPr>
        <w:pStyle w:val="null3"/>
        <w:ind w:firstLine="960"/>
        <w:jc w:val="left"/>
      </w:pPr>
      <w:r>
        <w:rPr>
          <w:rFonts w:ascii="仿宋_GB2312" w:hAnsi="仿宋_GB2312" w:cs="仿宋_GB2312" w:eastAsia="仿宋_GB2312"/>
        </w:rPr>
        <w:t>详见附件：分项报价表1.docx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详见附件：教科院合同模板.docx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