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C229">
      <w:pPr>
        <w:pStyle w:val="16"/>
        <w:pageBreakBefore w:val="0"/>
        <w:kinsoku/>
        <w:wordWrap w:val="0"/>
        <w:overflowPunct/>
        <w:bidi w:val="0"/>
        <w:spacing w:line="0" w:lineRule="atLeast"/>
        <w:jc w:val="both"/>
        <w:rPr>
          <w:rFonts w:hint="eastAsia" w:ascii="黑体" w:eastAsia="黑体"/>
          <w:b/>
          <w:color w:val="000000"/>
          <w:sz w:val="32"/>
          <w:szCs w:val="32"/>
          <w:highlight w:val="none"/>
        </w:rPr>
      </w:pPr>
      <w:bookmarkStart w:id="0" w:name="_Toc246996898"/>
      <w:bookmarkStart w:id="1" w:name="_Toc296602400"/>
      <w:bookmarkStart w:id="2" w:name="_Toc247085669"/>
    </w:p>
    <w:p w14:paraId="62D29697">
      <w:pPr>
        <w:pageBreakBefore w:val="0"/>
        <w:kinsoku/>
        <w:wordWrap w:val="0"/>
        <w:overflowPunct/>
        <w:bidi w:val="0"/>
        <w:spacing w:line="360" w:lineRule="auto"/>
        <w:jc w:val="center"/>
        <w:rPr>
          <w:rFonts w:hint="eastAsia" w:ascii="宋体" w:eastAsia="宋体"/>
          <w:b/>
          <w:sz w:val="60"/>
          <w:szCs w:val="56"/>
          <w:highlight w:val="none"/>
          <w:lang w:eastAsia="zh-CN"/>
        </w:rPr>
      </w:pPr>
      <w:bookmarkStart w:id="3" w:name="_Hlk64874400"/>
      <w:bookmarkEnd w:id="3"/>
      <w:bookmarkStart w:id="4" w:name="receiveSubject"/>
      <w:r>
        <w:rPr>
          <w:rFonts w:hint="eastAsia" w:ascii="宋体" w:eastAsia="宋体"/>
          <w:b/>
          <w:sz w:val="60"/>
          <w:szCs w:val="56"/>
          <w:highlight w:val="none"/>
          <w:lang w:eastAsia="zh-CN"/>
        </w:rPr>
        <w:t>长春新区教育局学校计算机教室采购项目</w:t>
      </w:r>
    </w:p>
    <w:p w14:paraId="72040066">
      <w:pPr>
        <w:pStyle w:val="28"/>
        <w:pageBreakBefore w:val="0"/>
        <w:kinsoku/>
        <w:wordWrap w:val="0"/>
        <w:overflowPunct/>
        <w:bidi w:val="0"/>
        <w:rPr>
          <w:rFonts w:hint="eastAsia"/>
          <w:b/>
          <w:sz w:val="54"/>
          <w:szCs w:val="52"/>
          <w:highlight w:val="none"/>
        </w:rPr>
      </w:pPr>
    </w:p>
    <w:p w14:paraId="294CF35B">
      <w:pPr>
        <w:pStyle w:val="28"/>
        <w:pageBreakBefore w:val="0"/>
        <w:kinsoku/>
        <w:wordWrap w:val="0"/>
        <w:overflowPunct/>
        <w:bidi w:val="0"/>
        <w:rPr>
          <w:rFonts w:hint="eastAsia"/>
          <w:b/>
          <w:sz w:val="54"/>
          <w:szCs w:val="52"/>
          <w:highlight w:val="none"/>
        </w:rPr>
      </w:pPr>
    </w:p>
    <w:bookmarkEnd w:id="4"/>
    <w:p w14:paraId="770F7513">
      <w:pPr>
        <w:pageBreakBefore w:val="0"/>
        <w:kinsoku/>
        <w:wordWrap w:val="0"/>
        <w:overflowPunct/>
        <w:bidi w:val="0"/>
        <w:spacing w:line="360" w:lineRule="auto"/>
        <w:jc w:val="center"/>
        <w:rPr>
          <w:rFonts w:hint="eastAsia" w:ascii="宋体"/>
          <w:b/>
          <w:color w:val="000000"/>
          <w:sz w:val="32"/>
          <w:szCs w:val="32"/>
          <w:highlight w:val="none"/>
        </w:rPr>
      </w:pPr>
    </w:p>
    <w:p w14:paraId="61517C18">
      <w:pPr>
        <w:pageBreakBefore w:val="0"/>
        <w:kinsoku/>
        <w:wordWrap w:val="0"/>
        <w:overflowPunct/>
        <w:bidi w:val="0"/>
        <w:spacing w:line="360" w:lineRule="auto"/>
        <w:jc w:val="center"/>
        <w:rPr>
          <w:rFonts w:hint="eastAsia" w:ascii="宋体"/>
          <w:b/>
          <w:color w:val="000000"/>
          <w:sz w:val="28"/>
          <w:szCs w:val="28"/>
          <w:highlight w:val="none"/>
        </w:rPr>
      </w:pPr>
      <w:r>
        <w:rPr>
          <w:rFonts w:hint="eastAsia" w:ascii="宋体" w:hAnsi="宋体" w:eastAsia="宋体" w:cs="宋体"/>
          <w:b/>
          <w:color w:val="000000"/>
          <w:sz w:val="84"/>
          <w:szCs w:val="84"/>
          <w:highlight w:val="none"/>
          <w:lang w:val="en-US" w:eastAsia="zh-CN"/>
        </w:rPr>
        <w:t>招</w:t>
      </w:r>
      <w:r>
        <w:rPr>
          <w:rFonts w:hint="eastAsia" w:ascii="宋体" w:hAnsi="宋体" w:cs="宋体"/>
          <w:b/>
          <w:color w:val="000000"/>
          <w:sz w:val="84"/>
          <w:szCs w:val="84"/>
          <w:highlight w:val="none"/>
          <w:lang w:val="en-US" w:eastAsia="zh-CN"/>
        </w:rPr>
        <w:t xml:space="preserve"> </w:t>
      </w:r>
      <w:r>
        <w:rPr>
          <w:rFonts w:hint="eastAsia" w:ascii="宋体" w:hAnsi="宋体" w:eastAsia="宋体" w:cs="宋体"/>
          <w:b/>
          <w:color w:val="000000"/>
          <w:sz w:val="84"/>
          <w:szCs w:val="84"/>
          <w:highlight w:val="none"/>
          <w:lang w:val="en-US" w:eastAsia="zh-CN"/>
        </w:rPr>
        <w:t>标</w:t>
      </w:r>
      <w:r>
        <w:rPr>
          <w:rFonts w:hint="eastAsia" w:ascii="宋体" w:hAnsi="宋体" w:cs="宋体"/>
          <w:b/>
          <w:color w:val="000000"/>
          <w:sz w:val="84"/>
          <w:szCs w:val="84"/>
          <w:highlight w:val="none"/>
          <w:lang w:val="en-US" w:eastAsia="zh-CN"/>
        </w:rPr>
        <w:t xml:space="preserve"> </w:t>
      </w:r>
      <w:r>
        <w:rPr>
          <w:rFonts w:hint="eastAsia" w:ascii="宋体" w:hAnsi="宋体" w:eastAsia="宋体" w:cs="宋体"/>
          <w:b/>
          <w:color w:val="000000"/>
          <w:sz w:val="84"/>
          <w:szCs w:val="84"/>
          <w:highlight w:val="none"/>
          <w:lang w:val="en-US" w:eastAsia="zh-CN"/>
        </w:rPr>
        <w:t>文</w:t>
      </w:r>
      <w:r>
        <w:rPr>
          <w:rFonts w:hint="eastAsia" w:ascii="宋体" w:hAnsi="宋体" w:cs="宋体"/>
          <w:b/>
          <w:color w:val="000000"/>
          <w:sz w:val="84"/>
          <w:szCs w:val="84"/>
          <w:highlight w:val="none"/>
          <w:lang w:val="en-US" w:eastAsia="zh-CN"/>
        </w:rPr>
        <w:t xml:space="preserve"> </w:t>
      </w:r>
      <w:r>
        <w:rPr>
          <w:rFonts w:hint="eastAsia" w:ascii="宋体" w:hAnsi="宋体" w:eastAsia="宋体" w:cs="宋体"/>
          <w:b/>
          <w:color w:val="000000"/>
          <w:sz w:val="84"/>
          <w:szCs w:val="84"/>
          <w:highlight w:val="none"/>
          <w:lang w:val="en-US" w:eastAsia="zh-CN"/>
        </w:rPr>
        <w:t>件</w:t>
      </w:r>
    </w:p>
    <w:p w14:paraId="541F73C1">
      <w:pPr>
        <w:pageBreakBefore w:val="0"/>
        <w:kinsoku/>
        <w:wordWrap w:val="0"/>
        <w:overflowPunct/>
        <w:bidi w:val="0"/>
        <w:jc w:val="center"/>
        <w:rPr>
          <w:rFonts w:hint="eastAsia" w:ascii="宋体"/>
          <w:b/>
          <w:color w:val="000000"/>
          <w:sz w:val="28"/>
          <w:szCs w:val="28"/>
          <w:highlight w:val="none"/>
        </w:rPr>
      </w:pPr>
    </w:p>
    <w:p w14:paraId="51D4B9A3">
      <w:pPr>
        <w:pageBreakBefore w:val="0"/>
        <w:kinsoku/>
        <w:wordWrap w:val="0"/>
        <w:overflowPunct/>
        <w:bidi w:val="0"/>
        <w:spacing w:line="1000" w:lineRule="exact"/>
        <w:jc w:val="center"/>
        <w:rPr>
          <w:rFonts w:hint="eastAsia" w:ascii="宋体"/>
          <w:b/>
          <w:color w:val="000000"/>
          <w:sz w:val="24"/>
          <w:szCs w:val="24"/>
          <w:highlight w:val="none"/>
        </w:rPr>
      </w:pPr>
      <w:r>
        <w:rPr>
          <w:rFonts w:hint="eastAsia" w:ascii="宋体"/>
          <w:b/>
          <w:color w:val="000000"/>
          <w:sz w:val="24"/>
          <w:szCs w:val="24"/>
          <w:highlight w:val="none"/>
        </w:rPr>
        <w:t>项目编号：</w:t>
      </w:r>
      <w:bookmarkStart w:id="5" w:name="_Hlk64874388"/>
      <w:bookmarkEnd w:id="5"/>
      <w:r>
        <w:rPr>
          <w:rFonts w:hint="eastAsia" w:ascii="宋体"/>
          <w:b/>
          <w:color w:val="000000"/>
          <w:sz w:val="24"/>
          <w:szCs w:val="24"/>
          <w:highlight w:val="none"/>
        </w:rPr>
        <w:t xml:space="preserve">采购计划-[2026]-00052号-XQZC2026-037 </w:t>
      </w:r>
    </w:p>
    <w:p w14:paraId="660883F0">
      <w:pPr>
        <w:pageBreakBefore w:val="0"/>
        <w:kinsoku/>
        <w:wordWrap w:val="0"/>
        <w:overflowPunct/>
        <w:bidi w:val="0"/>
        <w:jc w:val="center"/>
        <w:rPr>
          <w:rFonts w:hint="eastAsia" w:ascii="宋体"/>
          <w:color w:val="000000"/>
          <w:sz w:val="18"/>
          <w:szCs w:val="18"/>
          <w:highlight w:val="none"/>
        </w:rPr>
      </w:pPr>
    </w:p>
    <w:p w14:paraId="37ADCA08">
      <w:pPr>
        <w:pageBreakBefore w:val="0"/>
        <w:kinsoku/>
        <w:wordWrap w:val="0"/>
        <w:overflowPunct/>
        <w:bidi w:val="0"/>
        <w:spacing w:line="480" w:lineRule="auto"/>
        <w:jc w:val="center"/>
        <w:rPr>
          <w:rFonts w:hint="eastAsia" w:ascii="宋体"/>
          <w:color w:val="000000"/>
          <w:sz w:val="18"/>
          <w:szCs w:val="18"/>
          <w:highlight w:val="none"/>
        </w:rPr>
      </w:pPr>
    </w:p>
    <w:p w14:paraId="32C317E1">
      <w:pPr>
        <w:pageBreakBefore w:val="0"/>
        <w:kinsoku/>
        <w:wordWrap w:val="0"/>
        <w:overflowPunct/>
        <w:bidi w:val="0"/>
        <w:spacing w:line="480" w:lineRule="auto"/>
        <w:jc w:val="center"/>
        <w:rPr>
          <w:rFonts w:hint="eastAsia" w:ascii="宋体"/>
          <w:color w:val="000000"/>
          <w:sz w:val="18"/>
          <w:szCs w:val="18"/>
          <w:highlight w:val="none"/>
        </w:rPr>
      </w:pPr>
    </w:p>
    <w:p w14:paraId="555FFF17">
      <w:pPr>
        <w:pageBreakBefore w:val="0"/>
        <w:kinsoku/>
        <w:wordWrap w:val="0"/>
        <w:overflowPunct/>
        <w:bidi w:val="0"/>
        <w:spacing w:line="360" w:lineRule="auto"/>
        <w:jc w:val="both"/>
        <w:rPr>
          <w:rFonts w:hint="eastAsia" w:ascii="宋体"/>
          <w:b/>
          <w:color w:val="000000"/>
          <w:sz w:val="32"/>
          <w:szCs w:val="24"/>
          <w:highlight w:val="none"/>
        </w:rPr>
      </w:pPr>
    </w:p>
    <w:p w14:paraId="324FD410">
      <w:pPr>
        <w:keepNext w:val="0"/>
        <w:keepLines w:val="0"/>
        <w:pageBreakBefore w:val="0"/>
        <w:widowControl w:val="0"/>
        <w:kinsoku/>
        <w:wordWrap w:val="0"/>
        <w:overflowPunct/>
        <w:topLinePunct w:val="0"/>
        <w:autoSpaceDE/>
        <w:autoSpaceDN/>
        <w:bidi w:val="0"/>
        <w:adjustRightInd/>
        <w:snapToGrid/>
        <w:spacing w:line="360" w:lineRule="auto"/>
        <w:ind w:left="1155" w:leftChars="550" w:right="1155" w:rightChars="550"/>
        <w:jc w:val="center"/>
        <w:textAlignment w:val="auto"/>
        <w:rPr>
          <w:rFonts w:hint="eastAsia" w:ascii="宋体"/>
          <w:b/>
          <w:color w:val="000000"/>
          <w:sz w:val="32"/>
          <w:szCs w:val="24"/>
          <w:highlight w:val="none"/>
        </w:rPr>
      </w:pPr>
      <w:r>
        <w:rPr>
          <w:rFonts w:hint="eastAsia" w:ascii="宋体"/>
          <w:b/>
          <w:color w:val="000000"/>
          <w:sz w:val="32"/>
          <w:szCs w:val="24"/>
          <w:highlight w:val="none"/>
        </w:rPr>
        <w:t>采购人：长春新区教育局（盖章）</w:t>
      </w:r>
    </w:p>
    <w:p w14:paraId="68F04F1D">
      <w:pPr>
        <w:keepNext w:val="0"/>
        <w:keepLines w:val="0"/>
        <w:pageBreakBefore w:val="0"/>
        <w:widowControl w:val="0"/>
        <w:kinsoku/>
        <w:wordWrap w:val="0"/>
        <w:overflowPunct/>
        <w:topLinePunct w:val="0"/>
        <w:autoSpaceDE/>
        <w:autoSpaceDN/>
        <w:bidi w:val="0"/>
        <w:adjustRightInd/>
        <w:snapToGrid/>
        <w:spacing w:line="360" w:lineRule="auto"/>
        <w:ind w:left="1155" w:leftChars="550" w:right="1155" w:rightChars="550"/>
        <w:jc w:val="center"/>
        <w:textAlignment w:val="auto"/>
        <w:rPr>
          <w:rFonts w:hint="eastAsia" w:ascii="宋体"/>
          <w:b/>
          <w:color w:val="000000"/>
          <w:sz w:val="32"/>
          <w:szCs w:val="24"/>
          <w:highlight w:val="none"/>
        </w:rPr>
      </w:pPr>
      <w:r>
        <w:rPr>
          <w:rFonts w:hint="eastAsia" w:ascii="宋体"/>
          <w:b/>
          <w:color w:val="000000"/>
          <w:sz w:val="32"/>
          <w:szCs w:val="24"/>
          <w:highlight w:val="none"/>
        </w:rPr>
        <w:t>采购代理机构：</w:t>
      </w:r>
      <w:r>
        <w:rPr>
          <w:rStyle w:val="37"/>
          <w:rFonts w:hint="eastAsia" w:ascii="宋体" w:hAnsi="宋体" w:cs="宋体"/>
          <w:b/>
          <w:bCs/>
          <w:color w:val="auto"/>
          <w:sz w:val="32"/>
          <w:szCs w:val="32"/>
          <w:lang w:val="zh-CN"/>
        </w:rPr>
        <w:t>吉林省中翔项目管理有限公司</w:t>
      </w:r>
      <w:r>
        <w:rPr>
          <w:rFonts w:hint="eastAsia" w:ascii="宋体"/>
          <w:b/>
          <w:color w:val="000000"/>
          <w:sz w:val="32"/>
          <w:szCs w:val="24"/>
          <w:highlight w:val="none"/>
        </w:rPr>
        <w:t>（盖章）</w:t>
      </w:r>
    </w:p>
    <w:p w14:paraId="1AAF06F8">
      <w:pPr>
        <w:pageBreakBefore w:val="0"/>
        <w:kinsoku/>
        <w:wordWrap w:val="0"/>
        <w:overflowPunct/>
        <w:bidi w:val="0"/>
        <w:snapToGrid w:val="0"/>
        <w:spacing w:line="360" w:lineRule="auto"/>
        <w:ind w:firstLine="643" w:firstLineChars="200"/>
        <w:jc w:val="center"/>
        <w:rPr>
          <w:rStyle w:val="37"/>
          <w:rFonts w:hint="eastAsia" w:ascii="宋体" w:hAnsi="宋体" w:eastAsia="宋体" w:cs="宋体"/>
          <w:b/>
          <w:bCs/>
          <w:color w:val="auto"/>
          <w:sz w:val="32"/>
          <w:szCs w:val="32"/>
        </w:rPr>
      </w:pPr>
      <w:r>
        <w:rPr>
          <w:rFonts w:hint="eastAsia" w:ascii="宋体"/>
          <w:b/>
          <w:color w:val="000000"/>
          <w:sz w:val="32"/>
          <w:szCs w:val="24"/>
          <w:highlight w:val="none"/>
        </w:rPr>
        <w:t>日 期：</w:t>
      </w:r>
      <w:r>
        <w:rPr>
          <w:rStyle w:val="37"/>
          <w:rFonts w:hint="eastAsia" w:ascii="宋体" w:hAnsi="宋体" w:eastAsia="宋体" w:cs="宋体"/>
          <w:b/>
          <w:bCs/>
          <w:color w:val="auto"/>
          <w:sz w:val="32"/>
          <w:szCs w:val="32"/>
        </w:rPr>
        <w:t>二〇二</w:t>
      </w:r>
      <w:r>
        <w:rPr>
          <w:rStyle w:val="37"/>
          <w:rFonts w:hint="eastAsia" w:ascii="宋体" w:hAnsi="宋体" w:cs="宋体"/>
          <w:b/>
          <w:bCs/>
          <w:color w:val="auto"/>
          <w:sz w:val="32"/>
          <w:szCs w:val="32"/>
          <w:lang w:val="en-US" w:eastAsia="zh-CN"/>
        </w:rPr>
        <w:t>六</w:t>
      </w:r>
      <w:r>
        <w:rPr>
          <w:rStyle w:val="37"/>
          <w:rFonts w:hint="eastAsia" w:ascii="宋体" w:hAnsi="宋体" w:eastAsia="宋体" w:cs="宋体"/>
          <w:b/>
          <w:bCs/>
          <w:color w:val="auto"/>
          <w:sz w:val="32"/>
          <w:szCs w:val="32"/>
        </w:rPr>
        <w:t>年</w:t>
      </w:r>
      <w:r>
        <w:rPr>
          <w:rStyle w:val="37"/>
          <w:rFonts w:hint="eastAsia" w:ascii="宋体" w:hAnsi="宋体" w:cs="宋体"/>
          <w:b/>
          <w:bCs/>
          <w:color w:val="auto"/>
          <w:sz w:val="32"/>
          <w:szCs w:val="32"/>
          <w:lang w:val="en-US" w:eastAsia="zh-CN"/>
        </w:rPr>
        <w:t>六</w:t>
      </w:r>
      <w:r>
        <w:rPr>
          <w:rStyle w:val="37"/>
          <w:rFonts w:hint="eastAsia" w:ascii="宋体" w:hAnsi="宋体" w:eastAsia="宋体" w:cs="宋体"/>
          <w:b/>
          <w:bCs/>
          <w:color w:val="auto"/>
          <w:sz w:val="32"/>
          <w:szCs w:val="32"/>
        </w:rPr>
        <w:t>月</w:t>
      </w:r>
    </w:p>
    <w:p w14:paraId="242149CA">
      <w:pPr>
        <w:pageBreakBefore w:val="0"/>
        <w:kinsoku/>
        <w:wordWrap w:val="0"/>
        <w:overflowPunct/>
        <w:bidi w:val="0"/>
        <w:adjustRightInd w:val="0"/>
        <w:snapToGrid w:val="0"/>
        <w:spacing w:line="360" w:lineRule="auto"/>
        <w:ind w:right="521" w:rightChars="248"/>
        <w:jc w:val="center"/>
        <w:rPr>
          <w:rFonts w:eastAsia="华文中宋"/>
          <w:b/>
          <w:bCs/>
          <w:color w:val="000000"/>
          <w:sz w:val="28"/>
          <w:highlight w:val="none"/>
        </w:rPr>
      </w:pPr>
    </w:p>
    <w:p w14:paraId="39C4379A">
      <w:pPr>
        <w:pageBreakBefore w:val="0"/>
        <w:kinsoku/>
        <w:wordWrap w:val="0"/>
        <w:overflowPunct/>
        <w:bidi w:val="0"/>
        <w:jc w:val="center"/>
        <w:rPr>
          <w:rFonts w:hint="eastAsia" w:ascii="宋体"/>
          <w:sz w:val="44"/>
          <w:szCs w:val="44"/>
          <w:highlight w:val="none"/>
        </w:rPr>
        <w:sectPr>
          <w:footerReference r:id="rId6" w:type="first"/>
          <w:footerReference r:id="rId4" w:type="default"/>
          <w:headerReference r:id="rId3" w:type="even"/>
          <w:footerReference r:id="rId5" w:type="even"/>
          <w:pgSz w:w="11906" w:h="16838"/>
          <w:pgMar w:top="1134" w:right="1134" w:bottom="1134" w:left="1134" w:header="1134" w:footer="737" w:gutter="0"/>
          <w:pgNumType w:fmt="decimal"/>
          <w:cols w:space="720" w:num="1"/>
          <w:titlePg/>
          <w:docGrid w:type="lines" w:linePitch="490" w:charSpace="0"/>
        </w:sectPr>
      </w:pPr>
    </w:p>
    <w:p w14:paraId="309B01AC">
      <w:pPr>
        <w:pageBreakBefore w:val="0"/>
        <w:kinsoku/>
        <w:wordWrap w:val="0"/>
        <w:overflowPunct/>
        <w:bidi w:val="0"/>
        <w:jc w:val="center"/>
        <w:rPr>
          <w:sz w:val="44"/>
          <w:szCs w:val="44"/>
          <w:highlight w:val="none"/>
        </w:rPr>
      </w:pPr>
      <w:r>
        <w:rPr>
          <w:rFonts w:hint="eastAsia" w:ascii="宋体"/>
          <w:sz w:val="44"/>
          <w:szCs w:val="44"/>
          <w:highlight w:val="none"/>
        </w:rPr>
        <w:t>目录</w:t>
      </w:r>
    </w:p>
    <w:p w14:paraId="2C3E9519">
      <w:pPr>
        <w:pStyle w:val="29"/>
        <w:pageBreakBefore w:val="0"/>
        <w:tabs>
          <w:tab w:val="right" w:leader="dot" w:pos="8791"/>
        </w:tabs>
        <w:kinsoku/>
        <w:wordWrap w:val="0"/>
        <w:overflowPunct/>
        <w:bidi w:val="0"/>
        <w:spacing w:line="360" w:lineRule="auto"/>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_Toc10193 </w:instrText>
      </w:r>
      <w:r>
        <w:rPr>
          <w:sz w:val="28"/>
          <w:szCs w:val="28"/>
          <w:highlight w:val="none"/>
        </w:rPr>
        <w:fldChar w:fldCharType="separate"/>
      </w:r>
      <w:r>
        <w:rPr>
          <w:rFonts w:hint="eastAsia"/>
          <w:sz w:val="28"/>
          <w:szCs w:val="2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_Toc10193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646CDF73">
      <w:pPr>
        <w:pStyle w:val="29"/>
        <w:pageBreakBefore w:val="0"/>
        <w:tabs>
          <w:tab w:val="right" w:leader="dot" w:pos="8791"/>
        </w:tabs>
        <w:kinsoku/>
        <w:wordWrap w:val="0"/>
        <w:overflowPunct/>
        <w:bidi w:val="0"/>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_Toc27449 </w:instrText>
      </w:r>
      <w:r>
        <w:rPr>
          <w:sz w:val="28"/>
          <w:szCs w:val="28"/>
          <w:highlight w:val="none"/>
        </w:rPr>
        <w:fldChar w:fldCharType="separate"/>
      </w:r>
      <w:r>
        <w:rPr>
          <w:rFonts w:hint="eastAsia"/>
          <w:sz w:val="28"/>
          <w:szCs w:val="28"/>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_Toc27449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25AC56EA">
      <w:pPr>
        <w:pStyle w:val="29"/>
        <w:pageBreakBefore w:val="0"/>
        <w:tabs>
          <w:tab w:val="right" w:leader="dot" w:pos="8791"/>
        </w:tabs>
        <w:kinsoku/>
        <w:wordWrap w:val="0"/>
        <w:overflowPunct/>
        <w:bidi w:val="0"/>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_Toc24483 </w:instrText>
      </w:r>
      <w:r>
        <w:rPr>
          <w:sz w:val="28"/>
          <w:szCs w:val="28"/>
          <w:highlight w:val="none"/>
        </w:rPr>
        <w:fldChar w:fldCharType="separate"/>
      </w:r>
      <w:r>
        <w:rPr>
          <w:rFonts w:hint="eastAsia"/>
          <w:bCs/>
          <w:kern w:val="44"/>
          <w:sz w:val="28"/>
          <w:szCs w:val="28"/>
          <w:highlight w:val="none"/>
        </w:rPr>
        <w:t>第三章 评标办法（综合评分法）</w:t>
      </w:r>
      <w:r>
        <w:rPr>
          <w:sz w:val="28"/>
          <w:szCs w:val="28"/>
          <w:highlight w:val="none"/>
        </w:rPr>
        <w:tab/>
      </w:r>
      <w:r>
        <w:rPr>
          <w:sz w:val="28"/>
          <w:szCs w:val="28"/>
          <w:highlight w:val="none"/>
        </w:rPr>
        <w:fldChar w:fldCharType="begin"/>
      </w:r>
      <w:r>
        <w:rPr>
          <w:sz w:val="28"/>
          <w:szCs w:val="28"/>
          <w:highlight w:val="none"/>
        </w:rPr>
        <w:instrText xml:space="preserve"> PAGEREF _Toc24483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4DD9F997">
      <w:pPr>
        <w:pStyle w:val="29"/>
        <w:pageBreakBefore w:val="0"/>
        <w:tabs>
          <w:tab w:val="right" w:leader="dot" w:pos="8791"/>
        </w:tabs>
        <w:kinsoku/>
        <w:wordWrap w:val="0"/>
        <w:overflowPunct/>
        <w:bidi w:val="0"/>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_Toc439 </w:instrText>
      </w:r>
      <w:r>
        <w:rPr>
          <w:sz w:val="28"/>
          <w:szCs w:val="28"/>
          <w:highlight w:val="none"/>
        </w:rPr>
        <w:fldChar w:fldCharType="separate"/>
      </w:r>
      <w:r>
        <w:rPr>
          <w:rFonts w:hint="eastAsia"/>
          <w:bCs/>
          <w:kern w:val="44"/>
          <w:sz w:val="28"/>
          <w:szCs w:val="28"/>
          <w:highlight w:val="none"/>
        </w:rPr>
        <w:t>第四章 合同条款</w:t>
      </w:r>
      <w:r>
        <w:rPr>
          <w:sz w:val="28"/>
          <w:szCs w:val="28"/>
          <w:highlight w:val="none"/>
        </w:rPr>
        <w:tab/>
      </w:r>
      <w:r>
        <w:rPr>
          <w:sz w:val="28"/>
          <w:szCs w:val="28"/>
          <w:highlight w:val="none"/>
        </w:rPr>
        <w:fldChar w:fldCharType="begin"/>
      </w:r>
      <w:r>
        <w:rPr>
          <w:sz w:val="28"/>
          <w:szCs w:val="28"/>
          <w:highlight w:val="none"/>
        </w:rPr>
        <w:instrText xml:space="preserve"> PAGEREF _Toc439 \h </w:instrText>
      </w:r>
      <w:r>
        <w:rPr>
          <w:sz w:val="28"/>
          <w:szCs w:val="28"/>
          <w:highlight w:val="none"/>
        </w:rPr>
        <w:fldChar w:fldCharType="separate"/>
      </w:r>
      <w:r>
        <w:rPr>
          <w:sz w:val="28"/>
          <w:szCs w:val="28"/>
          <w:highlight w:val="none"/>
        </w:rPr>
        <w:t>42</w:t>
      </w:r>
      <w:r>
        <w:rPr>
          <w:sz w:val="28"/>
          <w:szCs w:val="28"/>
          <w:highlight w:val="none"/>
        </w:rPr>
        <w:fldChar w:fldCharType="end"/>
      </w:r>
      <w:r>
        <w:rPr>
          <w:sz w:val="28"/>
          <w:szCs w:val="28"/>
          <w:highlight w:val="none"/>
        </w:rPr>
        <w:fldChar w:fldCharType="end"/>
      </w:r>
    </w:p>
    <w:p w14:paraId="1D799941">
      <w:pPr>
        <w:pStyle w:val="29"/>
        <w:pageBreakBefore w:val="0"/>
        <w:tabs>
          <w:tab w:val="right" w:leader="dot" w:pos="8791"/>
        </w:tabs>
        <w:kinsoku/>
        <w:wordWrap w:val="0"/>
        <w:overflowPunct/>
        <w:bidi w:val="0"/>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_Toc15599 </w:instrText>
      </w:r>
      <w:r>
        <w:rPr>
          <w:sz w:val="28"/>
          <w:szCs w:val="28"/>
          <w:highlight w:val="none"/>
        </w:rPr>
        <w:fldChar w:fldCharType="separate"/>
      </w:r>
      <w:r>
        <w:rPr>
          <w:rFonts w:hint="eastAsia"/>
          <w:bCs/>
          <w:kern w:val="44"/>
          <w:sz w:val="28"/>
          <w:szCs w:val="28"/>
          <w:highlight w:val="none"/>
        </w:rPr>
        <w:t>第五章  货物需求一览表及技术要求</w:t>
      </w:r>
      <w:r>
        <w:rPr>
          <w:sz w:val="28"/>
          <w:szCs w:val="28"/>
          <w:highlight w:val="none"/>
        </w:rPr>
        <w:tab/>
      </w:r>
      <w:r>
        <w:rPr>
          <w:sz w:val="28"/>
          <w:szCs w:val="28"/>
          <w:highlight w:val="none"/>
        </w:rPr>
        <w:fldChar w:fldCharType="begin"/>
      </w:r>
      <w:r>
        <w:rPr>
          <w:sz w:val="28"/>
          <w:szCs w:val="28"/>
          <w:highlight w:val="none"/>
        </w:rPr>
        <w:instrText xml:space="preserve"> PAGEREF _Toc15599 \h </w:instrText>
      </w:r>
      <w:r>
        <w:rPr>
          <w:sz w:val="28"/>
          <w:szCs w:val="28"/>
          <w:highlight w:val="none"/>
        </w:rPr>
        <w:fldChar w:fldCharType="separate"/>
      </w:r>
      <w:r>
        <w:rPr>
          <w:sz w:val="28"/>
          <w:szCs w:val="28"/>
          <w:highlight w:val="none"/>
        </w:rPr>
        <w:t>52</w:t>
      </w:r>
      <w:r>
        <w:rPr>
          <w:sz w:val="28"/>
          <w:szCs w:val="28"/>
          <w:highlight w:val="none"/>
        </w:rPr>
        <w:fldChar w:fldCharType="end"/>
      </w:r>
      <w:r>
        <w:rPr>
          <w:sz w:val="28"/>
          <w:szCs w:val="28"/>
          <w:highlight w:val="none"/>
        </w:rPr>
        <w:fldChar w:fldCharType="end"/>
      </w:r>
    </w:p>
    <w:p w14:paraId="507FCA47">
      <w:pPr>
        <w:pStyle w:val="29"/>
        <w:pageBreakBefore w:val="0"/>
        <w:tabs>
          <w:tab w:val="right" w:leader="dot" w:pos="8791"/>
        </w:tabs>
        <w:kinsoku/>
        <w:wordWrap w:val="0"/>
        <w:overflowPunct/>
        <w:bidi w:val="0"/>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_Toc5666 </w:instrText>
      </w:r>
      <w:r>
        <w:rPr>
          <w:sz w:val="28"/>
          <w:szCs w:val="28"/>
          <w:highlight w:val="none"/>
        </w:rPr>
        <w:fldChar w:fldCharType="separate"/>
      </w:r>
      <w:r>
        <w:rPr>
          <w:rFonts w:hint="eastAsia"/>
          <w:bCs/>
          <w:kern w:val="44"/>
          <w:sz w:val="28"/>
          <w:szCs w:val="28"/>
          <w:highlight w:val="none"/>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_Toc5666 \h </w:instrText>
      </w:r>
      <w:r>
        <w:rPr>
          <w:sz w:val="28"/>
          <w:szCs w:val="28"/>
          <w:highlight w:val="none"/>
        </w:rPr>
        <w:fldChar w:fldCharType="separate"/>
      </w:r>
      <w:r>
        <w:rPr>
          <w:sz w:val="28"/>
          <w:szCs w:val="28"/>
          <w:highlight w:val="none"/>
        </w:rPr>
        <w:t>63</w:t>
      </w:r>
      <w:r>
        <w:rPr>
          <w:sz w:val="28"/>
          <w:szCs w:val="28"/>
          <w:highlight w:val="none"/>
        </w:rPr>
        <w:fldChar w:fldCharType="end"/>
      </w:r>
      <w:r>
        <w:rPr>
          <w:sz w:val="28"/>
          <w:szCs w:val="28"/>
          <w:highlight w:val="none"/>
        </w:rPr>
        <w:fldChar w:fldCharType="end"/>
      </w:r>
    </w:p>
    <w:p w14:paraId="68860CF0">
      <w:pPr>
        <w:pStyle w:val="29"/>
        <w:pageBreakBefore w:val="0"/>
        <w:tabs>
          <w:tab w:val="right" w:leader="dot" w:pos="8791"/>
        </w:tabs>
        <w:kinsoku/>
        <w:wordWrap w:val="0"/>
        <w:overflowPunct/>
        <w:bidi w:val="0"/>
        <w:spacing w:line="480" w:lineRule="auto"/>
        <w:rPr>
          <w:sz w:val="28"/>
          <w:szCs w:val="28"/>
          <w:highlight w:val="none"/>
        </w:rPr>
      </w:pPr>
    </w:p>
    <w:p w14:paraId="600CCD9B">
      <w:pPr>
        <w:pageBreakBefore w:val="0"/>
        <w:kinsoku/>
        <w:wordWrap w:val="0"/>
        <w:overflowPunct/>
        <w:bidi w:val="0"/>
        <w:spacing w:line="480" w:lineRule="auto"/>
        <w:rPr>
          <w:highlight w:val="none"/>
        </w:rPr>
      </w:pPr>
      <w:r>
        <w:rPr>
          <w:sz w:val="28"/>
          <w:szCs w:val="28"/>
          <w:highlight w:val="none"/>
        </w:rPr>
        <w:fldChar w:fldCharType="end"/>
      </w:r>
    </w:p>
    <w:p w14:paraId="5B02A0C9">
      <w:pPr>
        <w:pageBreakBefore w:val="0"/>
        <w:kinsoku/>
        <w:wordWrap w:val="0"/>
        <w:overflowPunct/>
        <w:bidi w:val="0"/>
        <w:spacing w:line="480" w:lineRule="auto"/>
        <w:ind w:left="420" w:leftChars="200" w:right="420" w:rightChars="200"/>
        <w:rPr>
          <w:rFonts w:hint="eastAsia" w:ascii="宋体"/>
          <w:color w:val="000000"/>
          <w:sz w:val="28"/>
          <w:szCs w:val="28"/>
          <w:highlight w:val="none"/>
        </w:rPr>
      </w:pPr>
      <w:bookmarkStart w:id="6" w:name="_Toc98580389"/>
    </w:p>
    <w:bookmarkEnd w:id="6"/>
    <w:p w14:paraId="13FC9EFA">
      <w:pPr>
        <w:pStyle w:val="2"/>
        <w:pageBreakBefore w:val="0"/>
        <w:kinsoku/>
        <w:wordWrap w:val="0"/>
        <w:overflowPunct/>
        <w:bidi w:val="0"/>
        <w:spacing w:before="0" w:after="0" w:line="360" w:lineRule="auto"/>
        <w:jc w:val="center"/>
        <w:rPr>
          <w:rFonts w:hint="eastAsia"/>
          <w:color w:val="000000"/>
          <w:sz w:val="36"/>
          <w:szCs w:val="36"/>
          <w:highlight w:val="none"/>
        </w:rPr>
        <w:sectPr>
          <w:footerReference r:id="rId8" w:type="first"/>
          <w:footerReference r:id="rId7" w:type="default"/>
          <w:pgSz w:w="11906" w:h="16838"/>
          <w:pgMar w:top="1134" w:right="1134" w:bottom="1134" w:left="1134" w:header="1134" w:footer="737" w:gutter="0"/>
          <w:pgNumType w:fmt="decimal" w:start="1"/>
          <w:cols w:space="720" w:num="1"/>
          <w:docGrid w:type="lines" w:linePitch="490" w:charSpace="0"/>
        </w:sectPr>
      </w:pPr>
      <w:bookmarkStart w:id="7" w:name="_Toc13659"/>
      <w:bookmarkStart w:id="8" w:name="_Toc10193"/>
      <w:bookmarkStart w:id="9" w:name="_Toc54891392"/>
    </w:p>
    <w:p w14:paraId="7467F97A">
      <w:pPr>
        <w:pStyle w:val="2"/>
        <w:pageBreakBefore w:val="0"/>
        <w:kinsoku/>
        <w:wordWrap w:val="0"/>
        <w:overflowPunct/>
        <w:bidi w:val="0"/>
        <w:spacing w:before="0" w:after="0" w:line="360" w:lineRule="auto"/>
        <w:jc w:val="center"/>
        <w:rPr>
          <w:color w:val="000000"/>
          <w:sz w:val="36"/>
          <w:szCs w:val="36"/>
          <w:highlight w:val="none"/>
        </w:rPr>
      </w:pPr>
      <w:r>
        <w:rPr>
          <w:rFonts w:hint="eastAsia"/>
          <w:color w:val="000000"/>
          <w:sz w:val="36"/>
          <w:szCs w:val="36"/>
          <w:highlight w:val="none"/>
        </w:rPr>
        <w:t xml:space="preserve"> </w:t>
      </w:r>
      <w:bookmarkEnd w:id="7"/>
      <w:bookmarkEnd w:id="8"/>
      <w:bookmarkEnd w:id="9"/>
      <w:r>
        <w:rPr>
          <w:rFonts w:hint="eastAsia"/>
          <w:color w:val="000000"/>
          <w:sz w:val="36"/>
          <w:szCs w:val="36"/>
          <w:highlight w:val="none"/>
        </w:rPr>
        <w:t>第一章 招标公告</w:t>
      </w:r>
    </w:p>
    <w:p w14:paraId="554D8458">
      <w:pPr>
        <w:pageBreakBefore w:val="0"/>
        <w:kinsoku/>
        <w:wordWrap w:val="0"/>
        <w:overflowPunct/>
        <w:bidi w:val="0"/>
        <w:adjustRightInd w:val="0"/>
        <w:snapToGrid w:val="0"/>
        <w:spacing w:line="360" w:lineRule="auto"/>
        <w:ind w:firstLine="482" w:firstLineChars="200"/>
        <w:rPr>
          <w:rFonts w:hint="eastAsia" w:ascii="宋体" w:hAnsi="宋体" w:eastAsia="宋体" w:cs="宋体"/>
          <w:b/>
          <w:bCs/>
          <w:sz w:val="24"/>
          <w:szCs w:val="24"/>
        </w:rPr>
      </w:pPr>
      <w:bookmarkStart w:id="10" w:name="_Toc28359008"/>
      <w:bookmarkStart w:id="11" w:name="_Toc28359085"/>
      <w:bookmarkStart w:id="12" w:name="_Toc35393796"/>
      <w:bookmarkStart w:id="13" w:name="_Toc35393627"/>
      <w:r>
        <w:rPr>
          <w:rFonts w:hint="eastAsia" w:ascii="宋体" w:hAnsi="宋体" w:eastAsia="宋体" w:cs="宋体"/>
          <w:b/>
          <w:bCs/>
          <w:sz w:val="24"/>
          <w:szCs w:val="24"/>
        </w:rPr>
        <w:t>项目概况</w:t>
      </w:r>
    </w:p>
    <w:p w14:paraId="1CDFD9A6">
      <w:pPr>
        <w:pageBreakBefore w:val="0"/>
        <w:kinsoku/>
        <w:wordWrap w:val="0"/>
        <w:overflowPunct/>
        <w:bidi w:val="0"/>
        <w:adjustRightInd w:val="0"/>
        <w:snapToGrid w:val="0"/>
        <w:spacing w:line="360" w:lineRule="auto"/>
        <w:ind w:firstLine="480" w:firstLineChars="200"/>
        <w:rPr>
          <w:rFonts w:hint="eastAsia" w:ascii="宋体" w:hAnsi="宋体" w:eastAsia="宋体" w:cs="宋体"/>
          <w:color w:val="auto"/>
          <w:sz w:val="24"/>
          <w:szCs w:val="24"/>
          <w:highlight w:val="lightGray"/>
        </w:rPr>
      </w:pPr>
      <w:r>
        <w:rPr>
          <w:rFonts w:hint="eastAsia" w:ascii="宋体" w:hAnsi="宋体" w:cs="宋体"/>
          <w:color w:val="auto"/>
          <w:kern w:val="0"/>
          <w:sz w:val="24"/>
          <w:szCs w:val="24"/>
          <w:highlight w:val="none"/>
          <w:u w:val="single"/>
          <w:lang w:val="zh-CN"/>
        </w:rPr>
        <w:t>长春新区教育局学校计算机教室采购项目</w:t>
      </w:r>
      <w:r>
        <w:rPr>
          <w:rFonts w:hint="eastAsia" w:ascii="宋体" w:hAnsi="宋体" w:cs="宋体"/>
          <w:color w:val="auto"/>
          <w:kern w:val="0"/>
          <w:sz w:val="24"/>
          <w:szCs w:val="24"/>
          <w:highlight w:val="none"/>
          <w:lang w:val="zh-CN"/>
        </w:rPr>
        <w:t>招标项目</w:t>
      </w:r>
      <w:r>
        <w:rPr>
          <w:rFonts w:hint="eastAsia" w:ascii="宋体" w:hAnsi="宋体" w:eastAsia="宋体" w:cs="宋体"/>
          <w:color w:val="auto"/>
          <w:kern w:val="0"/>
          <w:sz w:val="24"/>
          <w:szCs w:val="24"/>
          <w:highlight w:val="none"/>
          <w:lang w:val="zh-CN"/>
        </w:rPr>
        <w:t>的潜在投标人应自行登录政采云一站式政府采购云服务平台(以下简称“政采云”)(网址：http://www.zcygov.cn)下载获取招标文件，并于202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zh-CN"/>
        </w:rPr>
        <w:t>日</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zh-CN"/>
        </w:rPr>
        <w:t>时</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zh-CN"/>
        </w:rPr>
        <w:t>0分(北京时间)前提交投标文件。</w:t>
      </w:r>
    </w:p>
    <w:p w14:paraId="2C1687FF">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b/>
          <w:bCs/>
          <w:color w:val="000000"/>
          <w:kern w:val="2"/>
          <w:sz w:val="24"/>
          <w:szCs w:val="24"/>
          <w:highlight w:val="none"/>
          <w:shd w:val="clear" w:color="auto" w:fill="auto"/>
          <w:lang w:val="zh-CN"/>
        </w:rPr>
      </w:pPr>
      <w:r>
        <w:rPr>
          <w:rFonts w:hint="eastAsia" w:ascii="宋体" w:cs="Times New Roman"/>
          <w:b/>
          <w:bCs/>
          <w:color w:val="000000"/>
          <w:kern w:val="2"/>
          <w:sz w:val="24"/>
          <w:szCs w:val="24"/>
          <w:highlight w:val="none"/>
          <w:shd w:val="clear" w:color="auto" w:fill="auto"/>
          <w:lang w:val="zh-CN"/>
        </w:rPr>
        <w:t>一、项目基本情况</w:t>
      </w:r>
    </w:p>
    <w:p w14:paraId="2FD6F2DA">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项目编号：采购计划-[2026]-00052号-XQZC2026-037</w:t>
      </w:r>
      <w:r>
        <w:rPr>
          <w:rFonts w:hint="eastAsia" w:ascii="宋体" w:cs="Times New Roman"/>
          <w:color w:val="000000"/>
          <w:kern w:val="2"/>
          <w:sz w:val="24"/>
          <w:szCs w:val="24"/>
          <w:highlight w:val="none"/>
          <w:shd w:val="clear" w:color="auto" w:fill="auto"/>
          <w:lang w:val="zh-CN"/>
        </w:rPr>
        <w:fldChar w:fldCharType="begin"/>
      </w:r>
      <w:r>
        <w:rPr>
          <w:rFonts w:hint="eastAsia" w:ascii="宋体" w:cs="Times New Roman"/>
          <w:color w:val="000000"/>
          <w:kern w:val="2"/>
          <w:sz w:val="24"/>
          <w:szCs w:val="24"/>
          <w:highlight w:val="none"/>
          <w:shd w:val="clear" w:color="auto" w:fill="auto"/>
          <w:lang w:val="zh-CN"/>
        </w:rPr>
        <w:instrText xml:space="preserve"> HYPERLINK "https://www.zcygov.cn/gaea/api/project/flow/redirect?projectId=7304594758513721421&amp;newUrl=https://www.zcygov.cn/micro-app-back-index/blank?_flow_type_=agency&amp;_flow_projectId_=7304594758513721421&amp;_jump_page_type_=project_procurement_management_flow&amp;_app_=zcy.procurement&amp;oldUrl=https://www.zcygov.cn/project-center/_procurement_/project-result-detail/7304594758513721421" \t "https://www.zcygov.cn/project-center/_procurement_/self-project/_blank" </w:instrText>
      </w:r>
      <w:r>
        <w:rPr>
          <w:rFonts w:hint="eastAsia" w:ascii="宋体" w:cs="Times New Roman"/>
          <w:color w:val="000000"/>
          <w:kern w:val="2"/>
          <w:sz w:val="24"/>
          <w:szCs w:val="24"/>
          <w:highlight w:val="none"/>
          <w:shd w:val="clear" w:color="auto" w:fill="auto"/>
          <w:lang w:val="zh-CN"/>
        </w:rPr>
        <w:fldChar w:fldCharType="separate"/>
      </w:r>
      <w:r>
        <w:rPr>
          <w:rFonts w:hint="eastAsia" w:ascii="宋体" w:cs="Times New Roman"/>
          <w:color w:val="000000"/>
          <w:kern w:val="2"/>
          <w:sz w:val="24"/>
          <w:szCs w:val="24"/>
          <w:highlight w:val="none"/>
          <w:shd w:val="clear" w:color="auto" w:fill="auto"/>
          <w:lang w:val="zh-CN" w:eastAsia="zh-CN"/>
        </w:rPr>
        <w:t xml:space="preserve">； </w:t>
      </w:r>
      <w:r>
        <w:rPr>
          <w:rFonts w:hint="eastAsia" w:ascii="宋体" w:cs="Times New Roman"/>
          <w:color w:val="000000"/>
          <w:kern w:val="2"/>
          <w:sz w:val="24"/>
          <w:szCs w:val="24"/>
          <w:highlight w:val="none"/>
          <w:shd w:val="clear" w:color="auto" w:fill="auto"/>
          <w:lang w:val="zh-CN"/>
        </w:rPr>
        <w:fldChar w:fldCharType="end"/>
      </w:r>
    </w:p>
    <w:p w14:paraId="7D5C1CE3">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项目名称：长春新区教育局学校计算机教室采购项目；</w:t>
      </w:r>
    </w:p>
    <w:p w14:paraId="2BF7C122">
      <w:pPr>
        <w:pStyle w:val="16"/>
        <w:pageBreakBefore w:val="0"/>
        <w:shd w:val="clear" w:color="auto"/>
        <w:tabs>
          <w:tab w:val="left" w:pos="6053"/>
        </w:tabs>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预算金额：1</w:t>
      </w:r>
      <w:r>
        <w:rPr>
          <w:rFonts w:hint="eastAsia" w:ascii="宋体" w:cs="Times New Roman"/>
          <w:color w:val="000000"/>
          <w:kern w:val="2"/>
          <w:sz w:val="24"/>
          <w:szCs w:val="24"/>
          <w:highlight w:val="none"/>
          <w:shd w:val="clear" w:color="auto" w:fill="auto"/>
          <w:lang w:val="en-US" w:eastAsia="zh-CN"/>
        </w:rPr>
        <w:t>80万</w:t>
      </w:r>
      <w:r>
        <w:rPr>
          <w:rFonts w:hint="eastAsia" w:ascii="宋体" w:cs="Times New Roman"/>
          <w:color w:val="000000"/>
          <w:kern w:val="2"/>
          <w:sz w:val="24"/>
          <w:szCs w:val="24"/>
          <w:highlight w:val="none"/>
          <w:shd w:val="clear" w:color="auto" w:fill="auto"/>
        </w:rPr>
        <w:t>元</w:t>
      </w:r>
      <w:r>
        <w:rPr>
          <w:rFonts w:hint="eastAsia" w:ascii="宋体" w:cs="Times New Roman"/>
          <w:color w:val="000000"/>
          <w:kern w:val="2"/>
          <w:sz w:val="24"/>
          <w:szCs w:val="24"/>
          <w:highlight w:val="none"/>
          <w:shd w:val="clear" w:color="auto" w:fill="auto"/>
          <w:lang w:val="zh-CN"/>
        </w:rPr>
        <w:t>；</w:t>
      </w:r>
      <w:r>
        <w:rPr>
          <w:rFonts w:hint="eastAsia" w:ascii="宋体" w:cs="Times New Roman"/>
          <w:color w:val="000000"/>
          <w:kern w:val="2"/>
          <w:sz w:val="24"/>
          <w:szCs w:val="24"/>
          <w:highlight w:val="none"/>
          <w:shd w:val="clear" w:color="auto" w:fill="auto"/>
          <w:lang w:val="zh-CN"/>
        </w:rPr>
        <w:tab/>
      </w:r>
    </w:p>
    <w:p w14:paraId="761C4486">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最高限价：1</w:t>
      </w:r>
      <w:r>
        <w:rPr>
          <w:rFonts w:hint="eastAsia" w:ascii="宋体" w:cs="Times New Roman"/>
          <w:color w:val="000000"/>
          <w:kern w:val="2"/>
          <w:sz w:val="24"/>
          <w:szCs w:val="24"/>
          <w:highlight w:val="none"/>
          <w:shd w:val="clear" w:color="auto" w:fill="auto"/>
          <w:lang w:val="en-US" w:eastAsia="zh-CN"/>
        </w:rPr>
        <w:t>80万</w:t>
      </w:r>
      <w:r>
        <w:rPr>
          <w:rFonts w:hint="eastAsia" w:ascii="宋体" w:cs="Times New Roman"/>
          <w:color w:val="000000"/>
          <w:kern w:val="2"/>
          <w:sz w:val="24"/>
          <w:szCs w:val="24"/>
          <w:highlight w:val="none"/>
          <w:shd w:val="clear" w:color="auto" w:fill="auto"/>
        </w:rPr>
        <w:t>元</w:t>
      </w:r>
      <w:r>
        <w:rPr>
          <w:rFonts w:hint="eastAsia" w:ascii="宋体" w:cs="Times New Roman"/>
          <w:color w:val="000000"/>
          <w:kern w:val="2"/>
          <w:sz w:val="24"/>
          <w:szCs w:val="24"/>
          <w:highlight w:val="none"/>
          <w:shd w:val="clear" w:color="auto" w:fill="auto"/>
          <w:lang w:val="zh-CN"/>
        </w:rPr>
        <w:t>；</w:t>
      </w:r>
    </w:p>
    <w:p w14:paraId="2B29E552">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采购需求：长春新区教育局学校计算机教室采购项目（详见招标文件）；</w:t>
      </w:r>
    </w:p>
    <w:p w14:paraId="4CFB9CAC">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合同履行期限：</w:t>
      </w:r>
      <w:r>
        <w:rPr>
          <w:rFonts w:hint="eastAsia" w:ascii="宋体" w:cs="Times New Roman"/>
          <w:color w:val="000000"/>
          <w:kern w:val="2"/>
          <w:sz w:val="24"/>
          <w:szCs w:val="24"/>
          <w:highlight w:val="none"/>
          <w:shd w:val="clear" w:color="auto" w:fill="auto"/>
          <w:lang w:val="zh-CN" w:eastAsia="zh-CN"/>
        </w:rPr>
        <w:t>中标签订合同后30</w:t>
      </w:r>
      <w:r>
        <w:rPr>
          <w:rFonts w:hint="eastAsia" w:ascii="宋体" w:cs="Times New Roman"/>
          <w:color w:val="000000"/>
          <w:kern w:val="2"/>
          <w:sz w:val="24"/>
          <w:szCs w:val="24"/>
          <w:highlight w:val="none"/>
          <w:shd w:val="clear" w:color="auto" w:fill="auto"/>
          <w:lang w:val="zh-CN"/>
        </w:rPr>
        <w:t>日内完成供货、安装、调试；</w:t>
      </w:r>
    </w:p>
    <w:p w14:paraId="516E648A">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质量标准：符合国家及行业相关合格标准。</w:t>
      </w:r>
    </w:p>
    <w:p w14:paraId="321819E7">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本项目不接受联合体投标。</w:t>
      </w:r>
    </w:p>
    <w:p w14:paraId="5FCA9BFC">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b/>
          <w:bCs/>
          <w:color w:val="000000"/>
          <w:kern w:val="2"/>
          <w:sz w:val="24"/>
          <w:szCs w:val="24"/>
          <w:highlight w:val="none"/>
          <w:shd w:val="clear" w:color="auto" w:fill="auto"/>
          <w:lang w:val="zh-CN"/>
        </w:rPr>
      </w:pPr>
      <w:r>
        <w:rPr>
          <w:rFonts w:hint="eastAsia" w:ascii="宋体" w:cs="Times New Roman"/>
          <w:b/>
          <w:bCs/>
          <w:color w:val="000000"/>
          <w:kern w:val="2"/>
          <w:sz w:val="24"/>
          <w:szCs w:val="24"/>
          <w:highlight w:val="none"/>
          <w:shd w:val="clear" w:color="auto" w:fill="auto"/>
          <w:lang w:val="zh-CN"/>
        </w:rPr>
        <w:t>二、申请人的资格要求</w:t>
      </w:r>
    </w:p>
    <w:p w14:paraId="469EEACC">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1.满足《中华人民共和国政府采购法》第二十二条规定；</w:t>
      </w:r>
    </w:p>
    <w:p w14:paraId="614223DF">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shd w:val="clear" w:color="auto" w:fill="auto"/>
          <w:lang w:val="zh-CN"/>
        </w:rPr>
      </w:pPr>
      <w:r>
        <w:rPr>
          <w:rFonts w:hint="eastAsia" w:ascii="宋体" w:cs="Times New Roman"/>
          <w:color w:val="000000"/>
          <w:kern w:val="2"/>
          <w:sz w:val="24"/>
          <w:szCs w:val="24"/>
          <w:highlight w:val="none"/>
          <w:shd w:val="clear" w:color="auto" w:fill="auto"/>
          <w:lang w:val="zh-CN"/>
        </w:rPr>
        <w:t>2.</w:t>
      </w:r>
      <w:r>
        <w:rPr>
          <w:rFonts w:hint="eastAsia" w:ascii="宋体" w:hAnsi="??" w:eastAsia="宋体" w:cs="Times New Roman"/>
          <w:color w:val="000000"/>
          <w:kern w:val="2"/>
          <w:sz w:val="24"/>
          <w:szCs w:val="24"/>
          <w:highlight w:val="none"/>
          <w:lang w:val="zh-CN" w:eastAsia="zh-CN" w:bidi="ar-SA"/>
        </w:rPr>
        <w:t>落实政府采购政策需满足的资格要求：本项目</w:t>
      </w:r>
      <w:r>
        <w:rPr>
          <w:rFonts w:hint="eastAsia" w:ascii="宋体" w:hAnsi="??" w:eastAsia="宋体" w:cs="Times New Roman"/>
          <w:color w:val="000000"/>
          <w:kern w:val="2"/>
          <w:sz w:val="24"/>
          <w:szCs w:val="24"/>
          <w:highlight w:val="none"/>
          <w:lang w:val="en-US" w:eastAsia="zh-CN" w:bidi="ar-SA"/>
        </w:rPr>
        <w:t>非</w:t>
      </w:r>
      <w:r>
        <w:rPr>
          <w:rFonts w:hint="eastAsia" w:ascii="宋体" w:hAnsi="??" w:eastAsia="宋体" w:cs="Times New Roman"/>
          <w:color w:val="000000"/>
          <w:kern w:val="2"/>
          <w:sz w:val="24"/>
          <w:szCs w:val="24"/>
          <w:highlight w:val="none"/>
          <w:lang w:val="zh-CN" w:eastAsia="zh-CN" w:bidi="ar-SA"/>
        </w:rPr>
        <w:t>专门面向中小企业采购；本项目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14:paraId="08346610">
      <w:pPr>
        <w:pStyle w:val="28"/>
        <w:pageBreakBefore w:val="0"/>
        <w:kinsoku/>
        <w:wordWrap w:val="0"/>
        <w:overflowPunct/>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48EB3E6">
      <w:pPr>
        <w:pageBreakBefore w:val="0"/>
        <w:kinsoku/>
        <w:wordWrap w:val="0"/>
        <w:overflowPunct/>
        <w:bidi w:val="0"/>
        <w:snapToGrid/>
        <w:spacing w:line="240" w:lineRule="auto"/>
        <w:ind w:firstLine="480" w:firstLineChars="200"/>
        <w:textAlignment w:val="baseline"/>
        <w:rPr>
          <w:rFonts w:hint="eastAsia" w:ascii="宋体" w:hAnsi="??" w:eastAsia="宋体" w:cs="Times New Roman"/>
          <w:color w:val="000000"/>
          <w:kern w:val="2"/>
          <w:sz w:val="24"/>
          <w:szCs w:val="24"/>
          <w:highlight w:val="none"/>
          <w:lang w:val="zh-CN" w:eastAsia="zh-CN" w:bidi="ar-SA"/>
        </w:rPr>
      </w:pPr>
      <w:r>
        <w:rPr>
          <w:rFonts w:hint="eastAsia" w:ascii="宋体" w:hAnsi="??" w:cs="Times New Roman"/>
          <w:color w:val="000000"/>
          <w:kern w:val="2"/>
          <w:sz w:val="24"/>
          <w:szCs w:val="24"/>
          <w:highlight w:val="none"/>
          <w:lang w:val="en-US" w:eastAsia="zh-CN" w:bidi="ar-SA"/>
        </w:rPr>
        <w:t>3.1</w:t>
      </w:r>
      <w:r>
        <w:rPr>
          <w:rFonts w:hint="eastAsia" w:ascii="宋体" w:hAnsi="??" w:eastAsia="宋体" w:cs="Times New Roman"/>
          <w:color w:val="000000"/>
          <w:kern w:val="2"/>
          <w:sz w:val="24"/>
          <w:szCs w:val="24"/>
          <w:highlight w:val="none"/>
          <w:lang w:val="zh-CN" w:eastAsia="zh-CN" w:bidi="ar-SA"/>
        </w:rPr>
        <w:t>投标人须是在中国境内注册具有独立承担民事责任能力的法人、其他组织</w:t>
      </w:r>
      <w:r>
        <w:rPr>
          <w:rFonts w:hint="eastAsia" w:ascii="宋体" w:hAnsi="??" w:cs="Times New Roman"/>
          <w:color w:val="000000"/>
          <w:kern w:val="2"/>
          <w:sz w:val="24"/>
          <w:szCs w:val="24"/>
          <w:highlight w:val="none"/>
          <w:lang w:val="zh-CN" w:eastAsia="zh-CN" w:bidi="ar-SA"/>
        </w:rPr>
        <w:t>，具有有效的营业执照，具备履行合同所必需的设备和专业技术能力</w:t>
      </w:r>
      <w:r>
        <w:rPr>
          <w:rFonts w:hint="eastAsia" w:ascii="宋体" w:hAnsi="??" w:eastAsia="宋体" w:cs="Times New Roman"/>
          <w:color w:val="000000"/>
          <w:kern w:val="2"/>
          <w:sz w:val="24"/>
          <w:szCs w:val="24"/>
          <w:highlight w:val="none"/>
          <w:lang w:val="zh-CN" w:eastAsia="zh-CN" w:bidi="ar-SA"/>
        </w:rPr>
        <w:t>；</w:t>
      </w:r>
    </w:p>
    <w:p w14:paraId="1A9C100C">
      <w:pPr>
        <w:pageBreakBefore w:val="0"/>
        <w:kinsoku/>
        <w:wordWrap w:val="0"/>
        <w:overflowPunct/>
        <w:bidi w:val="0"/>
        <w:snapToGrid/>
        <w:spacing w:line="240" w:lineRule="auto"/>
        <w:ind w:firstLine="480" w:firstLineChars="200"/>
        <w:textAlignment w:val="baseline"/>
        <w:rPr>
          <w:rFonts w:hint="eastAsia" w:ascii="宋体" w:hAnsi="??" w:eastAsia="宋体" w:cs="Times New Roman"/>
          <w:color w:val="000000"/>
          <w:kern w:val="2"/>
          <w:sz w:val="24"/>
          <w:szCs w:val="24"/>
          <w:highlight w:val="none"/>
          <w:lang w:val="zh-CN" w:eastAsia="zh-CN" w:bidi="ar-SA"/>
        </w:rPr>
      </w:pPr>
      <w:r>
        <w:rPr>
          <w:rFonts w:hint="eastAsia" w:ascii="宋体" w:hAnsi="??" w:cs="Times New Roman"/>
          <w:color w:val="000000"/>
          <w:kern w:val="2"/>
          <w:sz w:val="24"/>
          <w:szCs w:val="24"/>
          <w:highlight w:val="none"/>
          <w:lang w:val="en-US" w:eastAsia="zh-CN" w:bidi="ar-SA"/>
        </w:rPr>
        <w:t>3.2</w:t>
      </w:r>
      <w:r>
        <w:rPr>
          <w:rFonts w:hint="eastAsia" w:ascii="宋体" w:hAnsi="??" w:eastAsia="宋体" w:cs="Times New Roman"/>
          <w:color w:val="000000"/>
          <w:kern w:val="2"/>
          <w:sz w:val="24"/>
          <w:szCs w:val="24"/>
          <w:highlight w:val="none"/>
          <w:lang w:val="zh-CN" w:eastAsia="zh-CN" w:bidi="ar-SA"/>
        </w:rPr>
        <w:t>供应商应按照《长春市财政局关于加强政府采购信用体系建设简化投标人资格条件有关事项的通知》（长财采购[2022]2066号）文件要求在投标文件中提交反映其财务状况、依法缴纳税收和社会保障资金情况的资格条件承诺函，并对资格条件承诺函有关内容的真实性、有效性、合法性负责。</w:t>
      </w:r>
    </w:p>
    <w:p w14:paraId="09369BEC">
      <w:pPr>
        <w:pStyle w:val="28"/>
        <w:pageBreakBefore w:val="0"/>
        <w:kinsoku/>
        <w:wordWrap w:val="0"/>
        <w:overflowPunct/>
        <w:bidi w:val="0"/>
        <w:spacing w:line="240" w:lineRule="auto"/>
        <w:ind w:firstLine="480" w:firstLineChars="200"/>
        <w:rPr>
          <w:rFonts w:hint="eastAsia" w:ascii="宋体" w:hAnsi="??" w:eastAsia="宋体" w:cs="Times New Roman"/>
          <w:color w:val="000000"/>
          <w:kern w:val="2"/>
          <w:sz w:val="24"/>
          <w:szCs w:val="24"/>
          <w:highlight w:val="none"/>
          <w:lang w:val="zh-CN" w:eastAsia="zh-CN" w:bidi="ar-SA"/>
        </w:rPr>
      </w:pPr>
      <w:r>
        <w:rPr>
          <w:rFonts w:hint="eastAsia" w:ascii="宋体" w:hAnsi="??" w:eastAsia="宋体" w:cs="Times New Roman"/>
          <w:color w:val="000000"/>
          <w:kern w:val="2"/>
          <w:sz w:val="24"/>
          <w:szCs w:val="24"/>
          <w:highlight w:val="none"/>
          <w:lang w:val="zh-CN" w:eastAsia="zh-CN" w:bidi="ar-SA"/>
        </w:rPr>
        <w:t>3.3拒绝列入政府取消投标资格记录期间的企业和个人投标；</w:t>
      </w:r>
    </w:p>
    <w:p w14:paraId="580E43B9">
      <w:pPr>
        <w:pStyle w:val="28"/>
        <w:pageBreakBefore w:val="0"/>
        <w:kinsoku/>
        <w:wordWrap w:val="0"/>
        <w:overflowPunct/>
        <w:bidi w:val="0"/>
        <w:spacing w:line="240" w:lineRule="auto"/>
        <w:ind w:firstLine="480" w:firstLineChars="200"/>
        <w:rPr>
          <w:rFonts w:hint="eastAsia" w:ascii="宋体" w:hAnsi="??" w:eastAsia="宋体" w:cs="Times New Roman"/>
          <w:color w:val="000000"/>
          <w:kern w:val="2"/>
          <w:sz w:val="24"/>
          <w:szCs w:val="24"/>
          <w:highlight w:val="none"/>
          <w:lang w:val="zh-CN" w:eastAsia="zh-CN" w:bidi="ar-SA"/>
        </w:rPr>
      </w:pPr>
      <w:r>
        <w:rPr>
          <w:rFonts w:hint="eastAsia" w:ascii="宋体" w:hAnsi="??" w:eastAsia="宋体" w:cs="Times New Roman"/>
          <w:color w:val="000000"/>
          <w:kern w:val="2"/>
          <w:sz w:val="24"/>
          <w:szCs w:val="24"/>
          <w:highlight w:val="none"/>
          <w:lang w:val="zh-CN" w:eastAsia="zh-CN" w:bidi="ar-SA"/>
        </w:rPr>
        <w:t>3.4供应商不得为“信用中国”网站（</w:t>
      </w:r>
      <w:r>
        <w:rPr>
          <w:rFonts w:hint="eastAsia" w:ascii="宋体" w:hAnsi="??" w:eastAsia="宋体" w:cs="Times New Roman"/>
          <w:color w:val="000000"/>
          <w:kern w:val="2"/>
          <w:sz w:val="24"/>
          <w:szCs w:val="24"/>
          <w:highlight w:val="none"/>
          <w:lang w:val="zh-CN" w:eastAsia="zh-CN" w:bidi="ar-SA"/>
        </w:rPr>
        <w:fldChar w:fldCharType="begin"/>
      </w:r>
      <w:r>
        <w:rPr>
          <w:rFonts w:hint="eastAsia" w:ascii="宋体" w:hAnsi="??" w:eastAsia="宋体" w:cs="Times New Roman"/>
          <w:color w:val="000000"/>
          <w:kern w:val="2"/>
          <w:sz w:val="24"/>
          <w:szCs w:val="24"/>
          <w:highlight w:val="none"/>
          <w:lang w:val="zh-CN" w:eastAsia="zh-CN" w:bidi="ar-SA"/>
        </w:rPr>
        <w:instrText xml:space="preserve"> HYPERLINK "http://www.creditchina.gov.cn/" \t "_blank" </w:instrText>
      </w:r>
      <w:r>
        <w:rPr>
          <w:rFonts w:hint="eastAsia" w:ascii="宋体" w:hAnsi="??" w:eastAsia="宋体" w:cs="Times New Roman"/>
          <w:color w:val="000000"/>
          <w:kern w:val="2"/>
          <w:sz w:val="24"/>
          <w:szCs w:val="24"/>
          <w:highlight w:val="none"/>
          <w:lang w:val="zh-CN" w:eastAsia="zh-CN" w:bidi="ar-SA"/>
        </w:rPr>
        <w:fldChar w:fldCharType="separate"/>
      </w:r>
      <w:r>
        <w:rPr>
          <w:rFonts w:hint="eastAsia" w:ascii="宋体" w:hAnsi="??" w:eastAsia="宋体" w:cs="Times New Roman"/>
          <w:color w:val="000000"/>
          <w:kern w:val="2"/>
          <w:sz w:val="24"/>
          <w:szCs w:val="24"/>
          <w:highlight w:val="none"/>
          <w:lang w:val="zh-CN" w:eastAsia="zh-CN" w:bidi="ar-SA"/>
        </w:rPr>
        <w:t>www.creditchina.gov.cn</w:t>
      </w:r>
      <w:r>
        <w:rPr>
          <w:rFonts w:hint="eastAsia" w:ascii="宋体" w:hAnsi="??" w:eastAsia="宋体" w:cs="Times New Roman"/>
          <w:color w:val="000000"/>
          <w:kern w:val="2"/>
          <w:sz w:val="24"/>
          <w:szCs w:val="24"/>
          <w:highlight w:val="none"/>
          <w:lang w:val="zh-CN" w:eastAsia="zh-CN" w:bidi="ar-SA"/>
        </w:rPr>
        <w:fldChar w:fldCharType="end"/>
      </w:r>
      <w:r>
        <w:rPr>
          <w:rFonts w:hint="eastAsia" w:ascii="宋体" w:hAnsi="??" w:eastAsia="宋体" w:cs="Times New Roman"/>
          <w:color w:val="000000"/>
          <w:kern w:val="2"/>
          <w:sz w:val="24"/>
          <w:szCs w:val="24"/>
          <w:highlight w:val="none"/>
          <w:lang w:val="zh-CN" w:eastAsia="zh-CN" w:bidi="ar-SA"/>
        </w:rPr>
        <w:t>）中列入失信被执行人和重大税收违法失信主体的供应商，不得为“中国政府采购网”（</w:t>
      </w:r>
      <w:r>
        <w:rPr>
          <w:rFonts w:hint="eastAsia" w:ascii="宋体" w:hAnsi="??" w:eastAsia="宋体" w:cs="Times New Roman"/>
          <w:color w:val="000000"/>
          <w:kern w:val="2"/>
          <w:sz w:val="24"/>
          <w:szCs w:val="24"/>
          <w:highlight w:val="none"/>
          <w:lang w:val="zh-CN" w:eastAsia="zh-CN" w:bidi="ar-SA"/>
        </w:rPr>
        <w:fldChar w:fldCharType="begin"/>
      </w:r>
      <w:r>
        <w:rPr>
          <w:rFonts w:hint="eastAsia" w:ascii="宋体" w:hAnsi="??" w:eastAsia="宋体" w:cs="Times New Roman"/>
          <w:color w:val="000000"/>
          <w:kern w:val="2"/>
          <w:sz w:val="24"/>
          <w:szCs w:val="24"/>
          <w:highlight w:val="none"/>
          <w:lang w:val="zh-CN" w:eastAsia="zh-CN" w:bidi="ar-SA"/>
        </w:rPr>
        <w:instrText xml:space="preserve"> HYPERLINK "http://www.ccgp.gov.cn/" \t "_blank" </w:instrText>
      </w:r>
      <w:r>
        <w:rPr>
          <w:rFonts w:hint="eastAsia" w:ascii="宋体" w:hAnsi="??" w:eastAsia="宋体" w:cs="Times New Roman"/>
          <w:color w:val="000000"/>
          <w:kern w:val="2"/>
          <w:sz w:val="24"/>
          <w:szCs w:val="24"/>
          <w:highlight w:val="none"/>
          <w:lang w:val="zh-CN" w:eastAsia="zh-CN" w:bidi="ar-SA"/>
        </w:rPr>
        <w:fldChar w:fldCharType="separate"/>
      </w:r>
      <w:r>
        <w:rPr>
          <w:rFonts w:hint="eastAsia" w:ascii="宋体" w:hAnsi="??" w:eastAsia="宋体" w:cs="Times New Roman"/>
          <w:color w:val="000000"/>
          <w:kern w:val="2"/>
          <w:sz w:val="24"/>
          <w:szCs w:val="24"/>
          <w:highlight w:val="none"/>
          <w:lang w:val="zh-CN" w:eastAsia="zh-CN" w:bidi="ar-SA"/>
        </w:rPr>
        <w:t>www.ccgp.gov.cn</w:t>
      </w:r>
      <w:r>
        <w:rPr>
          <w:rFonts w:hint="eastAsia" w:ascii="宋体" w:hAnsi="??" w:eastAsia="宋体" w:cs="Times New Roman"/>
          <w:color w:val="000000"/>
          <w:kern w:val="2"/>
          <w:sz w:val="24"/>
          <w:szCs w:val="24"/>
          <w:highlight w:val="none"/>
          <w:lang w:val="zh-CN" w:eastAsia="zh-CN" w:bidi="ar-SA"/>
        </w:rPr>
        <w:fldChar w:fldCharType="end"/>
      </w:r>
      <w:r>
        <w:rPr>
          <w:rFonts w:hint="eastAsia" w:ascii="宋体" w:hAnsi="??" w:eastAsia="宋体" w:cs="Times New Roman"/>
          <w:color w:val="000000"/>
          <w:kern w:val="2"/>
          <w:sz w:val="24"/>
          <w:szCs w:val="24"/>
          <w:highlight w:val="none"/>
          <w:lang w:val="zh-CN" w:eastAsia="zh-CN" w:bidi="ar-SA"/>
        </w:rPr>
        <w:t>）政府采购严重违法失信行为记录名单中被财政部门禁止参加政府采购活动的供应商（在处罚决定规定的时间和地域范围内）（详见财库【2016】125号文））；</w:t>
      </w:r>
    </w:p>
    <w:p w14:paraId="12ED7252">
      <w:pPr>
        <w:pStyle w:val="28"/>
        <w:pageBreakBefore w:val="0"/>
        <w:kinsoku/>
        <w:wordWrap w:val="0"/>
        <w:overflowPunct/>
        <w:bidi w:val="0"/>
        <w:spacing w:line="240" w:lineRule="auto"/>
        <w:ind w:firstLine="480" w:firstLineChars="200"/>
        <w:rPr>
          <w:rFonts w:hint="eastAsia" w:ascii="宋体" w:hAnsi="??" w:eastAsia="宋体" w:cs="Times New Roman"/>
          <w:color w:val="000000"/>
          <w:kern w:val="2"/>
          <w:sz w:val="24"/>
          <w:szCs w:val="24"/>
          <w:highlight w:val="none"/>
          <w:lang w:val="zh-CN" w:eastAsia="zh-CN" w:bidi="ar-SA"/>
        </w:rPr>
      </w:pPr>
      <w:r>
        <w:rPr>
          <w:rFonts w:hint="eastAsia" w:ascii="宋体" w:hAnsi="??" w:eastAsia="宋体" w:cs="Times New Roman"/>
          <w:color w:val="000000"/>
          <w:kern w:val="2"/>
          <w:sz w:val="24"/>
          <w:szCs w:val="24"/>
          <w:highlight w:val="none"/>
          <w:lang w:val="zh-CN" w:eastAsia="zh-CN" w:bidi="ar-SA"/>
        </w:rPr>
        <w:t>3.5与采购人存在利害关系可能影响采购公正性的法人、其它组织或者个人，不得参加投标；单位负责人为同一人或者存在直接控股、管理关系的不同供应商，不得参加同一合同项下的政府采购活动。否则相关投标无效。</w:t>
      </w:r>
    </w:p>
    <w:p w14:paraId="14AEA856">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b/>
          <w:bCs/>
          <w:color w:val="000000"/>
          <w:kern w:val="2"/>
          <w:sz w:val="24"/>
          <w:szCs w:val="24"/>
          <w:highlight w:val="none"/>
          <w:lang w:val="zh-CN"/>
        </w:rPr>
      </w:pPr>
      <w:r>
        <w:rPr>
          <w:rFonts w:hint="eastAsia" w:ascii="宋体" w:cs="Times New Roman"/>
          <w:b/>
          <w:bCs/>
          <w:color w:val="000000"/>
          <w:kern w:val="2"/>
          <w:sz w:val="24"/>
          <w:szCs w:val="24"/>
          <w:highlight w:val="none"/>
          <w:lang w:val="zh-CN"/>
        </w:rPr>
        <w:t>三、获取招标文件</w:t>
      </w:r>
    </w:p>
    <w:p w14:paraId="1C78B888">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rPr>
      </w:pPr>
      <w:r>
        <w:rPr>
          <w:rFonts w:hint="eastAsia" w:ascii="宋体" w:cs="Times New Roman"/>
          <w:color w:val="000000"/>
          <w:kern w:val="2"/>
          <w:sz w:val="24"/>
          <w:szCs w:val="24"/>
          <w:highlight w:val="none"/>
          <w:lang w:val="zh-CN" w:eastAsia="zh-CN"/>
        </w:rPr>
        <w:t>1.</w:t>
      </w:r>
      <w:r>
        <w:rPr>
          <w:rFonts w:hint="eastAsia" w:ascii="宋体" w:cs="Times New Roman"/>
          <w:color w:val="000000"/>
          <w:kern w:val="2"/>
          <w:sz w:val="24"/>
          <w:szCs w:val="24"/>
          <w:highlight w:val="none"/>
          <w:lang w:val="zh-CN"/>
        </w:rPr>
        <w:t>时间：202</w:t>
      </w:r>
      <w:r>
        <w:rPr>
          <w:rFonts w:hint="eastAsia" w:ascii="宋体" w:cs="Times New Roman"/>
          <w:color w:val="000000"/>
          <w:kern w:val="2"/>
          <w:sz w:val="24"/>
          <w:szCs w:val="24"/>
          <w:highlight w:val="none"/>
          <w:lang w:val="en-US" w:eastAsia="zh-CN"/>
        </w:rPr>
        <w:t>6</w:t>
      </w:r>
      <w:r>
        <w:rPr>
          <w:rFonts w:hint="eastAsia" w:ascii="宋体" w:cs="Times New Roman"/>
          <w:color w:val="000000"/>
          <w:kern w:val="2"/>
          <w:sz w:val="24"/>
          <w:szCs w:val="24"/>
          <w:highlight w:val="none"/>
          <w:lang w:val="zh-CN"/>
        </w:rPr>
        <w:t>年</w:t>
      </w:r>
      <w:r>
        <w:rPr>
          <w:rFonts w:hint="eastAsia" w:ascii="宋体" w:cs="Times New Roman"/>
          <w:color w:val="000000"/>
          <w:kern w:val="2"/>
          <w:sz w:val="24"/>
          <w:szCs w:val="24"/>
          <w:highlight w:val="none"/>
          <w:lang w:val="en-US" w:eastAsia="zh-CN"/>
        </w:rPr>
        <w:t>06</w:t>
      </w:r>
      <w:r>
        <w:rPr>
          <w:rFonts w:hint="eastAsia" w:ascii="宋体" w:cs="Times New Roman"/>
          <w:color w:val="000000"/>
          <w:kern w:val="2"/>
          <w:sz w:val="24"/>
          <w:szCs w:val="24"/>
          <w:highlight w:val="none"/>
          <w:lang w:val="zh-CN"/>
        </w:rPr>
        <w:t>月</w:t>
      </w:r>
      <w:r>
        <w:rPr>
          <w:rFonts w:hint="eastAsia" w:ascii="宋体" w:cs="Times New Roman"/>
          <w:color w:val="000000"/>
          <w:kern w:val="2"/>
          <w:sz w:val="24"/>
          <w:szCs w:val="24"/>
          <w:highlight w:val="none"/>
          <w:lang w:val="en-US" w:eastAsia="zh-CN"/>
        </w:rPr>
        <w:t>11</w:t>
      </w:r>
      <w:r>
        <w:rPr>
          <w:rFonts w:hint="eastAsia" w:ascii="宋体" w:cs="Times New Roman"/>
          <w:color w:val="000000"/>
          <w:kern w:val="2"/>
          <w:sz w:val="24"/>
          <w:szCs w:val="24"/>
          <w:highlight w:val="none"/>
          <w:lang w:val="zh-CN"/>
        </w:rPr>
        <w:t>日至20</w:t>
      </w:r>
      <w:r>
        <w:rPr>
          <w:rFonts w:hint="eastAsia" w:ascii="宋体" w:cs="Times New Roman"/>
          <w:color w:val="000000"/>
          <w:kern w:val="2"/>
          <w:sz w:val="24"/>
          <w:szCs w:val="24"/>
          <w:highlight w:val="none"/>
          <w:lang w:val="en-US" w:eastAsia="zh-CN"/>
        </w:rPr>
        <w:t>26</w:t>
      </w:r>
      <w:r>
        <w:rPr>
          <w:rFonts w:hint="eastAsia" w:ascii="宋体" w:cs="Times New Roman"/>
          <w:color w:val="000000"/>
          <w:kern w:val="2"/>
          <w:sz w:val="24"/>
          <w:szCs w:val="24"/>
          <w:highlight w:val="none"/>
          <w:lang w:val="zh-CN"/>
        </w:rPr>
        <w:t>年</w:t>
      </w:r>
      <w:r>
        <w:rPr>
          <w:rFonts w:hint="eastAsia" w:ascii="宋体" w:cs="Times New Roman"/>
          <w:color w:val="000000"/>
          <w:kern w:val="2"/>
          <w:sz w:val="24"/>
          <w:szCs w:val="24"/>
          <w:highlight w:val="none"/>
          <w:lang w:val="en-US" w:eastAsia="zh-CN"/>
        </w:rPr>
        <w:t>06</w:t>
      </w:r>
      <w:r>
        <w:rPr>
          <w:rFonts w:hint="eastAsia" w:ascii="宋体" w:cs="Times New Roman"/>
          <w:color w:val="000000"/>
          <w:kern w:val="2"/>
          <w:sz w:val="24"/>
          <w:szCs w:val="24"/>
          <w:highlight w:val="none"/>
          <w:lang w:val="zh-CN"/>
        </w:rPr>
        <w:t>月</w:t>
      </w:r>
      <w:r>
        <w:rPr>
          <w:rFonts w:hint="eastAsia" w:ascii="宋体" w:cs="Times New Roman"/>
          <w:color w:val="000000"/>
          <w:kern w:val="2"/>
          <w:sz w:val="24"/>
          <w:szCs w:val="24"/>
          <w:highlight w:val="none"/>
          <w:lang w:val="en-US" w:eastAsia="zh-CN"/>
        </w:rPr>
        <w:t>18</w:t>
      </w:r>
      <w:r>
        <w:rPr>
          <w:rFonts w:hint="eastAsia" w:ascii="宋体" w:cs="Times New Roman"/>
          <w:color w:val="000000"/>
          <w:kern w:val="2"/>
          <w:sz w:val="24"/>
          <w:szCs w:val="24"/>
          <w:highlight w:val="none"/>
          <w:lang w:val="zh-CN"/>
        </w:rPr>
        <w:t>日</w:t>
      </w:r>
      <w:r>
        <w:rPr>
          <w:rFonts w:hint="eastAsia" w:ascii="宋体" w:cs="Times New Roman"/>
          <w:color w:val="000000"/>
          <w:kern w:val="2"/>
          <w:sz w:val="24"/>
          <w:szCs w:val="24"/>
          <w:highlight w:val="none"/>
          <w:lang w:val="zh-CN"/>
        </w:rPr>
        <w:t>，每天上午0</w:t>
      </w:r>
      <w:r>
        <w:rPr>
          <w:rFonts w:hint="eastAsia" w:ascii="宋体" w:cs="Times New Roman"/>
          <w:color w:val="000000"/>
          <w:kern w:val="2"/>
          <w:sz w:val="24"/>
          <w:szCs w:val="24"/>
          <w:highlight w:val="none"/>
          <w:lang w:val="en-US" w:eastAsia="zh-CN"/>
        </w:rPr>
        <w:t>8</w:t>
      </w:r>
      <w:r>
        <w:rPr>
          <w:rFonts w:hint="eastAsia" w:ascii="宋体" w:cs="Times New Roman"/>
          <w:color w:val="000000"/>
          <w:kern w:val="2"/>
          <w:sz w:val="24"/>
          <w:szCs w:val="24"/>
          <w:highlight w:val="none"/>
          <w:lang w:val="zh-CN"/>
        </w:rPr>
        <w:t>:</w:t>
      </w:r>
      <w:r>
        <w:rPr>
          <w:rFonts w:hint="eastAsia" w:ascii="宋体" w:cs="Times New Roman"/>
          <w:color w:val="000000"/>
          <w:kern w:val="2"/>
          <w:sz w:val="24"/>
          <w:szCs w:val="24"/>
          <w:highlight w:val="none"/>
          <w:lang w:val="en-US" w:eastAsia="zh-CN"/>
        </w:rPr>
        <w:t>30</w:t>
      </w:r>
      <w:r>
        <w:rPr>
          <w:rFonts w:hint="eastAsia" w:ascii="宋体" w:cs="Times New Roman"/>
          <w:color w:val="000000"/>
          <w:kern w:val="2"/>
          <w:sz w:val="24"/>
          <w:szCs w:val="24"/>
          <w:highlight w:val="none"/>
          <w:lang w:val="zh-CN"/>
        </w:rPr>
        <w:t>至12:00，下午12:00至16:</w:t>
      </w:r>
      <w:r>
        <w:rPr>
          <w:rFonts w:hint="eastAsia" w:ascii="宋体" w:cs="Times New Roman"/>
          <w:color w:val="000000"/>
          <w:kern w:val="2"/>
          <w:sz w:val="24"/>
          <w:szCs w:val="24"/>
          <w:highlight w:val="none"/>
          <w:lang w:val="en-US" w:eastAsia="zh-CN"/>
        </w:rPr>
        <w:t>3</w:t>
      </w:r>
      <w:r>
        <w:rPr>
          <w:rFonts w:hint="eastAsia" w:ascii="宋体" w:cs="Times New Roman"/>
          <w:color w:val="000000"/>
          <w:kern w:val="2"/>
          <w:sz w:val="24"/>
          <w:szCs w:val="24"/>
          <w:highlight w:val="none"/>
          <w:lang w:val="zh-CN"/>
        </w:rPr>
        <w:t>0（北京时间，法定节假日除外）；</w:t>
      </w:r>
    </w:p>
    <w:p w14:paraId="5603BD78">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eastAsia="zh-CN"/>
        </w:rPr>
      </w:pPr>
      <w:r>
        <w:rPr>
          <w:rFonts w:hint="eastAsia" w:ascii="宋体" w:cs="Times New Roman"/>
          <w:color w:val="000000"/>
          <w:kern w:val="2"/>
          <w:sz w:val="24"/>
          <w:szCs w:val="24"/>
          <w:highlight w:val="none"/>
          <w:lang w:val="zh-CN" w:eastAsia="zh-CN"/>
        </w:rPr>
        <w:t>2.地点：政府采购云平台(网址：http:// www.zcygov.cn)；</w:t>
      </w:r>
    </w:p>
    <w:p w14:paraId="52B8C38B">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eastAsia="zh-CN"/>
        </w:rPr>
      </w:pPr>
      <w:r>
        <w:rPr>
          <w:rFonts w:hint="eastAsia" w:ascii="宋体" w:cs="Times New Roman"/>
          <w:color w:val="000000"/>
          <w:kern w:val="2"/>
          <w:sz w:val="24"/>
          <w:szCs w:val="24"/>
          <w:highlight w:val="none"/>
          <w:lang w:val="zh-CN" w:eastAsia="zh-CN"/>
        </w:rPr>
        <w:t>3.</w:t>
      </w:r>
      <w:r>
        <w:rPr>
          <w:rFonts w:hint="eastAsia" w:ascii="宋体" w:cs="Times New Roman"/>
          <w:color w:val="000000"/>
          <w:kern w:val="2"/>
          <w:sz w:val="24"/>
          <w:szCs w:val="24"/>
          <w:highlight w:val="none"/>
          <w:lang w:val="zh-CN"/>
        </w:rPr>
        <w:t>方式：</w:t>
      </w:r>
      <w:r>
        <w:rPr>
          <w:rFonts w:hint="eastAsia" w:ascii="宋体" w:cs="Times New Roman"/>
          <w:color w:val="000000"/>
          <w:kern w:val="2"/>
          <w:sz w:val="24"/>
          <w:szCs w:val="24"/>
          <w:highlight w:val="none"/>
          <w:lang w:val="zh-CN" w:eastAsia="zh-CN"/>
        </w:rPr>
        <w:t>投标人</w:t>
      </w:r>
      <w:r>
        <w:rPr>
          <w:rFonts w:hint="eastAsia" w:ascii="宋体" w:cs="Times New Roman"/>
          <w:color w:val="000000"/>
          <w:kern w:val="2"/>
          <w:sz w:val="24"/>
          <w:szCs w:val="24"/>
          <w:highlight w:val="none"/>
          <w:lang w:val="zh-CN"/>
        </w:rPr>
        <w:t>需自行登录“政采云”(网址：http://www.zcygov.cn)，进行注册(https://middle.zcygov.cn/v-settle-front/registry)并下载采购文件，其他途径获取的采购文件一律无效；</w:t>
      </w:r>
    </w:p>
    <w:p w14:paraId="0227BE23">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rPr>
      </w:pPr>
      <w:r>
        <w:rPr>
          <w:rFonts w:hint="eastAsia" w:ascii="宋体" w:cs="Times New Roman"/>
          <w:color w:val="000000"/>
          <w:kern w:val="2"/>
          <w:sz w:val="24"/>
          <w:szCs w:val="24"/>
          <w:highlight w:val="none"/>
          <w:lang w:val="zh-CN" w:eastAsia="zh-CN"/>
        </w:rPr>
        <w:t>4.售价：0元。</w:t>
      </w:r>
    </w:p>
    <w:p w14:paraId="2C5CD29A">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rPr>
      </w:pPr>
      <w:r>
        <w:rPr>
          <w:rFonts w:hint="eastAsia" w:ascii="宋体" w:cs="Times New Roman"/>
          <w:b/>
          <w:bCs/>
          <w:color w:val="000000"/>
          <w:kern w:val="2"/>
          <w:sz w:val="24"/>
          <w:szCs w:val="24"/>
          <w:highlight w:val="none"/>
          <w:lang w:val="zh-CN"/>
        </w:rPr>
        <w:t>四、提交投标文件截止时间、开标时间和地点</w:t>
      </w:r>
    </w:p>
    <w:p w14:paraId="31F650F2">
      <w:pPr>
        <w:pageBreakBefore w:val="0"/>
        <w:kinsoku/>
        <w:wordWrap w:val="0"/>
        <w:overflowPunct/>
        <w:bidi w:val="0"/>
        <w:spacing w:line="240" w:lineRule="auto"/>
        <w:ind w:firstLine="480" w:firstLineChars="200"/>
        <w:rPr>
          <w:rFonts w:hint="eastAsia" w:ascii="宋体" w:hAnsi="??" w:eastAsia="宋体" w:cs="Times New Roman"/>
          <w:color w:val="000000"/>
          <w:kern w:val="2"/>
          <w:sz w:val="24"/>
          <w:szCs w:val="24"/>
          <w:highlight w:val="none"/>
          <w:lang w:val="zh-CN" w:eastAsia="zh-CN" w:bidi="ar-SA"/>
        </w:rPr>
      </w:pPr>
      <w:r>
        <w:rPr>
          <w:rFonts w:hint="eastAsia" w:ascii="宋体" w:hAnsi="??" w:eastAsia="宋体" w:cs="Times New Roman"/>
          <w:color w:val="000000"/>
          <w:kern w:val="2"/>
          <w:sz w:val="24"/>
          <w:szCs w:val="24"/>
          <w:highlight w:val="none"/>
          <w:lang w:val="en-US" w:eastAsia="zh-CN" w:bidi="ar-SA"/>
        </w:rPr>
        <w:t>1.</w:t>
      </w:r>
      <w:r>
        <w:rPr>
          <w:rFonts w:hint="eastAsia" w:ascii="宋体" w:hAnsi="??" w:eastAsia="宋体" w:cs="Times New Roman"/>
          <w:color w:val="000000"/>
          <w:kern w:val="2"/>
          <w:sz w:val="24"/>
          <w:szCs w:val="24"/>
          <w:highlight w:val="none"/>
          <w:lang w:val="zh-CN" w:eastAsia="zh-CN" w:bidi="ar-SA"/>
        </w:rPr>
        <w:t>提交投标文件截止时间、开标时间：202</w:t>
      </w:r>
      <w:r>
        <w:rPr>
          <w:rFonts w:hint="eastAsia" w:ascii="宋体" w:hAnsi="??" w:eastAsia="宋体" w:cs="Times New Roman"/>
          <w:color w:val="000000"/>
          <w:kern w:val="2"/>
          <w:sz w:val="24"/>
          <w:szCs w:val="24"/>
          <w:highlight w:val="none"/>
          <w:lang w:val="en-US" w:eastAsia="zh-CN" w:bidi="ar-SA"/>
        </w:rPr>
        <w:t>6</w:t>
      </w:r>
      <w:r>
        <w:rPr>
          <w:rFonts w:hint="eastAsia" w:ascii="宋体" w:hAnsi="??" w:eastAsia="宋体" w:cs="Times New Roman"/>
          <w:color w:val="000000"/>
          <w:kern w:val="2"/>
          <w:sz w:val="24"/>
          <w:szCs w:val="24"/>
          <w:highlight w:val="none"/>
          <w:lang w:val="zh-CN" w:eastAsia="zh-CN" w:bidi="ar-SA"/>
        </w:rPr>
        <w:t>年</w:t>
      </w:r>
      <w:r>
        <w:rPr>
          <w:rFonts w:hint="eastAsia" w:ascii="宋体" w:hAnsi="??" w:cs="Times New Roman"/>
          <w:color w:val="000000"/>
          <w:kern w:val="2"/>
          <w:sz w:val="24"/>
          <w:szCs w:val="24"/>
          <w:highlight w:val="none"/>
          <w:lang w:val="en-US" w:eastAsia="zh-CN" w:bidi="ar-SA"/>
        </w:rPr>
        <w:t>07</w:t>
      </w:r>
      <w:r>
        <w:rPr>
          <w:rFonts w:hint="eastAsia" w:ascii="宋体" w:hAnsi="??" w:eastAsia="宋体" w:cs="Times New Roman"/>
          <w:color w:val="000000"/>
          <w:kern w:val="2"/>
          <w:sz w:val="24"/>
          <w:szCs w:val="24"/>
          <w:highlight w:val="none"/>
          <w:lang w:val="zh-CN" w:eastAsia="zh-CN" w:bidi="ar-SA"/>
        </w:rPr>
        <w:t>月</w:t>
      </w:r>
      <w:r>
        <w:rPr>
          <w:rFonts w:hint="eastAsia" w:ascii="宋体" w:hAnsi="??" w:cs="Times New Roman"/>
          <w:color w:val="000000"/>
          <w:kern w:val="2"/>
          <w:sz w:val="24"/>
          <w:szCs w:val="24"/>
          <w:highlight w:val="none"/>
          <w:lang w:val="en-US" w:eastAsia="zh-CN" w:bidi="ar-SA"/>
        </w:rPr>
        <w:t>13</w:t>
      </w:r>
      <w:r>
        <w:rPr>
          <w:rFonts w:hint="eastAsia" w:ascii="宋体" w:hAnsi="??" w:eastAsia="宋体" w:cs="Times New Roman"/>
          <w:color w:val="000000"/>
          <w:kern w:val="2"/>
          <w:sz w:val="24"/>
          <w:szCs w:val="24"/>
          <w:highlight w:val="none"/>
          <w:lang w:val="zh-CN" w:eastAsia="zh-CN" w:bidi="ar-SA"/>
        </w:rPr>
        <w:t>日</w:t>
      </w:r>
      <w:r>
        <w:rPr>
          <w:rFonts w:hint="eastAsia" w:ascii="宋体" w:hAnsi="??" w:cs="Times New Roman"/>
          <w:color w:val="000000"/>
          <w:kern w:val="2"/>
          <w:sz w:val="24"/>
          <w:szCs w:val="24"/>
          <w:highlight w:val="none"/>
          <w:lang w:val="en-US" w:eastAsia="zh-CN" w:bidi="ar-SA"/>
        </w:rPr>
        <w:t>13</w:t>
      </w:r>
      <w:r>
        <w:rPr>
          <w:rFonts w:hint="eastAsia" w:ascii="宋体" w:hAnsi="??" w:eastAsia="宋体" w:cs="Times New Roman"/>
          <w:color w:val="000000"/>
          <w:kern w:val="2"/>
          <w:sz w:val="24"/>
          <w:szCs w:val="24"/>
          <w:highlight w:val="none"/>
          <w:lang w:val="zh-CN" w:eastAsia="zh-CN" w:bidi="ar-SA"/>
        </w:rPr>
        <w:t>时</w:t>
      </w:r>
      <w:r>
        <w:rPr>
          <w:rFonts w:hint="eastAsia" w:ascii="宋体" w:hAnsi="??" w:cs="Times New Roman"/>
          <w:color w:val="000000"/>
          <w:kern w:val="2"/>
          <w:sz w:val="24"/>
          <w:szCs w:val="24"/>
          <w:highlight w:val="none"/>
          <w:lang w:val="en-US" w:eastAsia="zh-CN" w:bidi="ar-SA"/>
        </w:rPr>
        <w:t>0</w:t>
      </w:r>
      <w:r>
        <w:rPr>
          <w:rFonts w:hint="eastAsia" w:ascii="宋体" w:hAnsi="??" w:eastAsia="宋体" w:cs="Times New Roman"/>
          <w:color w:val="000000"/>
          <w:kern w:val="2"/>
          <w:sz w:val="24"/>
          <w:szCs w:val="24"/>
          <w:highlight w:val="none"/>
          <w:lang w:val="zh-CN" w:eastAsia="zh-CN" w:bidi="ar-SA"/>
        </w:rPr>
        <w:t>0分(北京时间)</w:t>
      </w:r>
    </w:p>
    <w:p w14:paraId="2E94ED9B">
      <w:pPr>
        <w:pStyle w:val="16"/>
        <w:pageBreakBefore w:val="0"/>
        <w:shd w:val="clear" w:color="auto" w:fill="FFFFFF"/>
        <w:kinsoku/>
        <w:wordWrap w:val="0"/>
        <w:overflowPunct/>
        <w:bidi w:val="0"/>
        <w:spacing w:before="0" w:beforeAutospacing="0" w:after="0" w:afterAutospacing="0" w:line="240" w:lineRule="auto"/>
        <w:ind w:firstLine="420"/>
        <w:jc w:val="both"/>
        <w:rPr>
          <w:rFonts w:hint="eastAsia" w:ascii="宋体" w:hAnsi="??" w:eastAsia="宋体" w:cs="Times New Roman"/>
          <w:color w:val="000000"/>
          <w:kern w:val="2"/>
          <w:sz w:val="24"/>
          <w:szCs w:val="24"/>
          <w:highlight w:val="none"/>
          <w:lang w:val="zh-CN" w:eastAsia="zh-CN" w:bidi="ar-SA"/>
        </w:rPr>
      </w:pPr>
      <w:r>
        <w:rPr>
          <w:rFonts w:hint="eastAsia" w:ascii="宋体" w:hAnsi="??" w:eastAsia="宋体" w:cs="Times New Roman"/>
          <w:color w:val="000000"/>
          <w:kern w:val="2"/>
          <w:sz w:val="24"/>
          <w:szCs w:val="24"/>
          <w:highlight w:val="none"/>
          <w:lang w:val="en-US" w:eastAsia="zh-CN" w:bidi="ar-SA"/>
        </w:rPr>
        <w:t>2.</w:t>
      </w:r>
      <w:r>
        <w:rPr>
          <w:rFonts w:hint="eastAsia" w:ascii="宋体" w:hAnsi="??" w:eastAsia="宋体" w:cs="Times New Roman"/>
          <w:color w:val="000000"/>
          <w:kern w:val="2"/>
          <w:sz w:val="24"/>
          <w:szCs w:val="24"/>
          <w:highlight w:val="none"/>
          <w:lang w:val="zh-CN" w:eastAsia="zh-CN" w:bidi="ar-SA"/>
        </w:rPr>
        <w:t>地点：长春新区政务服务中心公共资源交易大厅（龙湖大路5799号）</w:t>
      </w:r>
      <w:r>
        <w:rPr>
          <w:rFonts w:hint="eastAsia" w:ascii="宋体" w:hAnsi="??" w:eastAsia="宋体" w:cs="Times New Roman"/>
          <w:color w:val="000000"/>
          <w:kern w:val="2"/>
          <w:sz w:val="24"/>
          <w:szCs w:val="24"/>
          <w:highlight w:val="none"/>
          <w:lang w:val="en-US" w:eastAsia="zh-CN" w:bidi="ar-SA"/>
        </w:rPr>
        <w:t>二</w:t>
      </w:r>
      <w:r>
        <w:rPr>
          <w:rFonts w:hint="eastAsia" w:ascii="宋体" w:hAnsi="??" w:eastAsia="宋体" w:cs="Times New Roman"/>
          <w:color w:val="000000"/>
          <w:kern w:val="2"/>
          <w:sz w:val="24"/>
          <w:szCs w:val="24"/>
          <w:highlight w:val="none"/>
          <w:lang w:val="zh-CN" w:eastAsia="zh-CN" w:bidi="ar-SA"/>
        </w:rPr>
        <w:t>楼B2</w:t>
      </w:r>
      <w:r>
        <w:rPr>
          <w:rFonts w:hint="eastAsia" w:ascii="宋体" w:cs="Times New Roman"/>
          <w:color w:val="000000"/>
          <w:kern w:val="2"/>
          <w:sz w:val="24"/>
          <w:szCs w:val="24"/>
          <w:highlight w:val="none"/>
          <w:lang w:val="en-US" w:eastAsia="zh-CN" w:bidi="ar-SA"/>
        </w:rPr>
        <w:t>17</w:t>
      </w:r>
      <w:r>
        <w:rPr>
          <w:rFonts w:hint="eastAsia" w:ascii="宋体" w:hAnsi="??" w:eastAsia="宋体" w:cs="Times New Roman"/>
          <w:color w:val="000000"/>
          <w:kern w:val="2"/>
          <w:sz w:val="24"/>
          <w:szCs w:val="24"/>
          <w:highlight w:val="none"/>
          <w:lang w:val="zh-CN" w:eastAsia="zh-CN" w:bidi="ar-SA"/>
        </w:rPr>
        <w:t>开标室</w:t>
      </w:r>
      <w:r>
        <w:rPr>
          <w:rFonts w:hint="eastAsia" w:ascii="宋体" w:hAnsi="??" w:eastAsia="宋体" w:cs="Times New Roman"/>
          <w:color w:val="000000"/>
          <w:kern w:val="2"/>
          <w:sz w:val="24"/>
          <w:szCs w:val="24"/>
          <w:highlight w:val="none"/>
          <w:lang w:val="en-US" w:eastAsia="zh-CN" w:bidi="ar-SA"/>
        </w:rPr>
        <w:t>,</w:t>
      </w:r>
      <w:r>
        <w:rPr>
          <w:rFonts w:hint="eastAsia" w:ascii="宋体" w:hAnsi="??" w:eastAsia="宋体" w:cs="Times New Roman"/>
          <w:color w:val="000000"/>
          <w:kern w:val="2"/>
          <w:sz w:val="24"/>
          <w:szCs w:val="24"/>
          <w:highlight w:val="none"/>
          <w:lang w:val="zh-CN" w:eastAsia="zh-CN" w:bidi="ar-SA"/>
        </w:rPr>
        <w:t>本项目执行电子化招投标，</w:t>
      </w:r>
      <w:r>
        <w:rPr>
          <w:rFonts w:hint="eastAsia" w:ascii="宋体" w:hAnsi="??" w:eastAsia="宋体" w:cs="Times New Roman"/>
          <w:color w:val="000000"/>
          <w:kern w:val="2"/>
          <w:sz w:val="24"/>
          <w:szCs w:val="24"/>
          <w:highlight w:val="none"/>
          <w:lang w:val="en-US" w:eastAsia="zh-CN" w:bidi="ar-SA"/>
        </w:rPr>
        <w:t>投标人</w:t>
      </w:r>
      <w:r>
        <w:rPr>
          <w:rFonts w:hint="eastAsia" w:ascii="宋体" w:hAnsi="??" w:eastAsia="宋体" w:cs="Times New Roman"/>
          <w:color w:val="000000"/>
          <w:kern w:val="2"/>
          <w:sz w:val="24"/>
          <w:szCs w:val="24"/>
          <w:highlight w:val="none"/>
          <w:lang w:val="zh-CN" w:eastAsia="zh-CN" w:bidi="ar-SA"/>
        </w:rPr>
        <w:t>无需现场出席，须通过政府采购云平台(网址：http://www.zcygov.cn)递交电子版</w:t>
      </w:r>
      <w:r>
        <w:rPr>
          <w:rFonts w:hint="eastAsia" w:ascii="宋体" w:hAnsi="??" w:eastAsia="宋体" w:cs="Times New Roman"/>
          <w:color w:val="000000"/>
          <w:kern w:val="2"/>
          <w:sz w:val="24"/>
          <w:szCs w:val="24"/>
          <w:highlight w:val="none"/>
          <w:lang w:val="en-US" w:eastAsia="zh-CN" w:bidi="ar-SA"/>
        </w:rPr>
        <w:t>投标</w:t>
      </w:r>
      <w:r>
        <w:rPr>
          <w:rFonts w:hint="eastAsia" w:ascii="宋体" w:hAnsi="??" w:eastAsia="宋体" w:cs="Times New Roman"/>
          <w:color w:val="000000"/>
          <w:kern w:val="2"/>
          <w:sz w:val="24"/>
          <w:szCs w:val="24"/>
          <w:highlight w:val="none"/>
          <w:lang w:val="zh-CN" w:eastAsia="zh-CN" w:bidi="ar-SA"/>
        </w:rPr>
        <w:t>文件。</w:t>
      </w:r>
    </w:p>
    <w:p w14:paraId="47BCB6F7">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rPr>
      </w:pPr>
      <w:r>
        <w:rPr>
          <w:rFonts w:hint="eastAsia" w:ascii="宋体" w:cs="Times New Roman"/>
          <w:b/>
          <w:bCs/>
          <w:color w:val="000000"/>
          <w:kern w:val="2"/>
          <w:sz w:val="24"/>
          <w:szCs w:val="24"/>
          <w:highlight w:val="none"/>
          <w:lang w:val="zh-CN"/>
        </w:rPr>
        <w:t>五、公告期限</w:t>
      </w:r>
    </w:p>
    <w:p w14:paraId="5BBE832F">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rPr>
      </w:pPr>
      <w:r>
        <w:rPr>
          <w:rFonts w:hint="default" w:ascii="宋体" w:cs="Times New Roman"/>
          <w:color w:val="000000"/>
          <w:kern w:val="2"/>
          <w:sz w:val="24"/>
          <w:szCs w:val="24"/>
          <w:highlight w:val="none"/>
          <w:lang w:val="en-US" w:eastAsia="zh-CN"/>
        </w:rPr>
        <w:t>自本公告发布之日起</w:t>
      </w:r>
      <w:r>
        <w:rPr>
          <w:rFonts w:hint="eastAsia" w:ascii="宋体" w:cs="Times New Roman"/>
          <w:color w:val="000000"/>
          <w:kern w:val="2"/>
          <w:sz w:val="24"/>
          <w:szCs w:val="24"/>
          <w:highlight w:val="none"/>
          <w:lang w:val="en-US" w:eastAsia="zh-CN"/>
        </w:rPr>
        <w:t>5</w:t>
      </w:r>
      <w:r>
        <w:rPr>
          <w:rFonts w:hint="default" w:ascii="宋体" w:cs="Times New Roman"/>
          <w:color w:val="000000"/>
          <w:kern w:val="2"/>
          <w:sz w:val="24"/>
          <w:szCs w:val="24"/>
          <w:highlight w:val="none"/>
          <w:lang w:val="en-US" w:eastAsia="zh-CN"/>
        </w:rPr>
        <w:t>个工作日</w:t>
      </w:r>
      <w:r>
        <w:rPr>
          <w:rFonts w:hint="eastAsia" w:ascii="宋体" w:cs="Times New Roman"/>
          <w:color w:val="000000"/>
          <w:kern w:val="2"/>
          <w:sz w:val="24"/>
          <w:szCs w:val="24"/>
          <w:highlight w:val="none"/>
          <w:lang w:val="zh-CN"/>
        </w:rPr>
        <w:t>。</w:t>
      </w:r>
    </w:p>
    <w:p w14:paraId="345A58C4">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b/>
          <w:bCs/>
          <w:color w:val="000000"/>
          <w:kern w:val="2"/>
          <w:sz w:val="24"/>
          <w:szCs w:val="24"/>
          <w:highlight w:val="none"/>
          <w:lang w:val="zh-CN"/>
        </w:rPr>
      </w:pPr>
      <w:r>
        <w:rPr>
          <w:rFonts w:hint="eastAsia" w:ascii="宋体" w:cs="Times New Roman"/>
          <w:b/>
          <w:bCs/>
          <w:color w:val="000000"/>
          <w:kern w:val="2"/>
          <w:sz w:val="24"/>
          <w:szCs w:val="24"/>
          <w:highlight w:val="none"/>
          <w:lang w:val="zh-CN"/>
        </w:rPr>
        <w:t>六、其他补充事宜</w:t>
      </w:r>
    </w:p>
    <w:p w14:paraId="35486F6A">
      <w:pPr>
        <w:pStyle w:val="16"/>
        <w:pageBreakBefore w:val="0"/>
        <w:shd w:val="clear" w:color="auto"/>
        <w:kinsoku/>
        <w:wordWrap w:val="0"/>
        <w:overflowPunct/>
        <w:bidi w:val="0"/>
        <w:spacing w:before="0" w:beforeAutospacing="0" w:after="0" w:afterAutospacing="0" w:line="240" w:lineRule="auto"/>
        <w:ind w:firstLine="420"/>
        <w:jc w:val="both"/>
        <w:rPr>
          <w:rFonts w:hint="eastAsia" w:ascii="宋体" w:cs="Times New Roman"/>
          <w:color w:val="000000"/>
          <w:kern w:val="2"/>
          <w:sz w:val="24"/>
          <w:szCs w:val="24"/>
          <w:highlight w:val="none"/>
          <w:lang w:val="zh-CN"/>
        </w:rPr>
      </w:pPr>
      <w:r>
        <w:rPr>
          <w:rFonts w:hint="eastAsia" w:ascii="宋体" w:cs="Times New Roman"/>
          <w:color w:val="000000"/>
          <w:kern w:val="2"/>
          <w:sz w:val="24"/>
          <w:szCs w:val="24"/>
          <w:highlight w:val="none"/>
          <w:lang w:val="zh-CN"/>
        </w:rPr>
        <w:t>本次公告在”政采云”平台（http:// www.zcygov.cn）发布，并由“政采云”平台(http：// www.zcygov.cn)同步推送至《吉林省政府采购网》、《长春市公共资源交易网》、《中国政府采购网》。</w:t>
      </w:r>
    </w:p>
    <w:p w14:paraId="6D1FD7D3">
      <w:pPr>
        <w:pageBreakBefore w:val="0"/>
        <w:shd w:val="clear"/>
        <w:kinsoku/>
        <w:wordWrap w:val="0"/>
        <w:overflowPunct/>
        <w:bidi w:val="0"/>
        <w:spacing w:line="240" w:lineRule="auto"/>
        <w:ind w:firstLine="482" w:firstLineChars="200"/>
        <w:rPr>
          <w:rFonts w:hint="eastAsia" w:ascii="宋体"/>
          <w:b/>
          <w:color w:val="000000"/>
          <w:sz w:val="24"/>
          <w:szCs w:val="24"/>
          <w:highlight w:val="none"/>
        </w:rPr>
      </w:pPr>
      <w:r>
        <w:rPr>
          <w:rFonts w:hint="eastAsia" w:ascii="宋体"/>
          <w:b/>
          <w:color w:val="000000"/>
          <w:sz w:val="24"/>
          <w:szCs w:val="24"/>
          <w:highlight w:val="none"/>
        </w:rPr>
        <w:t>七、对本次招标提出询问，请按以下方式联系</w:t>
      </w:r>
      <w:bookmarkEnd w:id="10"/>
      <w:bookmarkEnd w:id="11"/>
      <w:bookmarkEnd w:id="12"/>
      <w:bookmarkEnd w:id="13"/>
    </w:p>
    <w:p w14:paraId="7D3978D1">
      <w:pPr>
        <w:pageBreakBefore w:val="0"/>
        <w:kinsoku/>
        <w:wordWrap w:val="0"/>
        <w:overflowPunct/>
        <w:bidi w:val="0"/>
        <w:spacing w:line="240" w:lineRule="auto"/>
        <w:ind w:firstLine="480" w:firstLineChars="200"/>
        <w:rPr>
          <w:rFonts w:hint="eastAsia" w:ascii="宋体"/>
          <w:color w:val="000000"/>
          <w:sz w:val="24"/>
          <w:szCs w:val="24"/>
          <w:highlight w:val="none"/>
        </w:rPr>
      </w:pPr>
      <w:r>
        <w:rPr>
          <w:rFonts w:hint="eastAsia" w:ascii="宋体"/>
          <w:color w:val="000000"/>
          <w:sz w:val="24"/>
          <w:szCs w:val="24"/>
          <w:highlight w:val="none"/>
        </w:rPr>
        <w:t>1.采购人信息</w:t>
      </w:r>
    </w:p>
    <w:p w14:paraId="04126F95">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名 称：长春新区教育局</w:t>
      </w:r>
    </w:p>
    <w:p w14:paraId="5EED6CDA">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地 址：长春市龙湖大路5799号</w:t>
      </w:r>
    </w:p>
    <w:p w14:paraId="73671D51">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eastAsia="zh-CN"/>
        </w:rPr>
      </w:pPr>
      <w:r>
        <w:rPr>
          <w:rFonts w:hint="eastAsia" w:ascii="宋体" w:eastAsia="宋体"/>
          <w:color w:val="000000"/>
          <w:sz w:val="24"/>
          <w:szCs w:val="24"/>
          <w:highlight w:val="none"/>
          <w:lang w:val="zh-CN"/>
        </w:rPr>
        <w:t>联系方式：</w:t>
      </w:r>
      <w:r>
        <w:rPr>
          <w:rFonts w:hint="eastAsia" w:ascii="宋体" w:eastAsia="宋体"/>
          <w:color w:val="000000"/>
          <w:sz w:val="24"/>
          <w:szCs w:val="24"/>
          <w:highlight w:val="none"/>
          <w:lang w:val="zh-CN" w:eastAsia="zh-CN"/>
        </w:rPr>
        <w:t>张</w:t>
      </w:r>
      <w:r>
        <w:rPr>
          <w:rFonts w:hint="eastAsia" w:ascii="宋体" w:eastAsia="宋体"/>
          <w:color w:val="000000"/>
          <w:sz w:val="24"/>
          <w:szCs w:val="24"/>
          <w:highlight w:val="none"/>
          <w:lang w:val="zh-CN"/>
        </w:rPr>
        <w:t>先生0431-8</w:t>
      </w:r>
      <w:r>
        <w:rPr>
          <w:rFonts w:hint="eastAsia" w:ascii="宋体" w:eastAsia="宋体"/>
          <w:color w:val="000000"/>
          <w:sz w:val="24"/>
          <w:szCs w:val="24"/>
          <w:highlight w:val="none"/>
          <w:lang w:val="zh-CN" w:eastAsia="zh-CN"/>
        </w:rPr>
        <w:t>2538548</w:t>
      </w:r>
    </w:p>
    <w:p w14:paraId="38EB1063">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2.采购代理机构信息</w:t>
      </w:r>
    </w:p>
    <w:p w14:paraId="02EFEA47">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eastAsia="zh-CN"/>
        </w:rPr>
      </w:pPr>
      <w:r>
        <w:rPr>
          <w:rFonts w:hint="eastAsia" w:ascii="宋体" w:eastAsia="宋体"/>
          <w:color w:val="000000"/>
          <w:sz w:val="24"/>
          <w:szCs w:val="24"/>
          <w:highlight w:val="none"/>
          <w:lang w:val="zh-CN" w:eastAsia="zh-CN"/>
        </w:rPr>
        <w:t>名    称：</w:t>
      </w:r>
      <w:r>
        <w:rPr>
          <w:rFonts w:hint="eastAsia" w:ascii="宋体"/>
          <w:color w:val="000000"/>
          <w:sz w:val="24"/>
          <w:szCs w:val="24"/>
          <w:highlight w:val="none"/>
          <w:lang w:val="zh-CN" w:eastAsia="zh-CN"/>
        </w:rPr>
        <w:t>吉林省中翔项目管理有限公司</w:t>
      </w:r>
    </w:p>
    <w:p w14:paraId="5A41B7C9">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eastAsia="zh-CN"/>
        </w:rPr>
      </w:pPr>
      <w:r>
        <w:rPr>
          <w:rFonts w:hint="eastAsia" w:ascii="宋体" w:eastAsia="宋体"/>
          <w:color w:val="000000"/>
          <w:sz w:val="24"/>
          <w:szCs w:val="24"/>
          <w:highlight w:val="none"/>
          <w:lang w:val="zh-CN" w:eastAsia="zh-CN"/>
        </w:rPr>
        <w:t>地　　址：</w:t>
      </w:r>
      <w:r>
        <w:rPr>
          <w:rFonts w:hint="eastAsia" w:ascii="宋体" w:hAnsi="宋体" w:eastAsia="宋体" w:cs="宋体"/>
          <w:b w:val="0"/>
          <w:bCs w:val="0"/>
          <w:color w:val="auto"/>
          <w:sz w:val="24"/>
          <w:szCs w:val="24"/>
          <w:highlight w:val="none"/>
          <w:lang w:val="zh-CN" w:eastAsia="zh-CN"/>
        </w:rPr>
        <w:t>吉林省长春市南关区人民大街7350号</w:t>
      </w:r>
    </w:p>
    <w:p w14:paraId="2BCD328C">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eastAsia="zh-CN"/>
        </w:rPr>
      </w:pPr>
      <w:r>
        <w:rPr>
          <w:rFonts w:hint="eastAsia" w:ascii="宋体" w:eastAsia="宋体"/>
          <w:color w:val="000000"/>
          <w:sz w:val="24"/>
          <w:szCs w:val="24"/>
          <w:highlight w:val="none"/>
          <w:lang w:val="zh-CN" w:eastAsia="zh-CN"/>
        </w:rPr>
        <w:t>联系方式：15844020453（办公电话）</w:t>
      </w:r>
    </w:p>
    <w:p w14:paraId="07428288">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3.项目联系方式</w:t>
      </w:r>
    </w:p>
    <w:p w14:paraId="02B12D81">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项目联系人：</w:t>
      </w:r>
      <w:r>
        <w:rPr>
          <w:rFonts w:hint="eastAsia" w:ascii="宋体" w:eastAsia="宋体"/>
          <w:color w:val="000000"/>
          <w:sz w:val="24"/>
          <w:szCs w:val="24"/>
          <w:highlight w:val="none"/>
          <w:lang w:val="zh-CN" w:eastAsia="zh-CN"/>
        </w:rPr>
        <w:t>宋廷帮</w:t>
      </w:r>
    </w:p>
    <w:p w14:paraId="2D814E6E">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电</w:t>
      </w:r>
      <w:r>
        <w:rPr>
          <w:rFonts w:hint="eastAsia" w:ascii="宋体" w:eastAsia="宋体"/>
          <w:color w:val="000000"/>
          <w:sz w:val="24"/>
          <w:szCs w:val="24"/>
          <w:highlight w:val="none"/>
          <w:lang w:val="en-US" w:eastAsia="zh-CN"/>
        </w:rPr>
        <w:t xml:space="preserve">    </w:t>
      </w:r>
      <w:r>
        <w:rPr>
          <w:rFonts w:hint="eastAsia" w:ascii="宋体" w:eastAsia="宋体"/>
          <w:color w:val="000000"/>
          <w:sz w:val="24"/>
          <w:szCs w:val="24"/>
          <w:highlight w:val="none"/>
          <w:lang w:val="zh-CN"/>
        </w:rPr>
        <w:t>话：</w:t>
      </w:r>
      <w:r>
        <w:rPr>
          <w:rFonts w:hint="eastAsia" w:ascii="宋体" w:eastAsia="宋体"/>
          <w:color w:val="000000"/>
          <w:sz w:val="24"/>
          <w:szCs w:val="24"/>
          <w:highlight w:val="none"/>
          <w:lang w:val="zh-CN" w:eastAsia="zh-CN"/>
        </w:rPr>
        <w:t>15844020453（办公电话）</w:t>
      </w:r>
    </w:p>
    <w:p w14:paraId="7C33F96F">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4.监督机构：长春新区财政局政府采购管理办公室</w:t>
      </w:r>
    </w:p>
    <w:p w14:paraId="1D235D6F">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地    址：长春市龙湖大路5799号</w:t>
      </w:r>
    </w:p>
    <w:p w14:paraId="60AF98CE">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联系方式：0431-81335709</w:t>
      </w:r>
    </w:p>
    <w:p w14:paraId="118A7189">
      <w:pPr>
        <w:pageBreakBefore w:val="0"/>
        <w:kinsoku/>
        <w:wordWrap w:val="0"/>
        <w:overflowPunct/>
        <w:bidi w:val="0"/>
        <w:spacing w:line="240" w:lineRule="auto"/>
        <w:ind w:firstLine="480" w:firstLineChars="200"/>
        <w:rPr>
          <w:rFonts w:hint="eastAsia" w:ascii="宋体" w:eastAsia="宋体"/>
          <w:color w:val="000000"/>
          <w:sz w:val="24"/>
          <w:szCs w:val="24"/>
          <w:highlight w:val="none"/>
          <w:lang w:val="zh-CN"/>
        </w:rPr>
      </w:pPr>
      <w:r>
        <w:rPr>
          <w:rFonts w:hint="eastAsia" w:ascii="宋体" w:eastAsia="宋体"/>
          <w:color w:val="000000"/>
          <w:sz w:val="24"/>
          <w:szCs w:val="24"/>
          <w:highlight w:val="none"/>
          <w:lang w:val="zh-CN"/>
        </w:rPr>
        <w:t>投诉方式：书面投诉</w:t>
      </w:r>
    </w:p>
    <w:p w14:paraId="4F8A9AA3">
      <w:pPr>
        <w:pageBreakBefore w:val="0"/>
        <w:kinsoku/>
        <w:wordWrap w:val="0"/>
        <w:overflowPunct/>
        <w:bidi w:val="0"/>
        <w:spacing w:line="240" w:lineRule="auto"/>
        <w:ind w:firstLine="480" w:firstLineChars="200"/>
        <w:rPr>
          <w:rFonts w:hint="eastAsia" w:ascii="宋体" w:eastAsia="宋体"/>
          <w:color w:val="000000"/>
          <w:sz w:val="24"/>
          <w:szCs w:val="24"/>
          <w:highlight w:val="none"/>
        </w:rPr>
      </w:pPr>
      <w:r>
        <w:rPr>
          <w:rFonts w:hint="eastAsia" w:ascii="宋体" w:eastAsia="宋体"/>
          <w:color w:val="000000"/>
          <w:sz w:val="24"/>
          <w:szCs w:val="24"/>
          <w:highlight w:val="none"/>
          <w:lang w:val="zh-CN"/>
        </w:rPr>
        <w:t>5.“政采数金平台”联系电话：0431-81888992/81888798</w:t>
      </w:r>
    </w:p>
    <w:p w14:paraId="2B11C501">
      <w:pPr>
        <w:pStyle w:val="2"/>
        <w:pageBreakBefore w:val="0"/>
        <w:kinsoku/>
        <w:wordWrap w:val="0"/>
        <w:overflowPunct/>
        <w:bidi w:val="0"/>
        <w:spacing w:before="0" w:after="0" w:line="360" w:lineRule="auto"/>
        <w:jc w:val="center"/>
        <w:rPr>
          <w:color w:val="000000"/>
          <w:highlight w:val="none"/>
        </w:rPr>
      </w:pPr>
      <w:r>
        <w:rPr>
          <w:rFonts w:hint="eastAsia" w:ascii="宋体"/>
          <w:color w:val="000000"/>
          <w:sz w:val="24"/>
          <w:highlight w:val="none"/>
        </w:rPr>
        <w:br w:type="page"/>
      </w:r>
      <w:bookmarkStart w:id="14" w:name="_Toc27449"/>
      <w:bookmarkStart w:id="15" w:name="_Toc54891393"/>
      <w:bookmarkStart w:id="16" w:name="_Toc17521"/>
      <w:r>
        <w:rPr>
          <w:rFonts w:hint="eastAsia"/>
          <w:color w:val="000000"/>
          <w:highlight w:val="none"/>
        </w:rPr>
        <w:t>第二章  供应商须知</w:t>
      </w:r>
      <w:bookmarkEnd w:id="14"/>
      <w:bookmarkEnd w:id="15"/>
      <w:bookmarkEnd w:id="16"/>
    </w:p>
    <w:p w14:paraId="71EF5638">
      <w:pPr>
        <w:bidi w:val="0"/>
        <w:rPr>
          <w:b/>
          <w:bCs/>
          <w:sz w:val="22"/>
          <w:szCs w:val="28"/>
        </w:rPr>
      </w:pPr>
      <w:r>
        <w:rPr>
          <w:rFonts w:hint="eastAsia"/>
          <w:b/>
          <w:bCs/>
          <w:sz w:val="22"/>
          <w:szCs w:val="28"/>
        </w:rPr>
        <w:t>一、供应商须知前附表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6"/>
        <w:gridCol w:w="6687"/>
      </w:tblGrid>
      <w:tr w14:paraId="20EC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865" w:type="dxa"/>
            <w:noWrap w:val="0"/>
            <w:vAlign w:val="center"/>
          </w:tcPr>
          <w:p w14:paraId="6B499E16">
            <w:pPr>
              <w:jc w:val="center"/>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rPr>
              <w:t>序号</w:t>
            </w:r>
          </w:p>
        </w:tc>
        <w:tc>
          <w:tcPr>
            <w:tcW w:w="2146" w:type="dxa"/>
            <w:noWrap w:val="0"/>
            <w:vAlign w:val="center"/>
          </w:tcPr>
          <w:p w14:paraId="634FA580">
            <w:pPr>
              <w:jc w:val="center"/>
              <w:rPr>
                <w:rFonts w:hint="eastAsia" w:ascii="宋体" w:hAnsi="宋体" w:eastAsia="宋体" w:cs="宋体"/>
                <w:b/>
                <w:bCs/>
                <w:sz w:val="21"/>
                <w:szCs w:val="21"/>
                <w:lang w:val="zh-CN" w:eastAsia="zh-CN"/>
              </w:rPr>
            </w:pPr>
            <w:r>
              <w:rPr>
                <w:rFonts w:hint="eastAsia" w:ascii="宋体" w:hAnsi="宋体" w:eastAsia="宋体" w:cs="宋体"/>
                <w:b/>
                <w:bCs/>
                <w:sz w:val="21"/>
                <w:szCs w:val="21"/>
              </w:rPr>
              <w:t>名称</w:t>
            </w:r>
          </w:p>
        </w:tc>
        <w:tc>
          <w:tcPr>
            <w:tcW w:w="6687" w:type="dxa"/>
            <w:noWrap w:val="0"/>
            <w:vAlign w:val="center"/>
          </w:tcPr>
          <w:p w14:paraId="1E82B30E">
            <w:pPr>
              <w:jc w:val="center"/>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rPr>
              <w:t>内容</w:t>
            </w:r>
          </w:p>
        </w:tc>
      </w:tr>
      <w:tr w14:paraId="6D2C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51EC395D">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1.1.2</w:t>
            </w:r>
          </w:p>
        </w:tc>
        <w:tc>
          <w:tcPr>
            <w:tcW w:w="2146" w:type="dxa"/>
            <w:noWrap w:val="0"/>
            <w:vAlign w:val="center"/>
          </w:tcPr>
          <w:p w14:paraId="1CBD771D">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采购人</w:t>
            </w:r>
          </w:p>
        </w:tc>
        <w:tc>
          <w:tcPr>
            <w:tcW w:w="6687" w:type="dxa"/>
            <w:noWrap w:val="0"/>
            <w:vAlign w:val="center"/>
          </w:tcPr>
          <w:p w14:paraId="66258E78">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采 购 人</w:t>
            </w:r>
            <w:r>
              <w:rPr>
                <w:rFonts w:hint="eastAsia" w:ascii="宋体" w:hAnsi="宋体" w:eastAsia="宋体" w:cs="宋体"/>
                <w:sz w:val="21"/>
                <w:szCs w:val="21"/>
                <w:lang w:val="zh-CN" w:eastAsia="zh-CN"/>
              </w:rPr>
              <w:t>：长春新区教育局</w:t>
            </w:r>
          </w:p>
          <w:p w14:paraId="4AE3C872">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地    址：长春市龙湖大路5799号</w:t>
            </w:r>
          </w:p>
          <w:p w14:paraId="39C79E60">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联系方式：张先生0431-82538548</w:t>
            </w:r>
          </w:p>
        </w:tc>
      </w:tr>
      <w:tr w14:paraId="667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24F93995">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1.1.3</w:t>
            </w:r>
          </w:p>
        </w:tc>
        <w:tc>
          <w:tcPr>
            <w:tcW w:w="2146" w:type="dxa"/>
            <w:noWrap w:val="0"/>
            <w:vAlign w:val="center"/>
          </w:tcPr>
          <w:p w14:paraId="16808FE2">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采购代理机构</w:t>
            </w:r>
          </w:p>
        </w:tc>
        <w:tc>
          <w:tcPr>
            <w:tcW w:w="6687" w:type="dxa"/>
            <w:noWrap w:val="0"/>
            <w:vAlign w:val="center"/>
          </w:tcPr>
          <w:p w14:paraId="1470D2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称：吉林省中翔项目管理有限公司</w:t>
            </w:r>
          </w:p>
          <w:p w14:paraId="0CDA6D6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eastAsia="宋体" w:cs="宋体"/>
                <w:sz w:val="21"/>
                <w:szCs w:val="21"/>
                <w:lang w:val="zh-CN" w:eastAsia="zh-CN"/>
              </w:rPr>
              <w:t>吉林省长春市南关区人民大街7350号</w:t>
            </w:r>
          </w:p>
          <w:p w14:paraId="3BF394C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eastAsia="宋体" w:cs="宋体"/>
                <w:sz w:val="21"/>
                <w:szCs w:val="21"/>
                <w:lang w:val="zh-CN" w:eastAsia="zh-CN"/>
              </w:rPr>
              <w:t>宋廷帮</w:t>
            </w:r>
          </w:p>
          <w:p w14:paraId="343C61FB">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电  话：15844020453（办公电话）</w:t>
            </w:r>
          </w:p>
        </w:tc>
      </w:tr>
      <w:tr w14:paraId="7658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5" w:type="dxa"/>
            <w:noWrap w:val="0"/>
            <w:vAlign w:val="center"/>
          </w:tcPr>
          <w:p w14:paraId="6139FAFE">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1.1.4</w:t>
            </w:r>
          </w:p>
        </w:tc>
        <w:tc>
          <w:tcPr>
            <w:tcW w:w="2146" w:type="dxa"/>
            <w:noWrap w:val="0"/>
            <w:vAlign w:val="center"/>
          </w:tcPr>
          <w:p w14:paraId="6634C9B7">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项目名称及项目编号</w:t>
            </w:r>
          </w:p>
        </w:tc>
        <w:tc>
          <w:tcPr>
            <w:tcW w:w="6687" w:type="dxa"/>
            <w:noWrap w:val="0"/>
            <w:vAlign w:val="center"/>
          </w:tcPr>
          <w:p w14:paraId="4E031AA2">
            <w:pPr>
              <w:rPr>
                <w:rFonts w:hint="eastAsia" w:ascii="宋体" w:hAnsi="宋体" w:eastAsia="宋体" w:cs="宋体"/>
                <w:sz w:val="21"/>
                <w:szCs w:val="21"/>
                <w:lang w:val="zh-CN" w:eastAsia="zh-Hans"/>
              </w:rPr>
            </w:pPr>
            <w:r>
              <w:rPr>
                <w:rFonts w:hint="eastAsia" w:ascii="宋体" w:hAnsi="宋体" w:eastAsia="宋体" w:cs="宋体"/>
                <w:sz w:val="21"/>
                <w:szCs w:val="21"/>
                <w:lang w:val="zh-CN" w:eastAsia="zh-Hans"/>
              </w:rPr>
              <w:t>项目名称：</w:t>
            </w:r>
            <w:r>
              <w:rPr>
                <w:rFonts w:hint="eastAsia" w:ascii="宋体" w:cs="Times New Roman"/>
                <w:color w:val="000000"/>
                <w:kern w:val="2"/>
                <w:sz w:val="21"/>
                <w:szCs w:val="21"/>
                <w:highlight w:val="none"/>
                <w:shd w:val="clear" w:color="auto" w:fill="auto"/>
                <w:lang w:val="zh-CN"/>
              </w:rPr>
              <w:t>长春新区教育局学校计算机教室采购项目</w:t>
            </w:r>
          </w:p>
          <w:p w14:paraId="4421D4E1">
            <w:pPr>
              <w:rPr>
                <w:rFonts w:hint="eastAsia" w:ascii="宋体" w:hAnsi="宋体" w:eastAsia="宋体" w:cs="宋体"/>
                <w:sz w:val="21"/>
                <w:szCs w:val="21"/>
                <w:lang w:val="zh-CN" w:eastAsia="zh-CN"/>
              </w:rPr>
            </w:pPr>
            <w:r>
              <w:rPr>
                <w:rFonts w:hint="eastAsia" w:ascii="宋体" w:hAnsi="宋体" w:eastAsia="宋体" w:cs="宋体"/>
                <w:sz w:val="21"/>
                <w:szCs w:val="21"/>
                <w:highlight w:val="none"/>
                <w:lang w:val="zh-CN" w:eastAsia="zh-Hans"/>
              </w:rPr>
              <w:t>项目编号：XQZC2026-037</w:t>
            </w:r>
          </w:p>
        </w:tc>
      </w:tr>
      <w:tr w14:paraId="1497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48BC81BC">
            <w:pPr>
              <w:jc w:val="center"/>
              <w:rPr>
                <w:rFonts w:hint="eastAsia" w:ascii="宋体" w:hAnsi="宋体" w:eastAsia="宋体" w:cs="宋体"/>
                <w:sz w:val="21"/>
                <w:szCs w:val="21"/>
                <w:lang w:val="zh-CN" w:eastAsia="zh-CN"/>
              </w:rPr>
            </w:pPr>
            <w:r>
              <w:rPr>
                <w:rFonts w:hint="eastAsia" w:ascii="宋体" w:hAnsi="宋体" w:eastAsia="宋体" w:cs="宋体"/>
                <w:sz w:val="21"/>
                <w:szCs w:val="21"/>
              </w:rPr>
              <w:t>1.2.1</w:t>
            </w:r>
          </w:p>
        </w:tc>
        <w:tc>
          <w:tcPr>
            <w:tcW w:w="2146" w:type="dxa"/>
            <w:noWrap w:val="0"/>
            <w:vAlign w:val="center"/>
          </w:tcPr>
          <w:p w14:paraId="609F805D">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rPr>
              <w:t>资金来源</w:t>
            </w:r>
          </w:p>
        </w:tc>
        <w:tc>
          <w:tcPr>
            <w:tcW w:w="6687" w:type="dxa"/>
            <w:noWrap w:val="0"/>
            <w:vAlign w:val="center"/>
          </w:tcPr>
          <w:p w14:paraId="5C34617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财政资金</w:t>
            </w:r>
          </w:p>
        </w:tc>
      </w:tr>
      <w:tr w14:paraId="578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4009E26B">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1.3.1</w:t>
            </w:r>
          </w:p>
        </w:tc>
        <w:tc>
          <w:tcPr>
            <w:tcW w:w="2146" w:type="dxa"/>
            <w:noWrap w:val="0"/>
            <w:vAlign w:val="center"/>
          </w:tcPr>
          <w:p w14:paraId="508ABEA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采购需求</w:t>
            </w:r>
          </w:p>
        </w:tc>
        <w:tc>
          <w:tcPr>
            <w:tcW w:w="6687" w:type="dxa"/>
            <w:noWrap w:val="0"/>
            <w:vAlign w:val="center"/>
          </w:tcPr>
          <w:p w14:paraId="66899BDF">
            <w:pPr>
              <w:rPr>
                <w:rFonts w:hint="eastAsia" w:ascii="宋体" w:hAnsi="宋体" w:eastAsia="宋体" w:cs="宋体"/>
                <w:sz w:val="21"/>
                <w:szCs w:val="21"/>
                <w:lang w:val="en-US" w:eastAsia="zh-CN"/>
              </w:rPr>
            </w:pPr>
            <w:r>
              <w:rPr>
                <w:rFonts w:hint="eastAsia" w:ascii="宋体" w:hAnsi="宋体" w:eastAsia="宋体" w:cs="宋体"/>
                <w:sz w:val="21"/>
                <w:szCs w:val="21"/>
                <w:lang w:val="zh-CN"/>
              </w:rPr>
              <w:t>长春新区教育局学校计算机教室采购项目（详见招标文件）</w:t>
            </w:r>
          </w:p>
        </w:tc>
      </w:tr>
      <w:tr w14:paraId="0582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7F71C0B2">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1.3.2</w:t>
            </w:r>
          </w:p>
        </w:tc>
        <w:tc>
          <w:tcPr>
            <w:tcW w:w="2146" w:type="dxa"/>
            <w:noWrap w:val="0"/>
            <w:vAlign w:val="center"/>
          </w:tcPr>
          <w:p w14:paraId="5C3A6F4C">
            <w:pPr>
              <w:jc w:val="center"/>
              <w:rPr>
                <w:rFonts w:hint="eastAsia" w:ascii="宋体" w:hAnsi="宋体" w:eastAsia="宋体" w:cs="宋体"/>
                <w:sz w:val="21"/>
                <w:szCs w:val="21"/>
                <w:lang w:val="en-US" w:eastAsia="zh-CN"/>
              </w:rPr>
            </w:pPr>
            <w:r>
              <w:rPr>
                <w:rFonts w:hint="eastAsia" w:ascii="宋体" w:hAnsi="宋体" w:eastAsia="宋体" w:cs="宋体"/>
                <w:sz w:val="21"/>
                <w:szCs w:val="21"/>
              </w:rPr>
              <w:t>合同履行期限</w:t>
            </w:r>
          </w:p>
        </w:tc>
        <w:tc>
          <w:tcPr>
            <w:tcW w:w="6687" w:type="dxa"/>
            <w:noWrap w:val="0"/>
            <w:vAlign w:val="center"/>
          </w:tcPr>
          <w:p w14:paraId="0F7E2F93">
            <w:pPr>
              <w:rPr>
                <w:rFonts w:hint="eastAsia" w:ascii="宋体" w:hAnsi="宋体" w:eastAsia="宋体" w:cs="宋体"/>
                <w:sz w:val="21"/>
                <w:szCs w:val="21"/>
                <w:lang w:val="zh-CN" w:eastAsia="zh-CN"/>
              </w:rPr>
            </w:pPr>
            <w:r>
              <w:rPr>
                <w:rFonts w:hint="eastAsia" w:ascii="宋体" w:cs="Times New Roman"/>
                <w:color w:val="000000"/>
                <w:kern w:val="2"/>
                <w:sz w:val="21"/>
                <w:szCs w:val="21"/>
                <w:highlight w:val="none"/>
                <w:shd w:val="clear" w:color="auto" w:fill="auto"/>
                <w:lang w:val="zh-CN" w:eastAsia="zh-CN"/>
              </w:rPr>
              <w:t>中标签订合同后30</w:t>
            </w:r>
            <w:r>
              <w:rPr>
                <w:rFonts w:hint="eastAsia" w:ascii="宋体" w:cs="Times New Roman"/>
                <w:color w:val="000000"/>
                <w:kern w:val="2"/>
                <w:sz w:val="21"/>
                <w:szCs w:val="21"/>
                <w:highlight w:val="none"/>
                <w:shd w:val="clear" w:color="auto" w:fill="auto"/>
                <w:lang w:val="zh-CN"/>
              </w:rPr>
              <w:t>日内完成供货、安装、调试</w:t>
            </w:r>
          </w:p>
        </w:tc>
      </w:tr>
      <w:tr w14:paraId="3AD6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13131DB">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1.3.3</w:t>
            </w:r>
          </w:p>
        </w:tc>
        <w:tc>
          <w:tcPr>
            <w:tcW w:w="2146" w:type="dxa"/>
            <w:noWrap w:val="0"/>
            <w:vAlign w:val="center"/>
          </w:tcPr>
          <w:p w14:paraId="7B25038A">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质量标准</w:t>
            </w:r>
          </w:p>
        </w:tc>
        <w:tc>
          <w:tcPr>
            <w:tcW w:w="6687" w:type="dxa"/>
            <w:noWrap w:val="0"/>
            <w:vAlign w:val="center"/>
          </w:tcPr>
          <w:p w14:paraId="3AF7D990">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符合国家及行业相关合格标准</w:t>
            </w:r>
          </w:p>
        </w:tc>
      </w:tr>
      <w:tr w14:paraId="1DC7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D26DFF6">
            <w:pPr>
              <w:jc w:val="center"/>
              <w:rPr>
                <w:rFonts w:hint="eastAsia" w:ascii="宋体" w:hAnsi="宋体" w:eastAsia="宋体" w:cs="宋体"/>
                <w:sz w:val="21"/>
                <w:szCs w:val="21"/>
                <w:lang w:val="en-US" w:eastAsia="zh-CN"/>
              </w:rPr>
            </w:pPr>
            <w:r>
              <w:rPr>
                <w:rFonts w:hint="eastAsia" w:ascii="宋体" w:hAnsi="宋体" w:eastAsia="宋体" w:cs="宋体"/>
                <w:sz w:val="21"/>
                <w:szCs w:val="21"/>
              </w:rPr>
              <w:t>1.4.1</w:t>
            </w:r>
          </w:p>
        </w:tc>
        <w:tc>
          <w:tcPr>
            <w:tcW w:w="2146" w:type="dxa"/>
            <w:shd w:val="clear" w:color="auto" w:fill="auto"/>
            <w:noWrap w:val="0"/>
            <w:vAlign w:val="center"/>
          </w:tcPr>
          <w:p w14:paraId="33E4CC1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投标人资质条件、能力和信誉</w:t>
            </w:r>
          </w:p>
        </w:tc>
        <w:tc>
          <w:tcPr>
            <w:tcW w:w="6687" w:type="dxa"/>
            <w:shd w:val="clear" w:color="auto" w:fill="auto"/>
            <w:noWrap w:val="0"/>
            <w:vAlign w:val="center"/>
          </w:tcPr>
          <w:p w14:paraId="58B761E8">
            <w:pPr>
              <w:pStyle w:val="16"/>
              <w:pageBreakBefore w:val="0"/>
              <w:shd w:val="clear" w:color="auto"/>
              <w:kinsoku/>
              <w:wordWrap w:val="0"/>
              <w:overflowPunct/>
              <w:bidi w:val="0"/>
              <w:spacing w:before="0" w:beforeAutospacing="0" w:after="0" w:afterAutospacing="0" w:line="240" w:lineRule="auto"/>
              <w:jc w:val="both"/>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1.满足《中华人民共和国政府采购法》第二十二条规定；</w:t>
            </w:r>
          </w:p>
          <w:p w14:paraId="0FF08BA5">
            <w:pPr>
              <w:pStyle w:val="16"/>
              <w:pageBreakBefore w:val="0"/>
              <w:shd w:val="clear" w:color="auto"/>
              <w:kinsoku/>
              <w:wordWrap w:val="0"/>
              <w:overflowPunct/>
              <w:bidi w:val="0"/>
              <w:spacing w:before="0" w:beforeAutospacing="0" w:after="0" w:afterAutospacing="0" w:line="240" w:lineRule="auto"/>
              <w:jc w:val="both"/>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2.落实政府采购政策需满足的资格要求：本项目</w:t>
            </w:r>
            <w:r>
              <w:rPr>
                <w:rFonts w:hint="eastAsia" w:ascii="宋体" w:hAnsi="宋体" w:eastAsia="宋体" w:cs="宋体"/>
                <w:kern w:val="2"/>
                <w:sz w:val="21"/>
                <w:szCs w:val="21"/>
                <w:lang w:val="en-US" w:eastAsia="zh-CN" w:bidi="ar-SA"/>
              </w:rPr>
              <w:t>非</w:t>
            </w:r>
            <w:r>
              <w:rPr>
                <w:rFonts w:hint="eastAsia" w:ascii="宋体" w:hAnsi="宋体" w:eastAsia="宋体" w:cs="宋体"/>
                <w:kern w:val="2"/>
                <w:sz w:val="21"/>
                <w:szCs w:val="21"/>
                <w:lang w:val="zh-CN" w:eastAsia="zh-CN" w:bidi="ar-SA"/>
              </w:rPr>
              <w:t>专门面向中小企业采购；本项目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14:paraId="64ABC515">
            <w:pPr>
              <w:pStyle w:val="28"/>
              <w:pageBreakBefore w:val="0"/>
              <w:kinsoku/>
              <w:wordWrap w:val="0"/>
              <w:overflowPunct/>
              <w:bidi w:val="0"/>
              <w:spacing w:line="240" w:lineRule="auto"/>
              <w:jc w:val="both"/>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3.本项目的特定资格要求：</w:t>
            </w:r>
          </w:p>
          <w:p w14:paraId="23B44142">
            <w:pPr>
              <w:pageBreakBefore w:val="0"/>
              <w:kinsoku/>
              <w:wordWrap w:val="0"/>
              <w:overflowPunct/>
              <w:bidi w:val="0"/>
              <w:snapToGrid/>
              <w:spacing w:line="240" w:lineRule="auto"/>
              <w:textAlignment w:val="baseline"/>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3.1</w:t>
            </w:r>
            <w:r>
              <w:rPr>
                <w:rFonts w:hint="eastAsia" w:ascii="宋体" w:hAnsi="宋体" w:eastAsia="宋体" w:cs="宋体"/>
                <w:kern w:val="2"/>
                <w:sz w:val="21"/>
                <w:szCs w:val="21"/>
                <w:lang w:val="zh-CN" w:eastAsia="zh-CN" w:bidi="ar-SA"/>
              </w:rPr>
              <w:t>投标人须是在中国境内注册具有独立承担民事责任能力的法人、其他组织，具有有效的营业执照，具备履行合同所必需的设备和专业技术能力；</w:t>
            </w:r>
          </w:p>
          <w:p w14:paraId="73370186">
            <w:pPr>
              <w:pageBreakBefore w:val="0"/>
              <w:kinsoku/>
              <w:wordWrap w:val="0"/>
              <w:overflowPunct/>
              <w:bidi w:val="0"/>
              <w:snapToGrid/>
              <w:spacing w:line="240" w:lineRule="auto"/>
              <w:textAlignment w:val="baseline"/>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3.2</w:t>
            </w:r>
            <w:r>
              <w:rPr>
                <w:rFonts w:hint="eastAsia" w:ascii="宋体" w:hAnsi="宋体" w:eastAsia="宋体" w:cs="宋体"/>
                <w:kern w:val="2"/>
                <w:sz w:val="21"/>
                <w:szCs w:val="21"/>
                <w:lang w:val="zh-CN" w:eastAsia="zh-CN" w:bidi="ar-SA"/>
              </w:rPr>
              <w:t>供应商应按照《长春市财政局关于加强政府采购信用体系建设简化投标人资格条件有关事项的通知》（长财采购[2022]2066号）文件要求在投标文件中提交反映其财务状况、依法缴纳税收和社会保障资金情况的资格条件承诺函，并对资格条件承诺函有关内容的真实性、有效性、合法性负责。</w:t>
            </w:r>
          </w:p>
          <w:p w14:paraId="0AFBA72C">
            <w:pPr>
              <w:pStyle w:val="28"/>
              <w:pageBreakBefore w:val="0"/>
              <w:kinsoku/>
              <w:wordWrap w:val="0"/>
              <w:overflowPunct/>
              <w:bidi w:val="0"/>
              <w:spacing w:line="240" w:lineRule="auto"/>
              <w:jc w:val="both"/>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3.3拒绝列入政府取消投标资格记录期间的企业和个人投标；</w:t>
            </w:r>
          </w:p>
          <w:p w14:paraId="080F7DB0">
            <w:pPr>
              <w:pStyle w:val="28"/>
              <w:pageBreakBefore w:val="0"/>
              <w:kinsoku/>
              <w:wordWrap w:val="0"/>
              <w:overflowPunct/>
              <w:bidi w:val="0"/>
              <w:spacing w:line="240" w:lineRule="auto"/>
              <w:jc w:val="both"/>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3.4供应商不得为“信用中国”网站（</w:t>
            </w:r>
            <w:r>
              <w:rPr>
                <w:rFonts w:hint="eastAsia" w:ascii="宋体" w:hAnsi="宋体" w:eastAsia="宋体" w:cs="宋体"/>
                <w:kern w:val="2"/>
                <w:sz w:val="21"/>
                <w:szCs w:val="21"/>
                <w:lang w:val="zh-CN" w:eastAsia="zh-CN" w:bidi="ar-SA"/>
              </w:rPr>
              <w:fldChar w:fldCharType="begin"/>
            </w:r>
            <w:r>
              <w:rPr>
                <w:rFonts w:hint="eastAsia" w:ascii="宋体" w:hAnsi="宋体" w:eastAsia="宋体" w:cs="宋体"/>
                <w:kern w:val="2"/>
                <w:sz w:val="21"/>
                <w:szCs w:val="21"/>
                <w:lang w:val="zh-CN" w:eastAsia="zh-CN" w:bidi="ar-SA"/>
              </w:rPr>
              <w:instrText xml:space="preserve"> HYPERLINK "http://www.creditchina.gov.cn/" \t "_blank" </w:instrText>
            </w:r>
            <w:r>
              <w:rPr>
                <w:rFonts w:hint="eastAsia" w:ascii="宋体" w:hAnsi="宋体" w:eastAsia="宋体" w:cs="宋体"/>
                <w:kern w:val="2"/>
                <w:sz w:val="21"/>
                <w:szCs w:val="21"/>
                <w:lang w:val="zh-CN" w:eastAsia="zh-CN" w:bidi="ar-SA"/>
              </w:rPr>
              <w:fldChar w:fldCharType="separate"/>
            </w:r>
            <w:r>
              <w:rPr>
                <w:rFonts w:hint="eastAsia" w:ascii="宋体" w:hAnsi="宋体" w:eastAsia="宋体" w:cs="宋体"/>
                <w:kern w:val="2"/>
                <w:sz w:val="21"/>
                <w:szCs w:val="21"/>
                <w:lang w:val="zh-CN" w:eastAsia="zh-CN" w:bidi="ar-SA"/>
              </w:rPr>
              <w:t>www.creditchina.gov.cn</w:t>
            </w:r>
            <w:r>
              <w:rPr>
                <w:rFonts w:hint="eastAsia" w:ascii="宋体" w:hAnsi="宋体" w:eastAsia="宋体" w:cs="宋体"/>
                <w:kern w:val="2"/>
                <w:sz w:val="21"/>
                <w:szCs w:val="21"/>
                <w:lang w:val="zh-CN" w:eastAsia="zh-CN" w:bidi="ar-SA"/>
              </w:rPr>
              <w:fldChar w:fldCharType="end"/>
            </w:r>
            <w:r>
              <w:rPr>
                <w:rFonts w:hint="eastAsia" w:ascii="宋体" w:hAnsi="宋体" w:eastAsia="宋体" w:cs="宋体"/>
                <w:kern w:val="2"/>
                <w:sz w:val="21"/>
                <w:szCs w:val="21"/>
                <w:lang w:val="zh-CN" w:eastAsia="zh-CN" w:bidi="ar-SA"/>
              </w:rPr>
              <w:t>）中列入失信被执行人和重大税收违法失信主体的供应商，不得为“中国政府采购网”（</w:t>
            </w:r>
            <w:r>
              <w:rPr>
                <w:rFonts w:hint="eastAsia" w:ascii="宋体" w:hAnsi="宋体" w:eastAsia="宋体" w:cs="宋体"/>
                <w:kern w:val="2"/>
                <w:sz w:val="21"/>
                <w:szCs w:val="21"/>
                <w:lang w:val="zh-CN" w:eastAsia="zh-CN" w:bidi="ar-SA"/>
              </w:rPr>
              <w:fldChar w:fldCharType="begin"/>
            </w:r>
            <w:r>
              <w:rPr>
                <w:rFonts w:hint="eastAsia" w:ascii="宋体" w:hAnsi="宋体" w:eastAsia="宋体" w:cs="宋体"/>
                <w:kern w:val="2"/>
                <w:sz w:val="21"/>
                <w:szCs w:val="21"/>
                <w:lang w:val="zh-CN" w:eastAsia="zh-CN" w:bidi="ar-SA"/>
              </w:rPr>
              <w:instrText xml:space="preserve"> HYPERLINK "http://www.ccgp.gov.cn/" \t "_blank" </w:instrText>
            </w:r>
            <w:r>
              <w:rPr>
                <w:rFonts w:hint="eastAsia" w:ascii="宋体" w:hAnsi="宋体" w:eastAsia="宋体" w:cs="宋体"/>
                <w:kern w:val="2"/>
                <w:sz w:val="21"/>
                <w:szCs w:val="21"/>
                <w:lang w:val="zh-CN" w:eastAsia="zh-CN" w:bidi="ar-SA"/>
              </w:rPr>
              <w:fldChar w:fldCharType="separate"/>
            </w:r>
            <w:r>
              <w:rPr>
                <w:rFonts w:hint="eastAsia" w:ascii="宋体" w:hAnsi="宋体" w:eastAsia="宋体" w:cs="宋体"/>
                <w:kern w:val="2"/>
                <w:sz w:val="21"/>
                <w:szCs w:val="21"/>
                <w:lang w:val="zh-CN" w:eastAsia="zh-CN" w:bidi="ar-SA"/>
              </w:rPr>
              <w:t>www.ccgp.gov.cn</w:t>
            </w:r>
            <w:r>
              <w:rPr>
                <w:rFonts w:hint="eastAsia" w:ascii="宋体" w:hAnsi="宋体" w:eastAsia="宋体" w:cs="宋体"/>
                <w:kern w:val="2"/>
                <w:sz w:val="21"/>
                <w:szCs w:val="21"/>
                <w:lang w:val="zh-CN" w:eastAsia="zh-CN" w:bidi="ar-SA"/>
              </w:rPr>
              <w:fldChar w:fldCharType="end"/>
            </w:r>
            <w:r>
              <w:rPr>
                <w:rFonts w:hint="eastAsia" w:ascii="宋体" w:hAnsi="宋体" w:eastAsia="宋体" w:cs="宋体"/>
                <w:kern w:val="2"/>
                <w:sz w:val="21"/>
                <w:szCs w:val="21"/>
                <w:lang w:val="zh-CN" w:eastAsia="zh-CN" w:bidi="ar-SA"/>
              </w:rPr>
              <w:t>）政府采购严重违法失信行为记录名单中被财政部门禁止参加政府采购活动的供应商（在处罚决定规定的时间和地域范围内）（详见财库【2016】125号文））；</w:t>
            </w:r>
          </w:p>
          <w:p w14:paraId="597D90DC">
            <w:pPr>
              <w:pStyle w:val="28"/>
              <w:pageBreakBefore w:val="0"/>
              <w:kinsoku/>
              <w:wordWrap w:val="0"/>
              <w:overflowPunct/>
              <w:bidi w:val="0"/>
              <w:spacing w:line="240" w:lineRule="auto"/>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zh-CN" w:eastAsia="zh-CN" w:bidi="ar-SA"/>
              </w:rPr>
              <w:t>3.5与采购人存在利害关系可能影响采购公正性的法人、其它组织或者个人，不得参加投标；单位负责人为同一人或者存在直接控股、管理关系的不同供应商，不得参加同一合同项下的政府采购活动。否则相关投标无效。</w:t>
            </w:r>
          </w:p>
        </w:tc>
      </w:tr>
      <w:tr w14:paraId="336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850A9A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w:t>
            </w:r>
          </w:p>
        </w:tc>
        <w:tc>
          <w:tcPr>
            <w:tcW w:w="2146" w:type="dxa"/>
            <w:shd w:val="clear" w:color="auto" w:fill="auto"/>
            <w:noWrap w:val="0"/>
            <w:vAlign w:val="center"/>
          </w:tcPr>
          <w:p w14:paraId="7C2C458F">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投标人不得存在下列情形之一</w:t>
            </w:r>
          </w:p>
        </w:tc>
        <w:tc>
          <w:tcPr>
            <w:tcW w:w="6687" w:type="dxa"/>
            <w:shd w:val="clear" w:color="auto" w:fill="auto"/>
            <w:noWrap w:val="0"/>
            <w:vAlign w:val="center"/>
          </w:tcPr>
          <w:p w14:paraId="2028BD09">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（1）为采购人不具有独立法人资格的附属机构（单位）；</w:t>
            </w:r>
          </w:p>
          <w:p w14:paraId="2E74C669">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（2）为本采购项目前期准备提供设计或咨询服务的； </w:t>
            </w:r>
          </w:p>
          <w:p w14:paraId="7B375BCB">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（3）为本采购项目提供招标代理服务的； </w:t>
            </w:r>
          </w:p>
          <w:p w14:paraId="6D3E9161">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（4）与本采购项目的招标代理机构同为一个法定代表人的；</w:t>
            </w:r>
          </w:p>
          <w:p w14:paraId="1F787D71">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（5）与本采购项目的招标代理机构相互控股或参股的；</w:t>
            </w:r>
          </w:p>
          <w:p w14:paraId="68D7F638">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（6）与本采购项目的招标代理机构相互任职或工作的；</w:t>
            </w:r>
          </w:p>
          <w:p w14:paraId="51B10E8F">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（7）被责令停业的； </w:t>
            </w:r>
          </w:p>
          <w:p w14:paraId="1AEBC9A3">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（8）被暂停或取消投标资格的； </w:t>
            </w:r>
          </w:p>
          <w:p w14:paraId="6A90C181">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（9）财产被接管或冻结的；</w:t>
            </w:r>
          </w:p>
          <w:p w14:paraId="5C2BE6EE">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（10）在最近三年内有骗取中标或严重违约或重大工程质量问题的。</w:t>
            </w:r>
          </w:p>
        </w:tc>
      </w:tr>
      <w:tr w14:paraId="10A9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710853C4">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1.4.4</w:t>
            </w:r>
          </w:p>
        </w:tc>
        <w:tc>
          <w:tcPr>
            <w:tcW w:w="2146" w:type="dxa"/>
            <w:noWrap w:val="0"/>
            <w:vAlign w:val="center"/>
          </w:tcPr>
          <w:p w14:paraId="43C6D445">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是否接受联合体投标</w:t>
            </w:r>
          </w:p>
        </w:tc>
        <w:tc>
          <w:tcPr>
            <w:tcW w:w="6687" w:type="dxa"/>
            <w:noWrap w:val="0"/>
            <w:vAlign w:val="center"/>
          </w:tcPr>
          <w:p w14:paraId="3831860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■不接受</w:t>
            </w:r>
          </w:p>
          <w:p w14:paraId="612C5A3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□接受，应满足下列要求：</w:t>
            </w:r>
          </w:p>
          <w:p w14:paraId="6EA9E05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联合体资质按照联合体协议约定的分工认定。</w:t>
            </w:r>
          </w:p>
        </w:tc>
      </w:tr>
      <w:tr w14:paraId="4714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64C9BE1">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1.9.1</w:t>
            </w:r>
          </w:p>
        </w:tc>
        <w:tc>
          <w:tcPr>
            <w:tcW w:w="2146" w:type="dxa"/>
            <w:noWrap w:val="0"/>
            <w:vAlign w:val="center"/>
          </w:tcPr>
          <w:p w14:paraId="5B2F281C">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踏勘现场</w:t>
            </w:r>
          </w:p>
        </w:tc>
        <w:tc>
          <w:tcPr>
            <w:tcW w:w="6687" w:type="dxa"/>
            <w:noWrap w:val="0"/>
            <w:vAlign w:val="center"/>
          </w:tcPr>
          <w:p w14:paraId="099BAC8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■不组织，投标人自行踏勘</w:t>
            </w:r>
          </w:p>
          <w:p w14:paraId="59DA152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w:t>
            </w:r>
          </w:p>
        </w:tc>
      </w:tr>
      <w:tr w14:paraId="2D5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036351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2146" w:type="dxa"/>
            <w:noWrap w:val="0"/>
            <w:vAlign w:val="center"/>
          </w:tcPr>
          <w:p w14:paraId="5B99F15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投标预备会</w:t>
            </w:r>
          </w:p>
        </w:tc>
        <w:tc>
          <w:tcPr>
            <w:tcW w:w="6687" w:type="dxa"/>
            <w:noWrap w:val="0"/>
            <w:vAlign w:val="center"/>
          </w:tcPr>
          <w:p w14:paraId="598909CA">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不召开</w:t>
            </w:r>
          </w:p>
        </w:tc>
      </w:tr>
      <w:tr w14:paraId="2B87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96548F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1.10.1</w:t>
            </w:r>
          </w:p>
        </w:tc>
        <w:tc>
          <w:tcPr>
            <w:tcW w:w="2146" w:type="dxa"/>
            <w:noWrap w:val="0"/>
            <w:vAlign w:val="center"/>
          </w:tcPr>
          <w:p w14:paraId="480C204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投标人提出问题的截止时间</w:t>
            </w:r>
          </w:p>
        </w:tc>
        <w:tc>
          <w:tcPr>
            <w:tcW w:w="6687" w:type="dxa"/>
            <w:noWrap w:val="0"/>
            <w:vAlign w:val="center"/>
          </w:tcPr>
          <w:p w14:paraId="75FC843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认为采购文件、采购过程、中标或者成交结果使自己的权益受到损害的，可以在知道或者应知其权益受到损害之日起7个工作日内，以书面形式向采购人、采购代理机构提出质疑；提出质疑的供应商（以下简称质疑供应商）应当是参与所质疑项目采购活动的供应商，即已通过政采云平台报名成功（须提供报名成功的截图），下载并获取本项目采购文件的供应商，对采购文件提出质疑的，应当在获取采购文件或者采购文件公告期限届满之日起7个工作日内提出。供应商对采购人或采购代理机构的质疑答复不满意或者采购人或采购代理机构未在规定时间内作出答复的，可以在答复期满后十五个工作日内向同级采购监管部门投诉。</w:t>
            </w:r>
          </w:p>
          <w:p w14:paraId="03352DA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2.投标人在法定质疑期内针对同一采购程序环节的质疑只允许提出一次。投标人提出质疑应符合《政府采购质疑和投诉办法》有关规定。</w:t>
            </w:r>
          </w:p>
          <w:p w14:paraId="3F66044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3.供应商提出质疑的，应当通过书面形式在法定期限内提交书面质疑函和必要的证明材料。</w:t>
            </w:r>
          </w:p>
          <w:p w14:paraId="5598A8E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联系人：吉林省中翔项目管理有限公司</w:t>
            </w:r>
          </w:p>
          <w:p w14:paraId="5EE00AF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联系电话：15844020453</w:t>
            </w:r>
          </w:p>
        </w:tc>
      </w:tr>
      <w:tr w14:paraId="22A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21B35EBD">
            <w:pPr>
              <w:jc w:val="center"/>
              <w:rPr>
                <w:rFonts w:hint="eastAsia" w:ascii="宋体" w:hAnsi="宋体" w:eastAsia="宋体" w:cs="宋体"/>
                <w:sz w:val="21"/>
                <w:szCs w:val="21"/>
              </w:rPr>
            </w:pPr>
            <w:r>
              <w:rPr>
                <w:rFonts w:hint="eastAsia" w:ascii="宋体" w:hAnsi="宋体" w:eastAsia="宋体" w:cs="宋体"/>
                <w:sz w:val="21"/>
                <w:szCs w:val="21"/>
              </w:rPr>
              <w:t>1.10.2</w:t>
            </w:r>
          </w:p>
        </w:tc>
        <w:tc>
          <w:tcPr>
            <w:tcW w:w="2146" w:type="dxa"/>
            <w:noWrap w:val="0"/>
            <w:vAlign w:val="center"/>
          </w:tcPr>
          <w:p w14:paraId="23B32EE0">
            <w:pPr>
              <w:jc w:val="center"/>
              <w:rPr>
                <w:rFonts w:hint="eastAsia" w:ascii="宋体" w:hAnsi="宋体" w:eastAsia="宋体" w:cs="宋体"/>
                <w:sz w:val="21"/>
                <w:szCs w:val="21"/>
              </w:rPr>
            </w:pPr>
            <w:r>
              <w:rPr>
                <w:rFonts w:hint="eastAsia" w:ascii="宋体" w:hAnsi="宋体" w:eastAsia="宋体" w:cs="宋体"/>
                <w:sz w:val="21"/>
                <w:szCs w:val="21"/>
                <w:lang w:val="zh-CN"/>
              </w:rPr>
              <w:t>投标人提出问题的截止时间</w:t>
            </w:r>
          </w:p>
        </w:tc>
        <w:tc>
          <w:tcPr>
            <w:tcW w:w="6687" w:type="dxa"/>
            <w:noWrap w:val="0"/>
            <w:vAlign w:val="center"/>
          </w:tcPr>
          <w:p w14:paraId="017819D1">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投标文件截止时间</w:t>
            </w:r>
            <w:r>
              <w:rPr>
                <w:rFonts w:hint="eastAsia" w:ascii="宋体" w:hAnsi="宋体" w:eastAsia="宋体" w:cs="宋体"/>
                <w:sz w:val="21"/>
                <w:szCs w:val="21"/>
                <w:lang w:val="en-US" w:eastAsia="zh-CN"/>
              </w:rPr>
              <w:t>10</w:t>
            </w:r>
            <w:r>
              <w:rPr>
                <w:rFonts w:hint="eastAsia" w:ascii="宋体" w:hAnsi="宋体" w:eastAsia="宋体" w:cs="宋体"/>
                <w:sz w:val="21"/>
                <w:szCs w:val="21"/>
                <w:lang w:val="zh-CN" w:eastAsia="zh-CN"/>
              </w:rPr>
              <w:t>日前</w:t>
            </w:r>
          </w:p>
        </w:tc>
      </w:tr>
      <w:tr w14:paraId="6B37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BDC3811">
            <w:pPr>
              <w:jc w:val="center"/>
              <w:rPr>
                <w:rFonts w:hint="eastAsia" w:ascii="宋体" w:hAnsi="宋体" w:eastAsia="宋体" w:cs="宋体"/>
                <w:sz w:val="21"/>
                <w:szCs w:val="21"/>
                <w:lang w:val="en-US" w:eastAsia="zh-CN"/>
              </w:rPr>
            </w:pPr>
            <w:r>
              <w:rPr>
                <w:rFonts w:hint="eastAsia" w:ascii="宋体" w:hAnsi="宋体" w:eastAsia="宋体" w:cs="宋体"/>
                <w:sz w:val="21"/>
                <w:szCs w:val="21"/>
              </w:rPr>
              <w:t>1.10.</w:t>
            </w:r>
            <w:r>
              <w:rPr>
                <w:rFonts w:hint="eastAsia" w:ascii="宋体" w:hAnsi="宋体" w:eastAsia="宋体" w:cs="宋体"/>
                <w:sz w:val="21"/>
                <w:szCs w:val="21"/>
                <w:lang w:val="en-US" w:eastAsia="zh-CN"/>
              </w:rPr>
              <w:t>3</w:t>
            </w:r>
          </w:p>
        </w:tc>
        <w:tc>
          <w:tcPr>
            <w:tcW w:w="2146" w:type="dxa"/>
            <w:noWrap w:val="0"/>
            <w:vAlign w:val="center"/>
          </w:tcPr>
          <w:p w14:paraId="32695C2C">
            <w:pPr>
              <w:jc w:val="center"/>
              <w:rPr>
                <w:rFonts w:hint="eastAsia" w:ascii="宋体" w:hAnsi="宋体" w:eastAsia="宋体" w:cs="宋体"/>
                <w:sz w:val="21"/>
                <w:szCs w:val="21"/>
                <w:lang w:val="en-US" w:eastAsia="zh-CN"/>
              </w:rPr>
            </w:pPr>
            <w:r>
              <w:rPr>
                <w:rFonts w:hint="eastAsia" w:ascii="宋体" w:hAnsi="宋体" w:eastAsia="宋体" w:cs="宋体"/>
                <w:sz w:val="21"/>
                <w:szCs w:val="21"/>
              </w:rPr>
              <w:t>采购人书面澄清的时间</w:t>
            </w:r>
          </w:p>
        </w:tc>
        <w:tc>
          <w:tcPr>
            <w:tcW w:w="6687" w:type="dxa"/>
            <w:noWrap w:val="0"/>
            <w:vAlign w:val="center"/>
          </w:tcPr>
          <w:p w14:paraId="7DEB12D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投标截止时间前15天</w:t>
            </w:r>
          </w:p>
        </w:tc>
      </w:tr>
      <w:tr w14:paraId="3679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0EC2586F">
            <w:pPr>
              <w:jc w:val="center"/>
              <w:rPr>
                <w:rFonts w:hint="eastAsia" w:ascii="宋体" w:hAnsi="宋体" w:eastAsia="宋体" w:cs="宋体"/>
                <w:sz w:val="21"/>
                <w:szCs w:val="21"/>
                <w:lang w:val="en-US" w:eastAsia="zh-CN"/>
              </w:rPr>
            </w:pPr>
            <w:r>
              <w:rPr>
                <w:rFonts w:hint="eastAsia" w:ascii="宋体" w:hAnsi="宋体" w:eastAsia="宋体" w:cs="宋体"/>
                <w:sz w:val="21"/>
                <w:szCs w:val="21"/>
              </w:rPr>
              <w:t>1.11</w:t>
            </w:r>
          </w:p>
        </w:tc>
        <w:tc>
          <w:tcPr>
            <w:tcW w:w="2146" w:type="dxa"/>
            <w:noWrap w:val="0"/>
            <w:vAlign w:val="center"/>
          </w:tcPr>
          <w:p w14:paraId="49094E3C">
            <w:pPr>
              <w:jc w:val="center"/>
              <w:rPr>
                <w:rFonts w:hint="eastAsia" w:ascii="宋体" w:hAnsi="宋体" w:eastAsia="宋体" w:cs="宋体"/>
                <w:sz w:val="21"/>
                <w:szCs w:val="21"/>
                <w:lang w:val="en-US" w:eastAsia="zh-CN"/>
              </w:rPr>
            </w:pPr>
            <w:r>
              <w:rPr>
                <w:rFonts w:hint="eastAsia" w:ascii="宋体" w:hAnsi="宋体" w:eastAsia="宋体" w:cs="宋体"/>
                <w:sz w:val="21"/>
                <w:szCs w:val="21"/>
              </w:rPr>
              <w:t>偏离</w:t>
            </w:r>
          </w:p>
        </w:tc>
        <w:tc>
          <w:tcPr>
            <w:tcW w:w="6687" w:type="dxa"/>
            <w:noWrap w:val="0"/>
            <w:vAlign w:val="center"/>
          </w:tcPr>
          <w:p w14:paraId="0CB73990">
            <w:pPr>
              <w:rPr>
                <w:rFonts w:hint="eastAsia" w:ascii="宋体" w:hAnsi="宋体" w:eastAsia="宋体" w:cs="宋体"/>
                <w:sz w:val="21"/>
                <w:szCs w:val="21"/>
                <w:lang w:val="en-US" w:eastAsia="zh-CN"/>
              </w:rPr>
            </w:pPr>
            <w:r>
              <w:rPr>
                <w:rFonts w:hint="eastAsia" w:ascii="宋体" w:hAnsi="宋体" w:eastAsia="宋体" w:cs="宋体"/>
                <w:sz w:val="21"/>
                <w:szCs w:val="21"/>
              </w:rPr>
              <w:t>不允许</w:t>
            </w:r>
            <w:r>
              <w:rPr>
                <w:rFonts w:hint="eastAsia" w:ascii="宋体" w:hAnsi="宋体" w:eastAsia="宋体" w:cs="宋体"/>
                <w:sz w:val="21"/>
                <w:szCs w:val="21"/>
                <w:lang w:val="en-US" w:eastAsia="zh-CN"/>
              </w:rPr>
              <w:t>负偏离</w:t>
            </w:r>
          </w:p>
        </w:tc>
      </w:tr>
      <w:tr w14:paraId="6A6C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596C3C64">
            <w:pPr>
              <w:jc w:val="center"/>
              <w:rPr>
                <w:rFonts w:hint="eastAsia" w:ascii="宋体" w:hAnsi="宋体" w:eastAsia="宋体" w:cs="宋体"/>
                <w:sz w:val="21"/>
                <w:szCs w:val="21"/>
                <w:lang w:val="en-US" w:eastAsia="zh-CN"/>
              </w:rPr>
            </w:pPr>
            <w:r>
              <w:rPr>
                <w:rFonts w:hint="eastAsia" w:ascii="宋体" w:hAnsi="宋体" w:eastAsia="宋体" w:cs="宋体"/>
                <w:sz w:val="21"/>
                <w:szCs w:val="21"/>
              </w:rPr>
              <w:t>1.12</w:t>
            </w:r>
          </w:p>
        </w:tc>
        <w:tc>
          <w:tcPr>
            <w:tcW w:w="2146" w:type="dxa"/>
            <w:noWrap w:val="0"/>
            <w:vAlign w:val="center"/>
          </w:tcPr>
          <w:p w14:paraId="7B8113E2">
            <w:pPr>
              <w:jc w:val="center"/>
              <w:rPr>
                <w:rFonts w:hint="eastAsia" w:ascii="宋体" w:hAnsi="宋体" w:eastAsia="宋体" w:cs="宋体"/>
                <w:sz w:val="21"/>
                <w:szCs w:val="21"/>
                <w:lang w:val="en-US" w:eastAsia="zh-CN"/>
              </w:rPr>
            </w:pPr>
            <w:r>
              <w:rPr>
                <w:rFonts w:hint="eastAsia" w:ascii="宋体" w:hAnsi="宋体" w:eastAsia="宋体" w:cs="宋体"/>
                <w:sz w:val="21"/>
                <w:szCs w:val="21"/>
              </w:rPr>
              <w:t>分包</w:t>
            </w:r>
          </w:p>
        </w:tc>
        <w:tc>
          <w:tcPr>
            <w:tcW w:w="6687" w:type="dxa"/>
            <w:noWrap w:val="0"/>
            <w:vAlign w:val="center"/>
          </w:tcPr>
          <w:p w14:paraId="1952E7E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不允许</w:t>
            </w:r>
          </w:p>
        </w:tc>
      </w:tr>
      <w:tr w14:paraId="741A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B5186FA">
            <w:pPr>
              <w:jc w:val="center"/>
              <w:rPr>
                <w:rFonts w:hint="eastAsia" w:ascii="宋体" w:hAnsi="宋体" w:eastAsia="宋体" w:cs="宋体"/>
                <w:sz w:val="21"/>
                <w:szCs w:val="21"/>
                <w:lang w:val="en-US" w:eastAsia="zh-CN"/>
              </w:rPr>
            </w:pPr>
            <w:r>
              <w:rPr>
                <w:rFonts w:hint="eastAsia" w:ascii="宋体" w:hAnsi="宋体" w:eastAsia="宋体" w:cs="宋体"/>
                <w:sz w:val="21"/>
                <w:szCs w:val="21"/>
              </w:rPr>
              <w:t>2.1</w:t>
            </w:r>
          </w:p>
        </w:tc>
        <w:tc>
          <w:tcPr>
            <w:tcW w:w="2146" w:type="dxa"/>
            <w:noWrap w:val="0"/>
            <w:vAlign w:val="center"/>
          </w:tcPr>
          <w:p w14:paraId="7F79D6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构成采购文件的其他材料</w:t>
            </w:r>
          </w:p>
        </w:tc>
        <w:tc>
          <w:tcPr>
            <w:tcW w:w="6687" w:type="dxa"/>
            <w:noWrap w:val="0"/>
            <w:vAlign w:val="center"/>
          </w:tcPr>
          <w:p w14:paraId="32D32430">
            <w:pPr>
              <w:rPr>
                <w:rFonts w:hint="eastAsia" w:ascii="宋体" w:hAnsi="宋体" w:eastAsia="宋体" w:cs="宋体"/>
                <w:sz w:val="21"/>
                <w:szCs w:val="21"/>
                <w:lang w:val="en-US" w:eastAsia="zh-CN"/>
              </w:rPr>
            </w:pPr>
            <w:r>
              <w:rPr>
                <w:rFonts w:hint="eastAsia" w:ascii="宋体" w:hAnsi="宋体" w:eastAsia="宋体" w:cs="宋体"/>
                <w:sz w:val="21"/>
                <w:szCs w:val="21"/>
              </w:rPr>
              <w:t>答疑文件(如有)、澄清(如有)、修改及补充通知(如有)等</w:t>
            </w:r>
          </w:p>
        </w:tc>
      </w:tr>
      <w:tr w14:paraId="33AC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5721A370">
            <w:pPr>
              <w:jc w:val="center"/>
              <w:rPr>
                <w:rFonts w:hint="eastAsia" w:ascii="宋体" w:hAnsi="宋体" w:eastAsia="宋体" w:cs="宋体"/>
                <w:sz w:val="21"/>
                <w:szCs w:val="21"/>
                <w:lang w:val="en-US" w:eastAsia="zh-CN"/>
              </w:rPr>
            </w:pPr>
            <w:r>
              <w:rPr>
                <w:rFonts w:hint="eastAsia" w:ascii="宋体" w:hAnsi="宋体" w:eastAsia="宋体" w:cs="宋体"/>
                <w:sz w:val="21"/>
                <w:szCs w:val="21"/>
              </w:rPr>
              <w:t>2.2.3</w:t>
            </w:r>
          </w:p>
        </w:tc>
        <w:tc>
          <w:tcPr>
            <w:tcW w:w="2146" w:type="dxa"/>
            <w:noWrap w:val="0"/>
            <w:vAlign w:val="center"/>
          </w:tcPr>
          <w:p w14:paraId="22AD9699">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rPr>
              <w:t>投标人确认收到采购文件澄清的时间</w:t>
            </w:r>
          </w:p>
        </w:tc>
        <w:tc>
          <w:tcPr>
            <w:tcW w:w="6687" w:type="dxa"/>
            <w:noWrap w:val="0"/>
            <w:vAlign w:val="center"/>
          </w:tcPr>
          <w:p w14:paraId="6B0D8EB5">
            <w:pPr>
              <w:rPr>
                <w:rFonts w:hint="eastAsia" w:ascii="宋体" w:hAnsi="宋体" w:eastAsia="宋体" w:cs="宋体"/>
                <w:sz w:val="21"/>
                <w:szCs w:val="21"/>
                <w:lang w:val="zh-CN" w:eastAsia="zh-CN"/>
              </w:rPr>
            </w:pPr>
            <w:r>
              <w:rPr>
                <w:rFonts w:hint="eastAsia" w:ascii="宋体" w:hAnsi="宋体" w:eastAsia="宋体" w:cs="宋体"/>
                <w:sz w:val="21"/>
                <w:szCs w:val="21"/>
                <w:lang w:val="zh-CN"/>
              </w:rPr>
              <w:t>在收到相应澄清文件后24小时内</w:t>
            </w:r>
          </w:p>
        </w:tc>
      </w:tr>
      <w:tr w14:paraId="65A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44F668A">
            <w:pPr>
              <w:jc w:val="center"/>
              <w:rPr>
                <w:rFonts w:hint="eastAsia" w:ascii="宋体" w:hAnsi="宋体" w:eastAsia="宋体" w:cs="宋体"/>
                <w:sz w:val="21"/>
                <w:szCs w:val="21"/>
                <w:lang w:val="en-US" w:eastAsia="zh-CN"/>
              </w:rPr>
            </w:pPr>
            <w:r>
              <w:rPr>
                <w:rFonts w:hint="eastAsia" w:ascii="宋体" w:hAnsi="宋体" w:eastAsia="宋体" w:cs="宋体"/>
                <w:sz w:val="21"/>
                <w:szCs w:val="21"/>
              </w:rPr>
              <w:t>2.3.2</w:t>
            </w:r>
          </w:p>
        </w:tc>
        <w:tc>
          <w:tcPr>
            <w:tcW w:w="2146" w:type="dxa"/>
            <w:noWrap w:val="0"/>
            <w:vAlign w:val="center"/>
          </w:tcPr>
          <w:p w14:paraId="40FDF0E3">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rPr>
              <w:t>投标人确认收到采购文件修改内容的时间</w:t>
            </w:r>
          </w:p>
        </w:tc>
        <w:tc>
          <w:tcPr>
            <w:tcW w:w="6687" w:type="dxa"/>
            <w:noWrap w:val="0"/>
            <w:vAlign w:val="center"/>
          </w:tcPr>
          <w:p w14:paraId="0878DC7F">
            <w:pPr>
              <w:rPr>
                <w:rFonts w:hint="eastAsia" w:ascii="宋体" w:hAnsi="宋体" w:eastAsia="宋体" w:cs="宋体"/>
                <w:sz w:val="21"/>
                <w:szCs w:val="21"/>
                <w:lang w:val="zh-CN" w:eastAsia="zh-CN"/>
              </w:rPr>
            </w:pPr>
            <w:r>
              <w:rPr>
                <w:rFonts w:hint="eastAsia" w:ascii="宋体" w:hAnsi="宋体" w:eastAsia="宋体" w:cs="宋体"/>
                <w:sz w:val="21"/>
                <w:szCs w:val="21"/>
                <w:lang w:val="zh-CN"/>
              </w:rPr>
              <w:t>在收到相应澄清文件后24小时内</w:t>
            </w:r>
          </w:p>
        </w:tc>
      </w:tr>
      <w:tr w14:paraId="7F00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1505C0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3.2.5</w:t>
            </w:r>
          </w:p>
        </w:tc>
        <w:tc>
          <w:tcPr>
            <w:tcW w:w="2146" w:type="dxa"/>
            <w:noWrap w:val="0"/>
            <w:vAlign w:val="center"/>
          </w:tcPr>
          <w:p w14:paraId="711A51DD">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投标报价的其他要求</w:t>
            </w:r>
          </w:p>
        </w:tc>
        <w:tc>
          <w:tcPr>
            <w:tcW w:w="6687" w:type="dxa"/>
            <w:noWrap w:val="0"/>
            <w:vAlign w:val="center"/>
          </w:tcPr>
          <w:p w14:paraId="39B3C30B">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cs="宋体"/>
                <w:b w:val="0"/>
                <w:bCs w:val="0"/>
                <w:color w:val="auto"/>
                <w:spacing w:val="5"/>
                <w:sz w:val="21"/>
                <w:szCs w:val="21"/>
                <w:highlight w:val="none"/>
                <w:vertAlign w:val="baseline"/>
                <w:lang w:val="en-US" w:eastAsia="zh-CN"/>
              </w:rPr>
            </w:pPr>
            <w:r>
              <w:rPr>
                <w:rFonts w:hint="eastAsia" w:ascii="宋体" w:hAnsi="宋体" w:cs="宋体"/>
                <w:b w:val="0"/>
                <w:bCs w:val="0"/>
                <w:color w:val="auto"/>
                <w:spacing w:val="5"/>
                <w:sz w:val="21"/>
                <w:szCs w:val="21"/>
                <w:highlight w:val="none"/>
                <w:vertAlign w:val="baseline"/>
                <w:lang w:val="en-US" w:eastAsia="zh-CN"/>
              </w:rPr>
              <w:t>1.根据中华人民共和国国务院令（第87号），在评标过程中，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DB97779">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cs="宋体"/>
                <w:b w:val="0"/>
                <w:bCs w:val="0"/>
                <w:color w:val="auto"/>
                <w:spacing w:val="5"/>
                <w:sz w:val="21"/>
                <w:szCs w:val="21"/>
                <w:highlight w:val="none"/>
                <w:vertAlign w:val="baseline"/>
                <w:lang w:val="en-US" w:eastAsia="zh-CN"/>
              </w:rPr>
            </w:pPr>
            <w:r>
              <w:rPr>
                <w:rFonts w:hint="eastAsia" w:ascii="宋体" w:hAnsi="宋体" w:cs="宋体"/>
                <w:b w:val="0"/>
                <w:bCs w:val="0"/>
                <w:color w:val="auto"/>
                <w:spacing w:val="5"/>
                <w:sz w:val="21"/>
                <w:szCs w:val="21"/>
                <w:highlight w:val="none"/>
                <w:vertAlign w:val="baseline"/>
                <w:lang w:val="en-US" w:eastAsia="zh-CN"/>
              </w:rPr>
              <w:t>供应商书面说明应当签字确认或者加盖公章，否则无效。书面说明的签字确认：供应商为法人（负责人）的，由其法定代表人（负责人）或者代理人签字确认；供应商为其他组织的，由其主要负责人或者代理人签字确认；供应商为自然人的，由其本人或者代理人签字确认。</w:t>
            </w:r>
          </w:p>
          <w:p w14:paraId="316A2DD1">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cs="宋体"/>
                <w:b w:val="0"/>
                <w:bCs w:val="0"/>
                <w:color w:val="auto"/>
                <w:spacing w:val="5"/>
                <w:sz w:val="21"/>
                <w:szCs w:val="21"/>
                <w:highlight w:val="none"/>
                <w:vertAlign w:val="baseline"/>
                <w:lang w:val="en-US" w:eastAsia="zh-CN"/>
              </w:rPr>
              <w:t>供应商提供书面说明后，评标委员会应当结合采购项目采购需求、专业</w:t>
            </w:r>
            <w:r>
              <w:rPr>
                <w:rFonts w:hint="eastAsia" w:ascii="宋体" w:hAnsi="宋体" w:eastAsia="宋体" w:cs="宋体"/>
                <w:b w:val="0"/>
                <w:bCs w:val="0"/>
                <w:color w:val="auto"/>
                <w:spacing w:val="5"/>
                <w:sz w:val="21"/>
                <w:szCs w:val="21"/>
                <w:highlight w:val="none"/>
                <w:vertAlign w:val="baseline"/>
                <w:lang w:val="en-US" w:eastAsia="zh-CN"/>
              </w:rPr>
              <w:t>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646570A0">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2.根据财政部财库〔2026〕2号关于推动解决政府采购异常低价问题的通知政府采购评审中出现下列情形之一的，评审委员会应当启动异常低价投标（响应）审查程序：</w:t>
            </w:r>
          </w:p>
          <w:p w14:paraId="77007DE4">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（1）投标（响应）报价低于全部通过符合性审查供应商投标（响应）报价平均值65%的，即投标（响应）报价&lt;全部通过符合性审查供应商投标（响应）报价平均值×65%；</w:t>
            </w:r>
          </w:p>
          <w:p w14:paraId="467C9E19">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（2）投标（响应）报价低于通过符合性审查的次低报价供应商投标（响应）报价65%的，即投标（响应）报价&lt;通过符合性审查的次低报价供应商投标（响应）报价×65%；</w:t>
            </w:r>
          </w:p>
          <w:p w14:paraId="43C7BB4C">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（3）投标（响应）报价低于采购项目最高限价65%的，即投标（响应）报价&lt;采购项目最高限价×65%；</w:t>
            </w:r>
          </w:p>
          <w:p w14:paraId="205D45E7">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b w:val="0"/>
                <w:bCs w:val="0"/>
                <w:color w:val="auto"/>
                <w:spacing w:val="5"/>
                <w:sz w:val="21"/>
                <w:szCs w:val="21"/>
                <w:highlight w:val="none"/>
                <w:vertAlign w:val="baseline"/>
                <w:lang w:val="en-US" w:eastAsia="zh-CN"/>
              </w:rPr>
              <w:t>（4）评审委员会基于专业判断，认为供应商报价过低，有可能影响产品质量或者不能诚信履约的其他情形。</w:t>
            </w:r>
          </w:p>
        </w:tc>
      </w:tr>
      <w:tr w14:paraId="1FD0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7E5F173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3.3.1</w:t>
            </w:r>
          </w:p>
        </w:tc>
        <w:tc>
          <w:tcPr>
            <w:tcW w:w="2146" w:type="dxa"/>
            <w:noWrap w:val="0"/>
            <w:vAlign w:val="center"/>
          </w:tcPr>
          <w:p w14:paraId="4B83D000">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投标有效期</w:t>
            </w:r>
          </w:p>
        </w:tc>
        <w:tc>
          <w:tcPr>
            <w:tcW w:w="6687" w:type="dxa"/>
            <w:noWrap w:val="0"/>
            <w:vAlign w:val="center"/>
          </w:tcPr>
          <w:p w14:paraId="67D6312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90天</w:t>
            </w:r>
          </w:p>
        </w:tc>
      </w:tr>
      <w:tr w14:paraId="6AA9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0B012B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3.4.1</w:t>
            </w:r>
          </w:p>
        </w:tc>
        <w:tc>
          <w:tcPr>
            <w:tcW w:w="2146" w:type="dxa"/>
            <w:noWrap w:val="0"/>
            <w:vAlign w:val="center"/>
          </w:tcPr>
          <w:p w14:paraId="01699A67">
            <w:pPr>
              <w:jc w:val="cente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投标保证金</w:t>
            </w:r>
          </w:p>
        </w:tc>
        <w:tc>
          <w:tcPr>
            <w:tcW w:w="6687" w:type="dxa"/>
            <w:noWrap w:val="0"/>
            <w:vAlign w:val="center"/>
          </w:tcPr>
          <w:p w14:paraId="4D7B788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(1)根据长春市财政局文件长财采购[2021]695号，满足《中华人民共和国政府采购法》第二十二条有关规定：经“信用中国“网站查询不存在行政处罚信息的投标人无需缴纳投标保证金；</w:t>
            </w:r>
          </w:p>
          <w:p w14:paraId="6FB53EDA">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(2)根据《中华人民共和国政府采购法》第二十二条有关规定，</w:t>
            </w:r>
            <w:r>
              <w:rPr>
                <w:rFonts w:hint="eastAsia" w:ascii="宋体" w:hAnsi="宋体" w:eastAsia="宋体" w:cs="宋体"/>
                <w:b/>
                <w:bCs/>
                <w:sz w:val="21"/>
                <w:szCs w:val="21"/>
                <w:lang w:val="en-US" w:eastAsia="zh-CN"/>
              </w:rPr>
              <w:t>经“信用中国“网站查询存在行政处罚信息的供应商按以下要求缴纳投标保证金</w:t>
            </w:r>
            <w:r>
              <w:rPr>
                <w:rFonts w:hint="eastAsia" w:ascii="宋体" w:hAnsi="宋体" w:eastAsia="宋体" w:cs="宋体"/>
                <w:sz w:val="21"/>
                <w:szCs w:val="21"/>
                <w:lang w:val="en-US" w:eastAsia="zh-CN"/>
              </w:rPr>
              <w:t>：</w:t>
            </w:r>
          </w:p>
          <w:p w14:paraId="203442D3">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投标保证金形式：投标保证金应当采用支票、汇票(必须同时提交第2、3联)、本票或者金融机构、担保机构出具的保函等非现金形式交纳、提交或转账、电汇(转账、电汇须从投标人的基本账户转出)。</w:t>
            </w:r>
          </w:p>
          <w:p w14:paraId="3BFB3A9F">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保证金的金额：</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000元</w:t>
            </w:r>
          </w:p>
          <w:p w14:paraId="2F157D76">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户名：吉林省中翔项目管理有限公司</w:t>
            </w:r>
          </w:p>
          <w:p w14:paraId="4BF8B18E">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账号：0106011080000781</w:t>
            </w:r>
          </w:p>
          <w:p w14:paraId="60BE4895">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开户行：吉林银行长春卫星支行</w:t>
            </w:r>
          </w:p>
          <w:p w14:paraId="30F21287">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注：</w:t>
            </w:r>
          </w:p>
          <w:p w14:paraId="2673659B">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1、投标人办理转账或汇款时应写明“项目名称投标保证金”，以便核对查实；</w:t>
            </w:r>
          </w:p>
          <w:p w14:paraId="4DF14611">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2、递交投标保函的应提前一天将保函电子版发送到</w:t>
            </w:r>
            <w:r>
              <w:rPr>
                <w:rFonts w:hint="eastAsia" w:ascii="宋体" w:hAnsi="宋体" w:eastAsia="宋体" w:cs="宋体"/>
                <w:sz w:val="21"/>
                <w:szCs w:val="21"/>
                <w:lang w:val="en-US" w:eastAsia="zh-CN"/>
              </w:rPr>
              <w:t>3364339943@qq.com</w:t>
            </w:r>
            <w:r>
              <w:rPr>
                <w:rFonts w:hint="eastAsia" w:ascii="宋体" w:hAnsi="宋体" w:eastAsia="宋体" w:cs="宋体"/>
                <w:sz w:val="21"/>
                <w:szCs w:val="21"/>
                <w:lang w:val="zh-CN" w:eastAsia="zh-CN"/>
              </w:rPr>
              <w:t>邮箱，以便核实，否则后果自负；</w:t>
            </w:r>
          </w:p>
          <w:p w14:paraId="50C22E97">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3、投标人应在汇款时认真核对收款单位、开户行名称、账号准确无误，确保保证金按时到账，否则后果自负。</w:t>
            </w:r>
          </w:p>
        </w:tc>
      </w:tr>
      <w:tr w14:paraId="483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ACC5BFA">
            <w:pPr>
              <w:jc w:val="center"/>
              <w:rPr>
                <w:rFonts w:hint="eastAsia" w:ascii="宋体" w:hAnsi="宋体" w:eastAsia="宋体" w:cs="宋体"/>
                <w:sz w:val="21"/>
                <w:szCs w:val="21"/>
                <w:lang w:val="en-US" w:eastAsia="zh-CN"/>
              </w:rPr>
            </w:pPr>
            <w:r>
              <w:rPr>
                <w:rFonts w:hint="eastAsia" w:ascii="宋体" w:hAnsi="宋体" w:eastAsia="宋体" w:cs="宋体"/>
                <w:sz w:val="21"/>
                <w:szCs w:val="21"/>
              </w:rPr>
              <w:t>3.5.2</w:t>
            </w:r>
          </w:p>
        </w:tc>
        <w:tc>
          <w:tcPr>
            <w:tcW w:w="2146" w:type="dxa"/>
            <w:noWrap w:val="0"/>
            <w:vAlign w:val="center"/>
          </w:tcPr>
          <w:p w14:paraId="320F4C78">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近年财务状况的年份要求</w:t>
            </w:r>
          </w:p>
        </w:tc>
        <w:tc>
          <w:tcPr>
            <w:tcW w:w="6687" w:type="dxa"/>
            <w:noWrap w:val="0"/>
            <w:vAlign w:val="center"/>
          </w:tcPr>
          <w:p w14:paraId="3661E83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年至202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p>
        </w:tc>
      </w:tr>
      <w:tr w14:paraId="0035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40F6F40F">
            <w:pPr>
              <w:jc w:val="center"/>
              <w:rPr>
                <w:rFonts w:hint="eastAsia" w:ascii="宋体" w:hAnsi="宋体" w:eastAsia="宋体" w:cs="宋体"/>
                <w:sz w:val="21"/>
                <w:szCs w:val="21"/>
                <w:lang w:val="en-US" w:eastAsia="zh-CN"/>
              </w:rPr>
            </w:pPr>
            <w:r>
              <w:rPr>
                <w:rFonts w:hint="eastAsia" w:ascii="宋体" w:hAnsi="宋体" w:eastAsia="宋体" w:cs="宋体"/>
                <w:sz w:val="21"/>
                <w:szCs w:val="21"/>
              </w:rPr>
              <w:t>3.5.3</w:t>
            </w:r>
          </w:p>
        </w:tc>
        <w:tc>
          <w:tcPr>
            <w:tcW w:w="2146" w:type="dxa"/>
            <w:noWrap w:val="0"/>
            <w:vAlign w:val="center"/>
          </w:tcPr>
          <w:p w14:paraId="01B5B122">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近年类似业绩的年份要求</w:t>
            </w:r>
          </w:p>
        </w:tc>
        <w:tc>
          <w:tcPr>
            <w:tcW w:w="6687" w:type="dxa"/>
            <w:noWrap w:val="0"/>
            <w:vAlign w:val="center"/>
          </w:tcPr>
          <w:p w14:paraId="12C4E68C">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年1月1日至今</w:t>
            </w:r>
          </w:p>
        </w:tc>
      </w:tr>
      <w:tr w14:paraId="1580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090398A6">
            <w:pPr>
              <w:jc w:val="center"/>
              <w:rPr>
                <w:rFonts w:hint="eastAsia" w:ascii="宋体" w:hAnsi="宋体" w:eastAsia="宋体" w:cs="宋体"/>
                <w:sz w:val="21"/>
                <w:szCs w:val="21"/>
                <w:lang w:val="en-US" w:eastAsia="zh-CN"/>
              </w:rPr>
            </w:pPr>
            <w:r>
              <w:rPr>
                <w:rFonts w:hint="eastAsia" w:ascii="宋体" w:hAnsi="宋体" w:eastAsia="宋体" w:cs="宋体"/>
                <w:sz w:val="21"/>
                <w:szCs w:val="21"/>
              </w:rPr>
              <w:t>3.6</w:t>
            </w:r>
          </w:p>
        </w:tc>
        <w:tc>
          <w:tcPr>
            <w:tcW w:w="2146" w:type="dxa"/>
            <w:noWrap w:val="0"/>
            <w:vAlign w:val="center"/>
          </w:tcPr>
          <w:p w14:paraId="580515CC">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是否允许递交备选投标方案</w:t>
            </w:r>
          </w:p>
        </w:tc>
        <w:tc>
          <w:tcPr>
            <w:tcW w:w="6687" w:type="dxa"/>
            <w:noWrap w:val="0"/>
            <w:vAlign w:val="center"/>
          </w:tcPr>
          <w:p w14:paraId="0B2B7718">
            <w:pPr>
              <w:rPr>
                <w:rFonts w:hint="eastAsia" w:ascii="宋体" w:hAnsi="宋体" w:eastAsia="宋体" w:cs="宋体"/>
                <w:sz w:val="21"/>
                <w:szCs w:val="21"/>
                <w:lang w:val="zh-CN" w:eastAsia="zh-CN"/>
              </w:rPr>
            </w:pPr>
            <w:r>
              <w:rPr>
                <w:rFonts w:hint="eastAsia" w:ascii="宋体" w:hAnsi="宋体" w:eastAsia="宋体" w:cs="宋体"/>
                <w:sz w:val="21"/>
                <w:szCs w:val="21"/>
              </w:rPr>
              <w:t>不允许</w:t>
            </w:r>
          </w:p>
        </w:tc>
      </w:tr>
      <w:tr w14:paraId="7CDA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C6C95C6">
            <w:pPr>
              <w:jc w:val="center"/>
              <w:rPr>
                <w:rFonts w:hint="eastAsia" w:ascii="宋体" w:hAnsi="宋体" w:eastAsia="宋体" w:cs="宋体"/>
                <w:sz w:val="21"/>
                <w:szCs w:val="21"/>
                <w:lang w:val="en-US" w:eastAsia="zh-CN"/>
              </w:rPr>
            </w:pPr>
            <w:r>
              <w:rPr>
                <w:rFonts w:hint="eastAsia" w:ascii="宋体" w:hAnsi="宋体" w:eastAsia="宋体" w:cs="宋体"/>
                <w:sz w:val="21"/>
                <w:szCs w:val="21"/>
              </w:rPr>
              <w:t>3.7.3</w:t>
            </w:r>
          </w:p>
        </w:tc>
        <w:tc>
          <w:tcPr>
            <w:tcW w:w="2146" w:type="dxa"/>
            <w:noWrap w:val="0"/>
            <w:vAlign w:val="center"/>
          </w:tcPr>
          <w:p w14:paraId="7F115F23">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签字或盖章要求</w:t>
            </w:r>
          </w:p>
        </w:tc>
        <w:tc>
          <w:tcPr>
            <w:tcW w:w="6687" w:type="dxa"/>
            <w:noWrap w:val="0"/>
            <w:vAlign w:val="center"/>
          </w:tcPr>
          <w:p w14:paraId="21C7F949">
            <w:pPr>
              <w:rPr>
                <w:rFonts w:hint="eastAsia" w:ascii="宋体" w:hAnsi="宋体" w:eastAsia="宋体" w:cs="宋体"/>
                <w:sz w:val="21"/>
                <w:szCs w:val="21"/>
                <w:lang w:val="zh-CN" w:eastAsia="zh-CN"/>
              </w:rPr>
            </w:pPr>
            <w:r>
              <w:rPr>
                <w:rFonts w:hint="eastAsia" w:ascii="宋体" w:hAnsi="宋体" w:eastAsia="宋体" w:cs="宋体"/>
                <w:sz w:val="21"/>
                <w:szCs w:val="21"/>
              </w:rPr>
              <w:t>上传的电子证件及资料均需按</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文件中提供的格式及要求签字盖章上传，否则按未签章处理。</w:t>
            </w:r>
          </w:p>
        </w:tc>
      </w:tr>
      <w:tr w14:paraId="5066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7479C9C9">
            <w:pPr>
              <w:jc w:val="center"/>
              <w:rPr>
                <w:rFonts w:hint="eastAsia" w:ascii="宋体" w:hAnsi="宋体" w:eastAsia="宋体" w:cs="宋体"/>
                <w:sz w:val="21"/>
                <w:szCs w:val="21"/>
                <w:lang w:val="en-US" w:eastAsia="zh-CN"/>
              </w:rPr>
            </w:pPr>
            <w:r>
              <w:rPr>
                <w:rFonts w:hint="eastAsia" w:ascii="宋体" w:hAnsi="宋体" w:eastAsia="宋体" w:cs="宋体"/>
                <w:sz w:val="21"/>
                <w:szCs w:val="21"/>
              </w:rPr>
              <w:t>3.7.4</w:t>
            </w:r>
          </w:p>
        </w:tc>
        <w:tc>
          <w:tcPr>
            <w:tcW w:w="2146" w:type="dxa"/>
            <w:noWrap w:val="0"/>
            <w:vAlign w:val="center"/>
          </w:tcPr>
          <w:p w14:paraId="7E329EEA">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投标文件份数</w:t>
            </w:r>
          </w:p>
        </w:tc>
        <w:tc>
          <w:tcPr>
            <w:tcW w:w="6687" w:type="dxa"/>
            <w:noWrap w:val="0"/>
            <w:vAlign w:val="center"/>
          </w:tcPr>
          <w:p w14:paraId="5BE6F6B0">
            <w:pPr>
              <w:rPr>
                <w:rFonts w:hint="eastAsia" w:ascii="宋体" w:hAnsi="宋体" w:eastAsia="宋体" w:cs="宋体"/>
                <w:sz w:val="21"/>
                <w:szCs w:val="21"/>
                <w:lang w:val="zh-CN" w:eastAsia="zh-CN"/>
              </w:rPr>
            </w:pPr>
            <w:r>
              <w:rPr>
                <w:rFonts w:hint="eastAsia" w:ascii="宋体" w:hAnsi="宋体" w:eastAsia="宋体" w:cs="宋体"/>
                <w:sz w:val="21"/>
                <w:szCs w:val="21"/>
              </w:rPr>
              <w:t>投标人在“政采云”平台（https://www.zcygov.cn/）上制作投标文件一份（此投标文件须上传至“政采云”平台）。</w:t>
            </w:r>
          </w:p>
        </w:tc>
      </w:tr>
      <w:tr w14:paraId="0178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825A408">
            <w:pPr>
              <w:jc w:val="center"/>
              <w:rPr>
                <w:rFonts w:hint="eastAsia" w:ascii="宋体" w:hAnsi="宋体" w:eastAsia="宋体" w:cs="宋体"/>
                <w:sz w:val="21"/>
                <w:szCs w:val="21"/>
                <w:lang w:val="en-US" w:eastAsia="zh-CN"/>
              </w:rPr>
            </w:pPr>
            <w:r>
              <w:rPr>
                <w:rFonts w:hint="eastAsia" w:ascii="宋体" w:hAnsi="宋体" w:eastAsia="宋体" w:cs="宋体"/>
                <w:sz w:val="21"/>
                <w:szCs w:val="21"/>
              </w:rPr>
              <w:t>4.2.1</w:t>
            </w:r>
          </w:p>
        </w:tc>
        <w:tc>
          <w:tcPr>
            <w:tcW w:w="2146" w:type="dxa"/>
            <w:noWrap w:val="0"/>
            <w:vAlign w:val="center"/>
          </w:tcPr>
          <w:p w14:paraId="7150CA5E">
            <w:pPr>
              <w:jc w:val="center"/>
              <w:rPr>
                <w:rFonts w:hint="eastAsia" w:ascii="宋体" w:hAnsi="宋体" w:eastAsia="宋体" w:cs="宋体"/>
                <w:sz w:val="21"/>
                <w:szCs w:val="21"/>
                <w:lang w:val="zh-CN" w:eastAsia="zh-CN"/>
              </w:rPr>
            </w:pPr>
            <w:r>
              <w:rPr>
                <w:rFonts w:hint="eastAsia" w:ascii="宋体" w:hAnsi="宋体" w:eastAsia="宋体" w:cs="宋体"/>
                <w:sz w:val="21"/>
                <w:szCs w:val="21"/>
              </w:rPr>
              <w:t>投标截止时间</w:t>
            </w:r>
          </w:p>
        </w:tc>
        <w:tc>
          <w:tcPr>
            <w:tcW w:w="6687" w:type="dxa"/>
            <w:noWrap w:val="0"/>
            <w:vAlign w:val="center"/>
          </w:tcPr>
          <w:p w14:paraId="3EE9C9FC">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2026年07月13日13时00分</w:t>
            </w:r>
          </w:p>
        </w:tc>
      </w:tr>
      <w:tr w14:paraId="571C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1B13017">
            <w:pPr>
              <w:jc w:val="center"/>
              <w:rPr>
                <w:rFonts w:hint="eastAsia" w:ascii="宋体" w:hAnsi="宋体" w:eastAsia="宋体" w:cs="宋体"/>
                <w:sz w:val="21"/>
                <w:szCs w:val="21"/>
                <w:lang w:val="en-US" w:eastAsia="zh-CN"/>
              </w:rPr>
            </w:pPr>
            <w:r>
              <w:rPr>
                <w:rFonts w:hint="eastAsia" w:ascii="宋体" w:hAnsi="宋体" w:eastAsia="宋体" w:cs="宋体"/>
                <w:sz w:val="21"/>
                <w:szCs w:val="21"/>
              </w:rPr>
              <w:t>4.2.2</w:t>
            </w:r>
          </w:p>
        </w:tc>
        <w:tc>
          <w:tcPr>
            <w:tcW w:w="2146" w:type="dxa"/>
            <w:noWrap w:val="0"/>
            <w:vAlign w:val="center"/>
          </w:tcPr>
          <w:p w14:paraId="514EDBEE">
            <w:pPr>
              <w:jc w:val="center"/>
              <w:rPr>
                <w:rFonts w:hint="eastAsia" w:ascii="宋体" w:hAnsi="宋体" w:eastAsia="宋体" w:cs="宋体"/>
                <w:sz w:val="21"/>
                <w:szCs w:val="21"/>
                <w:lang w:val="zh-CN" w:eastAsia="zh-CN"/>
              </w:rPr>
            </w:pPr>
            <w:r>
              <w:rPr>
                <w:rFonts w:hint="eastAsia" w:ascii="宋体" w:hAnsi="宋体" w:eastAsia="宋体" w:cs="宋体"/>
                <w:sz w:val="21"/>
                <w:szCs w:val="21"/>
              </w:rPr>
              <w:t>递交投标文件地点</w:t>
            </w:r>
          </w:p>
        </w:tc>
        <w:tc>
          <w:tcPr>
            <w:tcW w:w="6687" w:type="dxa"/>
            <w:noWrap w:val="0"/>
            <w:vAlign w:val="center"/>
          </w:tcPr>
          <w:p w14:paraId="58792A6B">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“政采云”平台（http：//www.zcygov.cn）</w:t>
            </w:r>
          </w:p>
        </w:tc>
      </w:tr>
      <w:tr w14:paraId="2234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E6A53F3">
            <w:pPr>
              <w:jc w:val="center"/>
              <w:rPr>
                <w:rFonts w:hint="eastAsia" w:ascii="宋体" w:hAnsi="宋体" w:eastAsia="宋体" w:cs="宋体"/>
                <w:sz w:val="21"/>
                <w:szCs w:val="21"/>
                <w:lang w:val="en-US" w:eastAsia="zh-CN"/>
              </w:rPr>
            </w:pPr>
            <w:r>
              <w:rPr>
                <w:rFonts w:hint="eastAsia" w:ascii="宋体" w:hAnsi="宋体" w:eastAsia="宋体" w:cs="宋体"/>
                <w:sz w:val="21"/>
                <w:szCs w:val="21"/>
              </w:rPr>
              <w:t>5.1</w:t>
            </w:r>
          </w:p>
        </w:tc>
        <w:tc>
          <w:tcPr>
            <w:tcW w:w="2146" w:type="dxa"/>
            <w:noWrap w:val="0"/>
            <w:vAlign w:val="center"/>
          </w:tcPr>
          <w:p w14:paraId="5A3C41D1">
            <w:pPr>
              <w:jc w:val="center"/>
              <w:rPr>
                <w:rFonts w:hint="eastAsia" w:ascii="宋体" w:hAnsi="宋体" w:eastAsia="宋体" w:cs="宋体"/>
                <w:sz w:val="21"/>
                <w:szCs w:val="21"/>
                <w:lang w:val="zh-CN" w:eastAsia="zh-CN"/>
              </w:rPr>
            </w:pPr>
            <w:r>
              <w:rPr>
                <w:rFonts w:hint="eastAsia" w:ascii="宋体" w:hAnsi="宋体" w:eastAsia="宋体" w:cs="宋体"/>
                <w:sz w:val="21"/>
                <w:szCs w:val="21"/>
              </w:rPr>
              <w:t>开标时间和地点</w:t>
            </w:r>
          </w:p>
        </w:tc>
        <w:tc>
          <w:tcPr>
            <w:tcW w:w="6687" w:type="dxa"/>
            <w:noWrap w:val="0"/>
            <w:vAlign w:val="center"/>
          </w:tcPr>
          <w:p w14:paraId="5BEF579E">
            <w:pPr>
              <w:rPr>
                <w:rFonts w:hint="eastAsia" w:ascii="宋体" w:hAnsi="宋体" w:eastAsia="宋体" w:cs="宋体"/>
                <w:sz w:val="21"/>
                <w:szCs w:val="21"/>
                <w:lang w:val="zh-CN" w:eastAsia="zh-CN"/>
              </w:rPr>
            </w:pPr>
            <w:r>
              <w:rPr>
                <w:rFonts w:hint="eastAsia" w:ascii="宋体" w:hAnsi="宋体" w:eastAsia="宋体" w:cs="宋体"/>
                <w:sz w:val="21"/>
                <w:szCs w:val="21"/>
              </w:rPr>
              <w:t>时间</w:t>
            </w:r>
            <w:r>
              <w:rPr>
                <w:rFonts w:hint="eastAsia" w:ascii="宋体" w:hAnsi="宋体" w:eastAsia="宋体" w:cs="宋体"/>
                <w:sz w:val="21"/>
                <w:szCs w:val="21"/>
                <w:lang w:val="zh-CN"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lang w:val="zh-CN" w:eastAsia="zh-CN"/>
              </w:rPr>
              <w:t>年</w:t>
            </w:r>
            <w:r>
              <w:rPr>
                <w:rFonts w:hint="eastAsia" w:ascii="宋体" w:hAnsi="宋体" w:eastAsia="宋体" w:cs="宋体"/>
                <w:sz w:val="21"/>
                <w:szCs w:val="21"/>
                <w:lang w:val="en-US" w:eastAsia="zh-CN"/>
              </w:rPr>
              <w:t>07</w:t>
            </w:r>
            <w:r>
              <w:rPr>
                <w:rFonts w:hint="eastAsia" w:ascii="宋体" w:hAnsi="宋体" w:eastAsia="宋体" w:cs="宋体"/>
                <w:sz w:val="21"/>
                <w:szCs w:val="21"/>
                <w:lang w:val="zh-CN" w:eastAsia="zh-CN"/>
              </w:rPr>
              <w:t>月</w:t>
            </w:r>
            <w:r>
              <w:rPr>
                <w:rFonts w:hint="eastAsia" w:ascii="宋体" w:hAnsi="宋体" w:eastAsia="宋体" w:cs="宋体"/>
                <w:sz w:val="21"/>
                <w:szCs w:val="21"/>
                <w:lang w:val="en-US" w:eastAsia="zh-CN"/>
              </w:rPr>
              <w:t>13</w:t>
            </w:r>
            <w:r>
              <w:rPr>
                <w:rFonts w:hint="eastAsia" w:ascii="宋体" w:hAnsi="宋体" w:eastAsia="宋体" w:cs="宋体"/>
                <w:sz w:val="21"/>
                <w:szCs w:val="21"/>
                <w:lang w:val="zh-CN" w:eastAsia="zh-CN"/>
              </w:rPr>
              <w:t>日</w:t>
            </w:r>
            <w:r>
              <w:rPr>
                <w:rFonts w:hint="eastAsia" w:ascii="宋体" w:hAnsi="宋体" w:eastAsia="宋体" w:cs="宋体"/>
                <w:sz w:val="21"/>
                <w:szCs w:val="21"/>
                <w:lang w:val="en-US" w:eastAsia="zh-CN"/>
              </w:rPr>
              <w:t>13</w:t>
            </w:r>
            <w:r>
              <w:rPr>
                <w:rFonts w:hint="eastAsia" w:ascii="宋体" w:hAnsi="宋体" w:eastAsia="宋体" w:cs="宋体"/>
                <w:sz w:val="21"/>
                <w:szCs w:val="21"/>
                <w:lang w:val="zh-CN" w:eastAsia="zh-CN"/>
              </w:rPr>
              <w:t>时</w:t>
            </w:r>
            <w:r>
              <w:rPr>
                <w:rFonts w:hint="eastAsia" w:ascii="宋体" w:hAnsi="宋体" w:eastAsia="宋体" w:cs="宋体"/>
                <w:sz w:val="21"/>
                <w:szCs w:val="21"/>
                <w:lang w:val="en-US" w:eastAsia="zh-CN"/>
              </w:rPr>
              <w:t>0</w:t>
            </w:r>
            <w:r>
              <w:rPr>
                <w:rFonts w:hint="eastAsia" w:ascii="宋体" w:hAnsi="宋体" w:eastAsia="宋体" w:cs="宋体"/>
                <w:sz w:val="21"/>
                <w:szCs w:val="21"/>
                <w:lang w:val="zh-CN" w:eastAsia="zh-CN"/>
              </w:rPr>
              <w:t>0分</w:t>
            </w:r>
          </w:p>
          <w:p w14:paraId="4001F2C3">
            <w:pPr>
              <w:rPr>
                <w:rFonts w:hint="eastAsia" w:ascii="宋体" w:hAnsi="宋体" w:eastAsia="宋体" w:cs="宋体"/>
                <w:sz w:val="21"/>
                <w:szCs w:val="21"/>
                <w:lang w:val="zh-CN" w:eastAsia="zh-CN"/>
              </w:rPr>
            </w:pPr>
            <w:r>
              <w:rPr>
                <w:rFonts w:hint="eastAsia" w:ascii="宋体" w:hAnsi="宋体" w:eastAsia="宋体" w:cs="宋体"/>
                <w:sz w:val="21"/>
                <w:szCs w:val="21"/>
                <w:highlight w:val="none"/>
              </w:rPr>
              <w:t>地点：长春新区政务服务中心公共资源交易大厅（龙湖大路5799号）</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楼</w:t>
            </w:r>
            <w:r>
              <w:rPr>
                <w:rFonts w:hint="eastAsia" w:ascii="宋体" w:hAnsi="宋体" w:eastAsia="宋体" w:cs="宋体"/>
                <w:sz w:val="21"/>
                <w:szCs w:val="21"/>
                <w:highlight w:val="none"/>
                <w:lang w:val="en-US" w:eastAsia="zh-CN"/>
              </w:rPr>
              <w:t>B2</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eastAsia="zh-CN"/>
              </w:rPr>
              <w:t>开标室</w:t>
            </w:r>
          </w:p>
        </w:tc>
      </w:tr>
      <w:tr w14:paraId="0260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BB26F8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2146" w:type="dxa"/>
            <w:noWrap w:val="0"/>
            <w:vAlign w:val="center"/>
          </w:tcPr>
          <w:p w14:paraId="56445043">
            <w:pPr>
              <w:jc w:val="center"/>
              <w:rPr>
                <w:rFonts w:hint="eastAsia" w:ascii="宋体" w:hAnsi="宋体" w:eastAsia="宋体" w:cs="宋体"/>
                <w:sz w:val="21"/>
                <w:szCs w:val="21"/>
              </w:rPr>
            </w:pPr>
            <w:r>
              <w:rPr>
                <w:rFonts w:hint="eastAsia" w:ascii="宋体" w:hAnsi="宋体" w:eastAsia="宋体" w:cs="宋体"/>
                <w:sz w:val="21"/>
                <w:szCs w:val="21"/>
              </w:rPr>
              <w:t>开标程序</w:t>
            </w:r>
          </w:p>
        </w:tc>
        <w:tc>
          <w:tcPr>
            <w:tcW w:w="6687" w:type="dxa"/>
            <w:noWrap w:val="0"/>
            <w:vAlign w:val="center"/>
          </w:tcPr>
          <w:p w14:paraId="273AB5AB">
            <w:pPr>
              <w:rPr>
                <w:rFonts w:hint="eastAsia" w:ascii="宋体" w:hAnsi="宋体" w:eastAsia="宋体" w:cs="宋体"/>
                <w:sz w:val="21"/>
                <w:szCs w:val="21"/>
              </w:rPr>
            </w:pPr>
            <w:r>
              <w:rPr>
                <w:rFonts w:hint="eastAsia" w:ascii="宋体" w:hAnsi="宋体" w:eastAsia="宋体" w:cs="宋体"/>
                <w:sz w:val="21"/>
                <w:szCs w:val="21"/>
              </w:rPr>
              <w:t>按“政采云”平台电子开标大厅程序进行。</w:t>
            </w:r>
          </w:p>
        </w:tc>
      </w:tr>
      <w:tr w14:paraId="787F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774B138F">
            <w:pPr>
              <w:jc w:val="center"/>
              <w:rPr>
                <w:rFonts w:hint="eastAsia" w:ascii="宋体" w:hAnsi="宋体" w:eastAsia="宋体" w:cs="宋体"/>
                <w:sz w:val="21"/>
                <w:szCs w:val="21"/>
                <w:lang w:val="en-US" w:eastAsia="zh-CN"/>
              </w:rPr>
            </w:pPr>
            <w:r>
              <w:rPr>
                <w:rFonts w:hint="eastAsia" w:ascii="宋体" w:hAnsi="宋体" w:eastAsia="宋体" w:cs="宋体"/>
                <w:sz w:val="21"/>
                <w:szCs w:val="21"/>
              </w:rPr>
              <w:t>6.1.1</w:t>
            </w:r>
          </w:p>
        </w:tc>
        <w:tc>
          <w:tcPr>
            <w:tcW w:w="2146" w:type="dxa"/>
            <w:noWrap w:val="0"/>
            <w:vAlign w:val="center"/>
          </w:tcPr>
          <w:p w14:paraId="32106E46">
            <w:pPr>
              <w:jc w:val="center"/>
              <w:rPr>
                <w:rFonts w:hint="eastAsia" w:ascii="宋体" w:hAnsi="宋体" w:eastAsia="宋体" w:cs="宋体"/>
                <w:sz w:val="21"/>
                <w:szCs w:val="21"/>
                <w:lang w:val="zh-CN" w:eastAsia="zh-CN"/>
              </w:rPr>
            </w:pPr>
            <w:r>
              <w:rPr>
                <w:rFonts w:hint="eastAsia" w:ascii="宋体" w:hAnsi="宋体" w:eastAsia="宋体" w:cs="宋体"/>
                <w:sz w:val="21"/>
                <w:szCs w:val="21"/>
              </w:rPr>
              <w:t>评标委员会的组建</w:t>
            </w:r>
          </w:p>
        </w:tc>
        <w:tc>
          <w:tcPr>
            <w:tcW w:w="6687" w:type="dxa"/>
            <w:noWrap w:val="0"/>
            <w:vAlign w:val="top"/>
          </w:tcPr>
          <w:p w14:paraId="312B2CBE">
            <w:pPr>
              <w:rPr>
                <w:rFonts w:hint="eastAsia" w:ascii="宋体" w:hAnsi="宋体" w:eastAsia="宋体" w:cs="宋体"/>
                <w:sz w:val="21"/>
                <w:szCs w:val="21"/>
                <w:lang w:val="zh-CN"/>
              </w:rPr>
            </w:pPr>
            <w:r>
              <w:rPr>
                <w:rFonts w:hint="eastAsia" w:ascii="宋体" w:hAnsi="宋体" w:eastAsia="宋体" w:cs="宋体"/>
                <w:sz w:val="21"/>
                <w:szCs w:val="21"/>
                <w:lang w:val="zh-CN"/>
              </w:rPr>
              <w:t>评标委员会构成：</w:t>
            </w:r>
            <w:r>
              <w:rPr>
                <w:rFonts w:hint="eastAsia" w:ascii="宋体" w:hAnsi="宋体" w:eastAsia="宋体" w:cs="宋体"/>
                <w:sz w:val="21"/>
                <w:szCs w:val="21"/>
                <w:lang w:val="en-US" w:eastAsia="zh-CN"/>
              </w:rPr>
              <w:t>5</w:t>
            </w:r>
            <w:r>
              <w:rPr>
                <w:rFonts w:hint="eastAsia" w:ascii="宋体" w:hAnsi="宋体" w:eastAsia="宋体" w:cs="宋体"/>
                <w:sz w:val="21"/>
                <w:szCs w:val="21"/>
                <w:lang w:val="zh-CN"/>
              </w:rPr>
              <w:t>人，其中：</w:t>
            </w:r>
            <w:r>
              <w:rPr>
                <w:rFonts w:hint="eastAsia" w:ascii="宋体" w:hAnsi="宋体" w:eastAsia="宋体" w:cs="宋体"/>
                <w:sz w:val="21"/>
                <w:szCs w:val="21"/>
                <w:lang w:val="zh-CN" w:eastAsia="zh-CN"/>
              </w:rPr>
              <w:t>经济和技术评审专家</w:t>
            </w:r>
            <w:r>
              <w:rPr>
                <w:rFonts w:hint="eastAsia" w:ascii="宋体" w:hAnsi="宋体" w:eastAsia="宋体" w:cs="宋体"/>
                <w:sz w:val="21"/>
                <w:szCs w:val="21"/>
                <w:lang w:val="en-US" w:eastAsia="zh-CN"/>
              </w:rPr>
              <w:t>5</w:t>
            </w:r>
            <w:r>
              <w:rPr>
                <w:rFonts w:hint="eastAsia" w:ascii="宋体" w:hAnsi="宋体" w:eastAsia="宋体" w:cs="宋体"/>
                <w:sz w:val="21"/>
                <w:szCs w:val="21"/>
                <w:lang w:val="zh-CN" w:eastAsia="zh-CN"/>
              </w:rPr>
              <w:t>人</w:t>
            </w:r>
            <w:r>
              <w:rPr>
                <w:rFonts w:hint="eastAsia" w:ascii="宋体" w:hAnsi="宋体" w:eastAsia="宋体" w:cs="宋体"/>
                <w:sz w:val="21"/>
                <w:szCs w:val="21"/>
                <w:lang w:val="zh-CN"/>
              </w:rPr>
              <w:t>；</w:t>
            </w:r>
          </w:p>
          <w:p w14:paraId="2D728ACC">
            <w:pPr>
              <w:rPr>
                <w:rFonts w:hint="eastAsia" w:ascii="宋体" w:hAnsi="宋体" w:eastAsia="宋体" w:cs="宋体"/>
                <w:sz w:val="21"/>
                <w:szCs w:val="21"/>
                <w:lang w:val="zh-CN" w:eastAsia="zh-CN"/>
              </w:rPr>
            </w:pPr>
            <w:r>
              <w:rPr>
                <w:rFonts w:hint="eastAsia" w:ascii="宋体" w:hAnsi="宋体" w:eastAsia="宋体" w:cs="宋体"/>
                <w:sz w:val="21"/>
                <w:szCs w:val="21"/>
                <w:lang w:val="zh-CN"/>
              </w:rPr>
              <w:t>评标专家确定方式：从吉林省政府采购云平台的评审专家库中随机抽取评审专家。</w:t>
            </w:r>
          </w:p>
        </w:tc>
      </w:tr>
      <w:tr w14:paraId="03C9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4D67BAF5">
            <w:pPr>
              <w:jc w:val="center"/>
              <w:rPr>
                <w:rFonts w:hint="eastAsia" w:ascii="宋体" w:hAnsi="宋体" w:eastAsia="宋体" w:cs="宋体"/>
                <w:sz w:val="21"/>
                <w:szCs w:val="21"/>
                <w:lang w:val="en-US" w:eastAsia="zh-CN"/>
              </w:rPr>
            </w:pPr>
            <w:r>
              <w:rPr>
                <w:rFonts w:hint="eastAsia" w:ascii="宋体" w:hAnsi="宋体" w:eastAsia="宋体" w:cs="宋体"/>
                <w:sz w:val="21"/>
                <w:szCs w:val="21"/>
              </w:rPr>
              <w:t>7.1</w:t>
            </w:r>
          </w:p>
        </w:tc>
        <w:tc>
          <w:tcPr>
            <w:tcW w:w="2146" w:type="dxa"/>
            <w:noWrap w:val="0"/>
            <w:vAlign w:val="center"/>
          </w:tcPr>
          <w:p w14:paraId="3B816B9B">
            <w:pPr>
              <w:jc w:val="center"/>
              <w:rPr>
                <w:rFonts w:hint="eastAsia" w:ascii="宋体" w:hAnsi="宋体" w:eastAsia="宋体" w:cs="宋体"/>
                <w:sz w:val="21"/>
                <w:szCs w:val="21"/>
                <w:lang w:val="zh-CN" w:eastAsia="zh-CN"/>
              </w:rPr>
            </w:pPr>
            <w:r>
              <w:rPr>
                <w:rFonts w:hint="eastAsia" w:ascii="宋体" w:hAnsi="宋体" w:eastAsia="宋体" w:cs="宋体"/>
                <w:sz w:val="21"/>
                <w:szCs w:val="21"/>
              </w:rPr>
              <w:t>是否授权评标委员会确定中标人</w:t>
            </w:r>
          </w:p>
        </w:tc>
        <w:tc>
          <w:tcPr>
            <w:tcW w:w="6687" w:type="dxa"/>
            <w:noWrap w:val="0"/>
            <w:vAlign w:val="center"/>
          </w:tcPr>
          <w:p w14:paraId="40DE623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否，推荐3名中标候选人。</w:t>
            </w:r>
          </w:p>
          <w:p w14:paraId="5512BA9E">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评标委员会根据综合评分情况，按照评审得分由高到低顺序推荐前3名中标候选投标人。原则上推荐排名位于第一名的中标候选投标人为中标投标人。</w:t>
            </w:r>
          </w:p>
        </w:tc>
      </w:tr>
      <w:tr w14:paraId="6B6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5F3293E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2146" w:type="dxa"/>
            <w:noWrap w:val="0"/>
            <w:vAlign w:val="center"/>
          </w:tcPr>
          <w:p w14:paraId="1F1379CB">
            <w:pPr>
              <w:jc w:val="center"/>
              <w:rPr>
                <w:rFonts w:hint="eastAsia" w:ascii="宋体" w:hAnsi="宋体" w:eastAsia="宋体" w:cs="宋体"/>
                <w:sz w:val="21"/>
                <w:szCs w:val="21"/>
              </w:rPr>
            </w:pPr>
            <w:r>
              <w:rPr>
                <w:rFonts w:hint="eastAsia" w:ascii="宋体" w:hAnsi="宋体" w:eastAsia="宋体" w:cs="宋体"/>
                <w:sz w:val="21"/>
                <w:szCs w:val="21"/>
              </w:rPr>
              <w:t>中标结果公告媒介</w:t>
            </w:r>
          </w:p>
        </w:tc>
        <w:tc>
          <w:tcPr>
            <w:tcW w:w="6687" w:type="dxa"/>
            <w:noWrap w:val="0"/>
            <w:vAlign w:val="center"/>
          </w:tcPr>
          <w:p w14:paraId="1F0092C1">
            <w:pPr>
              <w:rPr>
                <w:rFonts w:hint="eastAsia" w:ascii="宋体" w:hAnsi="宋体" w:eastAsia="宋体" w:cs="宋体"/>
                <w:sz w:val="21"/>
                <w:szCs w:val="21"/>
                <w:lang w:val="en-US" w:eastAsia="zh-CN"/>
              </w:rPr>
            </w:pPr>
            <w:r>
              <w:rPr>
                <w:rFonts w:hint="eastAsia" w:ascii="宋体" w:hAnsi="宋体" w:eastAsia="宋体" w:cs="宋体"/>
                <w:sz w:val="21"/>
                <w:szCs w:val="21"/>
              </w:rPr>
              <w:t>同招标公告媒介</w:t>
            </w:r>
          </w:p>
        </w:tc>
      </w:tr>
      <w:tr w14:paraId="311A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698" w:type="dxa"/>
            <w:gridSpan w:val="3"/>
            <w:noWrap w:val="0"/>
            <w:vAlign w:val="center"/>
          </w:tcPr>
          <w:p w14:paraId="16008AF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其他补充内容</w:t>
            </w:r>
          </w:p>
        </w:tc>
      </w:tr>
      <w:tr w14:paraId="50A1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77B3CD1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46" w:type="dxa"/>
            <w:noWrap w:val="0"/>
            <w:vAlign w:val="center"/>
          </w:tcPr>
          <w:p w14:paraId="3A1E82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采购预算</w:t>
            </w:r>
          </w:p>
        </w:tc>
        <w:tc>
          <w:tcPr>
            <w:tcW w:w="6687" w:type="dxa"/>
            <w:shd w:val="clear" w:color="auto" w:fill="auto"/>
            <w:noWrap w:val="0"/>
            <w:vAlign w:val="center"/>
          </w:tcPr>
          <w:p w14:paraId="27DDE66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采购预算</w:t>
            </w:r>
            <w:r>
              <w:rPr>
                <w:rFonts w:hint="eastAsia" w:ascii="宋体" w:hAnsi="宋体" w:eastAsia="宋体" w:cs="宋体"/>
                <w:sz w:val="21"/>
                <w:szCs w:val="21"/>
                <w:lang w:val="zh-CN" w:eastAsia="zh-CN"/>
              </w:rPr>
              <w:t>1</w:t>
            </w:r>
            <w:r>
              <w:rPr>
                <w:rFonts w:hint="eastAsia" w:ascii="宋体" w:hAnsi="宋体" w:cs="宋体"/>
                <w:sz w:val="21"/>
                <w:szCs w:val="21"/>
                <w:lang w:val="en-US" w:eastAsia="zh-CN"/>
              </w:rPr>
              <w:t>80</w:t>
            </w:r>
            <w:r>
              <w:rPr>
                <w:rFonts w:hint="eastAsia" w:ascii="宋体" w:hAnsi="宋体" w:eastAsia="宋体" w:cs="宋体"/>
                <w:sz w:val="21"/>
                <w:szCs w:val="21"/>
                <w:lang w:val="en-US" w:eastAsia="zh-CN"/>
              </w:rPr>
              <w:t>万元</w:t>
            </w:r>
          </w:p>
          <w:p w14:paraId="27DB1945">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cs="宋体"/>
                <w:b w:val="0"/>
                <w:bCs w:val="0"/>
                <w:color w:val="auto"/>
                <w:spacing w:val="5"/>
                <w:sz w:val="21"/>
                <w:szCs w:val="21"/>
                <w:highlight w:val="none"/>
                <w:vertAlign w:val="baseline"/>
                <w:lang w:val="en-US" w:eastAsia="zh-CN"/>
              </w:rPr>
            </w:pPr>
            <w:r>
              <w:rPr>
                <w:rFonts w:hint="eastAsia" w:ascii="宋体" w:hAnsi="宋体" w:cs="宋体"/>
                <w:b w:val="0"/>
                <w:bCs w:val="0"/>
                <w:color w:val="auto"/>
                <w:spacing w:val="5"/>
                <w:sz w:val="21"/>
                <w:szCs w:val="21"/>
                <w:highlight w:val="none"/>
                <w:vertAlign w:val="baseline"/>
                <w:lang w:val="en-US" w:eastAsia="zh-CN"/>
              </w:rPr>
              <w:t>注：</w:t>
            </w:r>
          </w:p>
          <w:p w14:paraId="7393F760">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ascii="宋体" w:hAnsi="宋体" w:cs="宋体"/>
                <w:b w:val="0"/>
                <w:bCs w:val="0"/>
                <w:color w:val="auto"/>
                <w:spacing w:val="5"/>
                <w:sz w:val="21"/>
                <w:szCs w:val="21"/>
                <w:highlight w:val="none"/>
                <w:vertAlign w:val="baseline"/>
                <w:lang w:val="en-US" w:eastAsia="zh-CN"/>
              </w:rPr>
            </w:pPr>
            <w:r>
              <w:rPr>
                <w:rFonts w:hint="eastAsia" w:ascii="宋体" w:hAnsi="宋体" w:cs="宋体"/>
                <w:b w:val="0"/>
                <w:bCs w:val="0"/>
                <w:color w:val="auto"/>
                <w:spacing w:val="5"/>
                <w:sz w:val="21"/>
                <w:szCs w:val="21"/>
                <w:highlight w:val="none"/>
                <w:vertAlign w:val="baseline"/>
                <w:lang w:val="en-US" w:eastAsia="zh-CN"/>
              </w:rPr>
              <w:t>1、投标报价超过采购预算价格的投标无效；</w:t>
            </w:r>
          </w:p>
          <w:p w14:paraId="02AC3F32">
            <w:pPr>
              <w:keepNext w:val="0"/>
              <w:keepLines w:val="0"/>
              <w:pageBreakBefore w:val="0"/>
              <w:widowControl/>
              <w:kinsoku w:val="0"/>
              <w:wordWrap/>
              <w:overflowPunct/>
              <w:topLinePunct w:val="0"/>
              <w:autoSpaceDE w:val="0"/>
              <w:autoSpaceDN w:val="0"/>
              <w:bidi w:val="0"/>
              <w:adjustRightInd w:val="0"/>
              <w:snapToGrid w:val="0"/>
              <w:spacing w:before="0" w:beforeLines="20" w:line="312" w:lineRule="auto"/>
              <w:jc w:val="both"/>
              <w:textAlignment w:val="baseline"/>
              <w:rPr>
                <w:rFonts w:hint="eastAsia"/>
                <w:sz w:val="21"/>
                <w:szCs w:val="21"/>
                <w:lang w:val="zh-CN" w:eastAsia="zh-CN"/>
              </w:rPr>
            </w:pPr>
            <w:r>
              <w:rPr>
                <w:rFonts w:hint="eastAsia" w:ascii="宋体" w:hAnsi="宋体" w:cs="宋体"/>
                <w:b w:val="0"/>
                <w:bCs w:val="0"/>
                <w:color w:val="auto"/>
                <w:spacing w:val="5"/>
                <w:sz w:val="21"/>
                <w:szCs w:val="21"/>
                <w:highlight w:val="none"/>
                <w:vertAlign w:val="baseline"/>
                <w:lang w:val="en-US" w:eastAsia="zh-CN"/>
              </w:rPr>
              <w:t>2、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合理说明或者不能提供相关证明材料的，由评标委员会认定该投标人以低于成本报价竞标，低于成本视为废标处理。</w:t>
            </w:r>
          </w:p>
        </w:tc>
      </w:tr>
      <w:tr w14:paraId="5E79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678E7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146" w:type="dxa"/>
            <w:shd w:val="clear" w:color="auto" w:fill="auto"/>
            <w:noWrap w:val="0"/>
            <w:vAlign w:val="center"/>
          </w:tcPr>
          <w:p w14:paraId="0E8DACF7">
            <w:pPr>
              <w:jc w:val="center"/>
              <w:rPr>
                <w:rFonts w:hint="eastAsia" w:ascii="宋体" w:hAnsi="宋体" w:eastAsia="宋体" w:cs="宋体"/>
                <w:sz w:val="21"/>
                <w:szCs w:val="21"/>
                <w:lang w:val="zh-CN" w:eastAsia="zh-CN"/>
              </w:rPr>
            </w:pPr>
            <w:r>
              <w:rPr>
                <w:rFonts w:hint="eastAsia" w:ascii="宋体" w:hAnsi="宋体" w:eastAsia="宋体" w:cs="宋体"/>
                <w:sz w:val="21"/>
                <w:szCs w:val="21"/>
              </w:rPr>
              <w:t>质保期</w:t>
            </w:r>
          </w:p>
        </w:tc>
        <w:tc>
          <w:tcPr>
            <w:tcW w:w="6687" w:type="dxa"/>
            <w:shd w:val="clear" w:color="auto" w:fill="auto"/>
            <w:noWrap w:val="0"/>
            <w:vAlign w:val="center"/>
          </w:tcPr>
          <w:p w14:paraId="39FC17A7">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设备自验收之日起3年内为维保期其中第1年为质保期（如设备法定质保期或设备使用说明质保期长于1年，以法定质保期或说明书中质保期为准）。质保维保期所有软硬件服务均免费。</w:t>
            </w:r>
          </w:p>
        </w:tc>
      </w:tr>
      <w:tr w14:paraId="1ED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0BE5E08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146" w:type="dxa"/>
            <w:shd w:val="clear" w:color="auto" w:fill="auto"/>
            <w:noWrap w:val="0"/>
            <w:vAlign w:val="center"/>
          </w:tcPr>
          <w:p w14:paraId="47CF0AB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交货</w:t>
            </w:r>
            <w:r>
              <w:rPr>
                <w:rFonts w:hint="eastAsia" w:ascii="宋体" w:hAnsi="宋体" w:eastAsia="宋体" w:cs="宋体"/>
                <w:sz w:val="21"/>
                <w:szCs w:val="21"/>
              </w:rPr>
              <w:t>地点</w:t>
            </w:r>
          </w:p>
        </w:tc>
        <w:tc>
          <w:tcPr>
            <w:tcW w:w="6687" w:type="dxa"/>
            <w:shd w:val="clear" w:color="auto" w:fill="auto"/>
            <w:noWrap w:val="0"/>
            <w:vAlign w:val="center"/>
          </w:tcPr>
          <w:p w14:paraId="43319D1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长春新区指定学校，送货上门服务。</w:t>
            </w:r>
          </w:p>
        </w:tc>
      </w:tr>
      <w:tr w14:paraId="60C1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2EC3503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46" w:type="dxa"/>
            <w:shd w:val="clear" w:color="auto" w:fill="auto"/>
            <w:noWrap w:val="0"/>
            <w:vAlign w:val="center"/>
          </w:tcPr>
          <w:p w14:paraId="26B2485F">
            <w:pPr>
              <w:jc w:val="center"/>
              <w:rPr>
                <w:rFonts w:hint="eastAsia" w:ascii="宋体" w:hAnsi="宋体" w:eastAsia="宋体" w:cs="宋体"/>
                <w:sz w:val="21"/>
                <w:szCs w:val="21"/>
                <w:lang w:val="en-US" w:eastAsia="zh-CN"/>
              </w:rPr>
            </w:pPr>
            <w:r>
              <w:rPr>
                <w:rFonts w:hint="eastAsia" w:ascii="宋体" w:hAnsi="宋体" w:eastAsia="宋体" w:cs="宋体"/>
                <w:sz w:val="21"/>
                <w:szCs w:val="21"/>
              </w:rPr>
              <w:t>履约担保</w:t>
            </w:r>
          </w:p>
        </w:tc>
        <w:tc>
          <w:tcPr>
            <w:tcW w:w="6687" w:type="dxa"/>
            <w:shd w:val="clear" w:color="auto" w:fill="auto"/>
            <w:noWrap w:val="0"/>
            <w:vAlign w:val="center"/>
          </w:tcPr>
          <w:p w14:paraId="6B62013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按合同约定</w:t>
            </w:r>
          </w:p>
        </w:tc>
      </w:tr>
      <w:tr w14:paraId="247B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CBC047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46" w:type="dxa"/>
            <w:shd w:val="clear" w:color="auto" w:fill="auto"/>
            <w:noWrap w:val="0"/>
            <w:vAlign w:val="center"/>
          </w:tcPr>
          <w:p w14:paraId="69353694">
            <w:pPr>
              <w:jc w:val="center"/>
              <w:rPr>
                <w:rFonts w:hint="eastAsia" w:ascii="宋体" w:hAnsi="宋体" w:eastAsia="宋体" w:cs="宋体"/>
                <w:sz w:val="21"/>
                <w:szCs w:val="21"/>
                <w:lang w:val="en-US" w:eastAsia="zh-CN"/>
              </w:rPr>
            </w:pPr>
            <w:r>
              <w:rPr>
                <w:rFonts w:hint="eastAsia" w:ascii="宋体" w:hAnsi="宋体" w:eastAsia="宋体" w:cs="宋体"/>
                <w:sz w:val="21"/>
                <w:szCs w:val="21"/>
              </w:rPr>
              <w:t>付款方式</w:t>
            </w:r>
          </w:p>
        </w:tc>
        <w:tc>
          <w:tcPr>
            <w:tcW w:w="6687" w:type="dxa"/>
            <w:shd w:val="clear" w:color="auto" w:fill="auto"/>
            <w:noWrap w:val="0"/>
            <w:vAlign w:val="center"/>
          </w:tcPr>
          <w:p w14:paraId="6AA74B2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设备安装、调试完毕经实际使用单位验收合格后向乙方支付合同总价款70%，剩余合同30%金额从验收之日起3年内完成付款。</w:t>
            </w:r>
          </w:p>
        </w:tc>
      </w:tr>
      <w:tr w14:paraId="7EA1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5C0A35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46" w:type="dxa"/>
            <w:shd w:val="clear" w:color="auto" w:fill="auto"/>
            <w:noWrap w:val="0"/>
            <w:vAlign w:val="center"/>
          </w:tcPr>
          <w:p w14:paraId="1F4360E5">
            <w:pPr>
              <w:jc w:val="center"/>
              <w:rPr>
                <w:rFonts w:hint="eastAsia" w:ascii="宋体" w:hAnsi="宋体" w:eastAsia="宋体" w:cs="宋体"/>
                <w:sz w:val="21"/>
                <w:szCs w:val="21"/>
                <w:lang w:val="zh-CN" w:eastAsia="zh-CN"/>
              </w:rPr>
            </w:pPr>
            <w:r>
              <w:rPr>
                <w:rFonts w:hint="eastAsia" w:ascii="宋体" w:hAnsi="宋体" w:eastAsia="宋体" w:cs="宋体"/>
                <w:sz w:val="21"/>
                <w:szCs w:val="21"/>
              </w:rPr>
              <w:t>签订合同</w:t>
            </w:r>
          </w:p>
        </w:tc>
        <w:tc>
          <w:tcPr>
            <w:tcW w:w="6687" w:type="dxa"/>
            <w:shd w:val="clear" w:color="auto" w:fill="auto"/>
            <w:noWrap w:val="0"/>
            <w:vAlign w:val="center"/>
          </w:tcPr>
          <w:p w14:paraId="0A6D666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中标人应在领取中标通知书后 30 天内与采购人签订采购合同。</w:t>
            </w:r>
          </w:p>
        </w:tc>
      </w:tr>
      <w:tr w14:paraId="6D92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00D669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46" w:type="dxa"/>
            <w:noWrap w:val="0"/>
            <w:vAlign w:val="center"/>
          </w:tcPr>
          <w:p w14:paraId="4F30906C">
            <w:pPr>
              <w:jc w:val="center"/>
              <w:rPr>
                <w:rFonts w:hint="eastAsia" w:ascii="宋体" w:hAnsi="宋体" w:eastAsia="宋体" w:cs="宋体"/>
                <w:sz w:val="21"/>
                <w:szCs w:val="21"/>
                <w:lang w:val="en-US" w:eastAsia="zh-CN"/>
              </w:rPr>
            </w:pPr>
            <w:r>
              <w:rPr>
                <w:rFonts w:hint="eastAsia" w:ascii="宋体" w:hAnsi="宋体" w:eastAsia="宋体" w:cs="宋体"/>
                <w:sz w:val="21"/>
                <w:szCs w:val="21"/>
              </w:rPr>
              <w:t>采购代理服务费</w:t>
            </w:r>
          </w:p>
        </w:tc>
        <w:tc>
          <w:tcPr>
            <w:tcW w:w="6687" w:type="dxa"/>
            <w:noWrap w:val="0"/>
            <w:vAlign w:val="center"/>
          </w:tcPr>
          <w:p w14:paraId="0DD6AE6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按国家发展改革委发改价格[2015]299号文件，按中标金额2%费率计取，由中标单位支付。</w:t>
            </w:r>
          </w:p>
        </w:tc>
      </w:tr>
      <w:tr w14:paraId="79F3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1060F2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46" w:type="dxa"/>
            <w:shd w:val="clear" w:color="auto" w:fill="auto"/>
            <w:noWrap w:val="0"/>
            <w:vAlign w:val="center"/>
          </w:tcPr>
          <w:p w14:paraId="7851BD8F">
            <w:pPr>
              <w:jc w:val="center"/>
              <w:rPr>
                <w:rFonts w:hint="eastAsia" w:ascii="宋体" w:hAnsi="宋体" w:eastAsia="宋体" w:cs="宋体"/>
                <w:sz w:val="21"/>
                <w:szCs w:val="21"/>
                <w:lang w:val="zh-CN" w:eastAsia="zh-CN"/>
              </w:rPr>
            </w:pPr>
            <w:r>
              <w:rPr>
                <w:rFonts w:hint="eastAsia" w:ascii="宋体" w:hAnsi="宋体" w:eastAsia="宋体" w:cs="宋体"/>
                <w:sz w:val="21"/>
                <w:szCs w:val="21"/>
              </w:rPr>
              <w:t>采购方式</w:t>
            </w:r>
          </w:p>
        </w:tc>
        <w:tc>
          <w:tcPr>
            <w:tcW w:w="6687" w:type="dxa"/>
            <w:shd w:val="clear" w:color="auto" w:fill="auto"/>
            <w:noWrap w:val="0"/>
            <w:vAlign w:val="center"/>
          </w:tcPr>
          <w:p w14:paraId="105FF3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公开招标</w:t>
            </w:r>
          </w:p>
        </w:tc>
      </w:tr>
      <w:tr w14:paraId="3E94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E9E5C5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46" w:type="dxa"/>
            <w:shd w:val="clear" w:color="auto" w:fill="auto"/>
            <w:noWrap w:val="0"/>
            <w:vAlign w:val="center"/>
          </w:tcPr>
          <w:p w14:paraId="540EE8E6">
            <w:pPr>
              <w:jc w:val="center"/>
              <w:rPr>
                <w:rFonts w:hint="eastAsia" w:ascii="宋体" w:hAnsi="宋体" w:eastAsia="宋体" w:cs="宋体"/>
                <w:sz w:val="21"/>
                <w:szCs w:val="21"/>
                <w:lang w:val="zh-CN" w:eastAsia="zh-CN"/>
              </w:rPr>
            </w:pPr>
            <w:r>
              <w:rPr>
                <w:rFonts w:hint="eastAsia" w:ascii="宋体" w:hAnsi="宋体" w:eastAsia="宋体" w:cs="宋体"/>
                <w:sz w:val="21"/>
                <w:szCs w:val="21"/>
              </w:rPr>
              <w:t>评审方法</w:t>
            </w:r>
          </w:p>
        </w:tc>
        <w:tc>
          <w:tcPr>
            <w:tcW w:w="6687" w:type="dxa"/>
            <w:shd w:val="clear" w:color="auto" w:fill="auto"/>
            <w:noWrap w:val="0"/>
            <w:vAlign w:val="center"/>
          </w:tcPr>
          <w:p w14:paraId="2B7A84BD">
            <w:pPr>
              <w:rPr>
                <w:rFonts w:hint="eastAsia" w:ascii="宋体" w:hAnsi="宋体" w:eastAsia="宋体" w:cs="宋体"/>
                <w:sz w:val="21"/>
                <w:szCs w:val="21"/>
                <w:lang w:val="en-US" w:eastAsia="zh-CN"/>
              </w:rPr>
            </w:pPr>
            <w:r>
              <w:rPr>
                <w:rFonts w:hint="eastAsia" w:ascii="宋体" w:hAnsi="宋体" w:eastAsia="宋体" w:cs="宋体"/>
                <w:sz w:val="21"/>
                <w:szCs w:val="21"/>
              </w:rPr>
              <w:t>综合评分法</w:t>
            </w:r>
          </w:p>
        </w:tc>
      </w:tr>
      <w:tr w14:paraId="6842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1239684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46" w:type="dxa"/>
            <w:shd w:val="clear" w:color="auto" w:fill="auto"/>
            <w:noWrap w:val="0"/>
            <w:vAlign w:val="center"/>
          </w:tcPr>
          <w:p w14:paraId="4C84850A">
            <w:pPr>
              <w:jc w:val="center"/>
              <w:rPr>
                <w:rFonts w:hint="eastAsia" w:ascii="宋体" w:hAnsi="宋体" w:eastAsia="宋体" w:cs="宋体"/>
                <w:sz w:val="21"/>
                <w:szCs w:val="21"/>
                <w:lang w:val="zh-CN" w:eastAsia="zh-CN"/>
              </w:rPr>
            </w:pPr>
            <w:r>
              <w:rPr>
                <w:rFonts w:hint="eastAsia" w:ascii="宋体" w:hAnsi="宋体" w:eastAsia="宋体" w:cs="宋体"/>
                <w:sz w:val="21"/>
                <w:szCs w:val="21"/>
              </w:rPr>
              <w:t>电子标说明</w:t>
            </w:r>
          </w:p>
        </w:tc>
        <w:tc>
          <w:tcPr>
            <w:tcW w:w="6687" w:type="dxa"/>
            <w:shd w:val="clear" w:color="auto" w:fill="auto"/>
            <w:noWrap w:val="0"/>
            <w:vAlign w:val="center"/>
          </w:tcPr>
          <w:p w14:paraId="7E8E3FD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上传的电子证件及资料均需按要求签字盖章上传，否则按未签章处理。</w:t>
            </w:r>
          </w:p>
          <w:p w14:paraId="48D91BF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投标文件电子版方面技术支持：95763</w:t>
            </w:r>
          </w:p>
          <w:p w14:paraId="2807F29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供应商在政府采购云平台（网址：http:// www.zcygov.cn）通过数字证书制作响应文件1份（此响应文件需上传至政府采购云平台，并在开标时持编制响应文件的投标人数字证书进行远程解密）。</w:t>
            </w:r>
          </w:p>
          <w:p w14:paraId="5F8445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备注：用数字证书编制的电子版按政府采购云平台要求进行投标操作。</w:t>
            </w:r>
          </w:p>
          <w:p w14:paraId="0766330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响应文件解密：远程自行解密。</w:t>
            </w:r>
          </w:p>
        </w:tc>
      </w:tr>
      <w:tr w14:paraId="5CC1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25C5C2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46" w:type="dxa"/>
            <w:shd w:val="clear" w:color="auto" w:fill="auto"/>
            <w:noWrap w:val="0"/>
            <w:vAlign w:val="center"/>
          </w:tcPr>
          <w:p w14:paraId="43A1DAA9">
            <w:pPr>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投标文件远程解密方式</w:t>
            </w:r>
          </w:p>
        </w:tc>
        <w:tc>
          <w:tcPr>
            <w:tcW w:w="6687" w:type="dxa"/>
            <w:shd w:val="clear" w:color="auto" w:fill="auto"/>
            <w:noWrap w:val="0"/>
            <w:vAlign w:val="center"/>
          </w:tcPr>
          <w:p w14:paraId="727C434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本项目采用“政采云”平台(http：//www.zcygov.cn)不见面开标大厅进行远程采购活动。</w:t>
            </w:r>
          </w:p>
          <w:p w14:paraId="1C0600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投标文件远程解密方式：</w:t>
            </w:r>
          </w:p>
          <w:p w14:paraId="0228011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①公布供应商名单后30分钟内，由供应商持制作该电子投标文件的相同数字证书(CA锁)及电脑进行远程解密(各供应商在投标文件提交截止时间前及“政采云”系统公布供应商名单前，不要提前进行远程解密)。</w:t>
            </w:r>
          </w:p>
          <w:p w14:paraId="0B14F53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②投标文件解密截止时间后，“政采云”平台公布投标报价信息，供应商需持企业数字证书登录“政采云”平台在线确认投标报价信息。</w:t>
            </w:r>
          </w:p>
          <w:p w14:paraId="5ADEA835">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③因投标供应商自身原因未能按时完成解密的，视为逾期未提交投标文件，其投标无效。</w:t>
            </w:r>
          </w:p>
        </w:tc>
      </w:tr>
      <w:tr w14:paraId="5A8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6B189B9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46" w:type="dxa"/>
            <w:shd w:val="clear" w:color="auto" w:fill="auto"/>
            <w:noWrap w:val="0"/>
            <w:vAlign w:val="center"/>
          </w:tcPr>
          <w:p w14:paraId="4E24A1F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政策文件</w:t>
            </w:r>
          </w:p>
        </w:tc>
        <w:tc>
          <w:tcPr>
            <w:tcW w:w="6687" w:type="dxa"/>
            <w:shd w:val="clear" w:color="auto" w:fill="auto"/>
            <w:noWrap w:val="0"/>
            <w:vAlign w:val="center"/>
          </w:tcPr>
          <w:p w14:paraId="0D1929E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根据长春市财政局文件《长春市财政局关于进一步做好我市政府采购促进中小企业发展有关工作的通知》（长财采购【2021】416号）相关规定，执行以下政策：</w:t>
            </w:r>
          </w:p>
          <w:p w14:paraId="368B392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享受中小企业扶持政策的情形：在政府采购活动中，供应商提供的货物、工程或者服务符合下列情形的，享受本通知规定的中小企业扶持政策：（一）在货物采购项目中，货物由中小企业制造，即货物由中小企业生产且使用该中小企业商号或注册商标。</w:t>
            </w:r>
          </w:p>
          <w:p w14:paraId="350ADC7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货物采购项目中，如果一个采购项目或采购包含多个采购标的的，则每个采购标的均应由中小企业制造。供应商提供的货物既有中小企业制造货物，也有大型企业制造货物的，不享受本通知规定的中小企业扶持政策。</w:t>
            </w:r>
          </w:p>
          <w:p w14:paraId="4363825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2、公开中小企业声明函：中标、成交供应商享受本通知规定的中小企业</w:t>
            </w:r>
          </w:p>
          <w:p w14:paraId="3D85F5E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扶持政策的，采购人、采购代理机构应当随中标、成交结果公开中标、成交供应商的《中小企业声明函》。</w:t>
            </w:r>
          </w:p>
          <w:p w14:paraId="4773466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3、对于小型或微型企业参与本项目投标的：投标人需提供小微企业主管部门出具的《小微企业声明函》原件，在评审中将对小型或微型企业上生产的产品价格给予10%的扣除，用扣除后的价格参与评审。</w:t>
            </w:r>
          </w:p>
          <w:p w14:paraId="6D1CADD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4、节能产品：主要报价产品纳入财政部公布的《节能产品政府采购清单》目录（提供目录或证书复印件）的对报价给予3%的扣除。</w:t>
            </w:r>
          </w:p>
          <w:p w14:paraId="135BA9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5、环保标志产品：主要报价产品纳入财政部公布的《环境标志产品政府采购清单》目录的（提供目录或证书复印件）的对报价给予3%的扣除。</w:t>
            </w:r>
          </w:p>
        </w:tc>
      </w:tr>
      <w:tr w14:paraId="708F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5" w:type="dxa"/>
            <w:noWrap w:val="0"/>
            <w:vAlign w:val="center"/>
          </w:tcPr>
          <w:p w14:paraId="377B0FD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46" w:type="dxa"/>
            <w:shd w:val="clear" w:color="auto" w:fill="auto"/>
            <w:noWrap w:val="0"/>
            <w:vAlign w:val="center"/>
          </w:tcPr>
          <w:p w14:paraId="34BB43F8">
            <w:pPr>
              <w:jc w:val="center"/>
              <w:rPr>
                <w:rFonts w:hint="eastAsia" w:ascii="宋体" w:hAnsi="宋体" w:eastAsia="宋体" w:cs="宋体"/>
                <w:sz w:val="21"/>
                <w:szCs w:val="21"/>
              </w:rPr>
            </w:pPr>
            <w:r>
              <w:rPr>
                <w:rFonts w:hint="eastAsia" w:ascii="宋体" w:hAnsi="宋体" w:eastAsia="宋体" w:cs="宋体"/>
                <w:sz w:val="21"/>
                <w:szCs w:val="21"/>
                <w:lang w:val="zh-CN" w:eastAsia="zh-CN"/>
              </w:rPr>
              <w:t>技术标</w:t>
            </w:r>
          </w:p>
        </w:tc>
        <w:tc>
          <w:tcPr>
            <w:tcW w:w="6687" w:type="dxa"/>
            <w:shd w:val="clear" w:color="auto" w:fill="auto"/>
            <w:noWrap w:val="0"/>
            <w:vAlign w:val="center"/>
          </w:tcPr>
          <w:p w14:paraId="2BD56F86">
            <w:pPr>
              <w:rPr>
                <w:rFonts w:hint="eastAsia" w:ascii="宋体" w:hAnsi="宋体" w:eastAsia="宋体" w:cs="宋体"/>
                <w:sz w:val="21"/>
                <w:szCs w:val="21"/>
              </w:rPr>
            </w:pPr>
            <w:r>
              <w:rPr>
                <w:rFonts w:hint="eastAsia" w:ascii="宋体" w:hAnsi="宋体" w:eastAsia="宋体" w:cs="宋体"/>
                <w:sz w:val="21"/>
                <w:szCs w:val="21"/>
                <w:lang w:val="zh-CN"/>
              </w:rPr>
              <w:t>采用暗标</w:t>
            </w:r>
          </w:p>
        </w:tc>
      </w:tr>
      <w:tr w14:paraId="54A6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698" w:type="dxa"/>
            <w:gridSpan w:val="3"/>
            <w:noWrap w:val="0"/>
            <w:vAlign w:val="center"/>
          </w:tcPr>
          <w:p w14:paraId="3B482FAF">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注：本项目</w:t>
            </w:r>
            <w:r>
              <w:rPr>
                <w:rFonts w:hint="eastAsia" w:ascii="宋体" w:hAnsi="宋体" w:eastAsia="宋体" w:cs="宋体"/>
                <w:sz w:val="21"/>
                <w:szCs w:val="21"/>
                <w:lang w:val="en-US" w:eastAsia="zh-CN"/>
              </w:rPr>
              <w:t>招标</w:t>
            </w:r>
            <w:r>
              <w:rPr>
                <w:rFonts w:hint="eastAsia" w:ascii="宋体" w:hAnsi="宋体" w:eastAsia="宋体" w:cs="宋体"/>
                <w:sz w:val="21"/>
                <w:szCs w:val="21"/>
                <w:lang w:val="zh-CN" w:eastAsia="zh-CN"/>
              </w:rPr>
              <w:t>公告与</w:t>
            </w:r>
            <w:r>
              <w:rPr>
                <w:rFonts w:hint="eastAsia" w:ascii="宋体" w:hAnsi="宋体" w:eastAsia="宋体" w:cs="宋体"/>
                <w:sz w:val="21"/>
                <w:szCs w:val="21"/>
                <w:lang w:val="en-US" w:eastAsia="zh-CN"/>
              </w:rPr>
              <w:t>投标人</w:t>
            </w:r>
            <w:r>
              <w:rPr>
                <w:rFonts w:hint="eastAsia" w:ascii="宋体" w:hAnsi="宋体" w:eastAsia="宋体" w:cs="宋体"/>
                <w:sz w:val="21"/>
                <w:szCs w:val="21"/>
                <w:lang w:val="zh-CN" w:eastAsia="zh-CN"/>
              </w:rPr>
              <w:t>须知</w:t>
            </w:r>
            <w:r>
              <w:rPr>
                <w:rFonts w:hint="eastAsia" w:ascii="宋体" w:hAnsi="宋体" w:eastAsia="宋体" w:cs="宋体"/>
                <w:sz w:val="21"/>
                <w:szCs w:val="21"/>
                <w:lang w:val="en-US" w:eastAsia="zh-CN"/>
              </w:rPr>
              <w:t>正文</w:t>
            </w:r>
            <w:r>
              <w:rPr>
                <w:rFonts w:hint="eastAsia" w:ascii="宋体" w:hAnsi="宋体" w:eastAsia="宋体" w:cs="宋体"/>
                <w:sz w:val="21"/>
                <w:szCs w:val="21"/>
                <w:lang w:val="zh-CN" w:eastAsia="zh-CN"/>
              </w:rPr>
              <w:t>内容有不符之处，以</w:t>
            </w:r>
            <w:r>
              <w:rPr>
                <w:rFonts w:hint="eastAsia" w:ascii="宋体" w:hAnsi="宋体" w:eastAsia="宋体" w:cs="宋体"/>
                <w:sz w:val="21"/>
                <w:szCs w:val="21"/>
                <w:lang w:val="en-US" w:eastAsia="zh-CN"/>
              </w:rPr>
              <w:t>投标人</w:t>
            </w:r>
            <w:r>
              <w:rPr>
                <w:rFonts w:hint="eastAsia" w:ascii="宋体" w:hAnsi="宋体" w:eastAsia="宋体" w:cs="宋体"/>
                <w:sz w:val="21"/>
                <w:szCs w:val="21"/>
                <w:lang w:val="zh-CN" w:eastAsia="zh-CN"/>
              </w:rPr>
              <w:t>须知</w:t>
            </w:r>
            <w:r>
              <w:rPr>
                <w:rFonts w:hint="eastAsia" w:ascii="宋体" w:hAnsi="宋体" w:eastAsia="宋体" w:cs="宋体"/>
                <w:sz w:val="21"/>
                <w:szCs w:val="21"/>
                <w:lang w:val="en-US" w:eastAsia="zh-CN"/>
              </w:rPr>
              <w:t>正文</w:t>
            </w:r>
            <w:r>
              <w:rPr>
                <w:rFonts w:hint="eastAsia" w:ascii="宋体" w:hAnsi="宋体" w:eastAsia="宋体" w:cs="宋体"/>
                <w:sz w:val="21"/>
                <w:szCs w:val="21"/>
                <w:lang w:val="zh-CN" w:eastAsia="zh-CN"/>
              </w:rPr>
              <w:t>内容为准；</w:t>
            </w:r>
            <w:r>
              <w:rPr>
                <w:rFonts w:hint="eastAsia" w:ascii="宋体" w:hAnsi="宋体" w:eastAsia="宋体" w:cs="宋体"/>
                <w:sz w:val="21"/>
                <w:szCs w:val="21"/>
                <w:lang w:val="en-US" w:eastAsia="zh-CN"/>
              </w:rPr>
              <w:t>投标人须知正文内容与投标人须知前附表有不符之处，以投标人</w:t>
            </w:r>
            <w:r>
              <w:rPr>
                <w:rFonts w:hint="eastAsia" w:ascii="宋体" w:hAnsi="宋体" w:eastAsia="宋体" w:cs="宋体"/>
                <w:sz w:val="21"/>
                <w:szCs w:val="21"/>
                <w:lang w:val="zh-CN" w:eastAsia="zh-CN"/>
              </w:rPr>
              <w:t>须知</w:t>
            </w:r>
            <w:r>
              <w:rPr>
                <w:rFonts w:hint="eastAsia" w:ascii="宋体" w:hAnsi="宋体" w:eastAsia="宋体" w:cs="宋体"/>
                <w:sz w:val="21"/>
                <w:szCs w:val="21"/>
                <w:lang w:val="en-US" w:eastAsia="zh-CN"/>
              </w:rPr>
              <w:t>前附表</w:t>
            </w:r>
            <w:r>
              <w:rPr>
                <w:rFonts w:hint="eastAsia" w:ascii="宋体" w:hAnsi="宋体" w:eastAsia="宋体" w:cs="宋体"/>
                <w:sz w:val="21"/>
                <w:szCs w:val="21"/>
                <w:lang w:val="zh-CN" w:eastAsia="zh-CN"/>
              </w:rPr>
              <w:t>内容为准。</w:t>
            </w:r>
          </w:p>
          <w:p w14:paraId="5B517739">
            <w:pPr>
              <w:rPr>
                <w:rFonts w:hint="eastAsia" w:ascii="宋体" w:hAnsi="宋体" w:eastAsia="宋体" w:cs="宋体"/>
                <w:sz w:val="21"/>
                <w:szCs w:val="21"/>
              </w:rPr>
            </w:pPr>
            <w:r>
              <w:rPr>
                <w:rFonts w:hint="eastAsia" w:ascii="宋体" w:hAnsi="宋体" w:eastAsia="宋体" w:cs="宋体"/>
                <w:sz w:val="21"/>
                <w:szCs w:val="21"/>
                <w:lang w:val="zh-CN" w:eastAsia="zh-CN"/>
              </w:rPr>
              <w:t>采购标的对应的中小企业划分标准所属行业(</w:t>
            </w:r>
            <w:r>
              <w:rPr>
                <w:rFonts w:hint="eastAsia" w:ascii="宋体" w:hAnsi="宋体" w:eastAsia="宋体" w:cs="宋体"/>
                <w:sz w:val="21"/>
                <w:szCs w:val="21"/>
                <w:lang w:val="en-US" w:eastAsia="zh-CN"/>
              </w:rPr>
              <w:t>投标</w:t>
            </w:r>
            <w:r>
              <w:rPr>
                <w:rFonts w:hint="eastAsia" w:ascii="宋体" w:hAnsi="宋体" w:eastAsia="宋体" w:cs="宋体"/>
                <w:sz w:val="21"/>
                <w:szCs w:val="21"/>
                <w:lang w:val="zh-CN" w:eastAsia="zh-CN"/>
              </w:rPr>
              <w:t>文件中《中小企业声明函》中填写的“采购文件中明确的所属行业”应与下述行业一致)：</w:t>
            </w:r>
            <w:r>
              <w:rPr>
                <w:rFonts w:hint="eastAsia" w:ascii="宋体" w:hAnsi="宋体" w:eastAsia="宋体" w:cs="宋体"/>
                <w:sz w:val="21"/>
                <w:szCs w:val="21"/>
                <w:lang w:val="en-US" w:eastAsia="zh-CN"/>
              </w:rPr>
              <w:t>工</w:t>
            </w:r>
            <w:r>
              <w:rPr>
                <w:rFonts w:hint="eastAsia" w:ascii="宋体" w:hAnsi="宋体" w:eastAsia="宋体" w:cs="宋体"/>
                <w:sz w:val="21"/>
                <w:szCs w:val="21"/>
                <w:lang w:val="zh-CN" w:eastAsia="zh-CN"/>
              </w:rPr>
              <w:t>业。</w:t>
            </w:r>
          </w:p>
        </w:tc>
      </w:tr>
    </w:tbl>
    <w:p w14:paraId="18C6F534">
      <w:pPr>
        <w:pageBreakBefore w:val="0"/>
        <w:kinsoku/>
        <w:wordWrap w:val="0"/>
        <w:overflowPunct/>
        <w:bidi w:val="0"/>
        <w:rPr>
          <w:rFonts w:hint="eastAsia" w:ascii="宋体"/>
          <w:color w:val="000000"/>
          <w:szCs w:val="21"/>
          <w:highlight w:val="none"/>
        </w:rPr>
      </w:pPr>
      <w:r>
        <w:rPr>
          <w:color w:val="000000"/>
          <w:highlight w:val="none"/>
        </w:rPr>
        <w:br w:type="page"/>
      </w:r>
    </w:p>
    <w:bookmarkEnd w:id="0"/>
    <w:bookmarkEnd w:id="1"/>
    <w:bookmarkEnd w:id="2"/>
    <w:p w14:paraId="1CB580B5">
      <w:pPr>
        <w:pageBreakBefore w:val="0"/>
        <w:kinsoku/>
        <w:wordWrap w:val="0"/>
        <w:overflowPunct/>
        <w:bidi w:val="0"/>
        <w:spacing w:line="300" w:lineRule="auto"/>
        <w:outlineLvl w:val="0"/>
        <w:rPr>
          <w:rFonts w:hint="eastAsia"/>
          <w:b/>
          <w:sz w:val="28"/>
          <w:szCs w:val="28"/>
          <w:highlight w:val="none"/>
        </w:rPr>
      </w:pPr>
      <w:bookmarkStart w:id="17" w:name="_Toc14459"/>
      <w:bookmarkStart w:id="18" w:name="_Toc1181"/>
      <w:r>
        <w:rPr>
          <w:rFonts w:hint="eastAsia"/>
          <w:b/>
          <w:sz w:val="28"/>
          <w:szCs w:val="28"/>
          <w:highlight w:val="none"/>
        </w:rPr>
        <w:t>附页</w:t>
      </w:r>
      <w:bookmarkEnd w:id="17"/>
      <w:bookmarkEnd w:id="18"/>
    </w:p>
    <w:p w14:paraId="1E2C0C3A">
      <w:pPr>
        <w:pageBreakBefore w:val="0"/>
        <w:kinsoku/>
        <w:wordWrap w:val="0"/>
        <w:overflowPunct/>
        <w:bidi w:val="0"/>
        <w:spacing w:line="300" w:lineRule="auto"/>
        <w:jc w:val="center"/>
        <w:rPr>
          <w:rFonts w:hint="eastAsia"/>
          <w:b/>
          <w:sz w:val="36"/>
          <w:szCs w:val="36"/>
          <w:highlight w:val="none"/>
        </w:rPr>
      </w:pPr>
      <w:r>
        <w:rPr>
          <w:rFonts w:hint="eastAsia"/>
          <w:b/>
          <w:sz w:val="36"/>
          <w:szCs w:val="36"/>
          <w:highlight w:val="none"/>
        </w:rPr>
        <w:t>投标疑问格式</w:t>
      </w:r>
    </w:p>
    <w:p w14:paraId="6F0C922E">
      <w:pPr>
        <w:pageBreakBefore w:val="0"/>
        <w:kinsoku/>
        <w:wordWrap w:val="0"/>
        <w:overflowPunct/>
        <w:bidi w:val="0"/>
        <w:snapToGrid w:val="0"/>
        <w:spacing w:line="300" w:lineRule="auto"/>
        <w:rPr>
          <w:rFonts w:hint="eastAsia"/>
          <w:highlight w:val="none"/>
        </w:rPr>
      </w:pPr>
      <w:r>
        <w:rPr>
          <w:rFonts w:hint="eastAsia"/>
          <w:highlight w:val="none"/>
        </w:rPr>
        <w:t>项目名称：</w:t>
      </w:r>
    </w:p>
    <w:p w14:paraId="161A62CB">
      <w:pPr>
        <w:pageBreakBefore w:val="0"/>
        <w:kinsoku/>
        <w:wordWrap w:val="0"/>
        <w:overflowPunct/>
        <w:bidi w:val="0"/>
        <w:snapToGrid w:val="0"/>
        <w:spacing w:line="300" w:lineRule="auto"/>
        <w:rPr>
          <w:rFonts w:hint="eastAsia"/>
          <w:highlight w:val="none"/>
        </w:rPr>
      </w:pPr>
      <w:r>
        <w:rPr>
          <w:rFonts w:hint="eastAsia"/>
          <w:highlight w:val="none"/>
        </w:rPr>
        <w:t>项目编号：</w:t>
      </w:r>
    </w:p>
    <w:tbl>
      <w:tblPr>
        <w:tblStyle w:val="20"/>
        <w:tblW w:w="935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09"/>
        <w:gridCol w:w="4350"/>
      </w:tblGrid>
      <w:tr w14:paraId="4C171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009" w:type="dxa"/>
            <w:noWrap w:val="0"/>
            <w:vAlign w:val="center"/>
          </w:tcPr>
          <w:p w14:paraId="0E10AECF">
            <w:pPr>
              <w:pageBreakBefore w:val="0"/>
              <w:kinsoku/>
              <w:wordWrap w:val="0"/>
              <w:overflowPunct/>
              <w:bidi w:val="0"/>
              <w:snapToGrid w:val="0"/>
              <w:spacing w:line="300" w:lineRule="auto"/>
              <w:rPr>
                <w:rFonts w:hint="eastAsia"/>
                <w:sz w:val="16"/>
                <w:highlight w:val="none"/>
              </w:rPr>
            </w:pPr>
            <w:r>
              <w:rPr>
                <w:rFonts w:hint="eastAsia"/>
                <w:highlight w:val="none"/>
              </w:rPr>
              <w:t>投标单位名称</w:t>
            </w:r>
          </w:p>
        </w:tc>
        <w:tc>
          <w:tcPr>
            <w:tcW w:w="4350" w:type="dxa"/>
            <w:noWrap w:val="0"/>
            <w:vAlign w:val="center"/>
          </w:tcPr>
          <w:p w14:paraId="0C26F013">
            <w:pPr>
              <w:pageBreakBefore w:val="0"/>
              <w:kinsoku/>
              <w:wordWrap w:val="0"/>
              <w:overflowPunct/>
              <w:bidi w:val="0"/>
              <w:snapToGrid w:val="0"/>
              <w:spacing w:line="300" w:lineRule="auto"/>
              <w:ind w:left="420" w:leftChars="200"/>
              <w:rPr>
                <w:rFonts w:hint="eastAsia"/>
                <w:sz w:val="16"/>
                <w:highlight w:val="none"/>
              </w:rPr>
            </w:pPr>
          </w:p>
        </w:tc>
      </w:tr>
      <w:tr w14:paraId="340FA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trPr>
        <w:tc>
          <w:tcPr>
            <w:tcW w:w="9359" w:type="dxa"/>
            <w:gridSpan w:val="2"/>
            <w:noWrap w:val="0"/>
            <w:vAlign w:val="top"/>
          </w:tcPr>
          <w:p w14:paraId="337F44EC">
            <w:pPr>
              <w:pageBreakBefore w:val="0"/>
              <w:kinsoku/>
              <w:wordWrap w:val="0"/>
              <w:overflowPunct/>
              <w:bidi w:val="0"/>
              <w:snapToGrid w:val="0"/>
              <w:spacing w:line="300" w:lineRule="auto"/>
              <w:ind w:left="420" w:leftChars="200"/>
              <w:rPr>
                <w:rFonts w:hint="eastAsia"/>
                <w:sz w:val="16"/>
                <w:highlight w:val="none"/>
              </w:rPr>
            </w:pPr>
          </w:p>
          <w:p w14:paraId="07AA9CFA">
            <w:pPr>
              <w:pageBreakBefore w:val="0"/>
              <w:kinsoku/>
              <w:wordWrap w:val="0"/>
              <w:overflowPunct/>
              <w:bidi w:val="0"/>
              <w:snapToGrid w:val="0"/>
              <w:spacing w:line="300" w:lineRule="auto"/>
              <w:ind w:left="420" w:leftChars="200"/>
              <w:rPr>
                <w:rFonts w:hint="eastAsia"/>
                <w:sz w:val="16"/>
                <w:highlight w:val="none"/>
              </w:rPr>
            </w:pPr>
          </w:p>
        </w:tc>
      </w:tr>
    </w:tbl>
    <w:p w14:paraId="5C549E3A">
      <w:pPr>
        <w:pageBreakBefore w:val="0"/>
        <w:kinsoku/>
        <w:wordWrap w:val="0"/>
        <w:overflowPunct/>
        <w:bidi w:val="0"/>
        <w:snapToGrid w:val="0"/>
        <w:spacing w:line="300" w:lineRule="auto"/>
        <w:jc w:val="right"/>
        <w:rPr>
          <w:rFonts w:hint="eastAsia"/>
          <w:highlight w:val="none"/>
        </w:rPr>
      </w:pPr>
    </w:p>
    <w:p w14:paraId="7D40EF78">
      <w:pPr>
        <w:pageBreakBefore w:val="0"/>
        <w:kinsoku/>
        <w:wordWrap w:val="0"/>
        <w:overflowPunct/>
        <w:bidi w:val="0"/>
        <w:snapToGrid w:val="0"/>
        <w:spacing w:line="300" w:lineRule="auto"/>
        <w:jc w:val="right"/>
        <w:rPr>
          <w:rFonts w:hint="eastAsia"/>
          <w:highlight w:val="none"/>
        </w:rPr>
      </w:pPr>
      <w:r>
        <w:rPr>
          <w:rFonts w:hint="eastAsia"/>
          <w:highlight w:val="none"/>
        </w:rPr>
        <w:t xml:space="preserve">  投标单位：                       （公章）</w:t>
      </w:r>
    </w:p>
    <w:p w14:paraId="6FDA2A72">
      <w:pPr>
        <w:pageBreakBefore w:val="0"/>
        <w:kinsoku/>
        <w:wordWrap w:val="0"/>
        <w:overflowPunct/>
        <w:bidi w:val="0"/>
        <w:spacing w:line="300" w:lineRule="auto"/>
        <w:ind w:left="99" w:leftChars="47" w:firstLine="5250" w:firstLineChars="2500"/>
        <w:rPr>
          <w:rFonts w:hint="eastAsia"/>
          <w:szCs w:val="21"/>
          <w:highlight w:val="none"/>
        </w:rPr>
      </w:pPr>
      <w:r>
        <w:rPr>
          <w:rFonts w:hint="eastAsia"/>
          <w:szCs w:val="21"/>
          <w:highlight w:val="none"/>
        </w:rPr>
        <w:t xml:space="preserve">日    期：                          </w:t>
      </w:r>
    </w:p>
    <w:p w14:paraId="69D1F098">
      <w:pPr>
        <w:pageBreakBefore w:val="0"/>
        <w:kinsoku/>
        <w:wordWrap w:val="0"/>
        <w:overflowPunct/>
        <w:bidi w:val="0"/>
        <w:spacing w:line="300" w:lineRule="auto"/>
        <w:rPr>
          <w:highlight w:val="none"/>
        </w:rPr>
      </w:pPr>
      <w:r>
        <w:rPr>
          <w:highlight w:val="none"/>
        </w:rPr>
        <w:br w:type="page"/>
      </w:r>
    </w:p>
    <w:p w14:paraId="68299F39">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19" w:name="_Toc246996175"/>
      <w:bookmarkStart w:id="20" w:name="_Toc144974497"/>
      <w:bookmarkStart w:id="21" w:name="_Toc247085689"/>
      <w:bookmarkStart w:id="22" w:name="_Toc152042305"/>
      <w:bookmarkStart w:id="23" w:name="_Toc179632546"/>
      <w:bookmarkStart w:id="24" w:name="_Toc152045529"/>
      <w:bookmarkStart w:id="25" w:name="_Toc409424374"/>
      <w:bookmarkStart w:id="26" w:name="_Toc246996918"/>
      <w:bookmarkStart w:id="27" w:name="_Toc409424313"/>
      <w:bookmarkStart w:id="28" w:name="_Toc468267455"/>
      <w:r>
        <w:rPr>
          <w:rFonts w:hint="eastAsia" w:ascii="Arial" w:hAnsi="Arial" w:eastAsia="黑体"/>
          <w:b/>
          <w:bCs/>
          <w:sz w:val="32"/>
          <w:szCs w:val="32"/>
          <w:highlight w:val="none"/>
        </w:rPr>
        <w:t>1. 总则</w:t>
      </w:r>
      <w:bookmarkEnd w:id="19"/>
      <w:bookmarkEnd w:id="20"/>
      <w:bookmarkEnd w:id="21"/>
      <w:bookmarkEnd w:id="22"/>
      <w:bookmarkEnd w:id="23"/>
      <w:bookmarkEnd w:id="24"/>
      <w:bookmarkEnd w:id="25"/>
      <w:bookmarkEnd w:id="26"/>
      <w:bookmarkEnd w:id="27"/>
      <w:bookmarkEnd w:id="28"/>
    </w:p>
    <w:p w14:paraId="35C0C45D">
      <w:pPr>
        <w:pageBreakBefore w:val="0"/>
        <w:kinsoku/>
        <w:wordWrap w:val="0"/>
        <w:overflowPunct/>
        <w:bidi w:val="0"/>
        <w:spacing w:line="240" w:lineRule="auto"/>
        <w:rPr>
          <w:rFonts w:hint="eastAsia"/>
          <w:b/>
          <w:highlight w:val="none"/>
        </w:rPr>
      </w:pPr>
      <w:bookmarkStart w:id="29" w:name="_Toc152042306"/>
      <w:bookmarkStart w:id="30" w:name="_Toc179632547"/>
      <w:bookmarkStart w:id="31" w:name="_Toc247085690"/>
      <w:bookmarkStart w:id="32" w:name="_Toc246996919"/>
      <w:bookmarkStart w:id="33" w:name="_Toc144974498"/>
      <w:bookmarkStart w:id="34" w:name="_Toc152045530"/>
      <w:bookmarkStart w:id="35" w:name="_Toc246996176"/>
      <w:r>
        <w:rPr>
          <w:rFonts w:hint="eastAsia"/>
          <w:b/>
          <w:highlight w:val="none"/>
        </w:rPr>
        <w:t>1.1 项目概况</w:t>
      </w:r>
      <w:bookmarkEnd w:id="29"/>
      <w:bookmarkEnd w:id="30"/>
      <w:bookmarkEnd w:id="31"/>
      <w:bookmarkEnd w:id="32"/>
      <w:bookmarkEnd w:id="33"/>
      <w:bookmarkEnd w:id="34"/>
      <w:bookmarkEnd w:id="35"/>
    </w:p>
    <w:p w14:paraId="3C382DC0">
      <w:pPr>
        <w:pageBreakBefore w:val="0"/>
        <w:kinsoku/>
        <w:wordWrap w:val="0"/>
        <w:overflowPunct/>
        <w:bidi w:val="0"/>
        <w:spacing w:line="240" w:lineRule="auto"/>
        <w:ind w:firstLine="420" w:firstLineChars="200"/>
        <w:rPr>
          <w:rFonts w:hint="eastAsia"/>
          <w:highlight w:val="none"/>
        </w:rPr>
      </w:pPr>
      <w:r>
        <w:rPr>
          <w:rFonts w:hint="eastAsia"/>
          <w:highlight w:val="none"/>
        </w:rPr>
        <w:t>1.1.1根据《中华人民共和国政府采购法》《中华人民共和国政府采购法实施条例》等有关法律、法规和规章的规定，本招标项目已具备招标条件，现对本项目</w:t>
      </w:r>
      <w:r>
        <w:rPr>
          <w:rFonts w:hint="eastAsia"/>
          <w:szCs w:val="21"/>
          <w:highlight w:val="none"/>
        </w:rPr>
        <w:t>采用资格后审方式</w:t>
      </w:r>
      <w:r>
        <w:rPr>
          <w:rFonts w:hint="eastAsia"/>
          <w:highlight w:val="none"/>
        </w:rPr>
        <w:t>进行招标。</w:t>
      </w:r>
    </w:p>
    <w:p w14:paraId="08594666">
      <w:pPr>
        <w:pageBreakBefore w:val="0"/>
        <w:kinsoku/>
        <w:wordWrap w:val="0"/>
        <w:overflowPunct/>
        <w:bidi w:val="0"/>
        <w:spacing w:line="240" w:lineRule="auto"/>
        <w:ind w:firstLine="420" w:firstLineChars="200"/>
        <w:rPr>
          <w:rFonts w:hint="eastAsia"/>
          <w:highlight w:val="none"/>
        </w:rPr>
      </w:pPr>
      <w:r>
        <w:rPr>
          <w:rFonts w:hint="eastAsia"/>
          <w:highlight w:val="none"/>
        </w:rPr>
        <w:t>1.1.2 本采购项目采购人：见投标人须知前附表。</w:t>
      </w:r>
    </w:p>
    <w:p w14:paraId="03034D10">
      <w:pPr>
        <w:pageBreakBefore w:val="0"/>
        <w:kinsoku/>
        <w:wordWrap w:val="0"/>
        <w:overflowPunct/>
        <w:bidi w:val="0"/>
        <w:spacing w:line="240" w:lineRule="auto"/>
        <w:ind w:firstLine="420" w:firstLineChars="200"/>
        <w:rPr>
          <w:rFonts w:hint="eastAsia"/>
          <w:highlight w:val="none"/>
        </w:rPr>
      </w:pPr>
      <w:r>
        <w:rPr>
          <w:rFonts w:hint="eastAsia"/>
          <w:highlight w:val="none"/>
        </w:rPr>
        <w:t>1.1.3 本采购项目招标代理机构：见投标人须知前附表。</w:t>
      </w:r>
    </w:p>
    <w:p w14:paraId="10AB54A6">
      <w:pPr>
        <w:pageBreakBefore w:val="0"/>
        <w:kinsoku/>
        <w:wordWrap w:val="0"/>
        <w:overflowPunct/>
        <w:bidi w:val="0"/>
        <w:spacing w:line="240" w:lineRule="auto"/>
        <w:ind w:firstLine="420" w:firstLineChars="200"/>
        <w:rPr>
          <w:rFonts w:hint="eastAsia"/>
          <w:highlight w:val="none"/>
        </w:rPr>
      </w:pPr>
      <w:r>
        <w:rPr>
          <w:rFonts w:hint="eastAsia"/>
          <w:highlight w:val="none"/>
        </w:rPr>
        <w:t>1.1.4 本采购项目名称：见投标人须知前附表。</w:t>
      </w:r>
    </w:p>
    <w:p w14:paraId="3A061D9C">
      <w:pPr>
        <w:pageBreakBefore w:val="0"/>
        <w:kinsoku/>
        <w:wordWrap w:val="0"/>
        <w:overflowPunct/>
        <w:bidi w:val="0"/>
        <w:spacing w:line="240" w:lineRule="auto"/>
        <w:ind w:firstLine="420" w:firstLineChars="200"/>
        <w:rPr>
          <w:rFonts w:hint="eastAsia"/>
          <w:highlight w:val="none"/>
        </w:rPr>
      </w:pPr>
      <w:r>
        <w:rPr>
          <w:rFonts w:hint="eastAsia"/>
          <w:highlight w:val="none"/>
        </w:rPr>
        <w:t>1.1.5 本采购项目供货地点：见投标人须知前附表。</w:t>
      </w:r>
    </w:p>
    <w:p w14:paraId="57EC3909">
      <w:pPr>
        <w:pageBreakBefore w:val="0"/>
        <w:kinsoku/>
        <w:wordWrap w:val="0"/>
        <w:overflowPunct/>
        <w:bidi w:val="0"/>
        <w:spacing w:line="240" w:lineRule="auto"/>
        <w:rPr>
          <w:rFonts w:hint="eastAsia"/>
          <w:b/>
          <w:highlight w:val="none"/>
        </w:rPr>
      </w:pPr>
      <w:bookmarkStart w:id="36" w:name="_Toc246996177"/>
      <w:bookmarkStart w:id="37" w:name="_Toc246996920"/>
      <w:bookmarkStart w:id="38" w:name="_Toc152045531"/>
      <w:bookmarkStart w:id="39" w:name="_Toc152042307"/>
      <w:bookmarkStart w:id="40" w:name="_Toc144974499"/>
      <w:bookmarkStart w:id="41" w:name="_Toc247085691"/>
      <w:bookmarkStart w:id="42" w:name="_Toc179632548"/>
      <w:r>
        <w:rPr>
          <w:rFonts w:hint="eastAsia"/>
          <w:b/>
          <w:highlight w:val="none"/>
        </w:rPr>
        <w:t>1.2 资金来源和落实情况</w:t>
      </w:r>
      <w:bookmarkEnd w:id="36"/>
      <w:bookmarkEnd w:id="37"/>
      <w:bookmarkEnd w:id="38"/>
      <w:bookmarkEnd w:id="39"/>
      <w:bookmarkEnd w:id="40"/>
      <w:bookmarkEnd w:id="41"/>
      <w:bookmarkEnd w:id="42"/>
    </w:p>
    <w:p w14:paraId="2ABA697A">
      <w:pPr>
        <w:pageBreakBefore w:val="0"/>
        <w:kinsoku/>
        <w:wordWrap w:val="0"/>
        <w:overflowPunct/>
        <w:bidi w:val="0"/>
        <w:spacing w:line="240" w:lineRule="auto"/>
        <w:ind w:firstLine="420" w:firstLineChars="200"/>
        <w:rPr>
          <w:rFonts w:hint="eastAsia"/>
          <w:highlight w:val="none"/>
        </w:rPr>
      </w:pPr>
      <w:r>
        <w:rPr>
          <w:rFonts w:hint="eastAsia"/>
          <w:highlight w:val="none"/>
        </w:rPr>
        <w:t>1.2.1 本采购项目的资金来源：见投标人须知前附表。</w:t>
      </w:r>
    </w:p>
    <w:p w14:paraId="65ECAE94">
      <w:pPr>
        <w:pageBreakBefore w:val="0"/>
        <w:kinsoku/>
        <w:wordWrap w:val="0"/>
        <w:overflowPunct/>
        <w:bidi w:val="0"/>
        <w:spacing w:line="240" w:lineRule="auto"/>
        <w:ind w:firstLine="420" w:firstLineChars="200"/>
        <w:rPr>
          <w:rFonts w:hint="eastAsia"/>
          <w:highlight w:val="none"/>
        </w:rPr>
      </w:pPr>
      <w:r>
        <w:rPr>
          <w:rFonts w:hint="eastAsia"/>
          <w:highlight w:val="none"/>
        </w:rPr>
        <w:t>1.2.2 本采购项目的资金落实情况：见投标人须知前附表。</w:t>
      </w:r>
    </w:p>
    <w:p w14:paraId="6C057926">
      <w:pPr>
        <w:pageBreakBefore w:val="0"/>
        <w:kinsoku/>
        <w:wordWrap w:val="0"/>
        <w:overflowPunct/>
        <w:bidi w:val="0"/>
        <w:spacing w:line="240" w:lineRule="auto"/>
        <w:rPr>
          <w:rFonts w:hint="eastAsia"/>
          <w:b/>
          <w:highlight w:val="none"/>
        </w:rPr>
      </w:pPr>
      <w:bookmarkStart w:id="43" w:name="_Toc179632549"/>
      <w:bookmarkStart w:id="44" w:name="_Toc152045532"/>
      <w:bookmarkStart w:id="45" w:name="_Toc247085692"/>
      <w:bookmarkStart w:id="46" w:name="_Toc152042308"/>
      <w:bookmarkStart w:id="47" w:name="_Toc144974500"/>
      <w:bookmarkStart w:id="48" w:name="_Toc246996921"/>
      <w:bookmarkStart w:id="49" w:name="_Toc246996178"/>
      <w:r>
        <w:rPr>
          <w:rFonts w:hint="eastAsia"/>
          <w:b/>
          <w:highlight w:val="none"/>
        </w:rPr>
        <w:t>1.3 采购需求、供货期、质量要求</w:t>
      </w:r>
      <w:bookmarkEnd w:id="43"/>
      <w:bookmarkEnd w:id="44"/>
      <w:bookmarkEnd w:id="45"/>
      <w:bookmarkEnd w:id="46"/>
      <w:bookmarkEnd w:id="47"/>
      <w:bookmarkEnd w:id="48"/>
      <w:bookmarkEnd w:id="49"/>
    </w:p>
    <w:p w14:paraId="0E383DA8">
      <w:pPr>
        <w:pageBreakBefore w:val="0"/>
        <w:kinsoku/>
        <w:wordWrap w:val="0"/>
        <w:overflowPunct/>
        <w:bidi w:val="0"/>
        <w:spacing w:line="240" w:lineRule="auto"/>
        <w:ind w:firstLine="420" w:firstLineChars="200"/>
        <w:rPr>
          <w:rFonts w:hint="eastAsia"/>
          <w:highlight w:val="none"/>
        </w:rPr>
      </w:pPr>
      <w:r>
        <w:rPr>
          <w:rFonts w:hint="eastAsia"/>
          <w:highlight w:val="none"/>
        </w:rPr>
        <w:t>1.3.1 本次采购需求：见投标人须知前附表。</w:t>
      </w:r>
    </w:p>
    <w:p w14:paraId="258F7AAA">
      <w:pPr>
        <w:pageBreakBefore w:val="0"/>
        <w:kinsoku/>
        <w:wordWrap w:val="0"/>
        <w:overflowPunct/>
        <w:bidi w:val="0"/>
        <w:spacing w:line="240" w:lineRule="auto"/>
        <w:ind w:firstLine="420" w:firstLineChars="200"/>
        <w:rPr>
          <w:rFonts w:hint="eastAsia"/>
          <w:highlight w:val="none"/>
        </w:rPr>
      </w:pPr>
      <w:r>
        <w:rPr>
          <w:rFonts w:hint="eastAsia"/>
          <w:highlight w:val="none"/>
        </w:rPr>
        <w:t>1.3.2 本采购项目的供货期：见投标人须知前附表。</w:t>
      </w:r>
    </w:p>
    <w:p w14:paraId="1BEC1F58">
      <w:pPr>
        <w:pageBreakBefore w:val="0"/>
        <w:kinsoku/>
        <w:wordWrap w:val="0"/>
        <w:overflowPunct/>
        <w:bidi w:val="0"/>
        <w:spacing w:line="240" w:lineRule="auto"/>
        <w:ind w:firstLine="420" w:firstLineChars="200"/>
        <w:rPr>
          <w:rFonts w:hint="eastAsia"/>
          <w:highlight w:val="none"/>
        </w:rPr>
      </w:pPr>
      <w:r>
        <w:rPr>
          <w:rFonts w:hint="eastAsia"/>
          <w:highlight w:val="none"/>
        </w:rPr>
        <w:t>1.3.3 本采购项目的质量要求：见投标人须知前附表。</w:t>
      </w:r>
    </w:p>
    <w:p w14:paraId="6F623CC0">
      <w:pPr>
        <w:pageBreakBefore w:val="0"/>
        <w:kinsoku/>
        <w:wordWrap w:val="0"/>
        <w:overflowPunct/>
        <w:bidi w:val="0"/>
        <w:spacing w:line="240" w:lineRule="auto"/>
        <w:rPr>
          <w:rFonts w:hint="eastAsia"/>
          <w:b/>
          <w:highlight w:val="none"/>
        </w:rPr>
      </w:pPr>
      <w:bookmarkStart w:id="50" w:name="_Toc247085693"/>
      <w:bookmarkStart w:id="51" w:name="_Toc179632551"/>
      <w:bookmarkStart w:id="52" w:name="_Toc152045534"/>
      <w:bookmarkStart w:id="53" w:name="_Toc144974502"/>
      <w:bookmarkStart w:id="54" w:name="_Toc246996179"/>
      <w:bookmarkStart w:id="55" w:name="_Toc246996922"/>
      <w:bookmarkStart w:id="56" w:name="_Toc152042310"/>
      <w:r>
        <w:rPr>
          <w:rFonts w:hint="eastAsia"/>
          <w:b/>
          <w:highlight w:val="none"/>
        </w:rPr>
        <w:t>1.4 投标人资格要求</w:t>
      </w:r>
      <w:bookmarkEnd w:id="50"/>
      <w:bookmarkEnd w:id="51"/>
      <w:bookmarkEnd w:id="52"/>
      <w:bookmarkEnd w:id="53"/>
      <w:bookmarkEnd w:id="54"/>
      <w:bookmarkEnd w:id="55"/>
      <w:bookmarkEnd w:id="56"/>
    </w:p>
    <w:p w14:paraId="22C51E12">
      <w:pPr>
        <w:pageBreakBefore w:val="0"/>
        <w:kinsoku/>
        <w:wordWrap w:val="0"/>
        <w:overflowPunct/>
        <w:bidi w:val="0"/>
        <w:spacing w:line="240" w:lineRule="auto"/>
        <w:ind w:firstLine="359" w:firstLineChars="171"/>
        <w:rPr>
          <w:rFonts w:hint="eastAsia"/>
          <w:highlight w:val="none"/>
        </w:rPr>
      </w:pPr>
      <w:r>
        <w:rPr>
          <w:rFonts w:hint="eastAsia"/>
          <w:highlight w:val="none"/>
        </w:rPr>
        <w:t>1.4.1 投标人应具备承担本项目的资质条件、能力和信誉。</w:t>
      </w:r>
    </w:p>
    <w:p w14:paraId="108F1C14">
      <w:pPr>
        <w:pageBreakBefore w:val="0"/>
        <w:kinsoku/>
        <w:wordWrap w:val="0"/>
        <w:overflowPunct/>
        <w:bidi w:val="0"/>
        <w:spacing w:line="240" w:lineRule="auto"/>
        <w:ind w:firstLine="359" w:firstLineChars="171"/>
        <w:rPr>
          <w:rFonts w:hint="eastAsia"/>
          <w:highlight w:val="none"/>
        </w:rPr>
      </w:pPr>
      <w:r>
        <w:rPr>
          <w:rFonts w:hint="eastAsia"/>
          <w:highlight w:val="none"/>
        </w:rPr>
        <w:t>（1）资质条件：见投标人须知前附表；</w:t>
      </w:r>
    </w:p>
    <w:p w14:paraId="684B0A9D">
      <w:pPr>
        <w:pageBreakBefore w:val="0"/>
        <w:kinsoku/>
        <w:wordWrap w:val="0"/>
        <w:overflowPunct/>
        <w:bidi w:val="0"/>
        <w:spacing w:line="240" w:lineRule="auto"/>
        <w:ind w:firstLine="359" w:firstLineChars="171"/>
        <w:rPr>
          <w:rFonts w:hint="eastAsia"/>
          <w:highlight w:val="none"/>
        </w:rPr>
      </w:pPr>
      <w:r>
        <w:rPr>
          <w:rFonts w:hint="eastAsia"/>
          <w:highlight w:val="none"/>
        </w:rPr>
        <w:t>（2）财务要求：见投标人须知前附表；</w:t>
      </w:r>
    </w:p>
    <w:p w14:paraId="755E969E">
      <w:pPr>
        <w:pageBreakBefore w:val="0"/>
        <w:kinsoku/>
        <w:wordWrap w:val="0"/>
        <w:overflowPunct/>
        <w:bidi w:val="0"/>
        <w:spacing w:line="240" w:lineRule="auto"/>
        <w:ind w:firstLine="359" w:firstLineChars="171"/>
        <w:rPr>
          <w:rFonts w:hint="eastAsia"/>
          <w:highlight w:val="none"/>
        </w:rPr>
      </w:pPr>
      <w:r>
        <w:rPr>
          <w:rFonts w:hint="eastAsia"/>
          <w:highlight w:val="none"/>
        </w:rPr>
        <w:t>（3）业绩要求：见投标人须知前附表；</w:t>
      </w:r>
    </w:p>
    <w:p w14:paraId="42445B15">
      <w:pPr>
        <w:pageBreakBefore w:val="0"/>
        <w:kinsoku/>
        <w:wordWrap w:val="0"/>
        <w:overflowPunct/>
        <w:bidi w:val="0"/>
        <w:spacing w:line="240" w:lineRule="auto"/>
        <w:ind w:firstLine="359" w:firstLineChars="171"/>
        <w:rPr>
          <w:rFonts w:hint="eastAsia"/>
          <w:highlight w:val="none"/>
        </w:rPr>
      </w:pPr>
      <w:r>
        <w:rPr>
          <w:rFonts w:hint="eastAsia"/>
          <w:highlight w:val="none"/>
        </w:rPr>
        <w:t>（4）其他要求：见投标人须知前附表。</w:t>
      </w:r>
    </w:p>
    <w:p w14:paraId="46D661DE">
      <w:pPr>
        <w:pageBreakBefore w:val="0"/>
        <w:kinsoku/>
        <w:wordWrap w:val="0"/>
        <w:overflowPunct/>
        <w:bidi w:val="0"/>
        <w:spacing w:line="240" w:lineRule="auto"/>
        <w:ind w:firstLine="359" w:firstLineChars="171"/>
        <w:rPr>
          <w:rFonts w:hint="eastAsia"/>
          <w:highlight w:val="none"/>
        </w:rPr>
      </w:pPr>
      <w:r>
        <w:rPr>
          <w:rFonts w:hint="eastAsia"/>
          <w:highlight w:val="none"/>
        </w:rPr>
        <w:t>1.4.2 投标人不得存在下列情形之一：</w:t>
      </w:r>
    </w:p>
    <w:p w14:paraId="51AFE584">
      <w:pPr>
        <w:pageBreakBefore w:val="0"/>
        <w:kinsoku/>
        <w:wordWrap w:val="0"/>
        <w:overflowPunct/>
        <w:bidi w:val="0"/>
        <w:spacing w:line="240" w:lineRule="auto"/>
        <w:ind w:firstLine="359" w:firstLineChars="171"/>
        <w:rPr>
          <w:rFonts w:hint="eastAsia"/>
          <w:highlight w:val="none"/>
        </w:rPr>
      </w:pPr>
      <w:r>
        <w:rPr>
          <w:rFonts w:hint="eastAsia"/>
          <w:highlight w:val="none"/>
        </w:rPr>
        <w:t>（1）为采购人不具有独立法人资格的附属机构（单位）；</w:t>
      </w:r>
    </w:p>
    <w:p w14:paraId="120BCA56">
      <w:pPr>
        <w:pageBreakBefore w:val="0"/>
        <w:kinsoku/>
        <w:wordWrap w:val="0"/>
        <w:overflowPunct/>
        <w:bidi w:val="0"/>
        <w:spacing w:line="240" w:lineRule="auto"/>
        <w:ind w:firstLine="359" w:firstLineChars="171"/>
        <w:rPr>
          <w:rFonts w:hint="eastAsia"/>
          <w:highlight w:val="none"/>
        </w:rPr>
      </w:pPr>
      <w:r>
        <w:rPr>
          <w:rFonts w:hint="eastAsia"/>
          <w:highlight w:val="none"/>
        </w:rPr>
        <w:t xml:space="preserve">（2）为本采购项目前期准备提供设计或咨询服务的； </w:t>
      </w:r>
    </w:p>
    <w:p w14:paraId="4C6DD377">
      <w:pPr>
        <w:pageBreakBefore w:val="0"/>
        <w:kinsoku/>
        <w:wordWrap w:val="0"/>
        <w:overflowPunct/>
        <w:bidi w:val="0"/>
        <w:spacing w:line="240" w:lineRule="auto"/>
        <w:ind w:firstLine="359" w:firstLineChars="171"/>
        <w:rPr>
          <w:rFonts w:hint="eastAsia"/>
          <w:highlight w:val="none"/>
        </w:rPr>
      </w:pPr>
      <w:r>
        <w:rPr>
          <w:rFonts w:hint="eastAsia"/>
          <w:highlight w:val="none"/>
        </w:rPr>
        <w:t xml:space="preserve">（3）为本采购项目提供招标代理服务的； </w:t>
      </w:r>
    </w:p>
    <w:p w14:paraId="1E677919">
      <w:pPr>
        <w:pageBreakBefore w:val="0"/>
        <w:kinsoku/>
        <w:wordWrap w:val="0"/>
        <w:overflowPunct/>
        <w:bidi w:val="0"/>
        <w:spacing w:line="240" w:lineRule="auto"/>
        <w:ind w:firstLine="359" w:firstLineChars="171"/>
        <w:rPr>
          <w:rFonts w:hint="eastAsia"/>
          <w:highlight w:val="none"/>
        </w:rPr>
      </w:pPr>
      <w:r>
        <w:rPr>
          <w:rFonts w:hint="eastAsia"/>
          <w:highlight w:val="none"/>
        </w:rPr>
        <w:t>（4）与本采购项目的招标代理机构同为一个法定代表人的；</w:t>
      </w:r>
    </w:p>
    <w:p w14:paraId="141D4FFB">
      <w:pPr>
        <w:pageBreakBefore w:val="0"/>
        <w:kinsoku/>
        <w:wordWrap w:val="0"/>
        <w:overflowPunct/>
        <w:bidi w:val="0"/>
        <w:spacing w:line="240" w:lineRule="auto"/>
        <w:ind w:firstLine="359" w:firstLineChars="171"/>
        <w:rPr>
          <w:rFonts w:hint="eastAsia"/>
          <w:highlight w:val="none"/>
        </w:rPr>
      </w:pPr>
      <w:r>
        <w:rPr>
          <w:rFonts w:hint="eastAsia"/>
          <w:highlight w:val="none"/>
        </w:rPr>
        <w:t>（5）与本采购项目的招标代理机构相互控股或参股的；</w:t>
      </w:r>
    </w:p>
    <w:p w14:paraId="4A2C71E7">
      <w:pPr>
        <w:pageBreakBefore w:val="0"/>
        <w:kinsoku/>
        <w:wordWrap w:val="0"/>
        <w:overflowPunct/>
        <w:bidi w:val="0"/>
        <w:spacing w:line="240" w:lineRule="auto"/>
        <w:ind w:firstLine="359" w:firstLineChars="171"/>
        <w:rPr>
          <w:rFonts w:hint="eastAsia"/>
          <w:highlight w:val="none"/>
        </w:rPr>
      </w:pPr>
      <w:r>
        <w:rPr>
          <w:rFonts w:hint="eastAsia"/>
          <w:highlight w:val="none"/>
        </w:rPr>
        <w:t>（6）与本采购项目的招标代理机构相互任职或工作的；</w:t>
      </w:r>
    </w:p>
    <w:p w14:paraId="4EAA01CE">
      <w:pPr>
        <w:pageBreakBefore w:val="0"/>
        <w:kinsoku/>
        <w:wordWrap w:val="0"/>
        <w:overflowPunct/>
        <w:bidi w:val="0"/>
        <w:spacing w:line="240" w:lineRule="auto"/>
        <w:ind w:firstLine="359" w:firstLineChars="171"/>
        <w:rPr>
          <w:rFonts w:hint="eastAsia"/>
          <w:highlight w:val="none"/>
        </w:rPr>
      </w:pPr>
      <w:r>
        <w:rPr>
          <w:rFonts w:hint="eastAsia"/>
          <w:highlight w:val="none"/>
        </w:rPr>
        <w:t xml:space="preserve">（7）被责令停业的； </w:t>
      </w:r>
    </w:p>
    <w:p w14:paraId="64F3773C">
      <w:pPr>
        <w:pageBreakBefore w:val="0"/>
        <w:kinsoku/>
        <w:wordWrap w:val="0"/>
        <w:overflowPunct/>
        <w:bidi w:val="0"/>
        <w:spacing w:line="240" w:lineRule="auto"/>
        <w:ind w:firstLine="359" w:firstLineChars="171"/>
        <w:rPr>
          <w:rFonts w:hint="eastAsia"/>
          <w:highlight w:val="none"/>
        </w:rPr>
      </w:pPr>
      <w:r>
        <w:rPr>
          <w:rFonts w:hint="eastAsia"/>
          <w:highlight w:val="none"/>
        </w:rPr>
        <w:t xml:space="preserve">（8）被暂停或取消投标资格的； </w:t>
      </w:r>
    </w:p>
    <w:p w14:paraId="3914EDA2">
      <w:pPr>
        <w:pageBreakBefore w:val="0"/>
        <w:kinsoku/>
        <w:wordWrap w:val="0"/>
        <w:overflowPunct/>
        <w:bidi w:val="0"/>
        <w:spacing w:line="240" w:lineRule="auto"/>
        <w:ind w:firstLine="359" w:firstLineChars="171"/>
        <w:rPr>
          <w:rFonts w:hint="eastAsia"/>
          <w:highlight w:val="none"/>
        </w:rPr>
      </w:pPr>
      <w:r>
        <w:rPr>
          <w:rFonts w:hint="eastAsia"/>
          <w:highlight w:val="none"/>
        </w:rPr>
        <w:t>（9）财产被接管或冻结的；</w:t>
      </w:r>
    </w:p>
    <w:p w14:paraId="22135051">
      <w:pPr>
        <w:pageBreakBefore w:val="0"/>
        <w:kinsoku/>
        <w:wordWrap w:val="0"/>
        <w:overflowPunct/>
        <w:bidi w:val="0"/>
        <w:spacing w:line="240" w:lineRule="auto"/>
        <w:ind w:firstLine="359" w:firstLineChars="171"/>
        <w:rPr>
          <w:rFonts w:hint="eastAsia"/>
          <w:highlight w:val="none"/>
        </w:rPr>
      </w:pPr>
      <w:r>
        <w:rPr>
          <w:rFonts w:hint="eastAsia"/>
          <w:highlight w:val="none"/>
        </w:rPr>
        <w:t>（10）在最近三年内有骗取中标或严重违约或重大工程质量问题的。</w:t>
      </w:r>
    </w:p>
    <w:p w14:paraId="5D1EC543">
      <w:pPr>
        <w:pageBreakBefore w:val="0"/>
        <w:kinsoku/>
        <w:wordWrap w:val="0"/>
        <w:overflowPunct/>
        <w:bidi w:val="0"/>
        <w:spacing w:line="240" w:lineRule="auto"/>
        <w:ind w:firstLine="420" w:firstLineChars="200"/>
        <w:rPr>
          <w:rFonts w:hint="eastAsia"/>
          <w:highlight w:val="none"/>
        </w:rPr>
      </w:pPr>
      <w:r>
        <w:rPr>
          <w:rFonts w:hint="eastAsia"/>
          <w:highlight w:val="none"/>
        </w:rPr>
        <w:t>1.4.3 单位负责人为同一人或者存在控股、管理关系的不同单位，不得同时参加本招标项目投标。</w:t>
      </w:r>
    </w:p>
    <w:p w14:paraId="254EE1C1">
      <w:pPr>
        <w:pageBreakBefore w:val="0"/>
        <w:kinsoku/>
        <w:wordWrap w:val="0"/>
        <w:overflowPunct/>
        <w:bidi w:val="0"/>
        <w:spacing w:line="240" w:lineRule="auto"/>
        <w:rPr>
          <w:rFonts w:hint="eastAsia"/>
          <w:b/>
          <w:highlight w:val="none"/>
        </w:rPr>
      </w:pPr>
      <w:bookmarkStart w:id="57" w:name="_Toc152042311"/>
      <w:bookmarkStart w:id="58" w:name="_Toc152045535"/>
      <w:bookmarkStart w:id="59" w:name="_Toc246996180"/>
      <w:bookmarkStart w:id="60" w:name="_Toc144974503"/>
      <w:bookmarkStart w:id="61" w:name="_Toc246996923"/>
      <w:bookmarkStart w:id="62" w:name="_Toc247085694"/>
      <w:bookmarkStart w:id="63" w:name="_Toc179632552"/>
      <w:r>
        <w:rPr>
          <w:rFonts w:hint="eastAsia"/>
          <w:b/>
          <w:highlight w:val="none"/>
        </w:rPr>
        <w:t>1.5 费用承担</w:t>
      </w:r>
      <w:bookmarkEnd w:id="57"/>
      <w:bookmarkEnd w:id="58"/>
      <w:bookmarkEnd w:id="59"/>
      <w:bookmarkEnd w:id="60"/>
      <w:bookmarkEnd w:id="61"/>
      <w:bookmarkEnd w:id="62"/>
      <w:bookmarkEnd w:id="63"/>
    </w:p>
    <w:p w14:paraId="40A9D083">
      <w:pPr>
        <w:pageBreakBefore w:val="0"/>
        <w:kinsoku/>
        <w:wordWrap w:val="0"/>
        <w:overflowPunct/>
        <w:bidi w:val="0"/>
        <w:spacing w:line="240" w:lineRule="auto"/>
        <w:ind w:firstLine="420" w:firstLineChars="200"/>
        <w:rPr>
          <w:rFonts w:hint="eastAsia"/>
          <w:highlight w:val="none"/>
        </w:rPr>
      </w:pPr>
      <w:r>
        <w:rPr>
          <w:rFonts w:hint="eastAsia"/>
          <w:highlight w:val="none"/>
        </w:rPr>
        <w:t>投标人准备和参加投标活动发生的费用自理。</w:t>
      </w:r>
    </w:p>
    <w:p w14:paraId="5CC999D8">
      <w:pPr>
        <w:pageBreakBefore w:val="0"/>
        <w:kinsoku/>
        <w:wordWrap w:val="0"/>
        <w:overflowPunct/>
        <w:bidi w:val="0"/>
        <w:spacing w:line="240" w:lineRule="auto"/>
        <w:rPr>
          <w:rFonts w:hint="eastAsia"/>
          <w:b/>
          <w:highlight w:val="none"/>
        </w:rPr>
      </w:pPr>
      <w:bookmarkStart w:id="64" w:name="_Toc246996181"/>
      <w:bookmarkStart w:id="65" w:name="_Toc144974504"/>
      <w:bookmarkStart w:id="66" w:name="_Toc152045536"/>
      <w:bookmarkStart w:id="67" w:name="_Toc246996924"/>
      <w:bookmarkStart w:id="68" w:name="_Toc152042312"/>
      <w:bookmarkStart w:id="69" w:name="_Toc179632553"/>
      <w:bookmarkStart w:id="70" w:name="_Toc247085695"/>
      <w:r>
        <w:rPr>
          <w:rFonts w:hint="eastAsia"/>
          <w:b/>
          <w:highlight w:val="none"/>
        </w:rPr>
        <w:t>1.6 保密</w:t>
      </w:r>
      <w:bookmarkEnd w:id="64"/>
      <w:bookmarkEnd w:id="65"/>
      <w:bookmarkEnd w:id="66"/>
      <w:bookmarkEnd w:id="67"/>
      <w:bookmarkEnd w:id="68"/>
      <w:bookmarkEnd w:id="69"/>
      <w:bookmarkEnd w:id="70"/>
    </w:p>
    <w:p w14:paraId="5BD3C7EC">
      <w:pPr>
        <w:pageBreakBefore w:val="0"/>
        <w:kinsoku/>
        <w:wordWrap w:val="0"/>
        <w:overflowPunct/>
        <w:bidi w:val="0"/>
        <w:spacing w:line="240" w:lineRule="auto"/>
        <w:ind w:firstLine="420" w:firstLineChars="200"/>
        <w:rPr>
          <w:rFonts w:hint="eastAsia"/>
          <w:highlight w:val="none"/>
        </w:rPr>
      </w:pPr>
      <w:r>
        <w:rPr>
          <w:rFonts w:hint="eastAsia"/>
          <w:highlight w:val="none"/>
        </w:rPr>
        <w:t xml:space="preserve">参与招标投标活动的各方应对招标文件和投标文件中的商业和技术等秘密保密，违者应对由此造成的后果承担法律责任。 </w:t>
      </w:r>
    </w:p>
    <w:p w14:paraId="504D1423">
      <w:pPr>
        <w:pageBreakBefore w:val="0"/>
        <w:kinsoku/>
        <w:wordWrap w:val="0"/>
        <w:overflowPunct/>
        <w:bidi w:val="0"/>
        <w:spacing w:line="240" w:lineRule="auto"/>
        <w:rPr>
          <w:rFonts w:hint="eastAsia"/>
          <w:b/>
          <w:highlight w:val="none"/>
        </w:rPr>
      </w:pPr>
      <w:bookmarkStart w:id="71" w:name="_Toc144974505"/>
      <w:bookmarkStart w:id="72" w:name="_Toc152042313"/>
      <w:bookmarkStart w:id="73" w:name="_Toc247085696"/>
      <w:bookmarkStart w:id="74" w:name="_Toc246996182"/>
      <w:bookmarkStart w:id="75" w:name="_Toc152045537"/>
      <w:bookmarkStart w:id="76" w:name="_Toc179632554"/>
      <w:bookmarkStart w:id="77" w:name="_Toc246996925"/>
      <w:r>
        <w:rPr>
          <w:rFonts w:hint="eastAsia"/>
          <w:b/>
          <w:highlight w:val="none"/>
        </w:rPr>
        <w:t>1.7 语言</w:t>
      </w:r>
      <w:bookmarkEnd w:id="71"/>
      <w:r>
        <w:rPr>
          <w:rFonts w:hint="eastAsia"/>
          <w:b/>
          <w:highlight w:val="none"/>
        </w:rPr>
        <w:t>文字</w:t>
      </w:r>
      <w:bookmarkEnd w:id="72"/>
      <w:bookmarkEnd w:id="73"/>
      <w:bookmarkEnd w:id="74"/>
      <w:bookmarkEnd w:id="75"/>
      <w:bookmarkEnd w:id="76"/>
      <w:bookmarkEnd w:id="77"/>
    </w:p>
    <w:p w14:paraId="7784BAEA">
      <w:pPr>
        <w:pageBreakBefore w:val="0"/>
        <w:kinsoku/>
        <w:wordWrap w:val="0"/>
        <w:overflowPunct/>
        <w:bidi w:val="0"/>
        <w:spacing w:line="240" w:lineRule="auto"/>
        <w:ind w:firstLine="420" w:firstLineChars="200"/>
        <w:rPr>
          <w:highlight w:val="none"/>
        </w:rPr>
      </w:pPr>
      <w:bookmarkStart w:id="78" w:name="_Toc144974506"/>
      <w:bookmarkStart w:id="79" w:name="_Toc152045538"/>
      <w:bookmarkStart w:id="80" w:name="_Toc247085697"/>
      <w:bookmarkStart w:id="81" w:name="_Toc246996926"/>
      <w:bookmarkStart w:id="82" w:name="_Toc152042314"/>
      <w:bookmarkStart w:id="83" w:name="_Toc246996183"/>
      <w:bookmarkStart w:id="84" w:name="_Toc179632555"/>
      <w:r>
        <w:rPr>
          <w:rFonts w:hint="eastAsia"/>
          <w:highlight w:val="none"/>
        </w:rPr>
        <w:t>招标投标文件使用的语言文字为中文。专用术语使用外文的，应附有中文注释。</w:t>
      </w:r>
    </w:p>
    <w:p w14:paraId="05A78B18">
      <w:pPr>
        <w:pageBreakBefore w:val="0"/>
        <w:kinsoku/>
        <w:wordWrap w:val="0"/>
        <w:overflowPunct/>
        <w:bidi w:val="0"/>
        <w:spacing w:line="240" w:lineRule="auto"/>
        <w:rPr>
          <w:rFonts w:hint="eastAsia"/>
          <w:b/>
          <w:highlight w:val="none"/>
        </w:rPr>
      </w:pPr>
      <w:r>
        <w:rPr>
          <w:rFonts w:hint="eastAsia"/>
          <w:b/>
          <w:highlight w:val="none"/>
        </w:rPr>
        <w:t>1.8 计量单位</w:t>
      </w:r>
      <w:bookmarkEnd w:id="78"/>
      <w:bookmarkEnd w:id="79"/>
      <w:bookmarkEnd w:id="80"/>
      <w:bookmarkEnd w:id="81"/>
      <w:bookmarkEnd w:id="82"/>
      <w:bookmarkEnd w:id="83"/>
      <w:bookmarkEnd w:id="84"/>
    </w:p>
    <w:p w14:paraId="2D7DFDC0">
      <w:pPr>
        <w:pageBreakBefore w:val="0"/>
        <w:kinsoku/>
        <w:wordWrap w:val="0"/>
        <w:overflowPunct/>
        <w:bidi w:val="0"/>
        <w:spacing w:line="240" w:lineRule="auto"/>
        <w:ind w:firstLine="420" w:firstLineChars="200"/>
        <w:rPr>
          <w:rFonts w:hint="eastAsia"/>
          <w:highlight w:val="none"/>
        </w:rPr>
      </w:pPr>
      <w:r>
        <w:rPr>
          <w:rFonts w:hint="eastAsia"/>
          <w:highlight w:val="none"/>
        </w:rPr>
        <w:t>所有计量均采用中华人民共和国法定计量单位。</w:t>
      </w:r>
    </w:p>
    <w:p w14:paraId="09BD2E07">
      <w:pPr>
        <w:pageBreakBefore w:val="0"/>
        <w:kinsoku/>
        <w:wordWrap w:val="0"/>
        <w:overflowPunct/>
        <w:bidi w:val="0"/>
        <w:spacing w:line="240" w:lineRule="auto"/>
        <w:rPr>
          <w:rFonts w:hint="eastAsia"/>
          <w:b/>
          <w:highlight w:val="none"/>
        </w:rPr>
      </w:pPr>
      <w:bookmarkStart w:id="85" w:name="_Toc247527564"/>
      <w:bookmarkStart w:id="86" w:name="_Toc144974508"/>
      <w:bookmarkStart w:id="87" w:name="_Toc152042316"/>
      <w:bookmarkStart w:id="88" w:name="_Toc152045540"/>
      <w:bookmarkStart w:id="89" w:name="_Toc247513963"/>
      <w:bookmarkStart w:id="90" w:name="_Toc247592877"/>
      <w:r>
        <w:rPr>
          <w:rFonts w:hint="eastAsia"/>
          <w:b/>
          <w:highlight w:val="none"/>
        </w:rPr>
        <w:t>1.9 投标预备会</w:t>
      </w:r>
      <w:bookmarkEnd w:id="85"/>
      <w:bookmarkEnd w:id="86"/>
      <w:bookmarkEnd w:id="87"/>
      <w:bookmarkEnd w:id="88"/>
      <w:bookmarkEnd w:id="89"/>
      <w:bookmarkEnd w:id="90"/>
    </w:p>
    <w:p w14:paraId="4553714B">
      <w:pPr>
        <w:pageBreakBefore w:val="0"/>
        <w:kinsoku/>
        <w:wordWrap w:val="0"/>
        <w:overflowPunct/>
        <w:bidi w:val="0"/>
        <w:spacing w:line="240" w:lineRule="auto"/>
        <w:ind w:firstLine="420" w:firstLineChars="200"/>
        <w:rPr>
          <w:rFonts w:hint="eastAsia"/>
          <w:highlight w:val="none"/>
        </w:rPr>
      </w:pPr>
      <w:r>
        <w:rPr>
          <w:rFonts w:hint="eastAsia"/>
          <w:highlight w:val="none"/>
        </w:rPr>
        <w:t>1.9.1 投标人须知前附表规定召开投标预备会的，采购人按投标人须知前附表规定的时间和地点召开投标预备会，澄清投标人提出的问题。</w:t>
      </w:r>
    </w:p>
    <w:p w14:paraId="31006C16">
      <w:pPr>
        <w:pageBreakBefore w:val="0"/>
        <w:kinsoku/>
        <w:wordWrap w:val="0"/>
        <w:overflowPunct/>
        <w:bidi w:val="0"/>
        <w:spacing w:line="240" w:lineRule="auto"/>
        <w:ind w:firstLine="420" w:firstLineChars="200"/>
        <w:rPr>
          <w:rFonts w:hint="eastAsia"/>
          <w:highlight w:val="none"/>
        </w:rPr>
      </w:pPr>
      <w:r>
        <w:rPr>
          <w:rFonts w:hint="eastAsia"/>
          <w:highlight w:val="none"/>
        </w:rPr>
        <w:t>1.9.2 投标人应在投标人须知前附表规定的时间前，以书面形式将提出的问题送达采购人，以便采购人在会议期间澄清。</w:t>
      </w:r>
    </w:p>
    <w:p w14:paraId="49D87C50">
      <w:pPr>
        <w:pageBreakBefore w:val="0"/>
        <w:kinsoku/>
        <w:wordWrap w:val="0"/>
        <w:overflowPunct/>
        <w:bidi w:val="0"/>
        <w:spacing w:line="240" w:lineRule="auto"/>
        <w:ind w:firstLine="420" w:firstLineChars="200"/>
        <w:rPr>
          <w:rFonts w:hint="eastAsia"/>
          <w:highlight w:val="none"/>
        </w:rPr>
      </w:pPr>
      <w:r>
        <w:rPr>
          <w:rFonts w:hint="eastAsia"/>
          <w:highlight w:val="none"/>
        </w:rPr>
        <w:t>1.9.3 投标预备会后，采购人在投标人须知前附表规定的时间内，将对投标人所提问题的澄清，以书面形式通知所有购买招标文件的投标人。该澄清内容为招标文件的组成部分。</w:t>
      </w:r>
    </w:p>
    <w:p w14:paraId="1C18B838">
      <w:pPr>
        <w:pageBreakBefore w:val="0"/>
        <w:kinsoku/>
        <w:wordWrap w:val="0"/>
        <w:overflowPunct/>
        <w:bidi w:val="0"/>
        <w:spacing w:line="240" w:lineRule="auto"/>
        <w:rPr>
          <w:rFonts w:hint="eastAsia"/>
          <w:b/>
          <w:highlight w:val="none"/>
        </w:rPr>
      </w:pPr>
      <w:r>
        <w:rPr>
          <w:rFonts w:hint="eastAsia"/>
          <w:b/>
          <w:highlight w:val="none"/>
        </w:rPr>
        <w:t>1.10 偏离</w:t>
      </w:r>
    </w:p>
    <w:p w14:paraId="7ED8092A">
      <w:pPr>
        <w:pageBreakBefore w:val="0"/>
        <w:kinsoku/>
        <w:wordWrap w:val="0"/>
        <w:overflowPunct/>
        <w:bidi w:val="0"/>
        <w:spacing w:line="240" w:lineRule="auto"/>
        <w:ind w:firstLine="420" w:firstLineChars="200"/>
        <w:rPr>
          <w:rFonts w:hint="eastAsia"/>
          <w:highlight w:val="none"/>
        </w:rPr>
      </w:pPr>
      <w:r>
        <w:rPr>
          <w:rFonts w:hint="eastAsia" w:ascii="宋体"/>
          <w:szCs w:val="21"/>
          <w:highlight w:val="none"/>
        </w:rPr>
        <w:t>见投标须知前附表</w:t>
      </w:r>
      <w:r>
        <w:rPr>
          <w:rFonts w:hint="eastAsia"/>
          <w:highlight w:val="none"/>
        </w:rPr>
        <w:t>。</w:t>
      </w:r>
    </w:p>
    <w:p w14:paraId="43C45D5C">
      <w:pPr>
        <w:pageBreakBefore w:val="0"/>
        <w:kinsoku/>
        <w:wordWrap w:val="0"/>
        <w:overflowPunct/>
        <w:bidi w:val="0"/>
        <w:spacing w:line="240" w:lineRule="auto"/>
        <w:rPr>
          <w:rFonts w:hint="eastAsia"/>
          <w:b/>
          <w:highlight w:val="none"/>
        </w:rPr>
      </w:pPr>
      <w:r>
        <w:rPr>
          <w:rFonts w:hint="eastAsia"/>
          <w:b/>
          <w:highlight w:val="none"/>
        </w:rPr>
        <w:t>1.11 分包</w:t>
      </w:r>
    </w:p>
    <w:p w14:paraId="13760DB0">
      <w:pPr>
        <w:pageBreakBefore w:val="0"/>
        <w:kinsoku/>
        <w:wordWrap w:val="0"/>
        <w:overflowPunct/>
        <w:bidi w:val="0"/>
        <w:spacing w:line="240" w:lineRule="auto"/>
        <w:ind w:firstLine="420" w:firstLineChars="200"/>
        <w:rPr>
          <w:rFonts w:hint="eastAsia"/>
          <w:highlight w:val="none"/>
        </w:rPr>
      </w:pPr>
      <w:r>
        <w:rPr>
          <w:rFonts w:hint="eastAsia"/>
          <w:highlight w:val="none"/>
        </w:rPr>
        <w:t>未经采购人同意不允许分包。</w:t>
      </w:r>
    </w:p>
    <w:p w14:paraId="50ABCAE6">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91" w:name="_Toc409424375"/>
      <w:bookmarkStart w:id="92" w:name="_Toc247085701"/>
      <w:bookmarkStart w:id="93" w:name="_Toc468267456"/>
      <w:bookmarkStart w:id="94" w:name="_Toc152042318"/>
      <w:bookmarkStart w:id="95" w:name="_Toc144974510"/>
      <w:bookmarkStart w:id="96" w:name="_Toc246996930"/>
      <w:bookmarkStart w:id="97" w:name="_Toc179632560"/>
      <w:bookmarkStart w:id="98" w:name="_Toc152045542"/>
      <w:bookmarkStart w:id="99" w:name="_Toc246996187"/>
      <w:bookmarkStart w:id="100" w:name="_Toc409424314"/>
      <w:r>
        <w:rPr>
          <w:rFonts w:hint="eastAsia" w:ascii="Arial" w:hAnsi="Arial" w:eastAsia="黑体"/>
          <w:b/>
          <w:bCs/>
          <w:sz w:val="32"/>
          <w:szCs w:val="32"/>
          <w:highlight w:val="none"/>
        </w:rPr>
        <w:t>2. 招标文件</w:t>
      </w:r>
      <w:bookmarkEnd w:id="91"/>
      <w:bookmarkEnd w:id="92"/>
      <w:bookmarkEnd w:id="93"/>
      <w:bookmarkEnd w:id="94"/>
      <w:bookmarkEnd w:id="95"/>
      <w:bookmarkEnd w:id="96"/>
      <w:bookmarkEnd w:id="97"/>
      <w:bookmarkEnd w:id="98"/>
      <w:bookmarkEnd w:id="99"/>
      <w:bookmarkEnd w:id="100"/>
    </w:p>
    <w:p w14:paraId="4C1FF0CC">
      <w:pPr>
        <w:pageBreakBefore w:val="0"/>
        <w:kinsoku/>
        <w:wordWrap w:val="0"/>
        <w:overflowPunct/>
        <w:bidi w:val="0"/>
        <w:spacing w:line="240" w:lineRule="auto"/>
        <w:rPr>
          <w:rFonts w:hint="eastAsia"/>
          <w:b/>
          <w:highlight w:val="none"/>
        </w:rPr>
      </w:pPr>
      <w:bookmarkStart w:id="101" w:name="_Toc144974511"/>
      <w:bookmarkStart w:id="102" w:name="_Toc179632561"/>
      <w:bookmarkStart w:id="103" w:name="_Toc152042319"/>
      <w:bookmarkStart w:id="104" w:name="_Toc247085702"/>
      <w:bookmarkStart w:id="105" w:name="_Toc152045543"/>
      <w:bookmarkStart w:id="106" w:name="_Toc246996931"/>
      <w:bookmarkStart w:id="107" w:name="_Toc246996188"/>
      <w:r>
        <w:rPr>
          <w:rFonts w:hint="eastAsia"/>
          <w:b/>
          <w:highlight w:val="none"/>
        </w:rPr>
        <w:t>2.1 招标文件的组成</w:t>
      </w:r>
      <w:bookmarkEnd w:id="101"/>
      <w:bookmarkEnd w:id="102"/>
      <w:bookmarkEnd w:id="103"/>
      <w:bookmarkEnd w:id="104"/>
      <w:bookmarkEnd w:id="105"/>
      <w:bookmarkEnd w:id="106"/>
      <w:bookmarkEnd w:id="107"/>
    </w:p>
    <w:p w14:paraId="67C8810D">
      <w:pPr>
        <w:pageBreakBefore w:val="0"/>
        <w:kinsoku/>
        <w:wordWrap w:val="0"/>
        <w:overflowPunct/>
        <w:bidi w:val="0"/>
        <w:spacing w:line="240" w:lineRule="auto"/>
        <w:rPr>
          <w:rFonts w:hint="eastAsia"/>
          <w:highlight w:val="none"/>
        </w:rPr>
      </w:pPr>
      <w:r>
        <w:rPr>
          <w:rFonts w:hint="eastAsia"/>
          <w:highlight w:val="none"/>
        </w:rPr>
        <w:t>　　2.1.1 本招标文件包括：</w:t>
      </w:r>
    </w:p>
    <w:p w14:paraId="63DB5738">
      <w:pPr>
        <w:pageBreakBefore w:val="0"/>
        <w:kinsoku/>
        <w:wordWrap w:val="0"/>
        <w:overflowPunct/>
        <w:bidi w:val="0"/>
        <w:spacing w:line="240" w:lineRule="auto"/>
        <w:ind w:firstLine="359" w:firstLineChars="171"/>
        <w:rPr>
          <w:rFonts w:hint="eastAsia"/>
          <w:highlight w:val="none"/>
        </w:rPr>
      </w:pPr>
      <w:r>
        <w:rPr>
          <w:rFonts w:hint="eastAsia"/>
          <w:highlight w:val="none"/>
        </w:rPr>
        <w:t>（1）招标公告；</w:t>
      </w:r>
    </w:p>
    <w:p w14:paraId="330346D9">
      <w:pPr>
        <w:pageBreakBefore w:val="0"/>
        <w:kinsoku/>
        <w:wordWrap w:val="0"/>
        <w:overflowPunct/>
        <w:bidi w:val="0"/>
        <w:spacing w:line="240" w:lineRule="auto"/>
        <w:ind w:firstLine="359" w:firstLineChars="171"/>
        <w:rPr>
          <w:rFonts w:hint="eastAsia"/>
          <w:highlight w:val="none"/>
        </w:rPr>
      </w:pPr>
      <w:r>
        <w:rPr>
          <w:rFonts w:hint="eastAsia"/>
          <w:highlight w:val="none"/>
        </w:rPr>
        <w:t>（2）投标人须知；</w:t>
      </w:r>
    </w:p>
    <w:p w14:paraId="39379091">
      <w:pPr>
        <w:pageBreakBefore w:val="0"/>
        <w:kinsoku/>
        <w:wordWrap w:val="0"/>
        <w:overflowPunct/>
        <w:bidi w:val="0"/>
        <w:spacing w:line="240" w:lineRule="auto"/>
        <w:ind w:firstLine="359" w:firstLineChars="171"/>
        <w:rPr>
          <w:rFonts w:hint="eastAsia"/>
          <w:highlight w:val="none"/>
        </w:rPr>
      </w:pPr>
      <w:r>
        <w:rPr>
          <w:rFonts w:hint="eastAsia"/>
          <w:highlight w:val="none"/>
        </w:rPr>
        <w:t>（3）评标办法；</w:t>
      </w:r>
    </w:p>
    <w:p w14:paraId="28AF8C2E">
      <w:pPr>
        <w:pageBreakBefore w:val="0"/>
        <w:kinsoku/>
        <w:wordWrap w:val="0"/>
        <w:overflowPunct/>
        <w:bidi w:val="0"/>
        <w:spacing w:line="240" w:lineRule="auto"/>
        <w:ind w:firstLine="359" w:firstLineChars="171"/>
        <w:rPr>
          <w:rFonts w:hint="eastAsia"/>
          <w:highlight w:val="none"/>
        </w:rPr>
      </w:pPr>
      <w:r>
        <w:rPr>
          <w:rFonts w:hint="eastAsia"/>
          <w:highlight w:val="none"/>
        </w:rPr>
        <w:t>（4）合同条款；</w:t>
      </w:r>
    </w:p>
    <w:p w14:paraId="5CF84D9C">
      <w:pPr>
        <w:pageBreakBefore w:val="0"/>
        <w:kinsoku/>
        <w:wordWrap w:val="0"/>
        <w:overflowPunct/>
        <w:bidi w:val="0"/>
        <w:spacing w:line="240" w:lineRule="auto"/>
        <w:ind w:firstLine="359" w:firstLineChars="171"/>
        <w:rPr>
          <w:rFonts w:hint="eastAsia" w:eastAsia="宋体"/>
          <w:highlight w:val="none"/>
          <w:lang w:eastAsia="zh-CN"/>
        </w:rPr>
      </w:pPr>
      <w:r>
        <w:rPr>
          <w:rFonts w:hint="eastAsia"/>
          <w:highlight w:val="none"/>
        </w:rPr>
        <w:t>（5）</w:t>
      </w:r>
      <w:r>
        <w:rPr>
          <w:rFonts w:hint="eastAsia"/>
          <w:highlight w:val="none"/>
          <w:lang w:val="en-US" w:eastAsia="zh-CN"/>
        </w:rPr>
        <w:t>采购需求</w:t>
      </w:r>
    </w:p>
    <w:p w14:paraId="09006552">
      <w:pPr>
        <w:pageBreakBefore w:val="0"/>
        <w:kinsoku/>
        <w:wordWrap w:val="0"/>
        <w:overflowPunct/>
        <w:bidi w:val="0"/>
        <w:spacing w:line="240" w:lineRule="auto"/>
        <w:ind w:firstLine="359" w:firstLineChars="171"/>
        <w:rPr>
          <w:rFonts w:hint="eastAsia"/>
          <w:highlight w:val="none"/>
        </w:rPr>
      </w:pPr>
      <w:r>
        <w:rPr>
          <w:rFonts w:hint="eastAsia"/>
          <w:highlight w:val="none"/>
        </w:rPr>
        <w:t>（6）投标文件格式；</w:t>
      </w:r>
    </w:p>
    <w:p w14:paraId="4E944304">
      <w:pPr>
        <w:pageBreakBefore w:val="0"/>
        <w:kinsoku/>
        <w:wordWrap w:val="0"/>
        <w:overflowPunct/>
        <w:bidi w:val="0"/>
        <w:spacing w:line="240" w:lineRule="auto"/>
        <w:ind w:firstLine="420" w:firstLineChars="200"/>
        <w:rPr>
          <w:rFonts w:hint="eastAsia"/>
          <w:highlight w:val="none"/>
        </w:rPr>
      </w:pPr>
      <w:r>
        <w:rPr>
          <w:rFonts w:hint="eastAsia"/>
          <w:highlight w:val="none"/>
        </w:rPr>
        <w:t>2.1.2 根据本章第1.10款、第2.2款和第2.3款对招标文件所作的澄清、修改，构成招标文件的组成部分。</w:t>
      </w:r>
    </w:p>
    <w:p w14:paraId="65636536">
      <w:pPr>
        <w:pageBreakBefore w:val="0"/>
        <w:kinsoku/>
        <w:wordWrap w:val="0"/>
        <w:overflowPunct/>
        <w:bidi w:val="0"/>
        <w:spacing w:line="240" w:lineRule="auto"/>
        <w:rPr>
          <w:rFonts w:hint="eastAsia"/>
          <w:b/>
          <w:highlight w:val="none"/>
        </w:rPr>
      </w:pPr>
      <w:bookmarkStart w:id="108" w:name="_Toc179632562"/>
      <w:bookmarkStart w:id="109" w:name="_Toc247085703"/>
      <w:bookmarkStart w:id="110" w:name="_Toc152042320"/>
      <w:bookmarkStart w:id="111" w:name="_Toc246996189"/>
      <w:bookmarkStart w:id="112" w:name="_Toc246996932"/>
      <w:bookmarkStart w:id="113" w:name="_Toc152045544"/>
      <w:bookmarkStart w:id="114" w:name="_Toc144974512"/>
      <w:r>
        <w:rPr>
          <w:rFonts w:hint="eastAsia"/>
          <w:b/>
          <w:highlight w:val="none"/>
        </w:rPr>
        <w:t>2.2 招标文件的澄清</w:t>
      </w:r>
      <w:bookmarkEnd w:id="108"/>
      <w:bookmarkEnd w:id="109"/>
      <w:bookmarkEnd w:id="110"/>
      <w:bookmarkEnd w:id="111"/>
      <w:bookmarkEnd w:id="112"/>
      <w:bookmarkEnd w:id="113"/>
      <w:bookmarkEnd w:id="114"/>
      <w:r>
        <w:rPr>
          <w:rFonts w:hint="eastAsia"/>
          <w:b/>
          <w:highlight w:val="none"/>
        </w:rPr>
        <w:t xml:space="preserve"> </w:t>
      </w:r>
    </w:p>
    <w:p w14:paraId="51284EA9">
      <w:pPr>
        <w:pageBreakBefore w:val="0"/>
        <w:kinsoku/>
        <w:wordWrap w:val="0"/>
        <w:overflowPunct/>
        <w:bidi w:val="0"/>
        <w:spacing w:line="240" w:lineRule="auto"/>
        <w:ind w:firstLine="420" w:firstLineChars="200"/>
        <w:rPr>
          <w:rFonts w:hint="eastAsia"/>
          <w:highlight w:val="none"/>
        </w:rPr>
      </w:pPr>
      <w:r>
        <w:rPr>
          <w:rFonts w:hint="eastAsia"/>
          <w:highlight w:val="none"/>
        </w:rPr>
        <w:t>2.2.1 投标人应仔细阅读和检查招标文件的全部内容。</w:t>
      </w:r>
      <w:r>
        <w:rPr>
          <w:rFonts w:hint="eastAsia" w:ascii="宋体"/>
          <w:szCs w:val="21"/>
          <w:highlight w:val="none"/>
        </w:rPr>
        <w:t>如发现缺页或附件不全，应及时向采购人提出，以便补齐。</w:t>
      </w:r>
      <w:r>
        <w:rPr>
          <w:rFonts w:hint="eastAsia"/>
          <w:highlight w:val="none"/>
        </w:rPr>
        <w:t>如有疑问，应在投标人须知前附表规定的时间前以书面形式（包括信函、电报、传真等可以有形地表现所载内容的形式，下同），要求采购人对招标文件予以澄清。</w:t>
      </w:r>
    </w:p>
    <w:p w14:paraId="167D2E18">
      <w:pPr>
        <w:pageBreakBefore w:val="0"/>
        <w:kinsoku/>
        <w:wordWrap w:val="0"/>
        <w:overflowPunct/>
        <w:bidi w:val="0"/>
        <w:spacing w:line="240" w:lineRule="auto"/>
        <w:ind w:firstLine="420" w:firstLineChars="200"/>
        <w:rPr>
          <w:rFonts w:hint="eastAsia" w:ascii="仿宋_GB2312" w:eastAsia="仿宋_GB2312"/>
          <w:sz w:val="32"/>
          <w:szCs w:val="32"/>
          <w:highlight w:val="none"/>
        </w:rPr>
      </w:pPr>
      <w:r>
        <w:rPr>
          <w:rFonts w:hint="eastAsia"/>
          <w:highlight w:val="none"/>
        </w:rPr>
        <w:t>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w:t>
      </w:r>
      <w:r>
        <w:rPr>
          <w:rFonts w:hint="eastAsia" w:ascii="仿宋_GB2312" w:eastAsia="仿宋_GB2312"/>
          <w:sz w:val="32"/>
          <w:szCs w:val="32"/>
          <w:highlight w:val="none"/>
        </w:rPr>
        <w:t xml:space="preserve"> </w:t>
      </w:r>
    </w:p>
    <w:p w14:paraId="33F056E2">
      <w:pPr>
        <w:pageBreakBefore w:val="0"/>
        <w:kinsoku/>
        <w:wordWrap w:val="0"/>
        <w:overflowPunct/>
        <w:bidi w:val="0"/>
        <w:spacing w:line="240" w:lineRule="auto"/>
        <w:ind w:firstLine="420" w:firstLineChars="200"/>
        <w:rPr>
          <w:rFonts w:hint="eastAsia"/>
          <w:highlight w:val="none"/>
        </w:rPr>
      </w:pPr>
      <w:r>
        <w:rPr>
          <w:rFonts w:hint="eastAsia"/>
          <w:highlight w:val="none"/>
        </w:rPr>
        <w:t>2.2.3 投标人在收到澄清后，应在投标人须知前附表规定的时间内以书面形式通知采购人，确认已收到该澄清。</w:t>
      </w:r>
    </w:p>
    <w:p w14:paraId="2446C764">
      <w:pPr>
        <w:pageBreakBefore w:val="0"/>
        <w:kinsoku/>
        <w:wordWrap w:val="0"/>
        <w:overflowPunct/>
        <w:bidi w:val="0"/>
        <w:spacing w:line="240" w:lineRule="auto"/>
        <w:rPr>
          <w:rFonts w:hint="eastAsia"/>
          <w:b/>
          <w:highlight w:val="none"/>
        </w:rPr>
      </w:pPr>
      <w:bookmarkStart w:id="115" w:name="_Toc144974513"/>
      <w:bookmarkStart w:id="116" w:name="_Toc246996933"/>
      <w:bookmarkStart w:id="117" w:name="_Toc179632563"/>
      <w:bookmarkStart w:id="118" w:name="_Toc152045545"/>
      <w:bookmarkStart w:id="119" w:name="_Toc152042321"/>
      <w:bookmarkStart w:id="120" w:name="_Toc246996190"/>
      <w:bookmarkStart w:id="121" w:name="_Toc247085704"/>
      <w:r>
        <w:rPr>
          <w:rFonts w:hint="eastAsia"/>
          <w:b/>
          <w:highlight w:val="none"/>
        </w:rPr>
        <w:t>2.3 招标文件的修改</w:t>
      </w:r>
      <w:bookmarkEnd w:id="115"/>
      <w:bookmarkEnd w:id="116"/>
      <w:bookmarkEnd w:id="117"/>
      <w:bookmarkEnd w:id="118"/>
      <w:bookmarkEnd w:id="119"/>
      <w:bookmarkEnd w:id="120"/>
      <w:bookmarkEnd w:id="121"/>
    </w:p>
    <w:p w14:paraId="707E3234">
      <w:pPr>
        <w:pageBreakBefore w:val="0"/>
        <w:kinsoku/>
        <w:wordWrap w:val="0"/>
        <w:overflowPunct/>
        <w:bidi w:val="0"/>
        <w:spacing w:line="240" w:lineRule="auto"/>
        <w:ind w:firstLine="420" w:firstLineChars="200"/>
        <w:rPr>
          <w:rFonts w:hint="eastAsia"/>
          <w:highlight w:val="none"/>
        </w:rPr>
      </w:pPr>
      <w:r>
        <w:rPr>
          <w:rFonts w:hint="eastAsia"/>
          <w:highlight w:val="none"/>
        </w:rPr>
        <w:t>2.3.1采购人可以书面形式修改招标文件，并通知所有已购买招标文件的投标人。但如果修改招标文件的时间距投标截止时间不足15天，并且修改内容影响投标文件编制的，将相应延长投标截止时间。</w:t>
      </w:r>
    </w:p>
    <w:p w14:paraId="74E42F78">
      <w:pPr>
        <w:pageBreakBefore w:val="0"/>
        <w:kinsoku/>
        <w:wordWrap w:val="0"/>
        <w:overflowPunct/>
        <w:bidi w:val="0"/>
        <w:spacing w:line="240" w:lineRule="auto"/>
        <w:ind w:firstLine="420" w:firstLineChars="200"/>
        <w:rPr>
          <w:rFonts w:hint="eastAsia"/>
          <w:highlight w:val="none"/>
        </w:rPr>
      </w:pPr>
      <w:r>
        <w:rPr>
          <w:rFonts w:hint="eastAsia"/>
          <w:highlight w:val="none"/>
        </w:rPr>
        <w:t>2.3.2 投标人收到修改内容后，应在投标人须知前附表规定的时间内以书面形式通知采购人，确认已收到该修改。</w:t>
      </w:r>
    </w:p>
    <w:p w14:paraId="2A573CB1">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122" w:name="_Toc144974514"/>
      <w:bookmarkStart w:id="123" w:name="_Toc409424315"/>
      <w:bookmarkStart w:id="124" w:name="_Toc246996934"/>
      <w:bookmarkStart w:id="125" w:name="_Toc409424376"/>
      <w:bookmarkStart w:id="126" w:name="_Toc246996191"/>
      <w:bookmarkStart w:id="127" w:name="_Toc247085705"/>
      <w:bookmarkStart w:id="128" w:name="_Toc152042322"/>
      <w:bookmarkStart w:id="129" w:name="_Toc152045546"/>
      <w:bookmarkStart w:id="130" w:name="_Toc179632564"/>
      <w:bookmarkStart w:id="131" w:name="_Toc468267457"/>
      <w:r>
        <w:rPr>
          <w:rFonts w:hint="eastAsia" w:ascii="Arial" w:hAnsi="Arial" w:eastAsia="黑体"/>
          <w:b/>
          <w:bCs/>
          <w:sz w:val="32"/>
          <w:szCs w:val="32"/>
          <w:highlight w:val="none"/>
        </w:rPr>
        <w:t>3. 投标文件</w:t>
      </w:r>
      <w:bookmarkEnd w:id="122"/>
      <w:bookmarkEnd w:id="123"/>
      <w:bookmarkEnd w:id="124"/>
      <w:bookmarkEnd w:id="125"/>
      <w:bookmarkEnd w:id="126"/>
      <w:bookmarkEnd w:id="127"/>
      <w:bookmarkEnd w:id="128"/>
      <w:bookmarkEnd w:id="129"/>
      <w:bookmarkEnd w:id="130"/>
      <w:bookmarkEnd w:id="131"/>
    </w:p>
    <w:p w14:paraId="53C334A6">
      <w:pPr>
        <w:pageBreakBefore w:val="0"/>
        <w:kinsoku/>
        <w:wordWrap w:val="0"/>
        <w:overflowPunct/>
        <w:bidi w:val="0"/>
        <w:spacing w:line="240" w:lineRule="auto"/>
        <w:rPr>
          <w:rFonts w:hint="eastAsia"/>
          <w:b/>
          <w:highlight w:val="none"/>
        </w:rPr>
      </w:pPr>
      <w:bookmarkStart w:id="132" w:name="_Toc144974515"/>
      <w:bookmarkStart w:id="133" w:name="_Toc152045547"/>
      <w:bookmarkStart w:id="134" w:name="_Toc179632565"/>
      <w:bookmarkStart w:id="135" w:name="_Toc247085706"/>
      <w:bookmarkStart w:id="136" w:name="_Toc246996935"/>
      <w:bookmarkStart w:id="137" w:name="_Toc152042323"/>
      <w:bookmarkStart w:id="138" w:name="_Toc246996192"/>
      <w:r>
        <w:rPr>
          <w:rFonts w:hint="eastAsia"/>
          <w:b/>
          <w:highlight w:val="none"/>
        </w:rPr>
        <w:t>3.1 投标文件的组成</w:t>
      </w:r>
      <w:bookmarkEnd w:id="132"/>
      <w:bookmarkEnd w:id="133"/>
      <w:bookmarkEnd w:id="134"/>
      <w:bookmarkEnd w:id="135"/>
      <w:bookmarkEnd w:id="136"/>
      <w:bookmarkEnd w:id="137"/>
      <w:bookmarkEnd w:id="138"/>
    </w:p>
    <w:p w14:paraId="443DA31D">
      <w:pPr>
        <w:pageBreakBefore w:val="0"/>
        <w:kinsoku/>
        <w:wordWrap w:val="0"/>
        <w:overflowPunct/>
        <w:bidi w:val="0"/>
        <w:spacing w:line="240" w:lineRule="auto"/>
        <w:ind w:firstLine="420" w:firstLineChars="200"/>
        <w:rPr>
          <w:rFonts w:hint="eastAsia"/>
          <w:highlight w:val="none"/>
        </w:rPr>
      </w:pPr>
      <w:r>
        <w:rPr>
          <w:rFonts w:hint="eastAsia"/>
          <w:highlight w:val="none"/>
        </w:rPr>
        <w:t>投标文件应包括下列内容：</w:t>
      </w:r>
    </w:p>
    <w:p w14:paraId="24F45660">
      <w:pPr>
        <w:pageBreakBefore w:val="0"/>
        <w:kinsoku/>
        <w:wordWrap w:val="0"/>
        <w:overflowPunct/>
        <w:bidi w:val="0"/>
        <w:spacing w:line="240" w:lineRule="auto"/>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以第六章“投标文件格式”为准</w:t>
      </w:r>
    </w:p>
    <w:p w14:paraId="45578062">
      <w:pPr>
        <w:pageBreakBefore w:val="0"/>
        <w:kinsoku/>
        <w:wordWrap w:val="0"/>
        <w:overflowPunct/>
        <w:bidi w:val="0"/>
        <w:spacing w:line="240" w:lineRule="auto"/>
        <w:rPr>
          <w:rFonts w:hint="eastAsia"/>
          <w:b/>
          <w:highlight w:val="none"/>
        </w:rPr>
      </w:pPr>
      <w:bookmarkStart w:id="139" w:name="_Toc247085707"/>
      <w:bookmarkStart w:id="140" w:name="_Toc246996936"/>
      <w:bookmarkStart w:id="141" w:name="_Toc152042324"/>
      <w:bookmarkStart w:id="142" w:name="_Toc152045548"/>
      <w:bookmarkStart w:id="143" w:name="_Toc144974516"/>
      <w:bookmarkStart w:id="144" w:name="_Toc179632566"/>
      <w:bookmarkStart w:id="145" w:name="_Toc246996193"/>
      <w:r>
        <w:rPr>
          <w:rFonts w:hint="eastAsia"/>
          <w:b/>
          <w:highlight w:val="none"/>
        </w:rPr>
        <w:t>3.2 投标报价</w:t>
      </w:r>
      <w:bookmarkEnd w:id="139"/>
      <w:bookmarkEnd w:id="140"/>
      <w:bookmarkEnd w:id="141"/>
      <w:bookmarkEnd w:id="142"/>
      <w:bookmarkEnd w:id="143"/>
      <w:bookmarkEnd w:id="144"/>
      <w:bookmarkEnd w:id="145"/>
    </w:p>
    <w:p w14:paraId="405BF979">
      <w:pPr>
        <w:pageBreakBefore w:val="0"/>
        <w:kinsoku/>
        <w:wordWrap w:val="0"/>
        <w:overflowPunct/>
        <w:bidi w:val="0"/>
        <w:spacing w:line="240" w:lineRule="auto"/>
        <w:ind w:firstLine="420" w:firstLineChars="200"/>
        <w:rPr>
          <w:rFonts w:hint="eastAsia"/>
          <w:highlight w:val="none"/>
        </w:rPr>
      </w:pPr>
      <w:r>
        <w:rPr>
          <w:rFonts w:hint="eastAsia"/>
          <w:highlight w:val="none"/>
        </w:rPr>
        <w:t>3.2.1 投标人应按第五章“货物需求一览表及技术要求”的要求填写相应表格。</w:t>
      </w:r>
    </w:p>
    <w:p w14:paraId="3258D4E2">
      <w:pPr>
        <w:pageBreakBefore w:val="0"/>
        <w:kinsoku/>
        <w:wordWrap w:val="0"/>
        <w:overflowPunct/>
        <w:bidi w:val="0"/>
        <w:spacing w:line="240" w:lineRule="auto"/>
        <w:ind w:firstLine="420" w:firstLineChars="200"/>
        <w:rPr>
          <w:rFonts w:hint="eastAsia"/>
          <w:highlight w:val="none"/>
        </w:rPr>
      </w:pPr>
      <w:r>
        <w:rPr>
          <w:rFonts w:hint="eastAsia"/>
          <w:highlight w:val="none"/>
        </w:rPr>
        <w:t>3.2.2 投标人在投标截止时间前修改投标函中的投标报价总额，应同时修改“投标报价表”中的相应报价，投标报价总额为各分项金额之和。此修改须符合本章第4.3款的有关要求。</w:t>
      </w:r>
      <w:bookmarkStart w:id="146" w:name="_Toc179632567"/>
      <w:bookmarkStart w:id="147" w:name="_Toc152042325"/>
      <w:bookmarkStart w:id="148" w:name="_Toc144974517"/>
      <w:bookmarkStart w:id="149" w:name="_Toc152045549"/>
    </w:p>
    <w:p w14:paraId="364FCF2C">
      <w:pPr>
        <w:pageBreakBefore w:val="0"/>
        <w:kinsoku/>
        <w:wordWrap w:val="0"/>
        <w:overflowPunct/>
        <w:bidi w:val="0"/>
        <w:spacing w:line="240" w:lineRule="auto"/>
        <w:ind w:firstLine="420" w:firstLineChars="200"/>
        <w:rPr>
          <w:rFonts w:hint="eastAsia"/>
          <w:highlight w:val="none"/>
        </w:rPr>
      </w:pPr>
      <w:r>
        <w:rPr>
          <w:rFonts w:hint="eastAsia"/>
          <w:highlight w:val="none"/>
        </w:rPr>
        <w:t>3.2.3 采购人设有采购预算的，投标人的投标报价不得超过采购预算，采购预算或其计算方法在投标人须知前附表中载明。</w:t>
      </w:r>
    </w:p>
    <w:p w14:paraId="5F5326F2">
      <w:pPr>
        <w:pageBreakBefore w:val="0"/>
        <w:kinsoku/>
        <w:wordWrap w:val="0"/>
        <w:overflowPunct/>
        <w:bidi w:val="0"/>
        <w:spacing w:line="240" w:lineRule="auto"/>
        <w:rPr>
          <w:rFonts w:hint="eastAsia"/>
          <w:b/>
          <w:highlight w:val="none"/>
        </w:rPr>
      </w:pPr>
      <w:bookmarkStart w:id="150" w:name="_Toc247085708"/>
      <w:bookmarkStart w:id="151" w:name="_Toc246996937"/>
      <w:bookmarkStart w:id="152" w:name="_Toc246996194"/>
      <w:r>
        <w:rPr>
          <w:rFonts w:hint="eastAsia"/>
          <w:b/>
          <w:highlight w:val="none"/>
        </w:rPr>
        <w:t>3.3 投标有效期</w:t>
      </w:r>
      <w:bookmarkEnd w:id="146"/>
      <w:bookmarkEnd w:id="147"/>
      <w:bookmarkEnd w:id="148"/>
      <w:bookmarkEnd w:id="149"/>
      <w:bookmarkEnd w:id="150"/>
      <w:bookmarkEnd w:id="151"/>
      <w:bookmarkEnd w:id="152"/>
    </w:p>
    <w:p w14:paraId="6D0617A3">
      <w:pPr>
        <w:pageBreakBefore w:val="0"/>
        <w:kinsoku/>
        <w:wordWrap w:val="0"/>
        <w:overflowPunct/>
        <w:bidi w:val="0"/>
        <w:spacing w:line="240" w:lineRule="auto"/>
        <w:ind w:firstLine="420" w:firstLineChars="200"/>
        <w:rPr>
          <w:rFonts w:hint="eastAsia"/>
          <w:highlight w:val="none"/>
        </w:rPr>
      </w:pPr>
      <w:r>
        <w:rPr>
          <w:rFonts w:hint="eastAsia"/>
          <w:highlight w:val="none"/>
        </w:rPr>
        <w:t>3.3.1 除投标人须知前附表另有规定外，投标有效期为90天。</w:t>
      </w:r>
    </w:p>
    <w:p w14:paraId="1BF8E8D4">
      <w:pPr>
        <w:pageBreakBefore w:val="0"/>
        <w:kinsoku/>
        <w:wordWrap w:val="0"/>
        <w:overflowPunct/>
        <w:bidi w:val="0"/>
        <w:spacing w:line="240" w:lineRule="auto"/>
        <w:ind w:firstLine="420" w:firstLineChars="200"/>
        <w:rPr>
          <w:rFonts w:hint="eastAsia"/>
          <w:highlight w:val="none"/>
        </w:rPr>
      </w:pPr>
      <w:r>
        <w:rPr>
          <w:rFonts w:hint="eastAsia"/>
          <w:highlight w:val="none"/>
        </w:rPr>
        <w:t>3.3.2在投标有效期内，投标人撤销或修改其投标文件的，应承担招标文件和法律规定的责任。</w:t>
      </w:r>
    </w:p>
    <w:p w14:paraId="3685CBD4">
      <w:pPr>
        <w:pageBreakBefore w:val="0"/>
        <w:kinsoku/>
        <w:wordWrap w:val="0"/>
        <w:overflowPunct/>
        <w:bidi w:val="0"/>
        <w:spacing w:line="240" w:lineRule="auto"/>
        <w:ind w:firstLine="420" w:firstLineChars="200"/>
        <w:rPr>
          <w:rFonts w:hint="eastAsia" w:ascii="楷体_GB2312" w:eastAsia="楷体_GB2312"/>
          <w:szCs w:val="21"/>
          <w:highlight w:val="none"/>
        </w:rPr>
      </w:pPr>
      <w:r>
        <w:rPr>
          <w:rFonts w:hint="eastAsia"/>
          <w:highlight w:val="none"/>
        </w:rPr>
        <w:t>3.3.3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CD1978D">
      <w:pPr>
        <w:pageBreakBefore w:val="0"/>
        <w:kinsoku/>
        <w:wordWrap w:val="0"/>
        <w:overflowPunct/>
        <w:bidi w:val="0"/>
        <w:spacing w:line="240" w:lineRule="auto"/>
        <w:rPr>
          <w:rFonts w:hint="eastAsia"/>
          <w:b/>
          <w:highlight w:val="none"/>
        </w:rPr>
      </w:pPr>
      <w:bookmarkStart w:id="153" w:name="_Toc247085709"/>
      <w:bookmarkStart w:id="154" w:name="_Toc144974518"/>
      <w:bookmarkStart w:id="155" w:name="_Toc246996938"/>
      <w:bookmarkStart w:id="156" w:name="_Toc179632568"/>
      <w:bookmarkStart w:id="157" w:name="_Toc152042326"/>
      <w:bookmarkStart w:id="158" w:name="_Toc152045550"/>
      <w:bookmarkStart w:id="159" w:name="_Toc246996195"/>
      <w:r>
        <w:rPr>
          <w:rFonts w:hint="eastAsia"/>
          <w:b/>
          <w:highlight w:val="none"/>
        </w:rPr>
        <w:t>3.4 投标保证金</w:t>
      </w:r>
      <w:bookmarkEnd w:id="153"/>
      <w:bookmarkEnd w:id="154"/>
      <w:bookmarkEnd w:id="155"/>
      <w:bookmarkEnd w:id="156"/>
      <w:bookmarkEnd w:id="157"/>
      <w:bookmarkEnd w:id="158"/>
      <w:bookmarkEnd w:id="159"/>
    </w:p>
    <w:p w14:paraId="3BBD3891">
      <w:pPr>
        <w:pageBreakBefore w:val="0"/>
        <w:kinsoku/>
        <w:wordWrap w:val="0"/>
        <w:overflowPunct/>
        <w:bidi w:val="0"/>
        <w:spacing w:line="240" w:lineRule="auto"/>
        <w:ind w:firstLine="420" w:firstLineChars="200"/>
        <w:rPr>
          <w:rFonts w:hint="eastAsia"/>
          <w:highlight w:val="none"/>
        </w:rPr>
      </w:pPr>
      <w:r>
        <w:rPr>
          <w:rFonts w:hint="eastAsia"/>
          <w:highlight w:val="none"/>
        </w:rPr>
        <w:t>3.4.1 投标人须知前附表规定递交投标保证金的，投标人在递交投标文件的同时，应按投标人须知前附表规定的金额、担保形式和第六章“投标文件格式”规定的或者事先经过采购人认可的投标保证金格式递交投标保证金，并作为其投标文件的组成部分。</w:t>
      </w:r>
    </w:p>
    <w:p w14:paraId="0DC84364">
      <w:pPr>
        <w:pageBreakBefore w:val="0"/>
        <w:kinsoku/>
        <w:wordWrap w:val="0"/>
        <w:overflowPunct/>
        <w:bidi w:val="0"/>
        <w:spacing w:line="240" w:lineRule="auto"/>
        <w:ind w:firstLine="420" w:firstLineChars="200"/>
        <w:rPr>
          <w:rFonts w:hint="eastAsia"/>
          <w:highlight w:val="none"/>
        </w:rPr>
      </w:pPr>
      <w:r>
        <w:rPr>
          <w:rFonts w:hint="eastAsia"/>
          <w:highlight w:val="none"/>
        </w:rPr>
        <w:t>3.4.2 投标人不按本章第3.4.1项要求提交投标保证金的，评标委员会将作无效投标处理。</w:t>
      </w:r>
    </w:p>
    <w:p w14:paraId="17158F54">
      <w:pPr>
        <w:pageBreakBefore w:val="0"/>
        <w:kinsoku/>
        <w:wordWrap w:val="0"/>
        <w:overflowPunct/>
        <w:bidi w:val="0"/>
        <w:spacing w:line="240" w:lineRule="auto"/>
        <w:ind w:firstLine="420" w:firstLineChars="200"/>
        <w:rPr>
          <w:rFonts w:hint="eastAsia"/>
          <w:highlight w:val="none"/>
        </w:rPr>
      </w:pPr>
      <w:r>
        <w:rPr>
          <w:rFonts w:hint="eastAsia"/>
          <w:highlight w:val="none"/>
        </w:rPr>
        <w:t>3.4.3 采购人向中标人发放中标通知书后五个工作日内，退还未中标投标人的投标保证金，采购人与中标人签订合同后五个工作日内，退还中标人的投标保证金。</w:t>
      </w:r>
    </w:p>
    <w:p w14:paraId="18B5EF10">
      <w:pPr>
        <w:pageBreakBefore w:val="0"/>
        <w:kinsoku/>
        <w:wordWrap w:val="0"/>
        <w:overflowPunct/>
        <w:bidi w:val="0"/>
        <w:spacing w:line="240" w:lineRule="auto"/>
        <w:ind w:firstLine="420" w:firstLineChars="200"/>
        <w:rPr>
          <w:rFonts w:hint="eastAsia"/>
          <w:highlight w:val="none"/>
        </w:rPr>
      </w:pPr>
      <w:r>
        <w:rPr>
          <w:rFonts w:hint="eastAsia"/>
          <w:highlight w:val="none"/>
        </w:rPr>
        <w:t xml:space="preserve">3.4.4 有下列情形之一的，投标保证金将不予退还： </w:t>
      </w:r>
    </w:p>
    <w:p w14:paraId="78B7D079">
      <w:pPr>
        <w:pageBreakBefore w:val="0"/>
        <w:kinsoku/>
        <w:wordWrap w:val="0"/>
        <w:overflowPunct/>
        <w:bidi w:val="0"/>
        <w:spacing w:line="240" w:lineRule="auto"/>
        <w:ind w:firstLine="718" w:firstLineChars="342"/>
        <w:rPr>
          <w:rFonts w:hint="eastAsia"/>
          <w:highlight w:val="none"/>
        </w:rPr>
      </w:pPr>
      <w:r>
        <w:rPr>
          <w:rFonts w:hint="eastAsia"/>
          <w:highlight w:val="none"/>
        </w:rPr>
        <w:t>（1）投标人在规定的投标有效期内撤销或修改其投标文件；</w:t>
      </w:r>
    </w:p>
    <w:p w14:paraId="3602CE01">
      <w:pPr>
        <w:pageBreakBefore w:val="0"/>
        <w:kinsoku/>
        <w:wordWrap w:val="0"/>
        <w:overflowPunct/>
        <w:bidi w:val="0"/>
        <w:spacing w:line="240" w:lineRule="auto"/>
        <w:ind w:firstLine="718" w:firstLineChars="342"/>
        <w:rPr>
          <w:rFonts w:hint="eastAsia"/>
          <w:highlight w:val="none"/>
        </w:rPr>
      </w:pPr>
      <w:r>
        <w:rPr>
          <w:rFonts w:hint="eastAsia"/>
          <w:highlight w:val="none"/>
        </w:rPr>
        <w:t>（2）中标人在收到中标通知书后，</w:t>
      </w:r>
      <w:r>
        <w:rPr>
          <w:rFonts w:hint="eastAsia" w:ascii="宋体" w:cs="宋体"/>
          <w:bCs/>
          <w:szCs w:val="21"/>
          <w:highlight w:val="none"/>
          <w:lang w:val="zh-CN"/>
        </w:rPr>
        <w:t>无正当理由拒签合同协议书或未按招标文件规定提交履约担保</w:t>
      </w:r>
      <w:r>
        <w:rPr>
          <w:rFonts w:hint="eastAsia"/>
          <w:highlight w:val="none"/>
        </w:rPr>
        <w:t>。</w:t>
      </w:r>
    </w:p>
    <w:p w14:paraId="4661A2F7">
      <w:pPr>
        <w:pageBreakBefore w:val="0"/>
        <w:kinsoku/>
        <w:wordWrap w:val="0"/>
        <w:overflowPunct/>
        <w:bidi w:val="0"/>
        <w:spacing w:line="240" w:lineRule="auto"/>
        <w:rPr>
          <w:rFonts w:hint="eastAsia"/>
          <w:b/>
          <w:highlight w:val="none"/>
        </w:rPr>
      </w:pPr>
      <w:bookmarkStart w:id="160" w:name="_Toc152045552"/>
      <w:bookmarkStart w:id="161" w:name="_Toc246996196"/>
      <w:bookmarkStart w:id="162" w:name="_Toc144974520"/>
      <w:bookmarkStart w:id="163" w:name="_Toc179632570"/>
      <w:bookmarkStart w:id="164" w:name="_Toc247085710"/>
      <w:bookmarkStart w:id="165" w:name="_Toc246996939"/>
      <w:bookmarkStart w:id="166" w:name="_Toc152042328"/>
      <w:r>
        <w:rPr>
          <w:rFonts w:hint="eastAsia"/>
          <w:b/>
          <w:highlight w:val="none"/>
        </w:rPr>
        <w:t>3.5 资格审查资料</w:t>
      </w:r>
      <w:bookmarkEnd w:id="160"/>
      <w:bookmarkEnd w:id="161"/>
      <w:bookmarkEnd w:id="162"/>
      <w:bookmarkEnd w:id="163"/>
      <w:bookmarkEnd w:id="164"/>
      <w:bookmarkEnd w:id="165"/>
      <w:bookmarkEnd w:id="166"/>
    </w:p>
    <w:p w14:paraId="38D87AFE">
      <w:pPr>
        <w:pageBreakBefore w:val="0"/>
        <w:kinsoku/>
        <w:wordWrap w:val="0"/>
        <w:overflowPunct/>
        <w:bidi w:val="0"/>
        <w:spacing w:line="240" w:lineRule="auto"/>
        <w:ind w:firstLine="420" w:firstLineChars="200"/>
        <w:rPr>
          <w:rFonts w:hint="eastAsia"/>
          <w:highlight w:val="none"/>
        </w:rPr>
      </w:pPr>
      <w:r>
        <w:rPr>
          <w:rFonts w:hint="eastAsia"/>
          <w:highlight w:val="none"/>
        </w:rPr>
        <w:t>3.5.1 “投标人基本情况表”应附投标人营业执照副本等材料的复印件。</w:t>
      </w:r>
    </w:p>
    <w:p w14:paraId="4A01CF4E">
      <w:pPr>
        <w:pageBreakBefore w:val="0"/>
        <w:kinsoku/>
        <w:wordWrap w:val="0"/>
        <w:overflowPunct/>
        <w:bidi w:val="0"/>
        <w:spacing w:line="240" w:lineRule="auto"/>
        <w:ind w:firstLine="420" w:firstLineChars="200"/>
        <w:rPr>
          <w:rFonts w:hint="eastAsia"/>
          <w:highlight w:val="none"/>
        </w:rPr>
      </w:pPr>
      <w:r>
        <w:rPr>
          <w:rFonts w:hint="eastAsia"/>
          <w:highlight w:val="none"/>
        </w:rPr>
        <w:t>3.5.2 “近年财务状况表”具体年份要求见投标人须知前附表。</w:t>
      </w:r>
    </w:p>
    <w:p w14:paraId="4C1118A3">
      <w:pPr>
        <w:pageBreakBefore w:val="0"/>
        <w:kinsoku/>
        <w:wordWrap w:val="0"/>
        <w:overflowPunct/>
        <w:bidi w:val="0"/>
        <w:spacing w:line="240" w:lineRule="auto"/>
        <w:ind w:firstLine="420" w:firstLineChars="200"/>
        <w:rPr>
          <w:rFonts w:hint="eastAsia"/>
          <w:highlight w:val="none"/>
        </w:rPr>
      </w:pPr>
      <w:r>
        <w:rPr>
          <w:rFonts w:hint="eastAsia"/>
          <w:highlight w:val="none"/>
        </w:rPr>
        <w:t>3.5.3 “近年完成的类似项目情况表”应附中标通知书或合同协议书复印件，具体年份要求见投标人须知前附表。每张表格只填写一个项目，并标明序号。</w:t>
      </w:r>
    </w:p>
    <w:p w14:paraId="6B8408E8">
      <w:pPr>
        <w:pageBreakBefore w:val="0"/>
        <w:kinsoku/>
        <w:wordWrap w:val="0"/>
        <w:overflowPunct/>
        <w:bidi w:val="0"/>
        <w:spacing w:line="240" w:lineRule="auto"/>
        <w:ind w:firstLine="420" w:firstLineChars="200"/>
        <w:rPr>
          <w:rFonts w:hint="eastAsia"/>
          <w:highlight w:val="none"/>
        </w:rPr>
      </w:pPr>
      <w:r>
        <w:rPr>
          <w:rFonts w:hint="eastAsia"/>
          <w:highlight w:val="none"/>
        </w:rPr>
        <w:t>3.5.4 “正在进行和新承接的项目情况表”应附中标通知书或合同协议书复印件。每张表格只填写一个项目，并标明序号。</w:t>
      </w:r>
    </w:p>
    <w:p w14:paraId="26158527">
      <w:pPr>
        <w:pageBreakBefore w:val="0"/>
        <w:kinsoku/>
        <w:wordWrap w:val="0"/>
        <w:overflowPunct/>
        <w:bidi w:val="0"/>
        <w:spacing w:line="240" w:lineRule="auto"/>
        <w:rPr>
          <w:rFonts w:hint="eastAsia"/>
          <w:b/>
          <w:highlight w:val="none"/>
        </w:rPr>
      </w:pPr>
      <w:bookmarkStart w:id="167" w:name="_Toc152045553"/>
      <w:bookmarkStart w:id="168" w:name="_Toc179632571"/>
      <w:bookmarkStart w:id="169" w:name="_Toc152042329"/>
      <w:bookmarkStart w:id="170" w:name="_Toc246996940"/>
      <w:bookmarkStart w:id="171" w:name="_Toc144974521"/>
      <w:bookmarkStart w:id="172" w:name="_Toc247085711"/>
      <w:bookmarkStart w:id="173" w:name="_Toc246996197"/>
      <w:r>
        <w:rPr>
          <w:rFonts w:hint="eastAsia"/>
          <w:b/>
          <w:highlight w:val="none"/>
        </w:rPr>
        <w:t>3.6投标文件的编制</w:t>
      </w:r>
    </w:p>
    <w:p w14:paraId="5DE5816A">
      <w:pPr>
        <w:pageBreakBefore w:val="0"/>
        <w:kinsoku/>
        <w:wordWrap w:val="0"/>
        <w:overflowPunct/>
        <w:bidi w:val="0"/>
        <w:spacing w:line="240" w:lineRule="auto"/>
        <w:ind w:firstLine="420" w:firstLineChars="200"/>
        <w:rPr>
          <w:rFonts w:hint="eastAsia"/>
          <w:highlight w:val="none"/>
        </w:rPr>
      </w:pPr>
      <w:r>
        <w:rPr>
          <w:rFonts w:hint="eastAsia"/>
          <w:highlight w:val="none"/>
        </w:rPr>
        <w:t>3.6.1投标文件应按第六章“投标文件格式”进行编写，如有必要，可以增加附页，作为投标文件的组成部分。其中，投标函附录在满足招标文件实质性要求的基础上，可以提出比招标文件要求更有利于采购人的承诺。</w:t>
      </w:r>
    </w:p>
    <w:p w14:paraId="4579919D">
      <w:pPr>
        <w:pageBreakBefore w:val="0"/>
        <w:kinsoku/>
        <w:wordWrap w:val="0"/>
        <w:overflowPunct/>
        <w:bidi w:val="0"/>
        <w:spacing w:line="240" w:lineRule="auto"/>
        <w:ind w:firstLine="420" w:firstLineChars="200"/>
        <w:rPr>
          <w:rFonts w:hint="eastAsia"/>
          <w:szCs w:val="21"/>
          <w:highlight w:val="none"/>
        </w:rPr>
      </w:pPr>
      <w:r>
        <w:rPr>
          <w:rFonts w:hint="eastAsia"/>
          <w:highlight w:val="none"/>
        </w:rPr>
        <w:t>3.6.2 投标文件应当对招标文件有关</w:t>
      </w:r>
      <w:r>
        <w:rPr>
          <w:rFonts w:hint="eastAsia"/>
          <w:szCs w:val="21"/>
          <w:highlight w:val="none"/>
        </w:rPr>
        <w:t>供货期、投标有效期、质量要求、</w:t>
      </w:r>
      <w:r>
        <w:rPr>
          <w:rFonts w:hint="eastAsia"/>
          <w:highlight w:val="none"/>
        </w:rPr>
        <w:t>货物需求一览表及技术要求</w:t>
      </w:r>
      <w:r>
        <w:rPr>
          <w:rFonts w:hint="eastAsia"/>
          <w:szCs w:val="21"/>
          <w:highlight w:val="none"/>
        </w:rPr>
        <w:t>、招标范围等实质性内容作出响应。</w:t>
      </w:r>
    </w:p>
    <w:p w14:paraId="76DD91BD">
      <w:pPr>
        <w:pageBreakBefore w:val="0"/>
        <w:kinsoku/>
        <w:wordWrap w:val="0"/>
        <w:overflowPunct/>
        <w:bidi w:val="0"/>
        <w:spacing w:line="240" w:lineRule="auto"/>
        <w:ind w:firstLine="420" w:firstLineChars="200"/>
        <w:rPr>
          <w:rFonts w:hint="eastAsia"/>
          <w:highlight w:val="none"/>
        </w:rPr>
      </w:pPr>
      <w:r>
        <w:rPr>
          <w:rFonts w:hint="eastAsia"/>
          <w:highlight w:val="none"/>
        </w:rPr>
        <w:t>3.6.3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r>
        <w:rPr>
          <w:rFonts w:hint="eastAsia"/>
          <w:highlight w:val="none"/>
          <w:lang w:eastAsia="zh-CN"/>
        </w:rPr>
        <w:t>（</w:t>
      </w:r>
      <w:r>
        <w:rPr>
          <w:rFonts w:hint="eastAsia"/>
          <w:highlight w:val="none"/>
          <w:lang w:val="en-US" w:eastAsia="zh-CN"/>
        </w:rPr>
        <w:t>电子标不适用</w:t>
      </w:r>
      <w:r>
        <w:rPr>
          <w:rFonts w:hint="eastAsia"/>
          <w:highlight w:val="none"/>
          <w:lang w:eastAsia="zh-CN"/>
        </w:rPr>
        <w:t>）</w:t>
      </w:r>
    </w:p>
    <w:bookmarkEnd w:id="167"/>
    <w:bookmarkEnd w:id="168"/>
    <w:bookmarkEnd w:id="169"/>
    <w:bookmarkEnd w:id="170"/>
    <w:bookmarkEnd w:id="171"/>
    <w:bookmarkEnd w:id="172"/>
    <w:bookmarkEnd w:id="173"/>
    <w:p w14:paraId="444E6261">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174" w:name="_Toc468267458"/>
      <w:bookmarkStart w:id="175" w:name="_Toc152045555"/>
      <w:bookmarkStart w:id="176" w:name="_Toc179632573"/>
      <w:bookmarkStart w:id="177" w:name="_Toc152042331"/>
      <w:bookmarkStart w:id="178" w:name="_Toc409424316"/>
      <w:bookmarkStart w:id="179" w:name="_Toc246996942"/>
      <w:bookmarkStart w:id="180" w:name="_Toc247085713"/>
      <w:bookmarkStart w:id="181" w:name="_Toc409424377"/>
      <w:bookmarkStart w:id="182" w:name="_Toc246996199"/>
      <w:bookmarkStart w:id="183" w:name="_Toc144974523"/>
      <w:r>
        <w:rPr>
          <w:rFonts w:hint="eastAsia" w:ascii="Arial" w:hAnsi="Arial" w:eastAsia="黑体"/>
          <w:b/>
          <w:bCs/>
          <w:sz w:val="32"/>
          <w:szCs w:val="32"/>
          <w:highlight w:val="none"/>
        </w:rPr>
        <w:t>4. 投标</w:t>
      </w:r>
      <w:bookmarkEnd w:id="174"/>
      <w:bookmarkEnd w:id="175"/>
      <w:bookmarkEnd w:id="176"/>
      <w:bookmarkEnd w:id="177"/>
      <w:bookmarkEnd w:id="178"/>
      <w:bookmarkEnd w:id="179"/>
      <w:bookmarkEnd w:id="180"/>
      <w:bookmarkEnd w:id="181"/>
      <w:bookmarkEnd w:id="182"/>
      <w:bookmarkEnd w:id="183"/>
    </w:p>
    <w:p w14:paraId="509AB0AF">
      <w:pPr>
        <w:pageBreakBefore w:val="0"/>
        <w:kinsoku/>
        <w:wordWrap w:val="0"/>
        <w:overflowPunct/>
        <w:bidi w:val="0"/>
        <w:spacing w:line="240" w:lineRule="auto"/>
        <w:rPr>
          <w:rFonts w:hint="eastAsia" w:eastAsia="宋体"/>
          <w:b/>
          <w:highlight w:val="none"/>
          <w:lang w:eastAsia="zh-CN"/>
        </w:rPr>
      </w:pPr>
      <w:bookmarkStart w:id="184" w:name="_Toc246996200"/>
      <w:bookmarkStart w:id="185" w:name="_Toc144974524"/>
      <w:bookmarkStart w:id="186" w:name="_Toc152045556"/>
      <w:bookmarkStart w:id="187" w:name="_Toc179632574"/>
      <w:bookmarkStart w:id="188" w:name="_Toc152042332"/>
      <w:bookmarkStart w:id="189" w:name="_Toc247085714"/>
      <w:bookmarkStart w:id="190" w:name="_Toc246996943"/>
      <w:r>
        <w:rPr>
          <w:rFonts w:hint="eastAsia"/>
          <w:b/>
          <w:highlight w:val="none"/>
        </w:rPr>
        <w:t>4.1 投标文件的密封和标记</w:t>
      </w:r>
      <w:bookmarkEnd w:id="184"/>
      <w:bookmarkEnd w:id="185"/>
      <w:bookmarkEnd w:id="186"/>
      <w:bookmarkEnd w:id="187"/>
      <w:bookmarkEnd w:id="188"/>
      <w:bookmarkEnd w:id="189"/>
      <w:bookmarkEnd w:id="190"/>
      <w:r>
        <w:rPr>
          <w:rFonts w:hint="eastAsia"/>
          <w:b/>
          <w:highlight w:val="none"/>
          <w:lang w:eastAsia="zh-CN"/>
        </w:rPr>
        <w:t>（</w:t>
      </w:r>
      <w:r>
        <w:rPr>
          <w:rFonts w:hint="eastAsia"/>
          <w:b/>
          <w:highlight w:val="none"/>
          <w:lang w:val="en-US" w:eastAsia="zh-CN"/>
        </w:rPr>
        <w:t>电子标不适用</w:t>
      </w:r>
      <w:r>
        <w:rPr>
          <w:rFonts w:hint="eastAsia"/>
          <w:b/>
          <w:highlight w:val="none"/>
          <w:lang w:eastAsia="zh-CN"/>
        </w:rPr>
        <w:t>）</w:t>
      </w:r>
    </w:p>
    <w:p w14:paraId="2E675792">
      <w:pPr>
        <w:pageBreakBefore w:val="0"/>
        <w:kinsoku/>
        <w:wordWrap w:val="0"/>
        <w:overflowPunct/>
        <w:bidi w:val="0"/>
        <w:spacing w:line="240" w:lineRule="auto"/>
        <w:ind w:firstLine="420" w:firstLineChars="200"/>
        <w:rPr>
          <w:highlight w:val="none"/>
        </w:rPr>
      </w:pPr>
      <w:bookmarkStart w:id="191" w:name="_Toc152045557"/>
      <w:bookmarkStart w:id="192" w:name="_Toc246996944"/>
      <w:bookmarkStart w:id="193" w:name="_Toc179632575"/>
      <w:bookmarkStart w:id="194" w:name="_Toc247085715"/>
      <w:bookmarkStart w:id="195" w:name="_Toc152042333"/>
      <w:bookmarkStart w:id="196" w:name="_Toc144974525"/>
      <w:bookmarkStart w:id="197" w:name="_Toc246996201"/>
      <w:r>
        <w:rPr>
          <w:rFonts w:hint="eastAsia"/>
          <w:highlight w:val="none"/>
        </w:rPr>
        <w:t>4.1.1 投标文件应进行包装、加贴封条，</w:t>
      </w:r>
      <w:r>
        <w:rPr>
          <w:rFonts w:hint="eastAsia" w:ascii="宋体"/>
          <w:highlight w:val="none"/>
        </w:rPr>
        <w:t>外封套须在封口处加盖投标人单位章。</w:t>
      </w:r>
    </w:p>
    <w:p w14:paraId="14EBA7B8">
      <w:pPr>
        <w:pageBreakBefore w:val="0"/>
        <w:kinsoku/>
        <w:wordWrap w:val="0"/>
        <w:overflowPunct/>
        <w:bidi w:val="0"/>
        <w:spacing w:line="240" w:lineRule="auto"/>
        <w:ind w:firstLine="420" w:firstLineChars="200"/>
        <w:rPr>
          <w:highlight w:val="none"/>
        </w:rPr>
      </w:pPr>
      <w:r>
        <w:rPr>
          <w:rFonts w:hint="eastAsia"/>
          <w:highlight w:val="none"/>
        </w:rPr>
        <w:t>4.1.2 投标文件封套上应写明的内容见投标人须知前附表</w:t>
      </w:r>
      <w:r>
        <w:rPr>
          <w:rFonts w:hint="eastAsia" w:ascii="宋体"/>
          <w:highlight w:val="none"/>
        </w:rPr>
        <w:t>，并在内封套上标注正本、副本字样。另准备的开标一览表、电子版需单独密封提交。</w:t>
      </w:r>
    </w:p>
    <w:p w14:paraId="0FB56776">
      <w:pPr>
        <w:pageBreakBefore w:val="0"/>
        <w:kinsoku/>
        <w:wordWrap w:val="0"/>
        <w:overflowPunct/>
        <w:bidi w:val="0"/>
        <w:spacing w:line="240" w:lineRule="auto"/>
        <w:ind w:firstLine="420" w:firstLineChars="200"/>
        <w:rPr>
          <w:highlight w:val="none"/>
        </w:rPr>
      </w:pPr>
      <w:r>
        <w:rPr>
          <w:rFonts w:hint="eastAsia"/>
          <w:highlight w:val="none"/>
        </w:rPr>
        <w:t>4.1.3 未按本章第4.1.1项、第4.1.2项要求密封和加写标记的投标文件，采购人应予拒收。</w:t>
      </w:r>
    </w:p>
    <w:p w14:paraId="1E552656">
      <w:pPr>
        <w:pageBreakBefore w:val="0"/>
        <w:kinsoku/>
        <w:wordWrap w:val="0"/>
        <w:overflowPunct/>
        <w:bidi w:val="0"/>
        <w:spacing w:line="240" w:lineRule="auto"/>
        <w:rPr>
          <w:rFonts w:hint="eastAsia"/>
          <w:b/>
          <w:highlight w:val="none"/>
        </w:rPr>
      </w:pPr>
      <w:r>
        <w:rPr>
          <w:rFonts w:hint="eastAsia"/>
          <w:b/>
          <w:highlight w:val="none"/>
        </w:rPr>
        <w:t>4.2 投标文件的递交</w:t>
      </w:r>
      <w:bookmarkEnd w:id="191"/>
      <w:bookmarkEnd w:id="192"/>
      <w:bookmarkEnd w:id="193"/>
      <w:bookmarkEnd w:id="194"/>
      <w:bookmarkEnd w:id="195"/>
      <w:bookmarkEnd w:id="196"/>
      <w:bookmarkEnd w:id="197"/>
    </w:p>
    <w:p w14:paraId="228775D4">
      <w:pPr>
        <w:pageBreakBefore w:val="0"/>
        <w:kinsoku/>
        <w:wordWrap w:val="0"/>
        <w:overflowPunct/>
        <w:bidi w:val="0"/>
        <w:spacing w:line="240" w:lineRule="auto"/>
        <w:ind w:firstLine="420" w:firstLineChars="200"/>
        <w:rPr>
          <w:rFonts w:hint="eastAsia"/>
          <w:highlight w:val="none"/>
        </w:rPr>
      </w:pPr>
      <w:r>
        <w:rPr>
          <w:rFonts w:hint="eastAsia"/>
          <w:highlight w:val="none"/>
        </w:rPr>
        <w:t>4.2.1 投标人应在投标人须知前附表规定的投标截止时间前递交投标文件。</w:t>
      </w:r>
    </w:p>
    <w:p w14:paraId="735294C1">
      <w:pPr>
        <w:pageBreakBefore w:val="0"/>
        <w:kinsoku/>
        <w:wordWrap w:val="0"/>
        <w:overflowPunct/>
        <w:bidi w:val="0"/>
        <w:spacing w:line="240" w:lineRule="auto"/>
        <w:ind w:firstLine="420" w:firstLineChars="200"/>
        <w:rPr>
          <w:rFonts w:hint="eastAsia"/>
          <w:highlight w:val="none"/>
        </w:rPr>
      </w:pPr>
      <w:r>
        <w:rPr>
          <w:rFonts w:hint="eastAsia"/>
          <w:highlight w:val="none"/>
        </w:rPr>
        <w:t>4.2.2 投标人递交投标文件的地点：见投标人须知前附表。</w:t>
      </w:r>
    </w:p>
    <w:p w14:paraId="3B96EB3B">
      <w:pPr>
        <w:pageBreakBefore w:val="0"/>
        <w:kinsoku/>
        <w:wordWrap w:val="0"/>
        <w:overflowPunct/>
        <w:bidi w:val="0"/>
        <w:spacing w:line="240" w:lineRule="auto"/>
        <w:ind w:firstLine="420" w:firstLineChars="200"/>
        <w:rPr>
          <w:rFonts w:hint="eastAsia"/>
          <w:highlight w:val="none"/>
        </w:rPr>
      </w:pPr>
      <w:r>
        <w:rPr>
          <w:rFonts w:hint="eastAsia"/>
          <w:highlight w:val="none"/>
        </w:rPr>
        <w:t>4.2.3 除投标人须知前附表另有规定外，投标人所递交的投标文件不予退还。</w:t>
      </w:r>
    </w:p>
    <w:p w14:paraId="114FBD18">
      <w:pPr>
        <w:pageBreakBefore w:val="0"/>
        <w:kinsoku/>
        <w:wordWrap w:val="0"/>
        <w:overflowPunct/>
        <w:bidi w:val="0"/>
        <w:spacing w:line="240" w:lineRule="auto"/>
        <w:ind w:firstLine="420" w:firstLineChars="200"/>
        <w:rPr>
          <w:rFonts w:hint="eastAsia"/>
          <w:highlight w:val="none"/>
        </w:rPr>
      </w:pPr>
      <w:r>
        <w:rPr>
          <w:rFonts w:hint="eastAsia"/>
          <w:highlight w:val="none"/>
        </w:rPr>
        <w:t>4.2.4 采购人收到投标文件后，向投标人出具签收凭证。</w:t>
      </w:r>
    </w:p>
    <w:p w14:paraId="407B1BD9">
      <w:pPr>
        <w:pageBreakBefore w:val="0"/>
        <w:kinsoku/>
        <w:wordWrap w:val="0"/>
        <w:overflowPunct/>
        <w:bidi w:val="0"/>
        <w:spacing w:line="240" w:lineRule="auto"/>
        <w:ind w:firstLine="420" w:firstLineChars="200"/>
        <w:rPr>
          <w:rFonts w:hint="eastAsia"/>
          <w:highlight w:val="none"/>
        </w:rPr>
      </w:pPr>
      <w:r>
        <w:rPr>
          <w:rFonts w:hint="eastAsia"/>
          <w:highlight w:val="none"/>
        </w:rPr>
        <w:t>4.2.5 逾期送达的或者未送达指定地点的投标文件，采购人不予受理。</w:t>
      </w:r>
    </w:p>
    <w:p w14:paraId="2E621E04">
      <w:pPr>
        <w:pageBreakBefore w:val="0"/>
        <w:kinsoku/>
        <w:wordWrap w:val="0"/>
        <w:overflowPunct/>
        <w:bidi w:val="0"/>
        <w:spacing w:line="240" w:lineRule="auto"/>
        <w:rPr>
          <w:rFonts w:hint="eastAsia"/>
          <w:b/>
          <w:highlight w:val="none"/>
        </w:rPr>
      </w:pPr>
      <w:bookmarkStart w:id="198" w:name="_Toc144974526"/>
      <w:bookmarkStart w:id="199" w:name="_Toc246996945"/>
      <w:bookmarkStart w:id="200" w:name="_Toc152045558"/>
      <w:bookmarkStart w:id="201" w:name="_Toc152042334"/>
      <w:bookmarkStart w:id="202" w:name="_Toc246996202"/>
      <w:bookmarkStart w:id="203" w:name="_Toc247085716"/>
      <w:bookmarkStart w:id="204" w:name="_Toc179632576"/>
      <w:r>
        <w:rPr>
          <w:rFonts w:hint="eastAsia"/>
          <w:b/>
          <w:highlight w:val="none"/>
        </w:rPr>
        <w:t>4.3 投标文件的修改与撤回</w:t>
      </w:r>
      <w:bookmarkEnd w:id="198"/>
      <w:bookmarkEnd w:id="199"/>
      <w:bookmarkEnd w:id="200"/>
      <w:bookmarkEnd w:id="201"/>
      <w:bookmarkEnd w:id="202"/>
      <w:bookmarkEnd w:id="203"/>
      <w:bookmarkEnd w:id="204"/>
    </w:p>
    <w:p w14:paraId="391F02B2">
      <w:pPr>
        <w:pageBreakBefore w:val="0"/>
        <w:kinsoku/>
        <w:wordWrap w:val="0"/>
        <w:overflowPunct/>
        <w:bidi w:val="0"/>
        <w:spacing w:line="240" w:lineRule="auto"/>
        <w:ind w:firstLine="420" w:firstLineChars="200"/>
        <w:rPr>
          <w:rFonts w:hint="eastAsia"/>
          <w:highlight w:val="none"/>
        </w:rPr>
      </w:pPr>
      <w:r>
        <w:rPr>
          <w:rFonts w:hint="eastAsia"/>
          <w:highlight w:val="none"/>
        </w:rPr>
        <w:t>4.3.1 在本章第2.2.2项规定的投标截止时间前，投标人可以修改或撤回已递交的投标文件，但应以书面形式通知采购人。</w:t>
      </w:r>
    </w:p>
    <w:p w14:paraId="0C365D95">
      <w:pPr>
        <w:pageBreakBefore w:val="0"/>
        <w:kinsoku/>
        <w:wordWrap w:val="0"/>
        <w:overflowPunct/>
        <w:bidi w:val="0"/>
        <w:spacing w:line="240" w:lineRule="auto"/>
        <w:ind w:firstLine="420" w:firstLineChars="200"/>
        <w:rPr>
          <w:rFonts w:hint="eastAsia"/>
          <w:highlight w:val="none"/>
        </w:rPr>
      </w:pPr>
      <w:r>
        <w:rPr>
          <w:rFonts w:hint="eastAsia"/>
          <w:highlight w:val="none"/>
        </w:rPr>
        <w:t>4.3.2 投标人修改或撤回已递交投标文件的书面通知应按照本章第3.6.3项的要求签字或盖章。采购人收到书面通知后，向投标人出具签收凭证。</w:t>
      </w:r>
    </w:p>
    <w:p w14:paraId="40C32484">
      <w:pPr>
        <w:pageBreakBefore w:val="0"/>
        <w:kinsoku/>
        <w:wordWrap w:val="0"/>
        <w:overflowPunct/>
        <w:bidi w:val="0"/>
        <w:spacing w:line="240" w:lineRule="auto"/>
        <w:ind w:firstLine="420" w:firstLineChars="200"/>
        <w:rPr>
          <w:rFonts w:hint="eastAsia"/>
          <w:highlight w:val="none"/>
        </w:rPr>
      </w:pPr>
      <w:r>
        <w:rPr>
          <w:rFonts w:hint="eastAsia"/>
          <w:highlight w:val="none"/>
        </w:rPr>
        <w:t>4.3.3 投标人撤回投标文件的，采购人自收到投标人书面撤回通知之日起5日内退还已收取的投标保证金。</w:t>
      </w:r>
    </w:p>
    <w:p w14:paraId="21AEC526">
      <w:pPr>
        <w:pageBreakBefore w:val="0"/>
        <w:kinsoku/>
        <w:wordWrap w:val="0"/>
        <w:overflowPunct/>
        <w:bidi w:val="0"/>
        <w:spacing w:line="240" w:lineRule="auto"/>
        <w:ind w:firstLine="420" w:firstLineChars="200"/>
        <w:rPr>
          <w:rFonts w:hint="eastAsia"/>
          <w:highlight w:val="none"/>
        </w:rPr>
      </w:pPr>
      <w:r>
        <w:rPr>
          <w:rFonts w:hint="eastAsia"/>
          <w:highlight w:val="none"/>
        </w:rPr>
        <w:t>4.3.4 修改的内容为投标文件的组成部分。修改的投标文件应按照本章第3条、第4条规定进行编制、密封、标记和递交，并标明“修改”字样。</w:t>
      </w:r>
    </w:p>
    <w:p w14:paraId="0F9E81AB">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205" w:name="_Toc246996203"/>
      <w:bookmarkStart w:id="206" w:name="_Toc468267459"/>
      <w:bookmarkStart w:id="207" w:name="_Toc152042335"/>
      <w:bookmarkStart w:id="208" w:name="_Toc152045559"/>
      <w:bookmarkStart w:id="209" w:name="_Toc409424317"/>
      <w:bookmarkStart w:id="210" w:name="_Toc247085717"/>
      <w:bookmarkStart w:id="211" w:name="_Toc409424378"/>
      <w:bookmarkStart w:id="212" w:name="_Toc179632577"/>
      <w:bookmarkStart w:id="213" w:name="_Toc144974527"/>
      <w:bookmarkStart w:id="214" w:name="_Toc246996946"/>
      <w:r>
        <w:rPr>
          <w:rFonts w:hint="eastAsia" w:ascii="Arial" w:hAnsi="Arial" w:eastAsia="黑体"/>
          <w:b/>
          <w:bCs/>
          <w:sz w:val="32"/>
          <w:szCs w:val="32"/>
          <w:highlight w:val="none"/>
        </w:rPr>
        <w:t>5. 开标</w:t>
      </w:r>
      <w:bookmarkEnd w:id="205"/>
      <w:bookmarkEnd w:id="206"/>
      <w:bookmarkEnd w:id="207"/>
      <w:bookmarkEnd w:id="208"/>
      <w:bookmarkEnd w:id="209"/>
      <w:bookmarkEnd w:id="210"/>
      <w:bookmarkEnd w:id="211"/>
      <w:bookmarkEnd w:id="212"/>
      <w:bookmarkEnd w:id="213"/>
      <w:bookmarkEnd w:id="214"/>
    </w:p>
    <w:p w14:paraId="54B66775">
      <w:pPr>
        <w:pageBreakBefore w:val="0"/>
        <w:kinsoku/>
        <w:wordWrap w:val="0"/>
        <w:overflowPunct/>
        <w:bidi w:val="0"/>
        <w:spacing w:line="240" w:lineRule="auto"/>
        <w:rPr>
          <w:rFonts w:hint="eastAsia"/>
          <w:b/>
          <w:highlight w:val="none"/>
        </w:rPr>
      </w:pPr>
      <w:bookmarkStart w:id="215" w:name="_Toc247085718"/>
      <w:bookmarkStart w:id="216" w:name="_Toc152045560"/>
      <w:bookmarkStart w:id="217" w:name="_Toc246996947"/>
      <w:bookmarkStart w:id="218" w:name="_Toc152042336"/>
      <w:bookmarkStart w:id="219" w:name="_Toc144974528"/>
      <w:bookmarkStart w:id="220" w:name="_Toc179632578"/>
      <w:bookmarkStart w:id="221" w:name="_Toc246996204"/>
      <w:r>
        <w:rPr>
          <w:rFonts w:hint="eastAsia"/>
          <w:b/>
          <w:highlight w:val="none"/>
        </w:rPr>
        <w:t>5.1 开标时间和地点</w:t>
      </w:r>
      <w:bookmarkEnd w:id="215"/>
      <w:bookmarkEnd w:id="216"/>
      <w:bookmarkEnd w:id="217"/>
      <w:bookmarkEnd w:id="218"/>
      <w:bookmarkEnd w:id="219"/>
      <w:bookmarkEnd w:id="220"/>
      <w:bookmarkEnd w:id="221"/>
    </w:p>
    <w:p w14:paraId="4AA63B2E">
      <w:pPr>
        <w:pageBreakBefore w:val="0"/>
        <w:kinsoku/>
        <w:wordWrap w:val="0"/>
        <w:overflowPunct/>
        <w:bidi w:val="0"/>
        <w:spacing w:line="240" w:lineRule="auto"/>
        <w:ind w:firstLine="420" w:firstLineChars="200"/>
        <w:rPr>
          <w:rFonts w:hint="eastAsia"/>
          <w:highlight w:val="none"/>
        </w:rPr>
      </w:pPr>
      <w:r>
        <w:rPr>
          <w:rFonts w:hint="eastAsia"/>
          <w:highlight w:val="none"/>
        </w:rPr>
        <w:t>采购人在本章投标人须知前附表规定的投标截止时间（开标时间）和投标人须知前附表规定的地点公开开标，并邀请所有投标人的法定代表人或其委托代理人准时参加。</w:t>
      </w:r>
    </w:p>
    <w:p w14:paraId="4EDED2BD">
      <w:pPr>
        <w:pageBreakBefore w:val="0"/>
        <w:kinsoku/>
        <w:wordWrap w:val="0"/>
        <w:overflowPunct/>
        <w:bidi w:val="0"/>
        <w:spacing w:line="240" w:lineRule="auto"/>
        <w:rPr>
          <w:rFonts w:hint="eastAsia"/>
          <w:b/>
          <w:highlight w:val="none"/>
        </w:rPr>
      </w:pPr>
      <w:bookmarkStart w:id="222" w:name="_Toc179632579"/>
      <w:bookmarkStart w:id="223" w:name="_Toc152042337"/>
      <w:bookmarkStart w:id="224" w:name="_Toc152045561"/>
      <w:bookmarkStart w:id="225" w:name="_Toc246996205"/>
      <w:bookmarkStart w:id="226" w:name="_Toc246996948"/>
      <w:bookmarkStart w:id="227" w:name="_Toc247085719"/>
      <w:bookmarkStart w:id="228" w:name="_Toc144974529"/>
      <w:r>
        <w:rPr>
          <w:rFonts w:hint="eastAsia"/>
          <w:b/>
          <w:highlight w:val="none"/>
        </w:rPr>
        <w:t>5.2 开标程序</w:t>
      </w:r>
      <w:bookmarkEnd w:id="222"/>
      <w:bookmarkEnd w:id="223"/>
      <w:bookmarkEnd w:id="224"/>
      <w:bookmarkEnd w:id="225"/>
      <w:bookmarkEnd w:id="226"/>
      <w:bookmarkEnd w:id="227"/>
      <w:bookmarkEnd w:id="228"/>
    </w:p>
    <w:p w14:paraId="3F086BD0">
      <w:pPr>
        <w:pageBreakBefore w:val="0"/>
        <w:kinsoku/>
        <w:wordWrap w:val="0"/>
        <w:overflowPunct/>
        <w:bidi w:val="0"/>
        <w:spacing w:line="240" w:lineRule="auto"/>
        <w:ind w:firstLine="420" w:firstLineChars="200"/>
        <w:rPr>
          <w:rFonts w:hint="eastAsia"/>
          <w:highlight w:val="none"/>
        </w:rPr>
      </w:pPr>
      <w:r>
        <w:rPr>
          <w:rFonts w:hint="eastAsia"/>
          <w:highlight w:val="none"/>
        </w:rPr>
        <w:t>主持人按下列程序进行开标：</w:t>
      </w:r>
    </w:p>
    <w:p w14:paraId="51962B9C">
      <w:pPr>
        <w:pageBreakBefore w:val="0"/>
        <w:kinsoku/>
        <w:wordWrap w:val="0"/>
        <w:overflowPunct/>
        <w:bidi w:val="0"/>
        <w:spacing w:line="240" w:lineRule="auto"/>
        <w:ind w:firstLine="420" w:firstLineChars="200"/>
        <w:rPr>
          <w:rFonts w:hint="eastAsia" w:ascii="Times New Roman" w:hAnsi="Times New Roman" w:eastAsia="宋体" w:cs="Times New Roman"/>
          <w:highlight w:val="none"/>
        </w:rPr>
      </w:pPr>
      <w:bookmarkStart w:id="229" w:name="_Toc144974530"/>
      <w:bookmarkStart w:id="230" w:name="_Toc152042338"/>
      <w:bookmarkStart w:id="231" w:name="_Toc409424379"/>
      <w:bookmarkStart w:id="232" w:name="_Toc409424318"/>
      <w:bookmarkStart w:id="233" w:name="_Toc468267460"/>
      <w:bookmarkStart w:id="234" w:name="_Toc152045562"/>
      <w:bookmarkStart w:id="235" w:name="_Toc179632580"/>
      <w:bookmarkStart w:id="236" w:name="_Toc246996206"/>
      <w:bookmarkStart w:id="237" w:name="_Toc246996949"/>
      <w:bookmarkStart w:id="238" w:name="_Toc247085720"/>
      <w:r>
        <w:rPr>
          <w:rFonts w:hint="eastAsia" w:ascii="Times New Roman" w:hAnsi="Times New Roman" w:eastAsia="宋体" w:cs="Times New Roman"/>
          <w:highlight w:val="none"/>
        </w:rPr>
        <w:t>（1）宣布开始解密投标文件；</w:t>
      </w:r>
    </w:p>
    <w:p w14:paraId="1DB90076">
      <w:pPr>
        <w:pageBreakBefore w:val="0"/>
        <w:kinsoku/>
        <w:wordWrap w:val="0"/>
        <w:overflowPunct/>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（2）唱标；</w:t>
      </w:r>
    </w:p>
    <w:p w14:paraId="544A1BB0">
      <w:pPr>
        <w:pageBreakBefore w:val="0"/>
        <w:kinsoku/>
        <w:wordWrap w:val="0"/>
        <w:overflowPunct/>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（3）供应商在开标一览表上网上签章；</w:t>
      </w:r>
    </w:p>
    <w:p w14:paraId="6B104B24">
      <w:pPr>
        <w:pageBreakBefore w:val="0"/>
        <w:kinsoku/>
        <w:wordWrap w:val="0"/>
        <w:overflowPunct/>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（4）监标人在开标一览表上签字确认；</w:t>
      </w:r>
    </w:p>
    <w:p w14:paraId="5F7764AE">
      <w:pPr>
        <w:pageBreakBefore w:val="0"/>
        <w:kinsoku/>
        <w:wordWrap w:val="0"/>
        <w:overflowPunct/>
        <w:bidi w:val="0"/>
        <w:spacing w:line="240" w:lineRule="auto"/>
        <w:ind w:firstLine="420" w:firstLineChars="200"/>
        <w:rPr>
          <w:rFonts w:hint="eastAsia" w:ascii="Times New Roman" w:hAnsi="Times New Roman" w:eastAsia="宋体" w:cs="Times New Roman"/>
          <w:highlight w:val="none"/>
          <w:lang w:val="zh-CN"/>
        </w:rPr>
      </w:pPr>
      <w:r>
        <w:rPr>
          <w:rFonts w:hint="eastAsia" w:ascii="Times New Roman" w:hAnsi="Times New Roman" w:eastAsia="宋体" w:cs="Times New Roman"/>
          <w:highlight w:val="none"/>
        </w:rPr>
        <w:t>（5）开标结束。</w:t>
      </w:r>
    </w:p>
    <w:p w14:paraId="46EF01BB">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r>
        <w:rPr>
          <w:rFonts w:hint="eastAsia" w:ascii="Arial" w:hAnsi="Arial" w:eastAsia="黑体"/>
          <w:b/>
          <w:bCs/>
          <w:sz w:val="32"/>
          <w:szCs w:val="32"/>
          <w:highlight w:val="none"/>
        </w:rPr>
        <w:t>6. 评标</w:t>
      </w:r>
      <w:bookmarkEnd w:id="229"/>
      <w:bookmarkEnd w:id="230"/>
      <w:bookmarkEnd w:id="231"/>
      <w:bookmarkEnd w:id="232"/>
      <w:bookmarkEnd w:id="233"/>
      <w:bookmarkEnd w:id="234"/>
      <w:bookmarkEnd w:id="235"/>
      <w:bookmarkEnd w:id="236"/>
      <w:bookmarkEnd w:id="237"/>
      <w:bookmarkEnd w:id="238"/>
    </w:p>
    <w:p w14:paraId="6728EAEE">
      <w:pPr>
        <w:pageBreakBefore w:val="0"/>
        <w:kinsoku/>
        <w:wordWrap w:val="0"/>
        <w:overflowPunct/>
        <w:bidi w:val="0"/>
        <w:spacing w:line="240" w:lineRule="auto"/>
        <w:rPr>
          <w:rFonts w:hint="eastAsia"/>
          <w:b/>
          <w:highlight w:val="none"/>
        </w:rPr>
      </w:pPr>
      <w:bookmarkStart w:id="239" w:name="_Toc152045563"/>
      <w:bookmarkStart w:id="240" w:name="_Toc144974531"/>
      <w:bookmarkStart w:id="241" w:name="_Toc246996950"/>
      <w:bookmarkStart w:id="242" w:name="_Toc179632581"/>
      <w:bookmarkStart w:id="243" w:name="_Toc247085721"/>
      <w:bookmarkStart w:id="244" w:name="_Toc246996207"/>
      <w:bookmarkStart w:id="245" w:name="_Toc152042339"/>
      <w:r>
        <w:rPr>
          <w:rFonts w:hint="eastAsia"/>
          <w:b/>
          <w:highlight w:val="none"/>
        </w:rPr>
        <w:t>6.1 评标委员会</w:t>
      </w:r>
      <w:bookmarkEnd w:id="239"/>
      <w:bookmarkEnd w:id="240"/>
      <w:bookmarkEnd w:id="241"/>
      <w:bookmarkEnd w:id="242"/>
      <w:bookmarkEnd w:id="243"/>
      <w:bookmarkEnd w:id="244"/>
      <w:bookmarkEnd w:id="245"/>
    </w:p>
    <w:p w14:paraId="2C036E3A">
      <w:pPr>
        <w:pageBreakBefore w:val="0"/>
        <w:kinsoku/>
        <w:wordWrap w:val="0"/>
        <w:overflowPunct/>
        <w:bidi w:val="0"/>
        <w:spacing w:line="240" w:lineRule="auto"/>
        <w:ind w:firstLine="420" w:firstLineChars="200"/>
        <w:rPr>
          <w:rFonts w:hint="eastAsia"/>
          <w:highlight w:val="none"/>
        </w:rPr>
      </w:pPr>
      <w:r>
        <w:rPr>
          <w:rFonts w:hint="eastAsia"/>
          <w:highlight w:val="none"/>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2EA63A53">
      <w:pPr>
        <w:pageBreakBefore w:val="0"/>
        <w:kinsoku/>
        <w:wordWrap w:val="0"/>
        <w:overflowPunct/>
        <w:bidi w:val="0"/>
        <w:spacing w:line="240" w:lineRule="auto"/>
        <w:ind w:firstLine="420" w:firstLineChars="200"/>
        <w:rPr>
          <w:rFonts w:hint="eastAsia"/>
          <w:highlight w:val="none"/>
        </w:rPr>
      </w:pPr>
      <w:r>
        <w:rPr>
          <w:rFonts w:hint="eastAsia"/>
          <w:highlight w:val="none"/>
        </w:rPr>
        <w:t>6.1.2 评标委员会成员有下列情形之一的，应当回避：</w:t>
      </w:r>
    </w:p>
    <w:p w14:paraId="43DCB7AC">
      <w:pPr>
        <w:pageBreakBefore w:val="0"/>
        <w:kinsoku/>
        <w:wordWrap w:val="0"/>
        <w:overflowPunct/>
        <w:bidi w:val="0"/>
        <w:spacing w:line="240" w:lineRule="auto"/>
        <w:ind w:firstLine="359" w:firstLineChars="171"/>
        <w:rPr>
          <w:rFonts w:hint="eastAsia"/>
          <w:highlight w:val="none"/>
        </w:rPr>
      </w:pPr>
      <w:r>
        <w:rPr>
          <w:rFonts w:hint="eastAsia"/>
          <w:highlight w:val="none"/>
        </w:rPr>
        <w:t>（1）投标人或投标人主要负责人的近亲属；</w:t>
      </w:r>
    </w:p>
    <w:p w14:paraId="5370AF04">
      <w:pPr>
        <w:pageBreakBefore w:val="0"/>
        <w:kinsoku/>
        <w:wordWrap w:val="0"/>
        <w:overflowPunct/>
        <w:bidi w:val="0"/>
        <w:spacing w:line="240" w:lineRule="auto"/>
        <w:ind w:firstLine="359" w:firstLineChars="171"/>
        <w:rPr>
          <w:rFonts w:hint="eastAsia"/>
          <w:highlight w:val="none"/>
        </w:rPr>
      </w:pPr>
      <w:r>
        <w:rPr>
          <w:rFonts w:hint="eastAsia"/>
          <w:highlight w:val="none"/>
        </w:rPr>
        <w:t>（2）项目主管部门或者行政监督部门的人员；</w:t>
      </w:r>
    </w:p>
    <w:p w14:paraId="4A25F833">
      <w:pPr>
        <w:pageBreakBefore w:val="0"/>
        <w:kinsoku/>
        <w:wordWrap w:val="0"/>
        <w:overflowPunct/>
        <w:bidi w:val="0"/>
        <w:spacing w:line="240" w:lineRule="auto"/>
        <w:ind w:firstLine="359" w:firstLineChars="171"/>
        <w:rPr>
          <w:rFonts w:hint="eastAsia"/>
          <w:highlight w:val="none"/>
        </w:rPr>
      </w:pPr>
      <w:r>
        <w:rPr>
          <w:rFonts w:hint="eastAsia"/>
          <w:highlight w:val="none"/>
        </w:rPr>
        <w:t>（3）与投标人有经济利益关系；</w:t>
      </w:r>
    </w:p>
    <w:p w14:paraId="63307A5C">
      <w:pPr>
        <w:pageBreakBefore w:val="0"/>
        <w:kinsoku/>
        <w:wordWrap w:val="0"/>
        <w:overflowPunct/>
        <w:bidi w:val="0"/>
        <w:spacing w:line="240" w:lineRule="auto"/>
        <w:ind w:firstLine="359" w:firstLineChars="171"/>
        <w:rPr>
          <w:rFonts w:hint="eastAsia"/>
          <w:highlight w:val="none"/>
        </w:rPr>
      </w:pPr>
      <w:r>
        <w:rPr>
          <w:rFonts w:hint="eastAsia"/>
          <w:highlight w:val="none"/>
        </w:rPr>
        <w:t>（4）曾因在招标、评标以及其他与招标投标有关活动中从事违法行为而受过行政处罚或刑事处罚的；</w:t>
      </w:r>
    </w:p>
    <w:p w14:paraId="5150584C">
      <w:pPr>
        <w:pageBreakBefore w:val="0"/>
        <w:kinsoku/>
        <w:wordWrap w:val="0"/>
        <w:overflowPunct/>
        <w:bidi w:val="0"/>
        <w:spacing w:line="240" w:lineRule="auto"/>
        <w:ind w:firstLine="359" w:firstLineChars="171"/>
        <w:rPr>
          <w:rFonts w:hint="eastAsia"/>
          <w:highlight w:val="none"/>
        </w:rPr>
      </w:pPr>
      <w:r>
        <w:rPr>
          <w:rFonts w:hint="eastAsia"/>
          <w:highlight w:val="none"/>
        </w:rPr>
        <w:t>（5）与投标人有其他利害关系。</w:t>
      </w:r>
    </w:p>
    <w:p w14:paraId="230AFAA6">
      <w:pPr>
        <w:pageBreakBefore w:val="0"/>
        <w:kinsoku/>
        <w:wordWrap w:val="0"/>
        <w:overflowPunct/>
        <w:bidi w:val="0"/>
        <w:spacing w:line="240" w:lineRule="auto"/>
        <w:rPr>
          <w:rFonts w:hint="eastAsia"/>
          <w:b/>
          <w:highlight w:val="none"/>
        </w:rPr>
      </w:pPr>
      <w:bookmarkStart w:id="246" w:name="_Toc144974532"/>
      <w:bookmarkStart w:id="247" w:name="_Toc247085722"/>
      <w:bookmarkStart w:id="248" w:name="_Toc152045564"/>
      <w:bookmarkStart w:id="249" w:name="_Toc179632582"/>
      <w:bookmarkStart w:id="250" w:name="_Toc246996208"/>
      <w:bookmarkStart w:id="251" w:name="_Toc246996951"/>
      <w:bookmarkStart w:id="252" w:name="_Toc152042340"/>
      <w:r>
        <w:rPr>
          <w:rFonts w:hint="eastAsia"/>
          <w:b/>
          <w:highlight w:val="none"/>
        </w:rPr>
        <w:t>6.2 评标原则</w:t>
      </w:r>
      <w:bookmarkEnd w:id="246"/>
      <w:bookmarkEnd w:id="247"/>
      <w:bookmarkEnd w:id="248"/>
      <w:bookmarkEnd w:id="249"/>
      <w:bookmarkEnd w:id="250"/>
      <w:bookmarkEnd w:id="251"/>
      <w:bookmarkEnd w:id="252"/>
    </w:p>
    <w:p w14:paraId="2C271EA8">
      <w:pPr>
        <w:pageBreakBefore w:val="0"/>
        <w:kinsoku/>
        <w:wordWrap w:val="0"/>
        <w:overflowPunct/>
        <w:bidi w:val="0"/>
        <w:spacing w:line="240" w:lineRule="auto"/>
        <w:ind w:firstLine="420" w:firstLineChars="200"/>
        <w:rPr>
          <w:rFonts w:hint="eastAsia"/>
          <w:highlight w:val="none"/>
        </w:rPr>
      </w:pPr>
      <w:r>
        <w:rPr>
          <w:rFonts w:hint="eastAsia"/>
          <w:highlight w:val="none"/>
        </w:rPr>
        <w:t>评标活动遵循公平、公正、科学和择优的原则。</w:t>
      </w:r>
    </w:p>
    <w:p w14:paraId="6A2042E5">
      <w:pPr>
        <w:pageBreakBefore w:val="0"/>
        <w:kinsoku/>
        <w:wordWrap w:val="0"/>
        <w:overflowPunct/>
        <w:bidi w:val="0"/>
        <w:spacing w:line="240" w:lineRule="auto"/>
        <w:rPr>
          <w:rFonts w:hint="eastAsia"/>
          <w:b/>
          <w:highlight w:val="none"/>
        </w:rPr>
      </w:pPr>
      <w:bookmarkStart w:id="253" w:name="_Toc152045565"/>
      <w:bookmarkStart w:id="254" w:name="_Toc144974533"/>
      <w:bookmarkStart w:id="255" w:name="_Toc246996209"/>
      <w:bookmarkStart w:id="256" w:name="_Toc152042341"/>
      <w:bookmarkStart w:id="257" w:name="_Toc246996952"/>
      <w:bookmarkStart w:id="258" w:name="_Toc247085723"/>
      <w:bookmarkStart w:id="259" w:name="_Toc179632583"/>
      <w:r>
        <w:rPr>
          <w:rFonts w:hint="eastAsia"/>
          <w:b/>
          <w:highlight w:val="none"/>
        </w:rPr>
        <w:t>6.3 评标</w:t>
      </w:r>
      <w:bookmarkEnd w:id="253"/>
      <w:bookmarkEnd w:id="254"/>
      <w:bookmarkEnd w:id="255"/>
      <w:bookmarkEnd w:id="256"/>
      <w:bookmarkEnd w:id="257"/>
      <w:bookmarkEnd w:id="258"/>
      <w:bookmarkEnd w:id="259"/>
    </w:p>
    <w:p w14:paraId="22587450">
      <w:pPr>
        <w:pageBreakBefore w:val="0"/>
        <w:kinsoku/>
        <w:wordWrap w:val="0"/>
        <w:overflowPunct/>
        <w:bidi w:val="0"/>
        <w:spacing w:line="240" w:lineRule="auto"/>
        <w:ind w:firstLine="420" w:firstLineChars="200"/>
        <w:rPr>
          <w:rFonts w:hint="eastAsia"/>
          <w:highlight w:val="none"/>
        </w:rPr>
      </w:pPr>
      <w:r>
        <w:rPr>
          <w:rFonts w:hint="eastAsia"/>
          <w:highlight w:val="none"/>
        </w:rPr>
        <w:t>评标委员会按照第三章“评标办法”规定的方法、评审因素、标准和程序对投标文件进行评审。第三章“评标办法”没有规定的方法、评审因素和标准，不作为评标依据。</w:t>
      </w:r>
    </w:p>
    <w:p w14:paraId="66DBBB30">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260" w:name="_Toc247085724"/>
      <w:bookmarkStart w:id="261" w:name="_Toc246996210"/>
      <w:bookmarkStart w:id="262" w:name="_Toc246996953"/>
      <w:bookmarkStart w:id="263" w:name="_Toc152042342"/>
      <w:bookmarkStart w:id="264" w:name="_Toc179632584"/>
      <w:bookmarkStart w:id="265" w:name="_Toc152045566"/>
      <w:bookmarkStart w:id="266" w:name="_Toc409424319"/>
      <w:bookmarkStart w:id="267" w:name="_Toc409424380"/>
      <w:bookmarkStart w:id="268" w:name="_Toc468267461"/>
      <w:bookmarkStart w:id="269" w:name="_Toc144974534"/>
      <w:r>
        <w:rPr>
          <w:rFonts w:hint="eastAsia" w:ascii="Arial" w:hAnsi="Arial" w:eastAsia="黑体"/>
          <w:b/>
          <w:bCs/>
          <w:sz w:val="32"/>
          <w:szCs w:val="32"/>
          <w:highlight w:val="none"/>
        </w:rPr>
        <w:t>7. 合同授予</w:t>
      </w:r>
      <w:bookmarkEnd w:id="260"/>
      <w:bookmarkEnd w:id="261"/>
      <w:bookmarkEnd w:id="262"/>
      <w:bookmarkEnd w:id="263"/>
      <w:bookmarkEnd w:id="264"/>
      <w:bookmarkEnd w:id="265"/>
      <w:bookmarkEnd w:id="266"/>
      <w:bookmarkEnd w:id="267"/>
      <w:bookmarkEnd w:id="268"/>
      <w:bookmarkEnd w:id="269"/>
    </w:p>
    <w:p w14:paraId="4D7F372F">
      <w:pPr>
        <w:pageBreakBefore w:val="0"/>
        <w:kinsoku/>
        <w:wordWrap w:val="0"/>
        <w:overflowPunct/>
        <w:bidi w:val="0"/>
        <w:spacing w:line="240" w:lineRule="auto"/>
        <w:rPr>
          <w:rFonts w:hint="eastAsia"/>
          <w:b/>
          <w:highlight w:val="none"/>
        </w:rPr>
      </w:pPr>
      <w:bookmarkStart w:id="270" w:name="_Toc247085725"/>
      <w:bookmarkStart w:id="271" w:name="_Toc152042343"/>
      <w:bookmarkStart w:id="272" w:name="_Toc246996211"/>
      <w:bookmarkStart w:id="273" w:name="_Toc179632585"/>
      <w:bookmarkStart w:id="274" w:name="_Toc144974535"/>
      <w:bookmarkStart w:id="275" w:name="_Toc152045567"/>
      <w:bookmarkStart w:id="276" w:name="_Toc246996954"/>
      <w:r>
        <w:rPr>
          <w:rFonts w:hint="eastAsia"/>
          <w:b/>
          <w:highlight w:val="none"/>
        </w:rPr>
        <w:t>7.1 定标方式</w:t>
      </w:r>
      <w:bookmarkEnd w:id="270"/>
      <w:bookmarkEnd w:id="271"/>
      <w:bookmarkEnd w:id="272"/>
      <w:bookmarkEnd w:id="273"/>
      <w:bookmarkEnd w:id="274"/>
      <w:bookmarkEnd w:id="275"/>
      <w:bookmarkEnd w:id="276"/>
    </w:p>
    <w:p w14:paraId="1B9473C4">
      <w:pPr>
        <w:pageBreakBefore w:val="0"/>
        <w:kinsoku/>
        <w:wordWrap w:val="0"/>
        <w:overflowPunct/>
        <w:bidi w:val="0"/>
        <w:spacing w:line="240" w:lineRule="auto"/>
        <w:ind w:firstLine="420" w:firstLineChars="200"/>
        <w:rPr>
          <w:rFonts w:hint="default" w:ascii="宋体" w:cs="仿宋_GB2312"/>
          <w:kern w:val="0"/>
          <w:szCs w:val="21"/>
          <w:highlight w:val="none"/>
          <w:lang w:val="en-US"/>
        </w:rPr>
      </w:pPr>
      <w:r>
        <w:rPr>
          <w:rFonts w:hint="eastAsia" w:ascii="宋体" w:cs="仿宋_GB2312"/>
          <w:kern w:val="0"/>
          <w:szCs w:val="21"/>
          <w:highlight w:val="none"/>
          <w:lang w:val="en-US" w:eastAsia="zh-CN"/>
        </w:rPr>
        <w:t xml:space="preserve">评标委员会根据综合评分情况，按照评审得分由高到低顺序推荐前3名中标候选投标人。原则上推荐排名位于第一名的中标候选投标人为中标投标人。 </w:t>
      </w:r>
    </w:p>
    <w:p w14:paraId="18E22254">
      <w:pPr>
        <w:pageBreakBefore w:val="0"/>
        <w:kinsoku/>
        <w:wordWrap w:val="0"/>
        <w:overflowPunct/>
        <w:bidi w:val="0"/>
        <w:spacing w:line="240" w:lineRule="auto"/>
        <w:rPr>
          <w:rFonts w:hint="eastAsia"/>
          <w:b/>
          <w:highlight w:val="none"/>
        </w:rPr>
      </w:pPr>
      <w:r>
        <w:rPr>
          <w:rFonts w:hint="eastAsia"/>
          <w:b/>
          <w:highlight w:val="none"/>
        </w:rPr>
        <w:t>7.2 中标结果公告</w:t>
      </w:r>
    </w:p>
    <w:p w14:paraId="2C2BA151">
      <w:pPr>
        <w:pageBreakBefore w:val="0"/>
        <w:kinsoku/>
        <w:wordWrap w:val="0"/>
        <w:overflowPunct/>
        <w:bidi w:val="0"/>
        <w:spacing w:line="240" w:lineRule="auto"/>
        <w:ind w:firstLine="420" w:firstLineChars="200"/>
        <w:rPr>
          <w:rFonts w:hint="eastAsia"/>
          <w:highlight w:val="none"/>
        </w:rPr>
      </w:pPr>
      <w:r>
        <w:rPr>
          <w:rFonts w:hint="eastAsia"/>
          <w:highlight w:val="none"/>
        </w:rPr>
        <w:t>详见投标人须知前附表。</w:t>
      </w:r>
    </w:p>
    <w:p w14:paraId="46E1524A">
      <w:pPr>
        <w:pageBreakBefore w:val="0"/>
        <w:kinsoku/>
        <w:wordWrap w:val="0"/>
        <w:overflowPunct/>
        <w:bidi w:val="0"/>
        <w:spacing w:line="240" w:lineRule="auto"/>
        <w:rPr>
          <w:rFonts w:hint="eastAsia"/>
          <w:b/>
          <w:highlight w:val="none"/>
        </w:rPr>
      </w:pPr>
      <w:bookmarkStart w:id="277" w:name="_Toc152042344"/>
      <w:bookmarkStart w:id="278" w:name="_Toc246996212"/>
      <w:bookmarkStart w:id="279" w:name="_Toc152045568"/>
      <w:bookmarkStart w:id="280" w:name="_Toc144974536"/>
      <w:bookmarkStart w:id="281" w:name="_Toc179632586"/>
      <w:bookmarkStart w:id="282" w:name="_Toc246996955"/>
      <w:bookmarkStart w:id="283" w:name="_Toc247085726"/>
      <w:r>
        <w:rPr>
          <w:rFonts w:hint="eastAsia"/>
          <w:b/>
          <w:highlight w:val="none"/>
        </w:rPr>
        <w:t>7.3 中标通知</w:t>
      </w:r>
      <w:bookmarkEnd w:id="277"/>
      <w:bookmarkEnd w:id="278"/>
      <w:bookmarkEnd w:id="279"/>
      <w:bookmarkEnd w:id="280"/>
      <w:bookmarkEnd w:id="281"/>
      <w:bookmarkEnd w:id="282"/>
      <w:bookmarkEnd w:id="283"/>
    </w:p>
    <w:p w14:paraId="243A9CB5">
      <w:pPr>
        <w:pageBreakBefore w:val="0"/>
        <w:kinsoku/>
        <w:wordWrap w:val="0"/>
        <w:overflowPunct/>
        <w:bidi w:val="0"/>
        <w:spacing w:line="240" w:lineRule="auto"/>
        <w:ind w:firstLine="420" w:firstLineChars="200"/>
        <w:rPr>
          <w:rFonts w:hint="eastAsia"/>
          <w:highlight w:val="none"/>
        </w:rPr>
      </w:pPr>
      <w:r>
        <w:rPr>
          <w:rFonts w:hint="eastAsia"/>
          <w:highlight w:val="none"/>
        </w:rPr>
        <w:t>在本章第3.3款规定的投标有效期内，采购人以书面形式向中标人发出中标通知书，同时将中标结果通知未中标的投标人。</w:t>
      </w:r>
    </w:p>
    <w:p w14:paraId="0F96906B">
      <w:pPr>
        <w:pageBreakBefore w:val="0"/>
        <w:kinsoku/>
        <w:wordWrap w:val="0"/>
        <w:overflowPunct/>
        <w:bidi w:val="0"/>
        <w:spacing w:line="240" w:lineRule="auto"/>
        <w:rPr>
          <w:b/>
          <w:highlight w:val="none"/>
        </w:rPr>
      </w:pPr>
      <w:r>
        <w:rPr>
          <w:b/>
          <w:highlight w:val="none"/>
        </w:rPr>
        <w:t>7.</w:t>
      </w:r>
      <w:r>
        <w:rPr>
          <w:rFonts w:hint="eastAsia"/>
          <w:b/>
          <w:highlight w:val="none"/>
        </w:rPr>
        <w:t>4 履约担保</w:t>
      </w:r>
    </w:p>
    <w:p w14:paraId="24D0A09C">
      <w:pPr>
        <w:pageBreakBefore w:val="0"/>
        <w:kinsoku/>
        <w:wordWrap w:val="0"/>
        <w:overflowPunct/>
        <w:autoSpaceDE w:val="0"/>
        <w:autoSpaceDN w:val="0"/>
        <w:bidi w:val="0"/>
        <w:adjustRightInd w:val="0"/>
        <w:spacing w:line="240" w:lineRule="auto"/>
        <w:ind w:firstLine="420" w:firstLineChars="200"/>
        <w:jc w:val="left"/>
        <w:rPr>
          <w:rFonts w:hint="eastAsia" w:ascii="宋体" w:cs="仿宋_GB2312"/>
          <w:kern w:val="0"/>
          <w:szCs w:val="21"/>
          <w:highlight w:val="none"/>
        </w:rPr>
      </w:pPr>
      <w:r>
        <w:rPr>
          <w:rFonts w:hint="eastAsia" w:ascii="宋体" w:cs="仿宋_GB2312"/>
          <w:kern w:val="0"/>
          <w:szCs w:val="21"/>
          <w:highlight w:val="none"/>
        </w:rPr>
        <w:t>7.4.1 在签订合同前，中标人应按投标人须知前附表规定的金额、担保形式向采购人提交履约担保。</w:t>
      </w:r>
    </w:p>
    <w:p w14:paraId="3219B391">
      <w:pPr>
        <w:pageBreakBefore w:val="0"/>
        <w:kinsoku/>
        <w:wordWrap w:val="0"/>
        <w:overflowPunct/>
        <w:autoSpaceDE w:val="0"/>
        <w:autoSpaceDN w:val="0"/>
        <w:bidi w:val="0"/>
        <w:adjustRightInd w:val="0"/>
        <w:spacing w:line="240" w:lineRule="auto"/>
        <w:ind w:firstLine="420" w:firstLineChars="200"/>
        <w:jc w:val="left"/>
        <w:rPr>
          <w:rFonts w:hint="eastAsia" w:ascii="宋体" w:cs="仿宋_GB2312"/>
          <w:kern w:val="0"/>
          <w:szCs w:val="21"/>
          <w:highlight w:val="none"/>
        </w:rPr>
      </w:pPr>
      <w:r>
        <w:rPr>
          <w:rFonts w:hint="eastAsia" w:ascii="宋体" w:cs="仿宋_GB2312"/>
          <w:kern w:val="0"/>
          <w:szCs w:val="21"/>
          <w:highlight w:val="none"/>
        </w:rPr>
        <w:t>7.4.2 中标人不能按本章第7.4.1项要求提交履约担保的，视为放弃中标，其投标保证金不予退还，给采购人造成的损失超过投标保证金数额的，中标人还应当对超过部分予以赔偿。</w:t>
      </w:r>
    </w:p>
    <w:p w14:paraId="689BC558">
      <w:pPr>
        <w:pageBreakBefore w:val="0"/>
        <w:kinsoku/>
        <w:wordWrap w:val="0"/>
        <w:overflowPunct/>
        <w:bidi w:val="0"/>
        <w:spacing w:line="240" w:lineRule="auto"/>
        <w:rPr>
          <w:rFonts w:hint="eastAsia"/>
          <w:b/>
          <w:highlight w:val="none"/>
        </w:rPr>
      </w:pPr>
      <w:bookmarkStart w:id="284" w:name="_Toc179632588"/>
      <w:bookmarkStart w:id="285" w:name="_Toc246996214"/>
      <w:bookmarkStart w:id="286" w:name="_Toc144974538"/>
      <w:bookmarkStart w:id="287" w:name="_Toc152045570"/>
      <w:bookmarkStart w:id="288" w:name="_Toc152042346"/>
      <w:bookmarkStart w:id="289" w:name="_Toc247085728"/>
      <w:bookmarkStart w:id="290" w:name="_Toc246996957"/>
      <w:r>
        <w:rPr>
          <w:rFonts w:hint="eastAsia"/>
          <w:b/>
          <w:highlight w:val="none"/>
        </w:rPr>
        <w:t>7.5 签订合同</w:t>
      </w:r>
      <w:bookmarkEnd w:id="284"/>
      <w:bookmarkEnd w:id="285"/>
      <w:bookmarkEnd w:id="286"/>
      <w:bookmarkEnd w:id="287"/>
      <w:bookmarkEnd w:id="288"/>
      <w:bookmarkEnd w:id="289"/>
      <w:bookmarkEnd w:id="290"/>
    </w:p>
    <w:p w14:paraId="58D8AD24">
      <w:pPr>
        <w:pageBreakBefore w:val="0"/>
        <w:kinsoku/>
        <w:wordWrap w:val="0"/>
        <w:overflowPunct/>
        <w:bidi w:val="0"/>
        <w:spacing w:line="240" w:lineRule="auto"/>
        <w:ind w:firstLine="420" w:firstLineChars="200"/>
        <w:rPr>
          <w:rFonts w:hint="eastAsia"/>
          <w:highlight w:val="none"/>
        </w:rPr>
      </w:pPr>
      <w:r>
        <w:rPr>
          <w:rFonts w:hint="eastAsia"/>
          <w:highlight w:val="none"/>
        </w:rPr>
        <w:t>7.5.1采购人和中标人应当自中标通知书发出之日起15天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14:paraId="29DA5E10">
      <w:pPr>
        <w:pageBreakBefore w:val="0"/>
        <w:kinsoku/>
        <w:wordWrap w:val="0"/>
        <w:overflowPunct/>
        <w:bidi w:val="0"/>
        <w:spacing w:line="240" w:lineRule="auto"/>
        <w:ind w:firstLine="420" w:firstLineChars="200"/>
        <w:rPr>
          <w:rFonts w:hint="eastAsia"/>
          <w:highlight w:val="none"/>
        </w:rPr>
      </w:pPr>
      <w:r>
        <w:rPr>
          <w:rFonts w:hint="eastAsia"/>
          <w:highlight w:val="none"/>
        </w:rPr>
        <w:t>7.5.2 发出中标通知书后，采购人无正当理由拒签合同或未按规定递交履约担保的，采购人向中标人退还投标保证金；给中标人造成损失的，还应当赔偿损失。</w:t>
      </w:r>
    </w:p>
    <w:p w14:paraId="069D06F5">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291" w:name="_Toc468267462"/>
      <w:r>
        <w:rPr>
          <w:rFonts w:hint="eastAsia" w:ascii="Arial" w:hAnsi="Arial" w:eastAsia="黑体"/>
          <w:b/>
          <w:bCs/>
          <w:sz w:val="32"/>
          <w:szCs w:val="32"/>
          <w:highlight w:val="none"/>
        </w:rPr>
        <w:t>8. 重新招标</w:t>
      </w:r>
      <w:bookmarkEnd w:id="291"/>
    </w:p>
    <w:p w14:paraId="412C596D">
      <w:pPr>
        <w:pageBreakBefore w:val="0"/>
        <w:kinsoku/>
        <w:wordWrap w:val="0"/>
        <w:overflowPunct/>
        <w:bidi w:val="0"/>
        <w:spacing w:line="240" w:lineRule="auto"/>
        <w:rPr>
          <w:rFonts w:hint="eastAsia"/>
          <w:b/>
          <w:highlight w:val="none"/>
        </w:rPr>
      </w:pPr>
      <w:r>
        <w:rPr>
          <w:rFonts w:hint="eastAsia"/>
          <w:b/>
          <w:highlight w:val="none"/>
        </w:rPr>
        <w:t>8.1 重新招标</w:t>
      </w:r>
    </w:p>
    <w:p w14:paraId="433E29AF">
      <w:pPr>
        <w:pageBreakBefore w:val="0"/>
        <w:kinsoku/>
        <w:wordWrap w:val="0"/>
        <w:overflowPunct/>
        <w:bidi w:val="0"/>
        <w:spacing w:line="240" w:lineRule="auto"/>
        <w:ind w:firstLine="420" w:firstLineChars="200"/>
        <w:rPr>
          <w:rFonts w:hint="eastAsia"/>
          <w:highlight w:val="none"/>
        </w:rPr>
      </w:pPr>
      <w:r>
        <w:rPr>
          <w:rFonts w:hint="eastAsia"/>
          <w:highlight w:val="none"/>
        </w:rPr>
        <w:t>有下列情形之一的，采购人将重新招标：</w:t>
      </w:r>
    </w:p>
    <w:p w14:paraId="68DAB054">
      <w:pPr>
        <w:pageBreakBefore w:val="0"/>
        <w:kinsoku/>
        <w:wordWrap w:val="0"/>
        <w:overflowPunct/>
        <w:bidi w:val="0"/>
        <w:spacing w:line="240" w:lineRule="auto"/>
        <w:ind w:firstLine="420" w:firstLineChars="200"/>
        <w:rPr>
          <w:rFonts w:hint="eastAsia"/>
          <w:highlight w:val="none"/>
        </w:rPr>
      </w:pPr>
      <w:r>
        <w:rPr>
          <w:rFonts w:hint="eastAsia"/>
          <w:highlight w:val="none"/>
        </w:rPr>
        <w:t>（1）投标截止时间止，投标人少于3个的；</w:t>
      </w:r>
    </w:p>
    <w:p w14:paraId="30ACB28B">
      <w:pPr>
        <w:pageBreakBefore w:val="0"/>
        <w:kinsoku/>
        <w:wordWrap w:val="0"/>
        <w:overflowPunct/>
        <w:bidi w:val="0"/>
        <w:spacing w:line="240" w:lineRule="auto"/>
        <w:ind w:firstLine="420" w:firstLineChars="200"/>
        <w:rPr>
          <w:rFonts w:hint="eastAsia"/>
          <w:highlight w:val="none"/>
        </w:rPr>
      </w:pPr>
      <w:r>
        <w:rPr>
          <w:rFonts w:hint="eastAsia"/>
          <w:highlight w:val="none"/>
        </w:rPr>
        <w:t>（2）符合专业条件的投标人或者对招标文件作实质响应的投标人不足三家的。</w:t>
      </w:r>
    </w:p>
    <w:p w14:paraId="38E32CB4">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292" w:name="_Toc409424381"/>
      <w:bookmarkStart w:id="293" w:name="_Toc409424320"/>
      <w:bookmarkStart w:id="294" w:name="_Toc468267463"/>
      <w:r>
        <w:rPr>
          <w:rFonts w:hint="eastAsia" w:ascii="Arial" w:hAnsi="Arial" w:eastAsia="黑体"/>
          <w:b/>
          <w:bCs/>
          <w:sz w:val="32"/>
          <w:szCs w:val="32"/>
          <w:highlight w:val="none"/>
        </w:rPr>
        <w:t>9. 纪律和监督</w:t>
      </w:r>
      <w:bookmarkEnd w:id="292"/>
      <w:bookmarkEnd w:id="293"/>
      <w:bookmarkEnd w:id="294"/>
    </w:p>
    <w:p w14:paraId="535753A0">
      <w:pPr>
        <w:pageBreakBefore w:val="0"/>
        <w:kinsoku/>
        <w:wordWrap w:val="0"/>
        <w:overflowPunct/>
        <w:bidi w:val="0"/>
        <w:spacing w:line="240" w:lineRule="auto"/>
        <w:rPr>
          <w:rFonts w:hint="eastAsia"/>
          <w:b/>
          <w:highlight w:val="none"/>
        </w:rPr>
      </w:pPr>
      <w:bookmarkStart w:id="295" w:name="_Toc246996219"/>
      <w:bookmarkStart w:id="296" w:name="_Toc246996962"/>
      <w:bookmarkStart w:id="297" w:name="_Toc179632593"/>
      <w:bookmarkStart w:id="298" w:name="_Toc144974543"/>
      <w:bookmarkStart w:id="299" w:name="_Toc152042351"/>
      <w:bookmarkStart w:id="300" w:name="_Toc247085733"/>
      <w:bookmarkStart w:id="301" w:name="_Toc296590983"/>
      <w:bookmarkStart w:id="302" w:name="_Toc152045575"/>
      <w:r>
        <w:rPr>
          <w:rFonts w:hint="eastAsia"/>
          <w:b/>
          <w:highlight w:val="none"/>
        </w:rPr>
        <w:t>9.1 对采购人的纪律要求</w:t>
      </w:r>
      <w:bookmarkEnd w:id="295"/>
      <w:bookmarkEnd w:id="296"/>
      <w:bookmarkEnd w:id="297"/>
      <w:bookmarkEnd w:id="298"/>
      <w:bookmarkEnd w:id="299"/>
      <w:bookmarkEnd w:id="300"/>
      <w:bookmarkEnd w:id="301"/>
      <w:bookmarkEnd w:id="302"/>
    </w:p>
    <w:p w14:paraId="2B9985E3">
      <w:pPr>
        <w:pageBreakBefore w:val="0"/>
        <w:kinsoku/>
        <w:wordWrap w:val="0"/>
        <w:overflowPunct/>
        <w:bidi w:val="0"/>
        <w:spacing w:line="240" w:lineRule="auto"/>
        <w:ind w:firstLine="420" w:firstLineChars="200"/>
        <w:rPr>
          <w:rFonts w:hint="eastAsia"/>
          <w:highlight w:val="none"/>
        </w:rPr>
      </w:pPr>
      <w:r>
        <w:rPr>
          <w:rFonts w:hint="eastAsia"/>
          <w:highlight w:val="none"/>
        </w:rPr>
        <w:t>采购人不得泄漏招标投标活动中应当保密的情况和资料，不得与投标人串通损害国家利益、社会公共利益或者他人合法权益。</w:t>
      </w:r>
    </w:p>
    <w:p w14:paraId="6627AB15">
      <w:pPr>
        <w:pageBreakBefore w:val="0"/>
        <w:kinsoku/>
        <w:wordWrap w:val="0"/>
        <w:overflowPunct/>
        <w:bidi w:val="0"/>
        <w:spacing w:line="240" w:lineRule="auto"/>
        <w:rPr>
          <w:rFonts w:hint="eastAsia"/>
          <w:b/>
          <w:highlight w:val="none"/>
        </w:rPr>
      </w:pPr>
      <w:bookmarkStart w:id="303" w:name="_Toc144974544"/>
      <w:bookmarkStart w:id="304" w:name="_Toc152042352"/>
      <w:bookmarkStart w:id="305" w:name="_Toc179632594"/>
      <w:bookmarkStart w:id="306" w:name="_Toc246996963"/>
      <w:bookmarkStart w:id="307" w:name="_Toc247085734"/>
      <w:bookmarkStart w:id="308" w:name="_Toc152045576"/>
      <w:bookmarkStart w:id="309" w:name="_Toc246996220"/>
      <w:r>
        <w:rPr>
          <w:rFonts w:hint="eastAsia"/>
          <w:b/>
          <w:highlight w:val="none"/>
        </w:rPr>
        <w:t>9.2 对投标人的纪律要求</w:t>
      </w:r>
      <w:bookmarkEnd w:id="303"/>
      <w:bookmarkEnd w:id="304"/>
      <w:bookmarkEnd w:id="305"/>
      <w:bookmarkEnd w:id="306"/>
      <w:bookmarkEnd w:id="307"/>
      <w:bookmarkEnd w:id="308"/>
      <w:bookmarkEnd w:id="309"/>
    </w:p>
    <w:p w14:paraId="51770C87">
      <w:pPr>
        <w:pageBreakBefore w:val="0"/>
        <w:kinsoku/>
        <w:wordWrap w:val="0"/>
        <w:overflowPunct/>
        <w:bidi w:val="0"/>
        <w:spacing w:line="240" w:lineRule="auto"/>
        <w:ind w:firstLine="420" w:firstLineChars="200"/>
        <w:rPr>
          <w:rFonts w:hint="eastAsia"/>
          <w:highlight w:val="none"/>
        </w:rPr>
      </w:pPr>
      <w:r>
        <w:rPr>
          <w:rFonts w:hint="eastAsia"/>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031D90E">
      <w:pPr>
        <w:pageBreakBefore w:val="0"/>
        <w:kinsoku/>
        <w:wordWrap w:val="0"/>
        <w:overflowPunct/>
        <w:bidi w:val="0"/>
        <w:spacing w:line="240" w:lineRule="auto"/>
        <w:rPr>
          <w:rFonts w:hint="eastAsia"/>
          <w:b/>
          <w:highlight w:val="none"/>
        </w:rPr>
      </w:pPr>
      <w:bookmarkStart w:id="310" w:name="_Toc247085735"/>
      <w:bookmarkStart w:id="311" w:name="_Toc246996964"/>
      <w:bookmarkStart w:id="312" w:name="_Toc152042353"/>
      <w:bookmarkStart w:id="313" w:name="_Toc152045577"/>
      <w:bookmarkStart w:id="314" w:name="_Toc144974545"/>
      <w:bookmarkStart w:id="315" w:name="_Toc179632595"/>
      <w:bookmarkStart w:id="316" w:name="_Toc246996221"/>
      <w:r>
        <w:rPr>
          <w:rFonts w:hint="eastAsia"/>
          <w:b/>
          <w:highlight w:val="none"/>
        </w:rPr>
        <w:t>9.3 对评标委员会成员的纪律要求</w:t>
      </w:r>
      <w:bookmarkEnd w:id="310"/>
      <w:bookmarkEnd w:id="311"/>
      <w:bookmarkEnd w:id="312"/>
      <w:bookmarkEnd w:id="313"/>
      <w:bookmarkEnd w:id="314"/>
      <w:bookmarkEnd w:id="315"/>
      <w:bookmarkEnd w:id="316"/>
    </w:p>
    <w:p w14:paraId="3B5F63AC">
      <w:pPr>
        <w:pageBreakBefore w:val="0"/>
        <w:kinsoku/>
        <w:wordWrap w:val="0"/>
        <w:overflowPunct/>
        <w:bidi w:val="0"/>
        <w:spacing w:line="240" w:lineRule="auto"/>
        <w:ind w:firstLine="420" w:firstLineChars="200"/>
        <w:rPr>
          <w:rFonts w:hint="eastAsia"/>
          <w:highlight w:val="none"/>
        </w:rPr>
      </w:pPr>
      <w:r>
        <w:rPr>
          <w:rFonts w:hint="eastAsia"/>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FDEB690">
      <w:pPr>
        <w:pageBreakBefore w:val="0"/>
        <w:kinsoku/>
        <w:wordWrap w:val="0"/>
        <w:overflowPunct/>
        <w:bidi w:val="0"/>
        <w:spacing w:line="240" w:lineRule="auto"/>
        <w:rPr>
          <w:rFonts w:hint="eastAsia"/>
          <w:b/>
          <w:highlight w:val="none"/>
        </w:rPr>
      </w:pPr>
      <w:bookmarkStart w:id="317" w:name="_Toc246996965"/>
      <w:bookmarkStart w:id="318" w:name="_Toc152045578"/>
      <w:bookmarkStart w:id="319" w:name="_Toc246996222"/>
      <w:bookmarkStart w:id="320" w:name="_Toc179632596"/>
      <w:bookmarkStart w:id="321" w:name="_Toc152042354"/>
      <w:bookmarkStart w:id="322" w:name="_Toc247085736"/>
      <w:bookmarkStart w:id="323" w:name="_Toc144974546"/>
      <w:r>
        <w:rPr>
          <w:rFonts w:hint="eastAsia"/>
          <w:b/>
          <w:highlight w:val="none"/>
        </w:rPr>
        <w:t>9.4 对与评标活动有关的工作人员的纪律要求</w:t>
      </w:r>
      <w:bookmarkEnd w:id="317"/>
      <w:bookmarkEnd w:id="318"/>
      <w:bookmarkEnd w:id="319"/>
      <w:bookmarkEnd w:id="320"/>
      <w:bookmarkEnd w:id="321"/>
      <w:bookmarkEnd w:id="322"/>
    </w:p>
    <w:p w14:paraId="169030A3">
      <w:pPr>
        <w:pageBreakBefore w:val="0"/>
        <w:kinsoku/>
        <w:wordWrap w:val="0"/>
        <w:overflowPunct/>
        <w:bidi w:val="0"/>
        <w:spacing w:line="240" w:lineRule="auto"/>
        <w:ind w:firstLine="420" w:firstLineChars="200"/>
        <w:rPr>
          <w:rFonts w:hint="eastAsia"/>
          <w:highlight w:val="none"/>
        </w:rPr>
      </w:pPr>
      <w:bookmarkStart w:id="324" w:name="_Toc152042355"/>
      <w:r>
        <w:rPr>
          <w:rFonts w:hint="eastAsia"/>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24"/>
    </w:p>
    <w:p w14:paraId="3FA7DFAC">
      <w:pPr>
        <w:pageBreakBefore w:val="0"/>
        <w:kinsoku/>
        <w:wordWrap w:val="0"/>
        <w:overflowPunct/>
        <w:bidi w:val="0"/>
        <w:spacing w:line="240" w:lineRule="auto"/>
        <w:rPr>
          <w:rFonts w:hint="eastAsia"/>
          <w:b/>
          <w:highlight w:val="none"/>
        </w:rPr>
      </w:pPr>
      <w:bookmarkStart w:id="325" w:name="_Toc246996223"/>
      <w:bookmarkStart w:id="326" w:name="_Toc152042356"/>
      <w:bookmarkStart w:id="327" w:name="_Toc152045579"/>
      <w:bookmarkStart w:id="328" w:name="_Toc179632597"/>
      <w:bookmarkStart w:id="329" w:name="_Toc246996966"/>
      <w:bookmarkStart w:id="330" w:name="_Toc247085737"/>
      <w:r>
        <w:rPr>
          <w:rFonts w:hint="eastAsia"/>
          <w:b/>
          <w:highlight w:val="none"/>
        </w:rPr>
        <w:t>9.5 投诉</w:t>
      </w:r>
      <w:bookmarkEnd w:id="323"/>
      <w:bookmarkEnd w:id="325"/>
      <w:bookmarkEnd w:id="326"/>
      <w:bookmarkEnd w:id="327"/>
      <w:bookmarkEnd w:id="328"/>
      <w:bookmarkEnd w:id="329"/>
      <w:bookmarkEnd w:id="330"/>
    </w:p>
    <w:p w14:paraId="353592DB">
      <w:pPr>
        <w:pageBreakBefore w:val="0"/>
        <w:kinsoku/>
        <w:wordWrap w:val="0"/>
        <w:overflowPunct/>
        <w:bidi w:val="0"/>
        <w:spacing w:line="240" w:lineRule="auto"/>
        <w:ind w:firstLine="420" w:firstLineChars="200"/>
        <w:rPr>
          <w:rFonts w:hint="eastAsia"/>
          <w:highlight w:val="none"/>
        </w:rPr>
      </w:pPr>
      <w:r>
        <w:rPr>
          <w:rFonts w:hint="eastAsia"/>
          <w:highlight w:val="none"/>
        </w:rPr>
        <w:t>投标人和其他利害关系人认为本次招标活动违反法律、法规和规章规定的，有权向有关行政监督部门投诉。</w:t>
      </w:r>
    </w:p>
    <w:p w14:paraId="57E486EA">
      <w:pPr>
        <w:keepNext/>
        <w:keepLines/>
        <w:pageBreakBefore w:val="0"/>
        <w:kinsoku/>
        <w:wordWrap w:val="0"/>
        <w:overflowPunct/>
        <w:bidi w:val="0"/>
        <w:spacing w:line="240" w:lineRule="auto"/>
        <w:outlineLvl w:val="1"/>
        <w:rPr>
          <w:rFonts w:hint="eastAsia" w:ascii="Arial" w:hAnsi="Arial" w:eastAsia="黑体"/>
          <w:b/>
          <w:bCs/>
          <w:sz w:val="32"/>
          <w:szCs w:val="32"/>
          <w:highlight w:val="none"/>
        </w:rPr>
      </w:pPr>
      <w:bookmarkStart w:id="331" w:name="_Toc246996224"/>
      <w:bookmarkStart w:id="332" w:name="_Toc152045580"/>
      <w:bookmarkStart w:id="333" w:name="_Toc144974547"/>
      <w:bookmarkStart w:id="334" w:name="_Toc247085738"/>
      <w:bookmarkStart w:id="335" w:name="_Toc179632598"/>
      <w:bookmarkStart w:id="336" w:name="_Toc409424321"/>
      <w:bookmarkStart w:id="337" w:name="_Toc152042357"/>
      <w:bookmarkStart w:id="338" w:name="_Toc409424382"/>
      <w:bookmarkStart w:id="339" w:name="_Toc468267464"/>
      <w:bookmarkStart w:id="340" w:name="_Toc246996967"/>
      <w:r>
        <w:rPr>
          <w:rFonts w:hint="eastAsia" w:ascii="Arial" w:hAnsi="Arial" w:eastAsia="黑体"/>
          <w:b/>
          <w:bCs/>
          <w:sz w:val="32"/>
          <w:szCs w:val="32"/>
          <w:highlight w:val="none"/>
        </w:rPr>
        <w:t>10. 需要补充的其他内容</w:t>
      </w:r>
      <w:bookmarkEnd w:id="331"/>
      <w:bookmarkEnd w:id="332"/>
      <w:bookmarkEnd w:id="333"/>
      <w:bookmarkEnd w:id="334"/>
      <w:bookmarkEnd w:id="335"/>
      <w:bookmarkEnd w:id="336"/>
      <w:bookmarkEnd w:id="337"/>
      <w:bookmarkEnd w:id="338"/>
      <w:bookmarkEnd w:id="339"/>
      <w:bookmarkEnd w:id="340"/>
    </w:p>
    <w:p w14:paraId="55483940">
      <w:pPr>
        <w:pageBreakBefore w:val="0"/>
        <w:kinsoku/>
        <w:wordWrap w:val="0"/>
        <w:overflowPunct/>
        <w:bidi w:val="0"/>
        <w:spacing w:line="240" w:lineRule="auto"/>
        <w:ind w:firstLine="420" w:firstLineChars="200"/>
        <w:rPr>
          <w:rFonts w:hint="eastAsia"/>
          <w:highlight w:val="none"/>
        </w:rPr>
      </w:pPr>
      <w:r>
        <w:rPr>
          <w:rFonts w:hint="eastAsia"/>
          <w:highlight w:val="none"/>
        </w:rPr>
        <w:t>供应商认为采购文件、采购过程、中标或者成交结果使自己的权益受到损害的，可以在知道或者应知其权益受到损害之日起7个工作日，以书面形式向采购人、采购代理机构提出质疑。（质疑须满足《中华人民共和国政府采购法》、《中华人民共和国政府采购法实施条例》、《政府采购质疑和投诉办法》）</w:t>
      </w:r>
    </w:p>
    <w:p w14:paraId="7B6C7F6C">
      <w:pPr>
        <w:pageBreakBefore w:val="0"/>
        <w:kinsoku/>
        <w:wordWrap w:val="0"/>
        <w:overflowPunct/>
        <w:bidi w:val="0"/>
        <w:spacing w:line="240" w:lineRule="auto"/>
        <w:ind w:firstLine="420" w:firstLineChars="200"/>
        <w:rPr>
          <w:rFonts w:hint="eastAsia"/>
          <w:highlight w:val="none"/>
        </w:rPr>
      </w:pPr>
    </w:p>
    <w:p w14:paraId="29CFA1DB">
      <w:pPr>
        <w:pageBreakBefore w:val="0"/>
        <w:kinsoku/>
        <w:wordWrap w:val="0"/>
        <w:overflowPunct/>
        <w:bidi w:val="0"/>
        <w:spacing w:line="300" w:lineRule="auto"/>
        <w:ind w:firstLine="420" w:firstLineChars="200"/>
        <w:rPr>
          <w:rFonts w:hint="eastAsia"/>
          <w:highlight w:val="none"/>
        </w:rPr>
      </w:pPr>
      <w:r>
        <w:rPr>
          <w:highlight w:val="none"/>
        </w:rPr>
        <w:br w:type="page"/>
      </w:r>
    </w:p>
    <w:p w14:paraId="699C5E8A">
      <w:pPr>
        <w:spacing w:line="240" w:lineRule="auto"/>
        <w:rPr>
          <w:rFonts w:hint="eastAsia" w:ascii="宋体" w:hAnsi="宋体" w:eastAsia="宋体" w:cs="宋体"/>
          <w:b/>
          <w:color w:val="auto"/>
          <w:sz w:val="24"/>
          <w:highlight w:val="none"/>
        </w:rPr>
      </w:pPr>
      <w:bookmarkStart w:id="341" w:name="_Toc247085756"/>
      <w:bookmarkStart w:id="342" w:name="_Toc152042375"/>
      <w:bookmarkStart w:id="343" w:name="_Toc179632616"/>
      <w:bookmarkStart w:id="344" w:name="_Toc24483"/>
      <w:bookmarkStart w:id="345" w:name="_Toc246996241"/>
      <w:bookmarkStart w:id="346" w:name="_Toc77166514"/>
      <w:bookmarkStart w:id="347" w:name="_Toc468267471"/>
      <w:bookmarkStart w:id="348" w:name="_Toc246996984"/>
      <w:bookmarkStart w:id="349" w:name="_Toc144974565"/>
      <w:bookmarkStart w:id="350" w:name="_Toc152045598"/>
      <w:bookmarkStart w:id="351" w:name="_Toc19824"/>
      <w:r>
        <w:rPr>
          <w:rFonts w:hint="eastAsia" w:ascii="宋体" w:hAnsi="宋体" w:eastAsia="宋体" w:cs="宋体"/>
          <w:b/>
          <w:color w:val="auto"/>
          <w:sz w:val="24"/>
          <w:highlight w:val="none"/>
        </w:rPr>
        <w:t>附件一：开标记录表</w:t>
      </w:r>
    </w:p>
    <w:p w14:paraId="6F83B571">
      <w:pPr>
        <w:spacing w:line="360" w:lineRule="auto"/>
        <w:rPr>
          <w:rFonts w:hint="eastAsia" w:ascii="宋体" w:hAnsi="宋体" w:eastAsia="宋体" w:cs="宋体"/>
          <w:b/>
          <w:color w:val="auto"/>
          <w:sz w:val="24"/>
          <w:highlight w:val="none"/>
        </w:rPr>
      </w:pPr>
      <w:bookmarkStart w:id="352" w:name="_Toc144974551"/>
      <w:bookmarkStart w:id="353" w:name="_Toc152042362"/>
      <w:bookmarkStart w:id="354" w:name="_Toc246996970"/>
      <w:bookmarkStart w:id="355" w:name="_Toc152045585"/>
      <w:bookmarkStart w:id="356" w:name="_Toc144974552"/>
      <w:bookmarkStart w:id="357" w:name="_Toc152045584"/>
      <w:bookmarkStart w:id="358" w:name="_Toc179632602"/>
      <w:bookmarkStart w:id="359" w:name="_Toc247085743"/>
      <w:bookmarkStart w:id="360" w:name="_Toc246996227"/>
      <w:bookmarkStart w:id="361" w:name="_Toc179632603"/>
      <w:bookmarkStart w:id="362" w:name="_Toc246996228"/>
      <w:bookmarkStart w:id="363" w:name="_Toc152042361"/>
      <w:bookmarkStart w:id="364" w:name="_Toc247085742"/>
      <w:bookmarkStart w:id="365" w:name="_Toc246996971"/>
    </w:p>
    <w:p w14:paraId="3E265439">
      <w:pPr>
        <w:spacing w:line="360" w:lineRule="auto"/>
        <w:ind w:firstLine="3780" w:firstLineChars="18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以“政采云”平台格式为准</w:t>
      </w:r>
    </w:p>
    <w:p w14:paraId="582E693E">
      <w:pPr>
        <w:pStyle w:val="10"/>
        <w:spacing w:line="360" w:lineRule="auto"/>
        <w:jc w:val="center"/>
        <w:rPr>
          <w:rFonts w:hint="eastAsia" w:ascii="宋体" w:hAnsi="宋体" w:eastAsia="宋体" w:cs="宋体"/>
          <w:color w:val="auto"/>
          <w:highlight w:val="none"/>
        </w:rPr>
      </w:pPr>
    </w:p>
    <w:p w14:paraId="1BA2F0C2">
      <w:pPr>
        <w:spacing w:line="360" w:lineRule="auto"/>
        <w:outlineLvl w:val="0"/>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bookmarkStart w:id="366" w:name="_Toc6166"/>
      <w:r>
        <w:rPr>
          <w:rFonts w:hint="eastAsia" w:ascii="宋体" w:hAnsi="宋体" w:eastAsia="宋体" w:cs="宋体"/>
          <w:b/>
          <w:color w:val="auto"/>
          <w:sz w:val="24"/>
          <w:highlight w:val="none"/>
        </w:rPr>
        <w:t>附件二：问题澄清通知</w:t>
      </w:r>
      <w:bookmarkEnd w:id="366"/>
    </w:p>
    <w:p w14:paraId="0BEAD14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问题澄清通知</w:t>
      </w:r>
    </w:p>
    <w:p w14:paraId="1B96D0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739336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14:paraId="55D8CB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（项目名称）招标的评标委员会，对你方的投标文件进行了仔细的审查，现需你方对下列问题以书面形式予以澄清：</w:t>
      </w:r>
    </w:p>
    <w:p w14:paraId="07B354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50372D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382664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请将上述问题的澄清于年月日时前递交至（详细地址）或传真至（传真号码）。采用传真方式的，应在年月日时前将原件递交至（详细地址）。</w:t>
      </w:r>
    </w:p>
    <w:p w14:paraId="4E489562">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经评标委员会授权的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采购代理</w:t>
      </w:r>
      <w:r>
        <w:rPr>
          <w:rFonts w:hint="eastAsia" w:ascii="宋体" w:hAnsi="宋体" w:eastAsia="宋体" w:cs="宋体"/>
          <w:color w:val="auto"/>
          <w:szCs w:val="21"/>
          <w:highlight w:val="none"/>
        </w:rPr>
        <w:t>机构：（签字或盖章）</w:t>
      </w:r>
    </w:p>
    <w:p w14:paraId="2BF7F044">
      <w:pPr>
        <w:spacing w:line="360" w:lineRule="auto"/>
        <w:jc w:val="right"/>
        <w:rPr>
          <w:rFonts w:hint="eastAsia" w:ascii="宋体" w:hAnsi="宋体" w:eastAsia="宋体" w:cs="宋体"/>
          <w:color w:val="auto"/>
          <w:szCs w:val="21"/>
          <w:highlight w:val="none"/>
        </w:rPr>
      </w:pPr>
    </w:p>
    <w:p w14:paraId="719947EE">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w:t>
      </w:r>
    </w:p>
    <w:p w14:paraId="3884C193">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附件三：问题的澄清</w:t>
      </w:r>
    </w:p>
    <w:p w14:paraId="7A4C1C2D">
      <w:pPr>
        <w:spacing w:before="312" w:beforeLines="100" w:after="312" w:afterLines="100"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问题的澄清、说明或补正</w:t>
      </w:r>
    </w:p>
    <w:p w14:paraId="57E613F5">
      <w:pPr>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编号：</w:t>
      </w:r>
    </w:p>
    <w:p w14:paraId="3EFBF8E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（项目名称）招标评标委员会：</w:t>
      </w:r>
    </w:p>
    <w:p w14:paraId="303BC0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问题澄清通知（编号：）已收悉，现澄清、说明或者补正如下：</w:t>
      </w:r>
    </w:p>
    <w:p w14:paraId="08E7E1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p>
    <w:p w14:paraId="7F86A8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p>
    <w:p w14:paraId="575AB2DE">
      <w:pPr>
        <w:spacing w:line="360" w:lineRule="auto"/>
        <w:ind w:firstLine="420" w:firstLineChars="200"/>
        <w:rPr>
          <w:rFonts w:hint="eastAsia" w:ascii="宋体" w:hAnsi="宋体" w:eastAsia="宋体" w:cs="宋体"/>
          <w:color w:val="auto"/>
          <w:highlight w:val="none"/>
        </w:rPr>
      </w:pPr>
    </w:p>
    <w:p w14:paraId="023FEB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3A47127A">
      <w:pPr>
        <w:spacing w:line="360" w:lineRule="auto"/>
        <w:ind w:firstLine="420" w:firstLineChars="200"/>
        <w:rPr>
          <w:rFonts w:hint="eastAsia" w:ascii="宋体" w:hAnsi="宋体" w:eastAsia="宋体" w:cs="宋体"/>
          <w:color w:val="auto"/>
          <w:highlight w:val="none"/>
        </w:rPr>
      </w:pPr>
    </w:p>
    <w:p w14:paraId="67897F80">
      <w:pPr>
        <w:spacing w:line="360" w:lineRule="auto"/>
        <w:ind w:firstLine="420" w:firstLineChars="200"/>
        <w:rPr>
          <w:rFonts w:hint="eastAsia" w:ascii="宋体" w:hAnsi="宋体" w:eastAsia="宋体" w:cs="宋体"/>
          <w:color w:val="auto"/>
          <w:highlight w:val="none"/>
        </w:rPr>
      </w:pPr>
    </w:p>
    <w:p w14:paraId="1FBA30E9">
      <w:pPr>
        <w:spacing w:line="360" w:lineRule="auto"/>
        <w:ind w:firstLine="420" w:firstLineChars="200"/>
        <w:rPr>
          <w:rFonts w:hint="eastAsia" w:ascii="宋体" w:hAnsi="宋体" w:eastAsia="宋体" w:cs="宋体"/>
          <w:color w:val="auto"/>
          <w:highlight w:val="none"/>
        </w:rPr>
      </w:pPr>
    </w:p>
    <w:p w14:paraId="0BB04A0B">
      <w:pPr>
        <w:spacing w:line="360" w:lineRule="auto"/>
        <w:ind w:firstLine="420" w:firstLineChars="200"/>
        <w:rPr>
          <w:rFonts w:hint="eastAsia" w:ascii="宋体" w:hAnsi="宋体" w:eastAsia="宋体" w:cs="宋体"/>
          <w:color w:val="auto"/>
          <w:highlight w:val="none"/>
        </w:rPr>
      </w:pPr>
    </w:p>
    <w:p w14:paraId="41C41244">
      <w:pPr>
        <w:wordWrap w:val="0"/>
        <w:spacing w:line="360" w:lineRule="auto"/>
        <w:ind w:firstLine="420" w:firstLineChars="20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rPr>
        <w:t>投标人：（盖单位章）</w:t>
      </w:r>
    </w:p>
    <w:p w14:paraId="257663FF">
      <w:pPr>
        <w:wordWrap w:val="0"/>
        <w:spacing w:before="156" w:beforeLines="50" w:after="156" w:afterLines="50" w:line="360" w:lineRule="auto"/>
        <w:ind w:right="21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p>
    <w:p w14:paraId="0B671DCF">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年月日</w:t>
      </w:r>
    </w:p>
    <w:p w14:paraId="63D2C4A9">
      <w:pPr>
        <w:spacing w:line="360" w:lineRule="auto"/>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：中标结果通知书</w:t>
      </w:r>
    </w:p>
    <w:p w14:paraId="367FBCCB">
      <w:pPr>
        <w:spacing w:before="312" w:beforeLines="100" w:after="312" w:afterLines="10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中标结果通知书</w:t>
      </w:r>
    </w:p>
    <w:p w14:paraId="2C7D0D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（未中标人名称）：</w:t>
      </w:r>
    </w:p>
    <w:p w14:paraId="22B33794">
      <w:pPr>
        <w:spacing w:line="360" w:lineRule="auto"/>
        <w:rPr>
          <w:rFonts w:hint="eastAsia" w:ascii="宋体" w:hAnsi="宋体" w:eastAsia="宋体" w:cs="宋体"/>
          <w:color w:val="auto"/>
          <w:highlight w:val="none"/>
        </w:rPr>
      </w:pPr>
    </w:p>
    <w:p w14:paraId="643CC2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我方已接受（中标人名称）于（投标日期）所递交的（项目名称）投标文件，确定（中标人名称）为中标人。</w:t>
      </w:r>
    </w:p>
    <w:p w14:paraId="4AB90300">
      <w:pPr>
        <w:spacing w:line="360" w:lineRule="auto"/>
        <w:ind w:firstLine="420" w:firstLineChars="200"/>
        <w:rPr>
          <w:rFonts w:hint="eastAsia" w:ascii="宋体" w:hAnsi="宋体" w:eastAsia="宋体" w:cs="宋体"/>
          <w:color w:val="auto"/>
          <w:highlight w:val="none"/>
        </w:rPr>
      </w:pPr>
    </w:p>
    <w:p w14:paraId="68D00E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感谢你单位对我方工作的大力支持!</w:t>
      </w:r>
    </w:p>
    <w:p w14:paraId="7E392C9A">
      <w:pPr>
        <w:spacing w:line="360" w:lineRule="auto"/>
        <w:ind w:firstLine="420" w:firstLineChars="200"/>
        <w:rPr>
          <w:rFonts w:hint="eastAsia" w:ascii="宋体" w:hAnsi="宋体" w:eastAsia="宋体" w:cs="宋体"/>
          <w:color w:val="auto"/>
          <w:highlight w:val="none"/>
        </w:rPr>
      </w:pPr>
    </w:p>
    <w:p w14:paraId="727CE319">
      <w:pPr>
        <w:spacing w:line="360" w:lineRule="auto"/>
        <w:ind w:firstLine="420" w:firstLineChars="200"/>
        <w:rPr>
          <w:rFonts w:hint="eastAsia" w:ascii="宋体" w:hAnsi="宋体" w:eastAsia="宋体" w:cs="宋体"/>
          <w:color w:val="auto"/>
          <w:highlight w:val="none"/>
        </w:rPr>
      </w:pPr>
    </w:p>
    <w:p w14:paraId="378FD643">
      <w:pPr>
        <w:spacing w:line="360" w:lineRule="auto"/>
        <w:ind w:firstLine="420" w:firstLineChars="200"/>
        <w:rPr>
          <w:rFonts w:hint="eastAsia" w:ascii="宋体" w:hAnsi="宋体" w:eastAsia="宋体" w:cs="宋体"/>
          <w:color w:val="auto"/>
          <w:highlight w:val="none"/>
        </w:rPr>
      </w:pPr>
    </w:p>
    <w:p w14:paraId="76B0A85D">
      <w:pPr>
        <w:spacing w:line="360" w:lineRule="auto"/>
        <w:ind w:firstLine="420" w:firstLineChars="200"/>
        <w:rPr>
          <w:rFonts w:hint="eastAsia" w:ascii="宋体" w:hAnsi="宋体" w:eastAsia="宋体" w:cs="宋体"/>
          <w:color w:val="auto"/>
          <w:highlight w:val="none"/>
        </w:rPr>
      </w:pPr>
    </w:p>
    <w:p w14:paraId="04F828A9">
      <w:pPr>
        <w:wordWrap w:val="0"/>
        <w:spacing w:line="360" w:lineRule="auto"/>
        <w:ind w:firstLine="420" w:firstLineChars="20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采购人：（盖单位章）</w:t>
      </w:r>
    </w:p>
    <w:p w14:paraId="742E0EB4">
      <w:pPr>
        <w:wordWrap w:val="0"/>
        <w:spacing w:line="360" w:lineRule="auto"/>
        <w:ind w:firstLine="420" w:firstLineChars="20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法定代表人：（签字）</w:t>
      </w:r>
    </w:p>
    <w:p w14:paraId="253154C2">
      <w:pPr>
        <w:spacing w:line="360" w:lineRule="auto"/>
        <w:ind w:firstLine="4620" w:firstLineChars="2200"/>
        <w:jc w:val="right"/>
        <w:rPr>
          <w:rFonts w:hint="eastAsia" w:ascii="宋体" w:hAnsi="宋体" w:eastAsia="宋体" w:cs="宋体"/>
          <w:color w:val="auto"/>
          <w:szCs w:val="21"/>
          <w:highlight w:val="none"/>
        </w:rPr>
      </w:pPr>
      <w:r>
        <w:rPr>
          <w:rFonts w:hint="eastAsia" w:ascii="宋体" w:hAnsi="宋体" w:eastAsia="宋体" w:cs="宋体"/>
          <w:color w:val="auto"/>
          <w:highlight w:val="none"/>
        </w:rPr>
        <w:t>年月日</w:t>
      </w:r>
    </w:p>
    <w:p w14:paraId="43F68325">
      <w:pPr>
        <w:spacing w:line="360" w:lineRule="auto"/>
        <w:rPr>
          <w:rFonts w:hint="eastAsia" w:ascii="宋体" w:hAnsi="宋体" w:eastAsia="宋体" w:cs="宋体"/>
          <w:color w:val="auto"/>
          <w:highlight w:val="none"/>
        </w:rPr>
      </w:pPr>
    </w:p>
    <w:p w14:paraId="634E833B">
      <w:pPr>
        <w:spacing w:line="360" w:lineRule="auto"/>
        <w:rPr>
          <w:rFonts w:hint="eastAsia" w:ascii="宋体" w:hAnsi="宋体" w:eastAsia="宋体" w:cs="宋体"/>
          <w:color w:val="auto"/>
          <w:highlight w:val="none"/>
        </w:rPr>
      </w:pPr>
    </w:p>
    <w:p w14:paraId="31475CEB">
      <w:pPr>
        <w:spacing w:line="360" w:lineRule="auto"/>
        <w:rPr>
          <w:rFonts w:hint="eastAsia" w:ascii="宋体" w:hAnsi="宋体" w:eastAsia="宋体" w:cs="宋体"/>
          <w:b/>
          <w:color w:val="auto"/>
          <w:sz w:val="24"/>
          <w:highlight w:val="none"/>
        </w:rPr>
      </w:pPr>
      <w:bookmarkStart w:id="367" w:name="_Toc152042363"/>
      <w:bookmarkStart w:id="368" w:name="_Toc179632604"/>
      <w:bookmarkStart w:id="369" w:name="_Toc152045586"/>
      <w:bookmarkStart w:id="370" w:name="_Toc246996229"/>
      <w:bookmarkStart w:id="371" w:name="_Toc247085744"/>
      <w:bookmarkStart w:id="372" w:name="_Toc144974553"/>
      <w:bookmarkStart w:id="373" w:name="_Toc246996972"/>
    </w:p>
    <w:p w14:paraId="2570109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：确认通知</w:t>
      </w:r>
      <w:bookmarkEnd w:id="367"/>
      <w:bookmarkEnd w:id="368"/>
      <w:bookmarkEnd w:id="369"/>
      <w:bookmarkEnd w:id="370"/>
      <w:bookmarkEnd w:id="371"/>
      <w:bookmarkEnd w:id="372"/>
      <w:bookmarkEnd w:id="373"/>
    </w:p>
    <w:p w14:paraId="6474BEF8">
      <w:pPr>
        <w:spacing w:line="360" w:lineRule="auto"/>
        <w:rPr>
          <w:rFonts w:hint="eastAsia" w:ascii="宋体" w:hAnsi="宋体" w:eastAsia="宋体" w:cs="宋体"/>
          <w:color w:val="auto"/>
          <w:highlight w:val="none"/>
        </w:rPr>
      </w:pPr>
    </w:p>
    <w:p w14:paraId="2CEEE59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确认通知</w:t>
      </w:r>
    </w:p>
    <w:p w14:paraId="1480E374">
      <w:pPr>
        <w:spacing w:line="360" w:lineRule="auto"/>
        <w:rPr>
          <w:rFonts w:hint="eastAsia" w:ascii="宋体" w:hAnsi="宋体" w:eastAsia="宋体" w:cs="宋体"/>
          <w:color w:val="auto"/>
          <w:highlight w:val="none"/>
        </w:rPr>
      </w:pPr>
    </w:p>
    <w:p w14:paraId="203C47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p w14:paraId="5E57B04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777F44AB">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你方于年月日发出的（项目名称）关于</w:t>
      </w:r>
    </w:p>
    <w:p w14:paraId="49BEDB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的通知，我方已于年月日收到。</w:t>
      </w:r>
    </w:p>
    <w:p w14:paraId="657C8CC3">
      <w:pPr>
        <w:spacing w:line="360" w:lineRule="auto"/>
        <w:rPr>
          <w:rFonts w:hint="eastAsia" w:ascii="宋体" w:hAnsi="宋体" w:eastAsia="宋体" w:cs="宋体"/>
          <w:color w:val="auto"/>
          <w:szCs w:val="21"/>
          <w:highlight w:val="none"/>
        </w:rPr>
      </w:pPr>
    </w:p>
    <w:p w14:paraId="6FB93A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特此确认。</w:t>
      </w:r>
    </w:p>
    <w:p w14:paraId="18575DB8">
      <w:pPr>
        <w:spacing w:line="360" w:lineRule="auto"/>
        <w:rPr>
          <w:rFonts w:hint="eastAsia" w:ascii="宋体" w:hAnsi="宋体" w:eastAsia="宋体" w:cs="宋体"/>
          <w:color w:val="auto"/>
          <w:szCs w:val="21"/>
          <w:highlight w:val="none"/>
        </w:rPr>
      </w:pPr>
    </w:p>
    <w:p w14:paraId="70A72E04">
      <w:pPr>
        <w:spacing w:line="360" w:lineRule="auto"/>
        <w:rPr>
          <w:rFonts w:hint="eastAsia" w:ascii="宋体" w:hAnsi="宋体" w:eastAsia="宋体" w:cs="宋体"/>
          <w:color w:val="auto"/>
          <w:szCs w:val="21"/>
          <w:highlight w:val="none"/>
        </w:rPr>
      </w:pPr>
    </w:p>
    <w:p w14:paraId="66930288">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投标人：（盖单位章）</w:t>
      </w:r>
    </w:p>
    <w:p w14:paraId="49EBC725">
      <w:pPr>
        <w:pStyle w:val="7"/>
        <w:spacing w:line="360" w:lineRule="auto"/>
        <w:ind w:left="1688"/>
        <w:rPr>
          <w:rFonts w:hint="eastAsia" w:ascii="宋体" w:hAnsi="宋体" w:eastAsia="宋体" w:cs="宋体"/>
          <w:color w:val="auto"/>
          <w:highlight w:val="none"/>
        </w:rPr>
      </w:pPr>
    </w:p>
    <w:p w14:paraId="7572C636">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szCs w:val="21"/>
          <w:highlight w:val="none"/>
        </w:rPr>
        <w:t>：（签字）</w:t>
      </w:r>
    </w:p>
    <w:p w14:paraId="35E37450">
      <w:pPr>
        <w:spacing w:line="360" w:lineRule="auto"/>
        <w:rPr>
          <w:rFonts w:hint="eastAsia" w:ascii="宋体" w:hAnsi="宋体" w:eastAsia="宋体" w:cs="宋体"/>
          <w:color w:val="auto"/>
          <w:szCs w:val="21"/>
          <w:highlight w:val="none"/>
        </w:rPr>
      </w:pPr>
    </w:p>
    <w:p w14:paraId="0CEA5116">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w:t>
      </w:r>
    </w:p>
    <w:p w14:paraId="182FCE26">
      <w:pPr>
        <w:spacing w:line="360" w:lineRule="auto"/>
        <w:rPr>
          <w:rFonts w:hint="eastAsia" w:ascii="宋体" w:hAnsi="宋体" w:eastAsia="宋体" w:cs="宋体"/>
          <w:color w:val="auto"/>
          <w:highlight w:val="none"/>
        </w:rPr>
      </w:pPr>
    </w:p>
    <w:p w14:paraId="1A145ADC">
      <w:pPr>
        <w:rPr>
          <w:rFonts w:hint="eastAsia" w:ascii="宋体" w:hAnsi="宋体" w:eastAsia="宋体" w:cs="宋体"/>
          <w:b/>
          <w:bCs/>
          <w:color w:val="auto"/>
          <w:sz w:val="24"/>
          <w:szCs w:val="30"/>
          <w:highlight w:val="none"/>
        </w:rPr>
      </w:pPr>
      <w:r>
        <w:rPr>
          <w:rFonts w:hint="eastAsia" w:ascii="宋体" w:hAnsi="宋体" w:eastAsia="宋体" w:cs="宋体"/>
          <w:b/>
          <w:bCs/>
          <w:color w:val="auto"/>
          <w:sz w:val="24"/>
          <w:szCs w:val="30"/>
          <w:highlight w:val="none"/>
        </w:rPr>
        <w:br w:type="page"/>
      </w:r>
      <w:r>
        <w:rPr>
          <w:rFonts w:hint="eastAsia" w:ascii="宋体" w:hAnsi="宋体" w:eastAsia="宋体" w:cs="宋体"/>
          <w:b/>
          <w:bCs/>
          <w:color w:val="auto"/>
          <w:sz w:val="24"/>
          <w:szCs w:val="30"/>
          <w:highlight w:val="none"/>
        </w:rPr>
        <w:t>附件</w:t>
      </w:r>
      <w:r>
        <w:rPr>
          <w:rFonts w:hint="eastAsia" w:ascii="宋体" w:hAnsi="宋体" w:eastAsia="宋体" w:cs="宋体"/>
          <w:b/>
          <w:bCs/>
          <w:color w:val="auto"/>
          <w:sz w:val="24"/>
          <w:szCs w:val="30"/>
          <w:highlight w:val="none"/>
          <w:lang w:val="en-US" w:eastAsia="zh-CN"/>
        </w:rPr>
        <w:t>六</w:t>
      </w:r>
      <w:r>
        <w:rPr>
          <w:rFonts w:hint="eastAsia" w:ascii="宋体" w:hAnsi="宋体" w:eastAsia="宋体" w:cs="宋体"/>
          <w:b/>
          <w:bCs/>
          <w:color w:val="auto"/>
          <w:sz w:val="24"/>
          <w:szCs w:val="30"/>
          <w:highlight w:val="none"/>
        </w:rPr>
        <w:t>：电子投标文件编制及报送要求</w:t>
      </w:r>
    </w:p>
    <w:p w14:paraId="71BF1546">
      <w:pPr>
        <w:spacing w:line="360" w:lineRule="auto"/>
        <w:jc w:val="center"/>
        <w:rPr>
          <w:rFonts w:hint="eastAsia" w:ascii="宋体" w:hAnsi="宋体" w:eastAsia="宋体" w:cs="宋体"/>
          <w:b/>
          <w:color w:val="auto"/>
          <w:sz w:val="24"/>
          <w:szCs w:val="30"/>
          <w:highlight w:val="none"/>
        </w:rPr>
      </w:pPr>
      <w:r>
        <w:rPr>
          <w:rFonts w:hint="eastAsia" w:ascii="宋体" w:hAnsi="宋体" w:eastAsia="宋体" w:cs="宋体"/>
          <w:b/>
          <w:color w:val="auto"/>
          <w:sz w:val="24"/>
          <w:szCs w:val="30"/>
          <w:highlight w:val="none"/>
        </w:rPr>
        <w:t>电子投标文件编制要求</w:t>
      </w:r>
    </w:p>
    <w:p w14:paraId="4320C07B">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sz w:val="24"/>
          <w:szCs w:val="28"/>
        </w:rPr>
      </w:pPr>
      <w:r>
        <w:rPr>
          <w:rFonts w:hint="eastAsia"/>
          <w:sz w:val="24"/>
          <w:szCs w:val="28"/>
        </w:rPr>
        <w:t>一、投标人应按</w:t>
      </w:r>
      <w:r>
        <w:rPr>
          <w:rFonts w:hint="eastAsia"/>
          <w:sz w:val="24"/>
          <w:szCs w:val="28"/>
          <w:lang w:eastAsia="zh-CN"/>
        </w:rPr>
        <w:t>采购文件</w:t>
      </w:r>
      <w:r>
        <w:rPr>
          <w:rFonts w:hint="eastAsia"/>
          <w:sz w:val="24"/>
          <w:szCs w:val="28"/>
        </w:rPr>
        <w:t>要求编制投标文件，将所有投标文件内容上传至“政采云”平台，并使用制作投标文件时用来加密的有效数字证书（CA认证）对投标文件进行解密。</w:t>
      </w:r>
    </w:p>
    <w:p w14:paraId="494BF0CB">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sz w:val="24"/>
          <w:szCs w:val="28"/>
        </w:rPr>
      </w:pPr>
      <w:r>
        <w:rPr>
          <w:rFonts w:hint="eastAsia"/>
          <w:sz w:val="24"/>
          <w:szCs w:val="28"/>
        </w:rPr>
        <w:t>二、电子投标文件中</w:t>
      </w:r>
      <w:r>
        <w:rPr>
          <w:rFonts w:hint="eastAsia"/>
          <w:sz w:val="24"/>
          <w:szCs w:val="28"/>
          <w:lang w:eastAsia="zh-CN"/>
        </w:rPr>
        <w:t>反映</w:t>
      </w:r>
      <w:r>
        <w:rPr>
          <w:rFonts w:hint="eastAsia"/>
          <w:sz w:val="24"/>
          <w:szCs w:val="28"/>
        </w:rPr>
        <w:t>投标人资格审查的图片、扫描件、文字描述等，必须清晰可见。其中所有证书和执照必须为原件扫描。</w:t>
      </w:r>
    </w:p>
    <w:p w14:paraId="3824161A">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sz w:val="24"/>
          <w:szCs w:val="28"/>
        </w:rPr>
      </w:pPr>
      <w:r>
        <w:rPr>
          <w:rFonts w:hint="eastAsia"/>
          <w:sz w:val="24"/>
          <w:szCs w:val="28"/>
        </w:rPr>
        <w:t>三、投标人应在</w:t>
      </w:r>
      <w:r>
        <w:rPr>
          <w:rFonts w:hint="eastAsia"/>
          <w:sz w:val="24"/>
          <w:szCs w:val="28"/>
          <w:lang w:eastAsia="zh-CN"/>
        </w:rPr>
        <w:t>采购文件</w:t>
      </w:r>
      <w:r>
        <w:rPr>
          <w:rFonts w:hint="eastAsia"/>
          <w:sz w:val="24"/>
          <w:szCs w:val="28"/>
        </w:rPr>
        <w:t>要求提交投标文件的截止时间前，完成电子投标文件上传。</w:t>
      </w:r>
    </w:p>
    <w:p w14:paraId="1040C7F2">
      <w:pPr>
        <w:keepNext w:val="0"/>
        <w:keepLines w:val="0"/>
        <w:pageBreakBefore w:val="0"/>
        <w:widowControl w:val="0"/>
        <w:kinsoku/>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p>
    <w:p w14:paraId="7FE41E7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footerReference r:id="rId9" w:type="default"/>
          <w:pgSz w:w="11906" w:h="16838"/>
          <w:pgMar w:top="1134" w:right="1134" w:bottom="1134" w:left="1134" w:header="1134" w:footer="737" w:gutter="0"/>
          <w:pgNumType w:fmt="decimal" w:start="1"/>
          <w:cols w:space="720" w:num="1"/>
          <w:docGrid w:type="lines" w:linePitch="490" w:charSpace="0"/>
        </w:sectPr>
      </w:pPr>
    </w:p>
    <w:p w14:paraId="34329697">
      <w:pPr>
        <w:keepNext/>
        <w:keepLines/>
        <w:pageBreakBefore w:val="0"/>
        <w:kinsoku/>
        <w:wordWrap w:val="0"/>
        <w:overflowPunct/>
        <w:bidi w:val="0"/>
        <w:spacing w:line="300" w:lineRule="auto"/>
        <w:jc w:val="center"/>
        <w:outlineLvl w:val="0"/>
        <w:rPr>
          <w:rFonts w:hint="eastAsia"/>
          <w:b/>
          <w:bCs/>
          <w:kern w:val="44"/>
          <w:sz w:val="44"/>
          <w:szCs w:val="44"/>
          <w:highlight w:val="none"/>
        </w:rPr>
      </w:pPr>
      <w:r>
        <w:rPr>
          <w:rFonts w:hint="eastAsia"/>
          <w:b/>
          <w:bCs/>
          <w:kern w:val="44"/>
          <w:sz w:val="44"/>
          <w:szCs w:val="44"/>
          <w:highlight w:val="none"/>
        </w:rPr>
        <w:t>第三章 评标办法（综合评分法）</w:t>
      </w:r>
      <w:bookmarkEnd w:id="341"/>
      <w:bookmarkEnd w:id="342"/>
      <w:bookmarkEnd w:id="343"/>
      <w:bookmarkEnd w:id="344"/>
      <w:bookmarkEnd w:id="345"/>
      <w:bookmarkEnd w:id="346"/>
      <w:bookmarkEnd w:id="347"/>
      <w:bookmarkEnd w:id="348"/>
      <w:bookmarkEnd w:id="349"/>
      <w:bookmarkEnd w:id="350"/>
      <w:bookmarkEnd w:id="351"/>
    </w:p>
    <w:p w14:paraId="24CCD62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bookmarkStart w:id="374" w:name="_Toc333991578"/>
      <w:r>
        <w:rPr>
          <w:rFonts w:hint="eastAsia" w:ascii="宋体" w:hAnsi="宋体" w:eastAsia="宋体" w:cs="宋体"/>
          <w:sz w:val="24"/>
          <w:szCs w:val="24"/>
        </w:rPr>
        <w:t>1、</w:t>
      </w:r>
      <w:r>
        <w:rPr>
          <w:rFonts w:hint="eastAsia" w:ascii="宋体" w:hAnsi="宋体" w:eastAsia="宋体" w:cs="宋体"/>
          <w:sz w:val="24"/>
          <w:szCs w:val="24"/>
          <w:lang w:val="en-US" w:eastAsia="zh-CN"/>
        </w:rPr>
        <w:t>开标</w:t>
      </w:r>
    </w:p>
    <w:p w14:paraId="619D3A05">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采购人在</w:t>
      </w:r>
      <w:r>
        <w:rPr>
          <w:rFonts w:hint="eastAsia" w:ascii="宋体" w:hAnsi="宋体" w:eastAsia="宋体" w:cs="宋体"/>
          <w:sz w:val="24"/>
          <w:szCs w:val="24"/>
          <w:lang w:eastAsia="zh-CN"/>
        </w:rPr>
        <w:t>招标文件</w:t>
      </w:r>
      <w:r>
        <w:rPr>
          <w:rFonts w:hint="eastAsia" w:ascii="宋体" w:hAnsi="宋体" w:eastAsia="宋体" w:cs="宋体"/>
          <w:sz w:val="24"/>
          <w:szCs w:val="24"/>
        </w:rPr>
        <w:t>规定的时间和地点组织</w:t>
      </w:r>
      <w:r>
        <w:rPr>
          <w:rFonts w:hint="eastAsia" w:ascii="宋体" w:hAnsi="宋体" w:eastAsia="宋体" w:cs="宋体"/>
          <w:sz w:val="24"/>
          <w:szCs w:val="24"/>
          <w:lang w:val="en-US" w:eastAsia="zh-CN"/>
        </w:rPr>
        <w:t>开标</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单位须</w:t>
      </w:r>
      <w:r>
        <w:rPr>
          <w:rFonts w:hint="eastAsia" w:ascii="宋体" w:hAnsi="宋体" w:eastAsia="宋体" w:cs="宋体"/>
          <w:sz w:val="24"/>
          <w:szCs w:val="24"/>
          <w:lang w:val="en-US" w:eastAsia="zh-CN"/>
        </w:rPr>
        <w:t>按时</w:t>
      </w:r>
      <w:r>
        <w:rPr>
          <w:rFonts w:hint="eastAsia" w:ascii="宋体" w:hAnsi="宋体" w:eastAsia="宋体" w:cs="宋体"/>
          <w:sz w:val="24"/>
          <w:szCs w:val="24"/>
        </w:rPr>
        <w:t>参加。</w:t>
      </w:r>
    </w:p>
    <w:p w14:paraId="7700067E">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评标委员会</w:t>
      </w:r>
    </w:p>
    <w:p w14:paraId="66EEE88F">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由</w:t>
      </w:r>
      <w:r>
        <w:rPr>
          <w:rFonts w:hint="eastAsia" w:ascii="宋体" w:hAnsi="宋体" w:eastAsia="宋体" w:cs="宋体"/>
          <w:sz w:val="24"/>
          <w:szCs w:val="24"/>
          <w:lang w:val="en-US" w:eastAsia="zh-CN"/>
        </w:rPr>
        <w:t>5</w:t>
      </w:r>
      <w:r>
        <w:rPr>
          <w:rFonts w:hint="eastAsia" w:ascii="宋体" w:hAnsi="宋体" w:eastAsia="宋体" w:cs="宋体"/>
          <w:sz w:val="24"/>
          <w:szCs w:val="24"/>
        </w:rPr>
        <w:t>人组成，其中专家的人数不少于成员总数的三分之二，</w:t>
      </w:r>
      <w:r>
        <w:rPr>
          <w:rFonts w:hint="eastAsia" w:ascii="宋体" w:hAnsi="宋体" w:eastAsia="宋体" w:cs="宋体"/>
          <w:sz w:val="24"/>
          <w:szCs w:val="24"/>
          <w:lang w:eastAsia="zh-CN"/>
        </w:rPr>
        <w:t>评标委员会</w:t>
      </w:r>
      <w:r>
        <w:rPr>
          <w:rFonts w:hint="eastAsia" w:ascii="宋体" w:hAnsi="宋体" w:eastAsia="宋体" w:cs="宋体"/>
          <w:sz w:val="24"/>
          <w:szCs w:val="24"/>
        </w:rPr>
        <w:t>对</w:t>
      </w:r>
      <w:r>
        <w:rPr>
          <w:rFonts w:hint="eastAsia" w:ascii="宋体" w:hAnsi="宋体" w:eastAsia="宋体" w:cs="宋体"/>
          <w:sz w:val="24"/>
          <w:szCs w:val="24"/>
          <w:lang w:eastAsia="zh-CN"/>
        </w:rPr>
        <w:t>投标文件</w:t>
      </w:r>
      <w:r>
        <w:rPr>
          <w:rFonts w:hint="eastAsia" w:ascii="宋体" w:hAnsi="宋体" w:eastAsia="宋体" w:cs="宋体"/>
          <w:sz w:val="24"/>
          <w:szCs w:val="24"/>
        </w:rPr>
        <w:t>进行审查、质疑、评估和比较。</w:t>
      </w:r>
    </w:p>
    <w:p w14:paraId="57FBDEDE">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投标单位</w:t>
      </w:r>
    </w:p>
    <w:p w14:paraId="37E4B2C7">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期间，</w:t>
      </w:r>
      <w:r>
        <w:rPr>
          <w:rFonts w:hint="eastAsia" w:ascii="宋体" w:hAnsi="宋体" w:eastAsia="宋体" w:cs="宋体"/>
          <w:sz w:val="24"/>
          <w:szCs w:val="24"/>
          <w:lang w:val="en-US" w:eastAsia="zh-CN"/>
        </w:rPr>
        <w:t>投标单位</w:t>
      </w:r>
      <w:r>
        <w:rPr>
          <w:rFonts w:hint="eastAsia" w:ascii="宋体" w:hAnsi="宋体" w:eastAsia="宋体" w:cs="宋体"/>
          <w:sz w:val="24"/>
          <w:szCs w:val="24"/>
        </w:rPr>
        <w:t>法人代表或法人授权委托人必须保持通讯畅通，负责解答有关事宜，根据有关事宜作出书面回复澄清，其书面回复作为签订合同的依据，具有同等法律效力</w:t>
      </w:r>
    </w:p>
    <w:p w14:paraId="57B2B292">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w:t>
      </w:r>
      <w:r>
        <w:rPr>
          <w:rFonts w:hint="eastAsia" w:ascii="宋体" w:hAnsi="宋体" w:eastAsia="宋体" w:cs="宋体"/>
          <w:sz w:val="24"/>
          <w:szCs w:val="24"/>
          <w:lang w:eastAsia="zh-CN"/>
        </w:rPr>
        <w:t>投标文件</w:t>
      </w:r>
      <w:r>
        <w:rPr>
          <w:rFonts w:hint="eastAsia" w:ascii="宋体" w:hAnsi="宋体" w:eastAsia="宋体" w:cs="宋体"/>
          <w:sz w:val="24"/>
          <w:szCs w:val="24"/>
        </w:rPr>
        <w:t>的审查和响应性的确定</w:t>
      </w:r>
    </w:p>
    <w:p w14:paraId="00326554">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采购人将组织审查</w:t>
      </w:r>
      <w:r>
        <w:rPr>
          <w:rFonts w:hint="eastAsia" w:ascii="宋体" w:hAnsi="宋体" w:eastAsia="宋体" w:cs="宋体"/>
          <w:sz w:val="24"/>
          <w:szCs w:val="24"/>
          <w:lang w:eastAsia="zh-CN"/>
        </w:rPr>
        <w:t>投标文件</w:t>
      </w:r>
      <w:r>
        <w:rPr>
          <w:rFonts w:hint="eastAsia" w:ascii="宋体" w:hAnsi="宋体" w:eastAsia="宋体" w:cs="宋体"/>
          <w:sz w:val="24"/>
          <w:szCs w:val="24"/>
        </w:rPr>
        <w:t>是否完整，是否有计算错误，文件是否恰当地签署。如果确定</w:t>
      </w:r>
      <w:r>
        <w:rPr>
          <w:rFonts w:hint="eastAsia" w:ascii="宋体" w:hAnsi="宋体" w:eastAsia="宋体" w:cs="宋体"/>
          <w:sz w:val="24"/>
          <w:szCs w:val="24"/>
          <w:lang w:val="en-US" w:eastAsia="zh-CN"/>
        </w:rPr>
        <w:t>投标方</w:t>
      </w:r>
      <w:r>
        <w:rPr>
          <w:rFonts w:hint="eastAsia" w:ascii="宋体" w:hAnsi="宋体" w:eastAsia="宋体" w:cs="宋体"/>
          <w:sz w:val="24"/>
          <w:szCs w:val="24"/>
        </w:rPr>
        <w:t>无资格履行合同，将取消其</w:t>
      </w:r>
      <w:r>
        <w:rPr>
          <w:rFonts w:hint="eastAsia" w:ascii="宋体" w:hAnsi="宋体" w:eastAsia="宋体" w:cs="宋体"/>
          <w:sz w:val="24"/>
          <w:szCs w:val="24"/>
          <w:lang w:val="en-US" w:eastAsia="zh-CN"/>
        </w:rPr>
        <w:t>投标</w:t>
      </w:r>
      <w:r>
        <w:rPr>
          <w:rFonts w:hint="eastAsia" w:ascii="宋体" w:hAnsi="宋体" w:eastAsia="宋体" w:cs="宋体"/>
          <w:sz w:val="24"/>
          <w:szCs w:val="24"/>
        </w:rPr>
        <w:t>资格。</w:t>
      </w:r>
    </w:p>
    <w:p w14:paraId="1D57FCFD">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评审</w:t>
      </w:r>
      <w:r>
        <w:rPr>
          <w:rFonts w:hint="eastAsia" w:ascii="宋体" w:hAnsi="宋体" w:eastAsia="宋体" w:cs="宋体"/>
          <w:sz w:val="24"/>
          <w:szCs w:val="24"/>
        </w:rPr>
        <w:t>原则和方法</w:t>
      </w:r>
    </w:p>
    <w:p w14:paraId="683684F8">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将遵循公开、公平、公正的原则，对</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响应方提供的资信情况、履约能力和报价等进行综合分析评审，由</w:t>
      </w:r>
      <w:r>
        <w:rPr>
          <w:rFonts w:hint="eastAsia" w:ascii="宋体" w:hAnsi="宋体" w:eastAsia="宋体" w:cs="宋体"/>
          <w:sz w:val="24"/>
          <w:szCs w:val="24"/>
          <w:lang w:eastAsia="zh-CN"/>
        </w:rPr>
        <w:t>评标委员会</w:t>
      </w:r>
      <w:r>
        <w:rPr>
          <w:rFonts w:hint="eastAsia" w:ascii="宋体" w:hAnsi="宋体" w:eastAsia="宋体" w:cs="宋体"/>
          <w:sz w:val="24"/>
          <w:szCs w:val="24"/>
        </w:rPr>
        <w:t>以综合评估法，确定</w:t>
      </w:r>
      <w:r>
        <w:rPr>
          <w:rFonts w:hint="eastAsia" w:ascii="宋体" w:hAnsi="宋体" w:eastAsia="宋体" w:cs="宋体"/>
          <w:sz w:val="24"/>
          <w:szCs w:val="24"/>
          <w:lang w:eastAsia="zh-CN"/>
        </w:rPr>
        <w:t>中标</w:t>
      </w:r>
      <w:r>
        <w:rPr>
          <w:rFonts w:hint="eastAsia" w:ascii="宋体" w:hAnsi="宋体" w:eastAsia="宋体" w:cs="宋体"/>
          <w:sz w:val="24"/>
          <w:szCs w:val="24"/>
        </w:rPr>
        <w:t>单位。</w:t>
      </w:r>
    </w:p>
    <w:p w14:paraId="158C1AC0">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客观﹑公正的对待所有</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响应方，对所有</w:t>
      </w:r>
      <w:r>
        <w:rPr>
          <w:rFonts w:hint="eastAsia" w:ascii="宋体" w:hAnsi="宋体" w:eastAsia="宋体" w:cs="宋体"/>
          <w:sz w:val="24"/>
          <w:szCs w:val="24"/>
          <w:lang w:val="en-US" w:eastAsia="zh-CN"/>
        </w:rPr>
        <w:t>投标</w:t>
      </w:r>
      <w:r>
        <w:rPr>
          <w:rFonts w:hint="eastAsia" w:ascii="宋体" w:hAnsi="宋体" w:eastAsia="宋体" w:cs="宋体"/>
          <w:sz w:val="24"/>
          <w:szCs w:val="24"/>
        </w:rPr>
        <w:t>评价，均采用相同的程序和标准。在</w:t>
      </w:r>
      <w:r>
        <w:rPr>
          <w:rFonts w:hint="eastAsia" w:ascii="宋体" w:hAnsi="宋体" w:eastAsia="宋体" w:cs="宋体"/>
          <w:sz w:val="24"/>
          <w:szCs w:val="24"/>
          <w:lang w:val="en-US" w:eastAsia="zh-CN"/>
        </w:rPr>
        <w:t>评审</w:t>
      </w:r>
      <w:r>
        <w:rPr>
          <w:rFonts w:hint="eastAsia" w:ascii="宋体" w:hAnsi="宋体" w:eastAsia="宋体" w:cs="宋体"/>
          <w:sz w:val="24"/>
          <w:szCs w:val="24"/>
        </w:rPr>
        <w:t>期间，</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响应方不得向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成员询问</w:t>
      </w:r>
      <w:r>
        <w:rPr>
          <w:rFonts w:hint="eastAsia" w:ascii="宋体" w:hAnsi="宋体" w:eastAsia="宋体" w:cs="宋体"/>
          <w:sz w:val="24"/>
          <w:szCs w:val="24"/>
          <w:lang w:val="en-US" w:eastAsia="zh-CN"/>
        </w:rPr>
        <w:t>评审</w:t>
      </w:r>
      <w:r>
        <w:rPr>
          <w:rFonts w:hint="eastAsia" w:ascii="宋体" w:hAnsi="宋体" w:eastAsia="宋体" w:cs="宋体"/>
          <w:sz w:val="24"/>
          <w:szCs w:val="24"/>
        </w:rPr>
        <w:t>情况，不得进行旨在影响</w:t>
      </w:r>
      <w:r>
        <w:rPr>
          <w:rFonts w:hint="eastAsia" w:ascii="宋体" w:hAnsi="宋体" w:eastAsia="宋体" w:cs="宋体"/>
          <w:sz w:val="24"/>
          <w:szCs w:val="24"/>
          <w:lang w:val="en-US" w:eastAsia="zh-CN"/>
        </w:rPr>
        <w:t>评审</w:t>
      </w:r>
      <w:r>
        <w:rPr>
          <w:rFonts w:hint="eastAsia" w:ascii="宋体" w:hAnsi="宋体" w:eastAsia="宋体" w:cs="宋体"/>
          <w:sz w:val="24"/>
          <w:szCs w:val="24"/>
        </w:rPr>
        <w:t>结果的活动。否则将废除其参加</w:t>
      </w:r>
      <w:r>
        <w:rPr>
          <w:rFonts w:hint="eastAsia" w:ascii="宋体" w:hAnsi="宋体" w:eastAsia="宋体" w:cs="宋体"/>
          <w:sz w:val="24"/>
          <w:szCs w:val="24"/>
          <w:lang w:val="en-US" w:eastAsia="zh-CN"/>
        </w:rPr>
        <w:t>投标</w:t>
      </w:r>
      <w:r>
        <w:rPr>
          <w:rFonts w:hint="eastAsia" w:ascii="宋体" w:hAnsi="宋体" w:eastAsia="宋体" w:cs="宋体"/>
          <w:sz w:val="24"/>
          <w:szCs w:val="24"/>
        </w:rPr>
        <w:t>资格。</w:t>
      </w:r>
    </w:p>
    <w:p w14:paraId="01DA101A">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评审</w:t>
      </w:r>
      <w:r>
        <w:rPr>
          <w:rFonts w:hint="eastAsia" w:ascii="宋体" w:hAnsi="宋体" w:eastAsia="宋体" w:cs="宋体"/>
          <w:sz w:val="24"/>
          <w:szCs w:val="24"/>
        </w:rPr>
        <w:t>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成员不得与</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响应方私下交换意见。在</w:t>
      </w:r>
      <w:r>
        <w:rPr>
          <w:rFonts w:hint="eastAsia" w:ascii="宋体" w:hAnsi="宋体" w:eastAsia="宋体" w:cs="宋体"/>
          <w:sz w:val="24"/>
          <w:szCs w:val="24"/>
          <w:lang w:val="en-US" w:eastAsia="zh-CN"/>
        </w:rPr>
        <w:t>评审</w:t>
      </w:r>
      <w:r>
        <w:rPr>
          <w:rFonts w:hint="eastAsia" w:ascii="宋体" w:hAnsi="宋体" w:eastAsia="宋体" w:cs="宋体"/>
          <w:sz w:val="24"/>
          <w:szCs w:val="24"/>
        </w:rPr>
        <w:t>直至授予合同的整个时间内，任何评审人员和工作人员不得对外公布</w:t>
      </w:r>
      <w:r>
        <w:rPr>
          <w:rFonts w:hint="eastAsia" w:ascii="宋体" w:hAnsi="宋体" w:eastAsia="宋体" w:cs="宋体"/>
          <w:sz w:val="24"/>
          <w:szCs w:val="24"/>
          <w:lang w:val="en-US" w:eastAsia="zh-CN"/>
        </w:rPr>
        <w:t>评审</w:t>
      </w:r>
      <w:r>
        <w:rPr>
          <w:rFonts w:hint="eastAsia" w:ascii="宋体" w:hAnsi="宋体" w:eastAsia="宋体" w:cs="宋体"/>
          <w:sz w:val="24"/>
          <w:szCs w:val="24"/>
        </w:rPr>
        <w:t>的一切内容，若确有需要则需经</w:t>
      </w:r>
      <w:r>
        <w:rPr>
          <w:rFonts w:hint="eastAsia" w:ascii="宋体" w:hAnsi="宋体" w:eastAsia="宋体" w:cs="宋体"/>
          <w:sz w:val="24"/>
          <w:szCs w:val="24"/>
          <w:lang w:eastAsia="zh-CN"/>
        </w:rPr>
        <w:t>评标委员会</w:t>
      </w:r>
      <w:r>
        <w:rPr>
          <w:rFonts w:hint="eastAsia" w:ascii="宋体" w:hAnsi="宋体" w:eastAsia="宋体" w:cs="宋体"/>
          <w:sz w:val="24"/>
          <w:szCs w:val="24"/>
        </w:rPr>
        <w:t>组长批准，统一对外。</w:t>
      </w:r>
      <w:r>
        <w:rPr>
          <w:rFonts w:hint="eastAsia" w:ascii="宋体" w:hAnsi="宋体" w:eastAsia="宋体" w:cs="宋体"/>
          <w:sz w:val="24"/>
          <w:szCs w:val="24"/>
          <w:lang w:eastAsia="zh-CN"/>
        </w:rPr>
        <w:t>评标委员会</w:t>
      </w:r>
      <w:r>
        <w:rPr>
          <w:rFonts w:hint="eastAsia" w:ascii="宋体" w:hAnsi="宋体" w:eastAsia="宋体" w:cs="宋体"/>
          <w:sz w:val="24"/>
          <w:szCs w:val="24"/>
        </w:rPr>
        <w:t>不向落标方解释落标原因，不退还</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14:paraId="1E2CB707">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6、价格评审标准</w:t>
      </w:r>
    </w:p>
    <w:p w14:paraId="20BBB1C8">
      <w:pPr>
        <w:tabs>
          <w:tab w:val="left" w:pos="540"/>
        </w:tabs>
        <w:kinsoku/>
        <w:wordWrap w:val="0"/>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val="en-US" w:eastAsia="zh-CN"/>
        </w:rPr>
        <w:t>对满足政策要求的</w:t>
      </w:r>
      <w:r>
        <w:rPr>
          <w:rFonts w:hint="eastAsia" w:ascii="宋体" w:hAnsi="宋体" w:eastAsia="宋体" w:cs="宋体"/>
          <w:sz w:val="24"/>
          <w:szCs w:val="24"/>
        </w:rPr>
        <w:t>，报价给予10%的价格扣除，即：评标价格＝核实后的投标总价×(</w:t>
      </w:r>
      <w:r>
        <w:rPr>
          <w:rFonts w:hint="eastAsia" w:ascii="宋体" w:hAnsi="宋体" w:eastAsia="宋体" w:cs="宋体"/>
          <w:sz w:val="24"/>
          <w:szCs w:val="24"/>
          <w:lang w:val="en-US" w:eastAsia="zh-CN"/>
        </w:rPr>
        <w:t>100%-</w:t>
      </w:r>
      <w:r>
        <w:rPr>
          <w:rFonts w:hint="eastAsia" w:ascii="宋体" w:hAnsi="宋体" w:eastAsia="宋体" w:cs="宋体"/>
          <w:sz w:val="24"/>
          <w:szCs w:val="24"/>
        </w:rPr>
        <w:t>10%)；</w:t>
      </w:r>
    </w:p>
    <w:p w14:paraId="2140E79A">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6.2本条款所称小型或微型企业应当符合以下条件：符合小型或微型企业划分标准，提供本企业制造的货物或者提供其他小型或微型企业制造的货物(</w:t>
      </w:r>
      <w:r>
        <w:rPr>
          <w:rFonts w:hint="eastAsia" w:ascii="宋体" w:hAnsi="宋体" w:eastAsia="宋体" w:cs="宋体"/>
          <w:sz w:val="24"/>
          <w:szCs w:val="24"/>
          <w:lang w:val="en-US" w:eastAsia="zh-CN"/>
        </w:rPr>
        <w:t>投标文件内附中小企业声明函；监狱企业投标的附由省级以上监狱管理局、戒毒管理局(含新疆生产建设兵团)出具的属于监狱企业的证明文件；残疾人福利性单位在参加政府采购活动时，应当附《残疾人福利性单位声明函》。</w:t>
      </w:r>
      <w:r>
        <w:rPr>
          <w:rFonts w:hint="eastAsia" w:ascii="宋体" w:hAnsi="宋体" w:eastAsia="宋体" w:cs="宋体"/>
          <w:sz w:val="24"/>
          <w:szCs w:val="24"/>
        </w:rPr>
        <w:t>；</w:t>
      </w:r>
    </w:p>
    <w:p w14:paraId="4BB31C66">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中标</w:t>
      </w:r>
      <w:r>
        <w:rPr>
          <w:rFonts w:hint="eastAsia" w:ascii="宋体" w:hAnsi="宋体" w:eastAsia="宋体" w:cs="宋体"/>
          <w:sz w:val="24"/>
          <w:szCs w:val="24"/>
        </w:rPr>
        <w:t>通知</w:t>
      </w:r>
    </w:p>
    <w:p w14:paraId="2CBB97D1">
      <w:pPr>
        <w:keepNext w:val="0"/>
        <w:keepLines w:val="0"/>
        <w:pageBreakBefore w:val="0"/>
        <w:widowControl w:val="0"/>
        <w:tabs>
          <w:tab w:val="left" w:pos="540"/>
        </w:tabs>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评审</w:t>
      </w:r>
      <w:r>
        <w:rPr>
          <w:rFonts w:hint="eastAsia" w:ascii="宋体" w:hAnsi="宋体" w:eastAsia="宋体" w:cs="宋体"/>
          <w:sz w:val="24"/>
          <w:szCs w:val="24"/>
        </w:rPr>
        <w:t>结束后，本项目公告期为一个工作日。公告期限届满之日起7个工作日内,参与采购活动的</w:t>
      </w:r>
      <w:r>
        <w:rPr>
          <w:rFonts w:hint="eastAsia" w:ascii="宋体" w:hAnsi="宋体" w:eastAsia="宋体" w:cs="宋体"/>
          <w:sz w:val="24"/>
          <w:szCs w:val="24"/>
          <w:lang w:eastAsia="zh-CN"/>
        </w:rPr>
        <w:t>投标人</w:t>
      </w:r>
      <w:r>
        <w:rPr>
          <w:rFonts w:hint="eastAsia" w:ascii="宋体" w:hAnsi="宋体" w:eastAsia="宋体" w:cs="宋体"/>
          <w:sz w:val="24"/>
          <w:szCs w:val="24"/>
        </w:rPr>
        <w:t>认为采购过程和</w:t>
      </w:r>
      <w:r>
        <w:rPr>
          <w:rFonts w:hint="eastAsia" w:ascii="宋体" w:hAnsi="宋体" w:eastAsia="宋体" w:cs="宋体"/>
          <w:sz w:val="24"/>
          <w:szCs w:val="24"/>
          <w:lang w:eastAsia="zh-CN"/>
        </w:rPr>
        <w:t>中标</w:t>
      </w:r>
      <w:r>
        <w:rPr>
          <w:rFonts w:hint="eastAsia" w:ascii="宋体" w:hAnsi="宋体" w:eastAsia="宋体" w:cs="宋体"/>
          <w:sz w:val="24"/>
          <w:szCs w:val="24"/>
        </w:rPr>
        <w:t>结果使自己权益受到损害的,可以以书面形式向采购人或采购代理机构提出质疑。</w:t>
      </w:r>
    </w:p>
    <w:p w14:paraId="6F1ED71A">
      <w:pPr>
        <w:keepNext w:val="0"/>
        <w:keepLines w:val="0"/>
        <w:pageBreakBefore w:val="0"/>
        <w:widowControl w:val="0"/>
        <w:numPr>
          <w:ilvl w:val="0"/>
          <w:numId w:val="2"/>
        </w:numPr>
        <w:kinsoku/>
        <w:wordWrap w:val="0"/>
        <w:overflowPunct/>
        <w:topLinePunct w:val="0"/>
        <w:autoSpaceDE/>
        <w:autoSpaceDN/>
        <w:bidi w:val="0"/>
        <w:adjustRightInd/>
        <w:spacing w:line="360" w:lineRule="auto"/>
        <w:ind w:firstLine="482" w:firstLineChars="200"/>
        <w:jc w:val="center"/>
        <w:textAlignment w:val="auto"/>
        <w:rPr>
          <w:rFonts w:hint="eastAsia" w:ascii="宋体" w:hAnsi="宋体" w:eastAsia="宋体" w:cs="宋体"/>
          <w:b/>
          <w:bCs/>
          <w:sz w:val="24"/>
          <w:szCs w:val="24"/>
        </w:rPr>
        <w:sectPr>
          <w:footerReference r:id="rId11" w:type="first"/>
          <w:footerReference r:id="rId10" w:type="default"/>
          <w:pgSz w:w="11906" w:h="16838"/>
          <w:pgMar w:top="1134" w:right="1134" w:bottom="1134" w:left="1134" w:header="1134" w:footer="992" w:gutter="0"/>
          <w:pgNumType w:fmt="decimal"/>
          <w:cols w:space="720" w:num="1"/>
          <w:titlePg/>
          <w:docGrid w:type="lines" w:linePitch="312" w:charSpace="0"/>
        </w:sectPr>
      </w:pPr>
    </w:p>
    <w:p w14:paraId="0F076CA3">
      <w:pPr>
        <w:wordWrap w:val="0"/>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(一)资格审查表</w:t>
      </w:r>
    </w:p>
    <w:tbl>
      <w:tblPr>
        <w:tblStyle w:val="2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16"/>
        <w:gridCol w:w="1323"/>
        <w:gridCol w:w="6349"/>
      </w:tblGrid>
      <w:tr w14:paraId="522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772" w:type="dxa"/>
            <w:noWrap w:val="0"/>
            <w:vAlign w:val="center"/>
          </w:tcPr>
          <w:p w14:paraId="25C0FB21">
            <w:pPr>
              <w:wordWrap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916" w:type="dxa"/>
            <w:noWrap w:val="0"/>
            <w:vAlign w:val="center"/>
          </w:tcPr>
          <w:p w14:paraId="25486A61">
            <w:pPr>
              <w:wordWrap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类型</w:t>
            </w:r>
          </w:p>
        </w:tc>
        <w:tc>
          <w:tcPr>
            <w:tcW w:w="1323" w:type="dxa"/>
            <w:noWrap w:val="0"/>
            <w:vAlign w:val="center"/>
          </w:tcPr>
          <w:p w14:paraId="6C2FB6AA">
            <w:pPr>
              <w:wordWrap w:val="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评审内容</w:t>
            </w:r>
          </w:p>
        </w:tc>
        <w:tc>
          <w:tcPr>
            <w:tcW w:w="6349" w:type="dxa"/>
            <w:noWrap w:val="0"/>
            <w:vAlign w:val="center"/>
          </w:tcPr>
          <w:p w14:paraId="4C7C197F">
            <w:pPr>
              <w:wordWrap w:val="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审查要求</w:t>
            </w:r>
          </w:p>
        </w:tc>
      </w:tr>
      <w:tr w14:paraId="376D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2" w:type="dxa"/>
            <w:noWrap w:val="0"/>
            <w:vAlign w:val="center"/>
          </w:tcPr>
          <w:p w14:paraId="3AA08246">
            <w:pPr>
              <w:numPr>
                <w:ilvl w:val="0"/>
                <w:numId w:val="3"/>
              </w:numPr>
              <w:bidi w:val="0"/>
              <w:ind w:left="0" w:leftChars="0" w:firstLine="0" w:firstLineChars="0"/>
              <w:jc w:val="center"/>
              <w:rPr>
                <w:rFonts w:hint="eastAsia" w:ascii="宋体" w:hAnsi="宋体" w:eastAsia="宋体" w:cs="宋体"/>
                <w:sz w:val="24"/>
                <w:szCs w:val="24"/>
              </w:rPr>
            </w:pPr>
          </w:p>
        </w:tc>
        <w:tc>
          <w:tcPr>
            <w:tcW w:w="916" w:type="dxa"/>
            <w:noWrap w:val="0"/>
            <w:vAlign w:val="center"/>
          </w:tcPr>
          <w:p w14:paraId="56C60D52">
            <w:pPr>
              <w:pStyle w:val="38"/>
              <w:wordWrap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323" w:type="dxa"/>
            <w:noWrap w:val="0"/>
            <w:vAlign w:val="center"/>
          </w:tcPr>
          <w:p w14:paraId="73BF359D">
            <w:pPr>
              <w:pStyle w:val="38"/>
              <w:wordWrap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营业执照</w:t>
            </w:r>
          </w:p>
        </w:tc>
        <w:tc>
          <w:tcPr>
            <w:tcW w:w="6349" w:type="dxa"/>
            <w:noWrap w:val="0"/>
            <w:vAlign w:val="center"/>
          </w:tcPr>
          <w:p w14:paraId="4979470D">
            <w:pPr>
              <w:pStyle w:val="38"/>
              <w:wordWrap w:val="0"/>
              <w:jc w:val="both"/>
              <w:rPr>
                <w:rFonts w:hint="eastAsia" w:ascii="宋体" w:hAnsi="宋体" w:eastAsia="宋体" w:cs="宋体"/>
                <w:kern w:val="2"/>
                <w:sz w:val="24"/>
                <w:szCs w:val="24"/>
                <w:highlight w:val="none"/>
                <w:lang w:eastAsia="zh-CN"/>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须是在中国境内注册具有独立承担民事责任能力的法人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其他组织</w:t>
            </w:r>
            <w:r>
              <w:rPr>
                <w:rFonts w:hint="eastAsia" w:ascii="宋体" w:hAnsi="宋体" w:eastAsia="宋体" w:cs="宋体"/>
                <w:kern w:val="2"/>
                <w:sz w:val="24"/>
                <w:szCs w:val="24"/>
                <w:highlight w:val="none"/>
                <w:lang w:eastAsia="zh-CN"/>
              </w:rPr>
              <w:t>。</w:t>
            </w:r>
          </w:p>
          <w:p w14:paraId="4A548042">
            <w:pPr>
              <w:pStyle w:val="38"/>
              <w:wordWrap w:val="0"/>
              <w:jc w:val="both"/>
              <w:rPr>
                <w:rFonts w:hint="eastAsia" w:ascii="宋体" w:hAnsi="宋体" w:eastAsia="宋体" w:cs="宋体"/>
                <w:kern w:val="2"/>
                <w:sz w:val="24"/>
                <w:szCs w:val="24"/>
                <w:highlight w:val="none"/>
                <w:lang w:eastAsia="zh-CN"/>
              </w:rPr>
            </w:pPr>
            <w:r>
              <w:rPr>
                <w:rFonts w:hint="eastAsia" w:ascii="宋体" w:hAnsi="宋体" w:eastAsia="宋体" w:cs="宋体"/>
                <w:b/>
                <w:bCs/>
                <w:sz w:val="24"/>
                <w:szCs w:val="24"/>
                <w:highlight w:val="none"/>
                <w:lang w:eastAsia="zh-CN"/>
              </w:rPr>
              <w:t>投标</w:t>
            </w:r>
            <w:r>
              <w:rPr>
                <w:rFonts w:hint="eastAsia" w:ascii="宋体" w:hAnsi="宋体" w:eastAsia="宋体" w:cs="宋体"/>
                <w:b/>
                <w:bCs/>
                <w:kern w:val="2"/>
                <w:sz w:val="24"/>
                <w:szCs w:val="24"/>
                <w:highlight w:val="none"/>
                <w:lang w:eastAsia="zh-CN"/>
              </w:rPr>
              <w:t>文件中</w:t>
            </w:r>
            <w:r>
              <w:rPr>
                <w:rFonts w:hint="eastAsia" w:ascii="宋体" w:hAnsi="宋体" w:eastAsia="宋体" w:cs="宋体"/>
                <w:b/>
                <w:bCs/>
                <w:kern w:val="2"/>
                <w:sz w:val="24"/>
                <w:szCs w:val="24"/>
                <w:highlight w:val="none"/>
                <w:lang w:val="en-US" w:eastAsia="zh-CN"/>
              </w:rPr>
              <w:t>提供营业执照副本</w:t>
            </w:r>
            <w:r>
              <w:rPr>
                <w:rFonts w:hint="eastAsia" w:ascii="宋体" w:hAnsi="宋体" w:eastAsia="宋体" w:cs="宋体"/>
                <w:b/>
                <w:bCs/>
                <w:kern w:val="2"/>
                <w:sz w:val="24"/>
                <w:szCs w:val="24"/>
                <w:highlight w:val="none"/>
                <w:lang w:eastAsia="zh-CN"/>
              </w:rPr>
              <w:t>复印件加盖公章</w:t>
            </w:r>
            <w:r>
              <w:rPr>
                <w:rFonts w:hint="eastAsia" w:ascii="宋体" w:hAnsi="宋体" w:eastAsia="宋体" w:cs="宋体"/>
                <w:kern w:val="2"/>
                <w:sz w:val="24"/>
                <w:szCs w:val="24"/>
                <w:highlight w:val="none"/>
                <w:lang w:eastAsia="zh-CN"/>
              </w:rPr>
              <w:t>。</w:t>
            </w:r>
          </w:p>
        </w:tc>
      </w:tr>
      <w:tr w14:paraId="5406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2" w:type="dxa"/>
            <w:noWrap w:val="0"/>
            <w:vAlign w:val="center"/>
          </w:tcPr>
          <w:p w14:paraId="4ACF7588">
            <w:pPr>
              <w:numPr>
                <w:ilvl w:val="0"/>
                <w:numId w:val="3"/>
              </w:numPr>
              <w:bidi w:val="0"/>
              <w:ind w:left="0" w:leftChars="0" w:firstLine="0" w:firstLineChars="0"/>
              <w:jc w:val="center"/>
              <w:rPr>
                <w:rFonts w:hint="eastAsia" w:ascii="宋体" w:hAnsi="宋体" w:eastAsia="宋体" w:cs="宋体"/>
                <w:sz w:val="24"/>
                <w:szCs w:val="24"/>
              </w:rPr>
            </w:pPr>
          </w:p>
        </w:tc>
        <w:tc>
          <w:tcPr>
            <w:tcW w:w="916" w:type="dxa"/>
            <w:noWrap w:val="0"/>
            <w:vAlign w:val="center"/>
          </w:tcPr>
          <w:p w14:paraId="224BD7E3">
            <w:pPr>
              <w:pStyle w:val="4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0" w:lineRule="exact"/>
              <w:ind w:firstLine="0" w:firstLineChars="0"/>
              <w:jc w:val="center"/>
              <w:textAlignment w:val="auto"/>
              <w:rPr>
                <w:rFonts w:hint="eastAsia" w:ascii="宋体" w:hAnsi="宋体" w:eastAsia="宋体" w:cs="宋体"/>
                <w:sz w:val="24"/>
                <w:szCs w:val="24"/>
                <w:highlight w:val="none"/>
                <w:lang w:val="en-US" w:eastAsia="zh-CN"/>
              </w:rPr>
            </w:pPr>
            <w:r>
              <w:rPr>
                <w:rStyle w:val="23"/>
                <w:rFonts w:hint="eastAsia" w:ascii="宋体" w:hAnsi="宋体" w:eastAsia="宋体" w:cs="宋体"/>
                <w:b w:val="0"/>
                <w:color w:val="auto"/>
                <w:sz w:val="24"/>
                <w:szCs w:val="24"/>
                <w:highlight w:val="none"/>
              </w:rPr>
              <w:t>基本资质</w:t>
            </w:r>
          </w:p>
        </w:tc>
        <w:tc>
          <w:tcPr>
            <w:tcW w:w="1323" w:type="dxa"/>
            <w:noWrap w:val="0"/>
            <w:vAlign w:val="center"/>
          </w:tcPr>
          <w:p w14:paraId="0C971956">
            <w:pPr>
              <w:pStyle w:val="4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法人授权委托书</w:t>
            </w:r>
          </w:p>
        </w:tc>
        <w:tc>
          <w:tcPr>
            <w:tcW w:w="6349" w:type="dxa"/>
            <w:noWrap w:val="0"/>
            <w:vAlign w:val="center"/>
          </w:tcPr>
          <w:p w14:paraId="23B7EF2F">
            <w:pPr>
              <w:pStyle w:val="4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0" w:lineRule="exact"/>
              <w:ind w:firstLine="0" w:firstLineChars="0"/>
              <w:jc w:val="left"/>
              <w:textAlignment w:val="auto"/>
              <w:rPr>
                <w:rFonts w:hint="eastAsia" w:ascii="宋体" w:hAnsi="宋体" w:eastAsia="宋体" w:cs="宋体"/>
                <w:b/>
                <w:bCs/>
                <w:sz w:val="24"/>
                <w:szCs w:val="24"/>
                <w:highlight w:val="none"/>
                <w:lang w:eastAsia="zh-CN"/>
              </w:rPr>
            </w:pPr>
            <w:r>
              <w:rPr>
                <w:rStyle w:val="23"/>
                <w:rFonts w:hint="eastAsia" w:ascii="宋体" w:hAnsi="宋体" w:eastAsia="宋体" w:cs="宋体"/>
                <w:b w:val="0"/>
                <w:color w:val="auto"/>
                <w:sz w:val="24"/>
                <w:szCs w:val="24"/>
                <w:highlight w:val="none"/>
                <w:lang w:eastAsia="zh-CN"/>
              </w:rPr>
              <w:t>法定代表人身份证明、法人授权委托书及受托人身份证(法定代表人直接投标可不提供，但须提供法定代表人身份证明及法定代表人身份证复印件)</w:t>
            </w:r>
          </w:p>
        </w:tc>
      </w:tr>
      <w:tr w14:paraId="794D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772" w:type="dxa"/>
            <w:noWrap w:val="0"/>
            <w:vAlign w:val="center"/>
          </w:tcPr>
          <w:p w14:paraId="4FB2A3CE">
            <w:pPr>
              <w:numPr>
                <w:ilvl w:val="0"/>
                <w:numId w:val="3"/>
              </w:numPr>
              <w:bidi w:val="0"/>
              <w:ind w:left="0" w:leftChars="0" w:firstLine="0" w:firstLineChars="0"/>
              <w:jc w:val="center"/>
              <w:rPr>
                <w:rFonts w:hint="eastAsia" w:ascii="宋体" w:hAnsi="宋体" w:eastAsia="宋体" w:cs="宋体"/>
                <w:sz w:val="24"/>
                <w:szCs w:val="24"/>
              </w:rPr>
            </w:pPr>
          </w:p>
        </w:tc>
        <w:tc>
          <w:tcPr>
            <w:tcW w:w="916" w:type="dxa"/>
            <w:noWrap w:val="0"/>
            <w:vAlign w:val="center"/>
          </w:tcPr>
          <w:p w14:paraId="61B67789">
            <w:pPr>
              <w:pStyle w:val="38"/>
              <w:wordWrap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基本资质</w:t>
            </w:r>
          </w:p>
        </w:tc>
        <w:tc>
          <w:tcPr>
            <w:tcW w:w="1323" w:type="dxa"/>
            <w:noWrap w:val="0"/>
            <w:vAlign w:val="center"/>
          </w:tcPr>
          <w:p w14:paraId="3F04361D">
            <w:pPr>
              <w:autoSpaceDE w:val="0"/>
              <w:autoSpaceDN w:val="0"/>
              <w:adjustRightInd w:val="0"/>
              <w:spacing w:line="300" w:lineRule="exact"/>
              <w:jc w:val="center"/>
              <w:rPr>
                <w:rFonts w:hint="eastAsia" w:ascii="宋体" w:hAnsi="宋体" w:eastAsia="宋体" w:cs="宋体"/>
                <w:b w:val="0"/>
                <w:bCs w:val="0"/>
                <w:spacing w:val="-3"/>
                <w:sz w:val="24"/>
                <w:szCs w:val="24"/>
                <w:highlight w:val="none"/>
                <w:lang w:val="en-US" w:eastAsia="zh-CN"/>
              </w:rPr>
            </w:pPr>
            <w:r>
              <w:rPr>
                <w:rFonts w:hint="eastAsia" w:ascii="宋体" w:hAnsi="宋体" w:eastAsia="宋体" w:cs="宋体"/>
                <w:sz w:val="24"/>
                <w:szCs w:val="24"/>
              </w:rPr>
              <w:t>财务状况、依法缴纳税收和社会保障资金情况</w:t>
            </w:r>
          </w:p>
        </w:tc>
        <w:tc>
          <w:tcPr>
            <w:tcW w:w="6349" w:type="dxa"/>
            <w:noWrap w:val="0"/>
            <w:vAlign w:val="center"/>
          </w:tcPr>
          <w:p w14:paraId="5523A269">
            <w:pPr>
              <w:pStyle w:val="39"/>
              <w:ind w:right="105" w:rightChars="50"/>
              <w:contextualSpacing/>
              <w:jc w:val="both"/>
              <w:rPr>
                <w:rFonts w:hint="eastAsia" w:ascii="宋体" w:hAnsi="宋体" w:eastAsia="宋体" w:cs="宋体"/>
                <w:bCs/>
                <w:sz w:val="24"/>
                <w:szCs w:val="24"/>
              </w:rPr>
            </w:pPr>
            <w:r>
              <w:rPr>
                <w:rFonts w:hint="eastAsia" w:ascii="宋体" w:hAnsi="宋体" w:eastAsia="宋体" w:cs="宋体"/>
                <w:bCs/>
                <w:sz w:val="24"/>
                <w:szCs w:val="24"/>
                <w:lang w:val="en-US"/>
              </w:rPr>
              <w:t>供应商应按照《长春市财政局关于加强政府采购信用体系建设简化投标人资格条件有关事项的通知》（长财采购[2022]2066号）文件要求在投标文件中提交反映其财务状况、依法缴纳税收和社会保障资金情况的资格条件承诺函，并对资格条件承诺函有关内容的真实性、有效性、合法性负责</w:t>
            </w:r>
            <w:r>
              <w:rPr>
                <w:rFonts w:hint="eastAsia" w:ascii="宋体" w:hAnsi="宋体" w:eastAsia="宋体" w:cs="宋体"/>
                <w:bCs/>
                <w:sz w:val="24"/>
                <w:szCs w:val="24"/>
              </w:rPr>
              <w:t>。</w:t>
            </w:r>
          </w:p>
          <w:p w14:paraId="3D0D3762">
            <w:pPr>
              <w:pStyle w:val="39"/>
              <w:ind w:right="105" w:rightChars="50"/>
              <w:contextualSpacing/>
              <w:jc w:val="both"/>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投标文件内附加盖公章的承诺书</w:t>
            </w:r>
          </w:p>
        </w:tc>
      </w:tr>
      <w:tr w14:paraId="5A4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72" w:type="dxa"/>
            <w:noWrap w:val="0"/>
            <w:vAlign w:val="center"/>
          </w:tcPr>
          <w:p w14:paraId="1782CB63">
            <w:pPr>
              <w:numPr>
                <w:ilvl w:val="0"/>
                <w:numId w:val="3"/>
              </w:numPr>
              <w:bidi w:val="0"/>
              <w:ind w:left="0" w:leftChars="0" w:firstLine="0" w:firstLineChars="0"/>
              <w:jc w:val="center"/>
              <w:rPr>
                <w:rFonts w:hint="eastAsia" w:ascii="宋体" w:hAnsi="宋体" w:eastAsia="宋体" w:cs="宋体"/>
                <w:sz w:val="24"/>
                <w:szCs w:val="24"/>
              </w:rPr>
            </w:pPr>
          </w:p>
        </w:tc>
        <w:tc>
          <w:tcPr>
            <w:tcW w:w="916" w:type="dxa"/>
            <w:noWrap w:val="0"/>
            <w:vAlign w:val="center"/>
          </w:tcPr>
          <w:p w14:paraId="072225B3">
            <w:pPr>
              <w:pStyle w:val="38"/>
              <w:wordWrap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基本资质</w:t>
            </w:r>
          </w:p>
        </w:tc>
        <w:tc>
          <w:tcPr>
            <w:tcW w:w="1323" w:type="dxa"/>
            <w:noWrap w:val="0"/>
            <w:vAlign w:val="center"/>
          </w:tcPr>
          <w:p w14:paraId="10CB8DC2">
            <w:pPr>
              <w:keepNext w:val="0"/>
              <w:keepLines w:val="0"/>
              <w:pageBreakBefore w:val="0"/>
              <w:wordWrap w:val="0"/>
              <w:overflowPunct/>
              <w:topLinePunct w:val="0"/>
              <w:bidi w:val="0"/>
              <w:spacing w:line="312" w:lineRule="auto"/>
              <w:ind w:left="0" w:leftChars="0" w:firstLine="0" w:firstLineChars="0"/>
              <w:jc w:val="center"/>
              <w:rPr>
                <w:rFonts w:hint="eastAsia" w:ascii="宋体" w:hAnsi="宋体" w:eastAsia="宋体" w:cs="宋体"/>
                <w:b w:val="0"/>
                <w:bCs w:val="0"/>
                <w:spacing w:val="-3"/>
                <w:sz w:val="24"/>
                <w:szCs w:val="24"/>
                <w:highlight w:val="none"/>
                <w:lang w:eastAsia="zh-CN"/>
              </w:rPr>
            </w:pPr>
            <w:r>
              <w:rPr>
                <w:rFonts w:hint="eastAsia" w:ascii="宋体" w:hAnsi="宋体" w:eastAsia="宋体" w:cs="宋体"/>
                <w:color w:val="auto"/>
                <w:kern w:val="2"/>
                <w:sz w:val="24"/>
                <w:szCs w:val="24"/>
                <w:highlight w:val="none"/>
                <w:lang w:val="en-US" w:eastAsia="zh-CN" w:bidi="ar-SA"/>
              </w:rPr>
              <w:t>投标人不得存在下列情形</w:t>
            </w:r>
          </w:p>
        </w:tc>
        <w:tc>
          <w:tcPr>
            <w:tcW w:w="6349" w:type="dxa"/>
            <w:noWrap w:val="0"/>
            <w:vAlign w:val="center"/>
          </w:tcPr>
          <w:p w14:paraId="1567F130">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（1）为采购人不具有独立法人资格的附属机构（单位）；</w:t>
            </w:r>
          </w:p>
          <w:p w14:paraId="1B80ED78">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 xml:space="preserve">（2）为本采购项目前期准备提供设计或咨询服务的； </w:t>
            </w:r>
          </w:p>
          <w:p w14:paraId="29D40F3E">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 xml:space="preserve">（3）为本采购项目提供招标代理服务的； </w:t>
            </w:r>
          </w:p>
          <w:p w14:paraId="116242EB">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（4）与本采购项目的招标代理机构同为一个法定代表人的；</w:t>
            </w:r>
          </w:p>
          <w:p w14:paraId="269B132A">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（5）与本采购项目的招标代理机构相互控股或参股的；</w:t>
            </w:r>
          </w:p>
          <w:p w14:paraId="65431FB6">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（6）与本采购项目的招标代理机构相互任职或工作的；</w:t>
            </w:r>
          </w:p>
          <w:p w14:paraId="55A10549">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 xml:space="preserve">（7）被责令停业的； </w:t>
            </w:r>
          </w:p>
          <w:p w14:paraId="3E440E3A">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 xml:space="preserve">（8）被暂停或取消投标资格的； </w:t>
            </w:r>
          </w:p>
          <w:p w14:paraId="4DE4C96B">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（9）财产被接管或冻结的；</w:t>
            </w:r>
          </w:p>
          <w:p w14:paraId="40F362A1">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lang w:val="zh-CN" w:eastAsia="zh-CN" w:bidi="zh-CN"/>
              </w:rPr>
            </w:pPr>
            <w:r>
              <w:rPr>
                <w:rFonts w:hint="eastAsia" w:ascii="宋体" w:hAnsi="宋体" w:eastAsia="宋体" w:cs="宋体"/>
                <w:bCs/>
                <w:kern w:val="2"/>
                <w:sz w:val="24"/>
                <w:szCs w:val="24"/>
                <w:lang w:val="zh-CN" w:eastAsia="zh-CN" w:bidi="zh-CN"/>
              </w:rPr>
              <w:t>（10）在最近三年内有骗取中标或严重违约或重大工程质量问题的。</w:t>
            </w:r>
          </w:p>
          <w:p w14:paraId="27AF0762">
            <w:pPr>
              <w:keepNext w:val="0"/>
              <w:keepLines w:val="0"/>
              <w:pageBreakBefore w:val="0"/>
              <w:overflowPunct/>
              <w:topLinePunct w:val="0"/>
              <w:bidi w:val="0"/>
              <w:adjustRightInd w:val="0"/>
              <w:snapToGrid w:val="0"/>
              <w:spacing w:line="312" w:lineRule="auto"/>
              <w:ind w:left="0" w:leftChars="0" w:firstLine="0" w:firstLineChars="0"/>
              <w:jc w:val="left"/>
              <w:rPr>
                <w:rFonts w:hint="eastAsia" w:ascii="宋体" w:hAnsi="宋体" w:eastAsia="宋体" w:cs="宋体"/>
                <w:bCs/>
                <w:kern w:val="2"/>
                <w:sz w:val="24"/>
                <w:szCs w:val="24"/>
                <w:highlight w:val="none"/>
                <w:lang w:val="zh-CN" w:eastAsia="zh-CN" w:bidi="ar-SA"/>
              </w:rPr>
            </w:pPr>
            <w:r>
              <w:rPr>
                <w:rFonts w:hint="eastAsia" w:ascii="宋体" w:hAnsi="宋体" w:eastAsia="宋体" w:cs="宋体"/>
                <w:b/>
                <w:bCs/>
                <w:kern w:val="2"/>
                <w:sz w:val="24"/>
                <w:szCs w:val="24"/>
                <w:highlight w:val="none"/>
                <w:lang w:val="en-US" w:eastAsia="zh-CN"/>
              </w:rPr>
              <w:t>投标</w:t>
            </w:r>
            <w:r>
              <w:rPr>
                <w:rFonts w:hint="eastAsia" w:ascii="宋体" w:hAnsi="宋体" w:eastAsia="宋体" w:cs="宋体"/>
                <w:b/>
                <w:bCs/>
                <w:kern w:val="2"/>
                <w:sz w:val="24"/>
                <w:szCs w:val="24"/>
                <w:highlight w:val="none"/>
                <w:lang w:eastAsia="zh-CN"/>
              </w:rPr>
              <w:t>文件中</w:t>
            </w:r>
            <w:r>
              <w:rPr>
                <w:rFonts w:hint="eastAsia" w:ascii="宋体" w:hAnsi="宋体" w:eastAsia="宋体" w:cs="宋体"/>
                <w:b/>
                <w:bCs/>
                <w:kern w:val="2"/>
                <w:sz w:val="24"/>
                <w:szCs w:val="24"/>
                <w:highlight w:val="none"/>
                <w:lang w:val="en-US" w:eastAsia="zh-CN"/>
              </w:rPr>
              <w:t>提供</w:t>
            </w:r>
            <w:r>
              <w:rPr>
                <w:rFonts w:hint="eastAsia" w:ascii="宋体" w:hAnsi="宋体" w:eastAsia="宋体" w:cs="宋体"/>
                <w:b/>
                <w:bCs/>
                <w:kern w:val="2"/>
                <w:sz w:val="24"/>
                <w:szCs w:val="24"/>
                <w:highlight w:val="none"/>
                <w:lang w:eastAsia="zh-CN"/>
              </w:rPr>
              <w:t>由法定代表人或</w:t>
            </w:r>
            <w:r>
              <w:rPr>
                <w:rFonts w:hint="eastAsia" w:ascii="宋体" w:hAnsi="宋体" w:eastAsia="宋体" w:cs="宋体"/>
                <w:b/>
                <w:bCs/>
                <w:kern w:val="2"/>
                <w:sz w:val="24"/>
                <w:szCs w:val="24"/>
                <w:highlight w:val="none"/>
                <w:lang w:val="en-US" w:eastAsia="zh-CN"/>
              </w:rPr>
              <w:t>委托代理人</w:t>
            </w:r>
            <w:r>
              <w:rPr>
                <w:rFonts w:hint="eastAsia" w:ascii="宋体" w:hAnsi="宋体" w:eastAsia="宋体" w:cs="宋体"/>
                <w:b/>
                <w:bCs/>
                <w:kern w:val="2"/>
                <w:sz w:val="24"/>
                <w:szCs w:val="24"/>
                <w:highlight w:val="none"/>
                <w:lang w:eastAsia="zh-CN"/>
              </w:rPr>
              <w:t>签字或盖章并加盖单位公章的</w:t>
            </w:r>
            <w:r>
              <w:rPr>
                <w:rFonts w:hint="eastAsia" w:ascii="宋体" w:hAnsi="宋体" w:eastAsia="宋体" w:cs="宋体"/>
                <w:b/>
                <w:bCs/>
                <w:kern w:val="2"/>
                <w:sz w:val="24"/>
                <w:szCs w:val="24"/>
                <w:highlight w:val="none"/>
                <w:lang w:val="en-US" w:eastAsia="zh-CN"/>
              </w:rPr>
              <w:t>承诺函</w:t>
            </w:r>
            <w:r>
              <w:rPr>
                <w:rFonts w:hint="eastAsia" w:ascii="宋体" w:hAnsi="宋体" w:eastAsia="宋体" w:cs="宋体"/>
                <w:b/>
                <w:bCs/>
                <w:kern w:val="2"/>
                <w:sz w:val="24"/>
                <w:szCs w:val="24"/>
                <w:highlight w:val="none"/>
                <w:lang w:eastAsia="zh-CN"/>
              </w:rPr>
              <w:t>。</w:t>
            </w:r>
          </w:p>
        </w:tc>
      </w:tr>
      <w:tr w14:paraId="65E4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72" w:type="dxa"/>
            <w:noWrap w:val="0"/>
            <w:vAlign w:val="center"/>
          </w:tcPr>
          <w:p w14:paraId="1DF21BD4">
            <w:pPr>
              <w:numPr>
                <w:ilvl w:val="0"/>
                <w:numId w:val="3"/>
              </w:numPr>
              <w:bidi w:val="0"/>
              <w:ind w:left="0" w:leftChars="0" w:firstLine="0" w:firstLineChars="0"/>
              <w:jc w:val="center"/>
              <w:rPr>
                <w:rFonts w:hint="eastAsia" w:ascii="宋体" w:hAnsi="宋体" w:eastAsia="宋体" w:cs="宋体"/>
                <w:sz w:val="24"/>
                <w:szCs w:val="24"/>
              </w:rPr>
            </w:pPr>
          </w:p>
        </w:tc>
        <w:tc>
          <w:tcPr>
            <w:tcW w:w="916" w:type="dxa"/>
            <w:noWrap w:val="0"/>
            <w:vAlign w:val="center"/>
          </w:tcPr>
          <w:p w14:paraId="24470F8C">
            <w:pPr>
              <w:pStyle w:val="38"/>
              <w:wordWrap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基本资质</w:t>
            </w:r>
          </w:p>
        </w:tc>
        <w:tc>
          <w:tcPr>
            <w:tcW w:w="1323" w:type="dxa"/>
            <w:noWrap w:val="0"/>
            <w:vAlign w:val="center"/>
          </w:tcPr>
          <w:p w14:paraId="10E26F04">
            <w:pPr>
              <w:pStyle w:val="38"/>
              <w:wordWrap w:val="0"/>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参加政府采购活动前三年内，在经营活动中没有重大违法记录</w:t>
            </w:r>
          </w:p>
        </w:tc>
        <w:tc>
          <w:tcPr>
            <w:tcW w:w="6349" w:type="dxa"/>
            <w:noWrap w:val="0"/>
            <w:vAlign w:val="center"/>
          </w:tcPr>
          <w:p w14:paraId="1C73B28C">
            <w:pPr>
              <w:pStyle w:val="38"/>
              <w:wordWrap w:val="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投标人参加政府采购活动前三年内，在经营活动中没有重大违法记录（注：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1292321">
            <w:pPr>
              <w:pStyle w:val="38"/>
              <w:wordWrap w:val="0"/>
              <w:jc w:val="both"/>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val="en-US" w:eastAsia="zh-CN"/>
              </w:rPr>
              <w:t>投标</w:t>
            </w:r>
            <w:r>
              <w:rPr>
                <w:rFonts w:hint="eastAsia" w:ascii="宋体" w:hAnsi="宋体" w:eastAsia="宋体" w:cs="宋体"/>
                <w:b/>
                <w:bCs/>
                <w:kern w:val="2"/>
                <w:sz w:val="24"/>
                <w:szCs w:val="24"/>
                <w:highlight w:val="none"/>
                <w:lang w:eastAsia="zh-CN"/>
              </w:rPr>
              <w:t>文件中</w:t>
            </w:r>
            <w:r>
              <w:rPr>
                <w:rFonts w:hint="eastAsia" w:ascii="宋体" w:hAnsi="宋体" w:eastAsia="宋体" w:cs="宋体"/>
                <w:b/>
                <w:bCs/>
                <w:kern w:val="2"/>
                <w:sz w:val="24"/>
                <w:szCs w:val="24"/>
                <w:highlight w:val="none"/>
                <w:lang w:val="en-US" w:eastAsia="zh-CN"/>
              </w:rPr>
              <w:t>提供</w:t>
            </w:r>
            <w:r>
              <w:rPr>
                <w:rFonts w:hint="eastAsia" w:ascii="宋体" w:hAnsi="宋体" w:eastAsia="宋体" w:cs="宋体"/>
                <w:b/>
                <w:bCs/>
                <w:kern w:val="2"/>
                <w:sz w:val="24"/>
                <w:szCs w:val="24"/>
                <w:highlight w:val="none"/>
                <w:lang w:eastAsia="zh-CN"/>
              </w:rPr>
              <w:t>由法定代表人或</w:t>
            </w:r>
            <w:r>
              <w:rPr>
                <w:rFonts w:hint="eastAsia" w:ascii="宋体" w:hAnsi="宋体" w:eastAsia="宋体" w:cs="宋体"/>
                <w:b/>
                <w:bCs/>
                <w:kern w:val="2"/>
                <w:sz w:val="24"/>
                <w:szCs w:val="24"/>
                <w:highlight w:val="none"/>
                <w:lang w:val="en-US" w:eastAsia="zh-CN"/>
              </w:rPr>
              <w:t>委托代理人</w:t>
            </w:r>
            <w:r>
              <w:rPr>
                <w:rFonts w:hint="eastAsia" w:ascii="宋体" w:hAnsi="宋体" w:eastAsia="宋体" w:cs="宋体"/>
                <w:b/>
                <w:bCs/>
                <w:kern w:val="2"/>
                <w:sz w:val="24"/>
                <w:szCs w:val="24"/>
                <w:highlight w:val="none"/>
                <w:lang w:eastAsia="zh-CN"/>
              </w:rPr>
              <w:t>签字或盖章并加盖单位公章的</w:t>
            </w:r>
            <w:r>
              <w:rPr>
                <w:rFonts w:hint="eastAsia" w:ascii="宋体" w:hAnsi="宋体" w:eastAsia="宋体" w:cs="宋体"/>
                <w:b/>
                <w:bCs/>
                <w:kern w:val="2"/>
                <w:sz w:val="24"/>
                <w:szCs w:val="24"/>
                <w:highlight w:val="none"/>
                <w:lang w:val="en-US" w:eastAsia="zh-CN"/>
              </w:rPr>
              <w:t>无重大违法记录声明函</w:t>
            </w:r>
            <w:r>
              <w:rPr>
                <w:rFonts w:hint="eastAsia" w:ascii="宋体" w:hAnsi="宋体" w:eastAsia="宋体" w:cs="宋体"/>
                <w:b/>
                <w:bCs/>
                <w:kern w:val="2"/>
                <w:sz w:val="24"/>
                <w:szCs w:val="24"/>
                <w:highlight w:val="none"/>
                <w:lang w:eastAsia="zh-CN"/>
              </w:rPr>
              <w:t>。</w:t>
            </w:r>
          </w:p>
        </w:tc>
      </w:tr>
      <w:tr w14:paraId="6410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72" w:type="dxa"/>
            <w:vMerge w:val="restart"/>
            <w:noWrap w:val="0"/>
            <w:vAlign w:val="center"/>
          </w:tcPr>
          <w:p w14:paraId="1BF4DBA5">
            <w:pPr>
              <w:numPr>
                <w:ilvl w:val="0"/>
                <w:numId w:val="3"/>
              </w:numPr>
              <w:bidi w:val="0"/>
              <w:ind w:left="0" w:leftChars="0" w:firstLine="0" w:firstLineChars="0"/>
              <w:jc w:val="center"/>
              <w:rPr>
                <w:rFonts w:hint="eastAsia" w:ascii="宋体" w:hAnsi="宋体" w:eastAsia="宋体" w:cs="宋体"/>
                <w:sz w:val="24"/>
                <w:szCs w:val="24"/>
              </w:rPr>
            </w:pPr>
          </w:p>
        </w:tc>
        <w:tc>
          <w:tcPr>
            <w:tcW w:w="916" w:type="dxa"/>
            <w:vMerge w:val="restart"/>
            <w:noWrap w:val="0"/>
            <w:vAlign w:val="center"/>
          </w:tcPr>
          <w:p w14:paraId="3BDA409B">
            <w:pPr>
              <w:pStyle w:val="38"/>
              <w:wordWrap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基本资质</w:t>
            </w:r>
          </w:p>
        </w:tc>
        <w:tc>
          <w:tcPr>
            <w:tcW w:w="1323" w:type="dxa"/>
            <w:vMerge w:val="restart"/>
            <w:noWrap w:val="0"/>
            <w:vAlign w:val="center"/>
          </w:tcPr>
          <w:p w14:paraId="77E329AE">
            <w:pPr>
              <w:pStyle w:val="38"/>
              <w:wordWrap w:val="0"/>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信誉要求</w:t>
            </w:r>
          </w:p>
        </w:tc>
        <w:tc>
          <w:tcPr>
            <w:tcW w:w="6349" w:type="dxa"/>
            <w:noWrap w:val="0"/>
            <w:vAlign w:val="center"/>
          </w:tcPr>
          <w:p w14:paraId="7E8BE5B2">
            <w:pPr>
              <w:pStyle w:val="38"/>
              <w:wordWrap w:val="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在“信用中国”网站(www.creditchina.gov.cn)、中国政府采购网(www.ccgp.gov.cn)列入失信被执行人、 重大税收违法失信主体、政府采购严重违法失信行为记录名单的投标人，拒绝其参与投标；</w:t>
            </w:r>
          </w:p>
          <w:p w14:paraId="61A63020">
            <w:pPr>
              <w:pStyle w:val="38"/>
              <w:wordWrap w:val="0"/>
              <w:jc w:val="both"/>
              <w:rPr>
                <w:rFonts w:hint="eastAsia" w:ascii="宋体" w:hAnsi="宋体" w:eastAsia="宋体" w:cs="宋体"/>
                <w:kern w:val="2"/>
                <w:sz w:val="24"/>
                <w:szCs w:val="24"/>
                <w:highlight w:val="none"/>
                <w:lang w:eastAsia="zh-CN"/>
              </w:rPr>
            </w:pPr>
            <w:r>
              <w:rPr>
                <w:rFonts w:hint="eastAsia" w:ascii="宋体" w:hAnsi="宋体" w:eastAsia="宋体" w:cs="宋体"/>
                <w:b/>
                <w:bCs/>
                <w:kern w:val="2"/>
                <w:sz w:val="24"/>
                <w:szCs w:val="24"/>
                <w:highlight w:val="none"/>
                <w:lang w:val="en-US" w:eastAsia="zh-CN"/>
              </w:rPr>
              <w:t>投标</w:t>
            </w:r>
            <w:r>
              <w:rPr>
                <w:rFonts w:hint="eastAsia" w:ascii="宋体" w:hAnsi="宋体" w:eastAsia="宋体" w:cs="宋体"/>
                <w:b/>
                <w:bCs/>
                <w:kern w:val="2"/>
                <w:sz w:val="24"/>
                <w:szCs w:val="24"/>
                <w:highlight w:val="none"/>
                <w:lang w:eastAsia="zh-CN"/>
              </w:rPr>
              <w:t>文件中</w:t>
            </w:r>
            <w:r>
              <w:rPr>
                <w:rFonts w:hint="eastAsia" w:ascii="宋体" w:hAnsi="宋体" w:eastAsia="宋体" w:cs="宋体"/>
                <w:b/>
                <w:bCs/>
                <w:kern w:val="2"/>
                <w:sz w:val="24"/>
                <w:szCs w:val="24"/>
                <w:highlight w:val="none"/>
                <w:lang w:val="en-US" w:eastAsia="zh-CN"/>
              </w:rPr>
              <w:t>提供</w:t>
            </w:r>
            <w:r>
              <w:rPr>
                <w:rFonts w:hint="eastAsia" w:ascii="宋体" w:hAnsi="宋体" w:eastAsia="宋体" w:cs="宋体"/>
                <w:b/>
                <w:bCs/>
                <w:kern w:val="2"/>
                <w:sz w:val="24"/>
                <w:szCs w:val="24"/>
                <w:highlight w:val="none"/>
                <w:lang w:eastAsia="zh-CN"/>
              </w:rPr>
              <w:t>由法定代表人或</w:t>
            </w:r>
            <w:r>
              <w:rPr>
                <w:rFonts w:hint="eastAsia" w:ascii="宋体" w:hAnsi="宋体" w:eastAsia="宋体" w:cs="宋体"/>
                <w:b/>
                <w:bCs/>
                <w:kern w:val="2"/>
                <w:sz w:val="24"/>
                <w:szCs w:val="24"/>
                <w:highlight w:val="none"/>
                <w:lang w:val="en-US" w:eastAsia="zh-CN"/>
              </w:rPr>
              <w:t>委托代理人</w:t>
            </w:r>
            <w:r>
              <w:rPr>
                <w:rFonts w:hint="eastAsia" w:ascii="宋体" w:hAnsi="宋体" w:eastAsia="宋体" w:cs="宋体"/>
                <w:b/>
                <w:bCs/>
                <w:kern w:val="2"/>
                <w:sz w:val="24"/>
                <w:szCs w:val="24"/>
                <w:highlight w:val="none"/>
                <w:lang w:eastAsia="zh-CN"/>
              </w:rPr>
              <w:t>签字或盖章并加盖单位公章的</w:t>
            </w:r>
            <w:r>
              <w:rPr>
                <w:rFonts w:hint="eastAsia" w:ascii="宋体" w:hAnsi="宋体" w:eastAsia="宋体" w:cs="宋体"/>
                <w:b/>
                <w:bCs/>
                <w:kern w:val="2"/>
                <w:sz w:val="24"/>
                <w:szCs w:val="24"/>
                <w:highlight w:val="none"/>
                <w:lang w:val="en-US" w:eastAsia="zh-CN"/>
              </w:rPr>
              <w:t>信誉要求</w:t>
            </w:r>
            <w:r>
              <w:rPr>
                <w:rFonts w:hint="eastAsia" w:ascii="宋体" w:hAnsi="宋体" w:eastAsia="宋体" w:cs="宋体"/>
                <w:b/>
                <w:bCs/>
                <w:kern w:val="2"/>
                <w:sz w:val="24"/>
                <w:szCs w:val="24"/>
                <w:highlight w:val="none"/>
                <w:lang w:eastAsia="zh-CN"/>
              </w:rPr>
              <w:t>承诺书，</w:t>
            </w:r>
            <w:r>
              <w:rPr>
                <w:rFonts w:hint="eastAsia" w:ascii="宋体" w:hAnsi="宋体" w:eastAsia="宋体" w:cs="宋体"/>
                <w:b/>
                <w:bCs/>
                <w:kern w:val="2"/>
                <w:sz w:val="24"/>
                <w:szCs w:val="24"/>
                <w:highlight w:val="none"/>
                <w:lang w:val="en-US" w:eastAsia="zh-CN"/>
              </w:rPr>
              <w:t>并附相关网站查询截图证明（查询时间需在招标公告发布时间之后）</w:t>
            </w:r>
            <w:r>
              <w:rPr>
                <w:rFonts w:hint="eastAsia" w:ascii="宋体" w:hAnsi="宋体" w:eastAsia="宋体" w:cs="宋体"/>
                <w:b/>
                <w:bCs/>
                <w:kern w:val="2"/>
                <w:sz w:val="24"/>
                <w:szCs w:val="24"/>
                <w:highlight w:val="none"/>
                <w:lang w:eastAsia="zh-CN"/>
              </w:rPr>
              <w:t>。</w:t>
            </w:r>
          </w:p>
        </w:tc>
      </w:tr>
      <w:tr w14:paraId="6092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72" w:type="dxa"/>
            <w:vMerge w:val="continue"/>
            <w:noWrap w:val="0"/>
            <w:vAlign w:val="center"/>
          </w:tcPr>
          <w:p w14:paraId="11C67546">
            <w:pPr>
              <w:bidi w:val="0"/>
              <w:ind w:left="0" w:leftChars="0" w:firstLine="0" w:firstLineChars="0"/>
              <w:jc w:val="center"/>
              <w:rPr>
                <w:rFonts w:hint="eastAsia" w:ascii="宋体" w:hAnsi="宋体" w:eastAsia="宋体" w:cs="宋体"/>
                <w:sz w:val="24"/>
                <w:szCs w:val="24"/>
              </w:rPr>
            </w:pPr>
          </w:p>
        </w:tc>
        <w:tc>
          <w:tcPr>
            <w:tcW w:w="916" w:type="dxa"/>
            <w:vMerge w:val="continue"/>
            <w:noWrap w:val="0"/>
            <w:vAlign w:val="center"/>
          </w:tcPr>
          <w:p w14:paraId="77FC7C39">
            <w:pPr>
              <w:pStyle w:val="38"/>
              <w:wordWrap w:val="0"/>
              <w:jc w:val="center"/>
              <w:rPr>
                <w:rFonts w:hint="eastAsia" w:ascii="宋体" w:hAnsi="宋体" w:eastAsia="宋体" w:cs="宋体"/>
                <w:sz w:val="24"/>
                <w:szCs w:val="24"/>
                <w:highlight w:val="none"/>
                <w:lang w:eastAsia="zh-CN"/>
              </w:rPr>
            </w:pPr>
          </w:p>
        </w:tc>
        <w:tc>
          <w:tcPr>
            <w:tcW w:w="1323" w:type="dxa"/>
            <w:vMerge w:val="continue"/>
            <w:noWrap w:val="0"/>
            <w:vAlign w:val="center"/>
          </w:tcPr>
          <w:p w14:paraId="03D99049">
            <w:pPr>
              <w:pStyle w:val="38"/>
              <w:wordWrap w:val="0"/>
              <w:jc w:val="both"/>
              <w:rPr>
                <w:rFonts w:hint="eastAsia" w:ascii="宋体" w:hAnsi="宋体" w:eastAsia="宋体" w:cs="宋体"/>
                <w:kern w:val="2"/>
                <w:sz w:val="24"/>
                <w:szCs w:val="24"/>
                <w:highlight w:val="none"/>
                <w:lang w:val="en-US" w:eastAsia="zh-CN"/>
              </w:rPr>
            </w:pPr>
          </w:p>
        </w:tc>
        <w:tc>
          <w:tcPr>
            <w:tcW w:w="6349" w:type="dxa"/>
            <w:noWrap w:val="0"/>
            <w:vAlign w:val="center"/>
          </w:tcPr>
          <w:p w14:paraId="52D42BF6">
            <w:pPr>
              <w:pStyle w:val="38"/>
              <w:wordWrap w:val="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(1)拒绝列入政府取消投标资格记录期间的企业或个人投标；</w:t>
            </w:r>
          </w:p>
          <w:p w14:paraId="781C702F">
            <w:pPr>
              <w:pStyle w:val="38"/>
              <w:wordWrap w:val="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(2)与采购人存在利害关系可能影响招标公正性的法人、其他组织或者个人，不得参加投标。单位负责人为同一人或者存在直接控股、管理关系的不同供应商，不得参加同一合同项下的政府采购活动。</w:t>
            </w:r>
          </w:p>
          <w:p w14:paraId="1928D335">
            <w:pPr>
              <w:pStyle w:val="38"/>
              <w:wordWrap w:val="0"/>
              <w:jc w:val="both"/>
              <w:rPr>
                <w:rFonts w:hint="eastAsia" w:ascii="宋体" w:hAnsi="宋体" w:eastAsia="宋体" w:cs="宋体"/>
                <w:kern w:val="2"/>
                <w:sz w:val="24"/>
                <w:szCs w:val="24"/>
                <w:highlight w:val="none"/>
                <w:lang w:eastAsia="zh-CN"/>
              </w:rPr>
            </w:pPr>
            <w:r>
              <w:rPr>
                <w:rFonts w:hint="eastAsia" w:ascii="宋体" w:hAnsi="宋体" w:eastAsia="宋体" w:cs="宋体"/>
                <w:b/>
                <w:bCs/>
                <w:kern w:val="2"/>
                <w:sz w:val="24"/>
                <w:szCs w:val="24"/>
                <w:highlight w:val="none"/>
                <w:lang w:val="en-US" w:eastAsia="zh-CN"/>
              </w:rPr>
              <w:t>投标</w:t>
            </w:r>
            <w:r>
              <w:rPr>
                <w:rFonts w:hint="eastAsia" w:ascii="宋体" w:hAnsi="宋体" w:eastAsia="宋体" w:cs="宋体"/>
                <w:b/>
                <w:bCs/>
                <w:kern w:val="2"/>
                <w:sz w:val="24"/>
                <w:szCs w:val="24"/>
                <w:highlight w:val="none"/>
                <w:lang w:eastAsia="zh-CN"/>
              </w:rPr>
              <w:t>文件中</w:t>
            </w:r>
            <w:r>
              <w:rPr>
                <w:rFonts w:hint="eastAsia" w:ascii="宋体" w:hAnsi="宋体" w:eastAsia="宋体" w:cs="宋体"/>
                <w:b/>
                <w:bCs/>
                <w:kern w:val="2"/>
                <w:sz w:val="24"/>
                <w:szCs w:val="24"/>
                <w:highlight w:val="none"/>
                <w:lang w:val="en-US" w:eastAsia="zh-CN"/>
              </w:rPr>
              <w:t>提供</w:t>
            </w:r>
            <w:r>
              <w:rPr>
                <w:rFonts w:hint="eastAsia" w:ascii="宋体" w:hAnsi="宋体" w:eastAsia="宋体" w:cs="宋体"/>
                <w:b/>
                <w:bCs/>
                <w:kern w:val="2"/>
                <w:sz w:val="24"/>
                <w:szCs w:val="24"/>
                <w:highlight w:val="none"/>
                <w:lang w:eastAsia="zh-CN"/>
              </w:rPr>
              <w:t>由法定代表人签字并加盖单位公章的</w:t>
            </w:r>
            <w:r>
              <w:rPr>
                <w:rFonts w:hint="eastAsia" w:ascii="宋体" w:hAnsi="宋体" w:eastAsia="宋体" w:cs="宋体"/>
                <w:b/>
                <w:bCs/>
                <w:kern w:val="2"/>
                <w:sz w:val="24"/>
                <w:szCs w:val="24"/>
                <w:highlight w:val="none"/>
                <w:lang w:val="en-US" w:eastAsia="zh-CN"/>
              </w:rPr>
              <w:t>其他要求</w:t>
            </w:r>
            <w:r>
              <w:rPr>
                <w:rFonts w:hint="eastAsia" w:ascii="宋体" w:hAnsi="宋体" w:eastAsia="宋体" w:cs="宋体"/>
                <w:b/>
                <w:bCs/>
                <w:kern w:val="2"/>
                <w:sz w:val="24"/>
                <w:szCs w:val="24"/>
                <w:highlight w:val="none"/>
                <w:lang w:eastAsia="zh-CN"/>
              </w:rPr>
              <w:t>承诺书。</w:t>
            </w:r>
          </w:p>
        </w:tc>
      </w:tr>
    </w:tbl>
    <w:p w14:paraId="3195A297">
      <w:pPr>
        <w:wordWrap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注：上述审查项目中，有一项不符合招标文件要求，该投标文件则作无效投标处理，不再进入符合性审查。</w:t>
      </w:r>
    </w:p>
    <w:p w14:paraId="70A00467">
      <w:pPr>
        <w:wordWrap w:val="0"/>
        <w:spacing w:line="360" w:lineRule="auto"/>
        <w:jc w:val="center"/>
        <w:rPr>
          <w:rFonts w:hint="eastAsia" w:ascii="宋体" w:hAnsi="宋体" w:eastAsia="宋体" w:cs="宋体"/>
          <w:b/>
          <w:color w:val="000000"/>
          <w:sz w:val="28"/>
          <w:szCs w:val="24"/>
          <w:highlight w:val="none"/>
        </w:rPr>
      </w:pPr>
      <w:r>
        <w:rPr>
          <w:rFonts w:hint="eastAsia" w:ascii="宋体" w:hAnsi="宋体" w:eastAsia="宋体" w:cs="宋体"/>
          <w:b/>
          <w:color w:val="000000"/>
          <w:sz w:val="28"/>
          <w:szCs w:val="24"/>
          <w:highlight w:val="none"/>
        </w:rPr>
        <w:br w:type="page"/>
      </w:r>
      <w:r>
        <w:rPr>
          <w:rFonts w:hint="eastAsia" w:ascii="宋体" w:hAnsi="宋体" w:eastAsia="宋体" w:cs="宋体"/>
          <w:b/>
          <w:color w:val="000000"/>
          <w:sz w:val="28"/>
          <w:szCs w:val="24"/>
          <w:highlight w:val="none"/>
        </w:rPr>
        <w:t>(二)符合性审查表</w:t>
      </w:r>
    </w:p>
    <w:tbl>
      <w:tblPr>
        <w:tblStyle w:val="20"/>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37"/>
        <w:gridCol w:w="1662"/>
        <w:gridCol w:w="6678"/>
      </w:tblGrid>
      <w:tr w14:paraId="4A8E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771" w:type="dxa"/>
            <w:noWrap w:val="0"/>
            <w:vAlign w:val="center"/>
          </w:tcPr>
          <w:p w14:paraId="1AB4C2E7">
            <w:pPr>
              <w:wordWrap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837" w:type="dxa"/>
            <w:noWrap w:val="0"/>
            <w:vAlign w:val="center"/>
          </w:tcPr>
          <w:p w14:paraId="5C7DAC14">
            <w:pPr>
              <w:wordWrap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类型</w:t>
            </w:r>
          </w:p>
        </w:tc>
        <w:tc>
          <w:tcPr>
            <w:tcW w:w="1662" w:type="dxa"/>
            <w:noWrap w:val="0"/>
            <w:vAlign w:val="center"/>
          </w:tcPr>
          <w:p w14:paraId="767A526F">
            <w:pPr>
              <w:wordWrap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审查要求</w:t>
            </w:r>
          </w:p>
        </w:tc>
        <w:tc>
          <w:tcPr>
            <w:tcW w:w="6678" w:type="dxa"/>
            <w:noWrap w:val="0"/>
            <w:vAlign w:val="center"/>
          </w:tcPr>
          <w:p w14:paraId="09870CBF">
            <w:pPr>
              <w:wordWrap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要求说明</w:t>
            </w:r>
          </w:p>
        </w:tc>
      </w:tr>
      <w:tr w14:paraId="018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5CF6EC17">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w:t>
            </w:r>
          </w:p>
        </w:tc>
        <w:tc>
          <w:tcPr>
            <w:tcW w:w="837" w:type="dxa"/>
            <w:noWrap w:val="0"/>
            <w:vAlign w:val="center"/>
          </w:tcPr>
          <w:p w14:paraId="0CEC339C">
            <w:pPr>
              <w:pStyle w:val="38"/>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技术</w:t>
            </w:r>
          </w:p>
        </w:tc>
        <w:tc>
          <w:tcPr>
            <w:tcW w:w="1662" w:type="dxa"/>
            <w:noWrap w:val="0"/>
            <w:vAlign w:val="center"/>
          </w:tcPr>
          <w:p w14:paraId="2D5765F1">
            <w:pPr>
              <w:pStyle w:val="38"/>
              <w:spacing w:line="240" w:lineRule="auto"/>
              <w:jc w:val="center"/>
              <w:rPr>
                <w:rFonts w:hint="eastAsia" w:ascii="宋体" w:hAnsi="宋体" w:eastAsia="宋体" w:cs="宋体"/>
                <w:kern w:val="2"/>
                <w:sz w:val="24"/>
                <w:szCs w:val="24"/>
                <w:highlight w:val="none"/>
                <w:lang w:eastAsia="zh-CN"/>
              </w:rPr>
            </w:pPr>
            <w:r>
              <w:rPr>
                <w:rFonts w:hint="eastAsia" w:ascii="宋体" w:hAnsi="宋体" w:eastAsia="宋体" w:cs="宋体"/>
                <w:color w:val="auto"/>
                <w:sz w:val="24"/>
                <w:szCs w:val="24"/>
                <w:highlight w:val="none"/>
                <w:lang w:eastAsia="zh-CN"/>
              </w:rPr>
              <w:t>技术标要求</w:t>
            </w:r>
          </w:p>
        </w:tc>
        <w:tc>
          <w:tcPr>
            <w:tcW w:w="6678" w:type="dxa"/>
            <w:noWrap w:val="0"/>
            <w:vAlign w:val="center"/>
          </w:tcPr>
          <w:p w14:paraId="16DB0416">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投标文件技术标必须遵守的统一格式和规范。</w:t>
            </w:r>
          </w:p>
          <w:p w14:paraId="00ECDA0C">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技术标文件（暗标）未按以下“盲评”要求制作的，为无效投标，除下述要求外，不得因暗标格式问题认定为无效投标：</w:t>
            </w:r>
          </w:p>
          <w:p w14:paraId="4C5952E6">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一、版面要求：A4纸张大小；</w:t>
            </w:r>
          </w:p>
          <w:p w14:paraId="7F2B9DD2">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二、颜色要求：所有文字、图、表均为黑色；</w:t>
            </w:r>
          </w:p>
          <w:p w14:paraId="4D486D69">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三、字体要求：标题及正文部分所用文字均采用“宋体”四号“常规”字；所有字体均不得出现加粗、加色、倾斜、下划线等标记；</w:t>
            </w:r>
          </w:p>
          <w:p w14:paraId="48F26B3F">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49F52E66">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8F029EF">
            <w:pPr>
              <w:widowControl/>
              <w:kinsoku w:val="0"/>
              <w:autoSpaceDE w:val="0"/>
              <w:autoSpaceDN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5CC9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1F2F9DC9">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w:t>
            </w:r>
          </w:p>
        </w:tc>
        <w:tc>
          <w:tcPr>
            <w:tcW w:w="837" w:type="dxa"/>
            <w:noWrap w:val="0"/>
            <w:vAlign w:val="center"/>
          </w:tcPr>
          <w:p w14:paraId="07939AD9">
            <w:pPr>
              <w:pStyle w:val="38"/>
              <w:wordWrap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w:t>
            </w:r>
          </w:p>
        </w:tc>
        <w:tc>
          <w:tcPr>
            <w:tcW w:w="1662" w:type="dxa"/>
            <w:noWrap w:val="0"/>
            <w:vAlign w:val="center"/>
          </w:tcPr>
          <w:p w14:paraId="6EC94011">
            <w:pPr>
              <w:pStyle w:val="38"/>
              <w:wordWrap w:val="0"/>
              <w:spacing w:line="24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投标人</w:t>
            </w:r>
            <w:r>
              <w:rPr>
                <w:rFonts w:hint="eastAsia" w:ascii="宋体" w:hAnsi="宋体" w:eastAsia="宋体" w:cs="宋体"/>
                <w:kern w:val="2"/>
                <w:sz w:val="24"/>
                <w:szCs w:val="24"/>
                <w:highlight w:val="none"/>
              </w:rPr>
              <w:t>名称</w:t>
            </w:r>
          </w:p>
        </w:tc>
        <w:tc>
          <w:tcPr>
            <w:tcW w:w="6678" w:type="dxa"/>
            <w:noWrap w:val="0"/>
            <w:vAlign w:val="center"/>
          </w:tcPr>
          <w:p w14:paraId="64A741B5">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color w:val="000000"/>
                <w:sz w:val="24"/>
                <w:szCs w:val="24"/>
                <w:highlight w:val="none"/>
                <w:lang w:eastAsia="en-US"/>
              </w:rPr>
            </w:pPr>
            <w:r>
              <w:rPr>
                <w:rFonts w:hint="eastAsia" w:ascii="宋体" w:hAnsi="宋体" w:eastAsia="宋体" w:cs="宋体"/>
                <w:sz w:val="24"/>
                <w:szCs w:val="24"/>
                <w:highlight w:val="none"/>
              </w:rPr>
              <w:t>与营业执照</w:t>
            </w:r>
            <w:r>
              <w:rPr>
                <w:rFonts w:hint="eastAsia" w:ascii="宋体" w:hAnsi="宋体" w:eastAsia="宋体" w:cs="宋体"/>
                <w:color w:val="000000"/>
                <w:sz w:val="24"/>
                <w:szCs w:val="24"/>
                <w:highlight w:val="none"/>
                <w:lang w:val="en-US" w:eastAsia="zh-CN"/>
              </w:rPr>
              <w:t>一致</w:t>
            </w:r>
          </w:p>
        </w:tc>
      </w:tr>
      <w:tr w14:paraId="06FF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555EBCD8">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3</w:t>
            </w:r>
          </w:p>
        </w:tc>
        <w:tc>
          <w:tcPr>
            <w:tcW w:w="837" w:type="dxa"/>
            <w:noWrap w:val="0"/>
            <w:vAlign w:val="center"/>
          </w:tcPr>
          <w:p w14:paraId="6F0875DE">
            <w:pPr>
              <w:pStyle w:val="38"/>
              <w:wordWrap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商务</w:t>
            </w:r>
          </w:p>
        </w:tc>
        <w:tc>
          <w:tcPr>
            <w:tcW w:w="1662" w:type="dxa"/>
            <w:noWrap w:val="0"/>
            <w:vAlign w:val="center"/>
          </w:tcPr>
          <w:p w14:paraId="53B50E6C">
            <w:pPr>
              <w:pStyle w:val="38"/>
              <w:wordWrap w:val="0"/>
              <w:spacing w:line="24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授权委托书</w:t>
            </w:r>
          </w:p>
        </w:tc>
        <w:tc>
          <w:tcPr>
            <w:tcW w:w="6678" w:type="dxa"/>
            <w:noWrap w:val="0"/>
            <w:vAlign w:val="center"/>
          </w:tcPr>
          <w:p w14:paraId="18094CBC">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的规定提供</w:t>
            </w:r>
            <w:r>
              <w:rPr>
                <w:rFonts w:hint="eastAsia" w:ascii="宋体" w:hAnsi="宋体" w:eastAsia="宋体" w:cs="宋体"/>
                <w:color w:val="000000"/>
                <w:sz w:val="24"/>
                <w:szCs w:val="24"/>
                <w:highlight w:val="none"/>
                <w:lang w:val="en-US" w:eastAsia="zh-CN"/>
              </w:rPr>
              <w:t>法定代表人身份证明书和</w:t>
            </w:r>
            <w:r>
              <w:rPr>
                <w:rFonts w:hint="eastAsia" w:ascii="宋体" w:hAnsi="宋体" w:eastAsia="宋体" w:cs="宋体"/>
                <w:color w:val="000000"/>
                <w:sz w:val="24"/>
                <w:szCs w:val="24"/>
                <w:highlight w:val="none"/>
              </w:rPr>
              <w:t>法定代表人授权委托书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法定代表人参加的则只需提供法定代表人身份证明书</w:t>
            </w:r>
            <w:r>
              <w:rPr>
                <w:rFonts w:hint="eastAsia" w:ascii="宋体" w:hAnsi="宋体" w:eastAsia="宋体" w:cs="宋体"/>
                <w:color w:val="000000"/>
                <w:sz w:val="24"/>
                <w:szCs w:val="24"/>
                <w:highlight w:val="none"/>
                <w:lang w:eastAsia="zh-CN"/>
              </w:rPr>
              <w:t>）</w:t>
            </w:r>
          </w:p>
        </w:tc>
      </w:tr>
      <w:tr w14:paraId="26D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24A348E2">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4</w:t>
            </w:r>
          </w:p>
        </w:tc>
        <w:tc>
          <w:tcPr>
            <w:tcW w:w="837" w:type="dxa"/>
            <w:noWrap w:val="0"/>
            <w:vAlign w:val="center"/>
          </w:tcPr>
          <w:p w14:paraId="206F3F46">
            <w:pPr>
              <w:pStyle w:val="38"/>
              <w:wordWrap w:val="0"/>
              <w:spacing w:line="240" w:lineRule="auto"/>
              <w:jc w:val="center"/>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z w:val="24"/>
                <w:szCs w:val="24"/>
                <w:highlight w:val="none"/>
                <w:lang w:eastAsia="zh-CN"/>
              </w:rPr>
              <w:t>商务</w:t>
            </w:r>
          </w:p>
        </w:tc>
        <w:tc>
          <w:tcPr>
            <w:tcW w:w="1662" w:type="dxa"/>
            <w:noWrap w:val="0"/>
            <w:vAlign w:val="center"/>
          </w:tcPr>
          <w:p w14:paraId="68DB7211">
            <w:pPr>
              <w:pStyle w:val="38"/>
              <w:wordWrap w:val="0"/>
              <w:spacing w:line="240" w:lineRule="auto"/>
              <w:jc w:val="center"/>
              <w:rPr>
                <w:rFonts w:hint="eastAsia" w:ascii="宋体" w:hAnsi="宋体" w:eastAsia="宋体" w:cs="宋体"/>
                <w:snapToGrid w:val="0"/>
                <w:color w:val="000000"/>
                <w:kern w:val="2"/>
                <w:sz w:val="24"/>
                <w:szCs w:val="24"/>
                <w:highlight w:val="none"/>
                <w:lang w:val="en-US" w:eastAsia="en-US" w:bidi="ar-SA"/>
              </w:rPr>
            </w:pPr>
            <w:r>
              <w:rPr>
                <w:rFonts w:hint="eastAsia" w:ascii="宋体" w:hAnsi="宋体" w:eastAsia="宋体" w:cs="宋体"/>
                <w:kern w:val="2"/>
                <w:sz w:val="24"/>
                <w:szCs w:val="24"/>
                <w:highlight w:val="none"/>
              </w:rPr>
              <w:t>投标函签字盖章</w:t>
            </w:r>
          </w:p>
        </w:tc>
        <w:tc>
          <w:tcPr>
            <w:tcW w:w="6678" w:type="dxa"/>
            <w:noWrap w:val="0"/>
            <w:vAlign w:val="center"/>
          </w:tcPr>
          <w:p w14:paraId="0FA43C7D">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均应加盖投标人印章并经法定代表人或其委托代理人签字或盖章</w:t>
            </w:r>
          </w:p>
        </w:tc>
      </w:tr>
      <w:tr w14:paraId="0E9B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14A48A0E">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5</w:t>
            </w:r>
          </w:p>
        </w:tc>
        <w:tc>
          <w:tcPr>
            <w:tcW w:w="837" w:type="dxa"/>
            <w:noWrap w:val="0"/>
            <w:vAlign w:val="center"/>
          </w:tcPr>
          <w:p w14:paraId="4D4C466C">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eastAsia="zh-CN"/>
              </w:rPr>
              <w:t>商务</w:t>
            </w:r>
          </w:p>
        </w:tc>
        <w:tc>
          <w:tcPr>
            <w:tcW w:w="1662" w:type="dxa"/>
            <w:noWrap w:val="0"/>
            <w:vAlign w:val="center"/>
          </w:tcPr>
          <w:p w14:paraId="2FF3246A">
            <w:pPr>
              <w:pStyle w:val="38"/>
              <w:wordWrap w:val="0"/>
              <w:spacing w:line="240" w:lineRule="auto"/>
              <w:jc w:val="center"/>
              <w:rPr>
                <w:rFonts w:hint="eastAsia" w:ascii="宋体" w:hAnsi="宋体" w:eastAsia="宋体" w:cs="宋体"/>
                <w:snapToGrid w:val="0"/>
                <w:color w:val="000000"/>
                <w:kern w:val="2"/>
                <w:sz w:val="24"/>
                <w:szCs w:val="24"/>
                <w:highlight w:val="none"/>
                <w:lang w:val="en-US" w:eastAsia="en-US" w:bidi="ar-SA"/>
              </w:rPr>
            </w:pPr>
            <w:r>
              <w:rPr>
                <w:rFonts w:hint="eastAsia" w:ascii="宋体" w:hAnsi="宋体" w:eastAsia="宋体" w:cs="宋体"/>
                <w:kern w:val="2"/>
                <w:sz w:val="24"/>
                <w:szCs w:val="24"/>
                <w:highlight w:val="none"/>
                <w:lang w:eastAsia="zh-CN"/>
              </w:rPr>
              <w:t>投标文件</w:t>
            </w:r>
            <w:r>
              <w:rPr>
                <w:rFonts w:hint="eastAsia" w:ascii="宋体" w:hAnsi="宋体" w:eastAsia="宋体" w:cs="宋体"/>
                <w:kern w:val="2"/>
                <w:sz w:val="24"/>
                <w:szCs w:val="24"/>
                <w:highlight w:val="none"/>
              </w:rPr>
              <w:t>格式</w:t>
            </w:r>
          </w:p>
        </w:tc>
        <w:tc>
          <w:tcPr>
            <w:tcW w:w="6678" w:type="dxa"/>
            <w:noWrap w:val="0"/>
            <w:vAlign w:val="center"/>
          </w:tcPr>
          <w:p w14:paraId="5E7EC5EE">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符合招标文件中“投标文件格式”的要求，按招标文件的要求盖章、签署</w:t>
            </w:r>
          </w:p>
        </w:tc>
      </w:tr>
      <w:tr w14:paraId="23E5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1" w:type="dxa"/>
            <w:shd w:val="clear" w:color="auto" w:fill="auto"/>
            <w:noWrap w:val="0"/>
            <w:vAlign w:val="center"/>
          </w:tcPr>
          <w:p w14:paraId="6EA5C93C">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6</w:t>
            </w:r>
          </w:p>
        </w:tc>
        <w:tc>
          <w:tcPr>
            <w:tcW w:w="837" w:type="dxa"/>
            <w:noWrap w:val="0"/>
            <w:vAlign w:val="center"/>
          </w:tcPr>
          <w:p w14:paraId="799D44D6">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商务</w:t>
            </w:r>
          </w:p>
        </w:tc>
        <w:tc>
          <w:tcPr>
            <w:tcW w:w="1662" w:type="dxa"/>
            <w:noWrap w:val="0"/>
            <w:vAlign w:val="center"/>
          </w:tcPr>
          <w:p w14:paraId="7909C814">
            <w:pPr>
              <w:pStyle w:val="38"/>
              <w:wordWrap w:val="0"/>
              <w:spacing w:line="240" w:lineRule="auto"/>
              <w:jc w:val="center"/>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投标保证金</w:t>
            </w:r>
          </w:p>
        </w:tc>
        <w:tc>
          <w:tcPr>
            <w:tcW w:w="6678" w:type="dxa"/>
            <w:noWrap w:val="0"/>
            <w:vAlign w:val="center"/>
          </w:tcPr>
          <w:p w14:paraId="548B3DBE">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按照招标文件的规定提供相关</w:t>
            </w:r>
            <w:r>
              <w:rPr>
                <w:rFonts w:hint="eastAsia" w:ascii="宋体" w:hAnsi="宋体" w:cs="宋体"/>
                <w:snapToGrid/>
                <w:color w:val="auto"/>
                <w:kern w:val="2"/>
                <w:sz w:val="24"/>
                <w:szCs w:val="24"/>
                <w:highlight w:val="none"/>
                <w:lang w:val="en-US" w:eastAsia="zh-CN" w:bidi="ar-SA"/>
              </w:rPr>
              <w:t>证明</w:t>
            </w:r>
            <w:r>
              <w:rPr>
                <w:rFonts w:hint="eastAsia" w:ascii="宋体" w:hAnsi="宋体" w:eastAsia="宋体" w:cs="宋体"/>
                <w:snapToGrid/>
                <w:color w:val="auto"/>
                <w:kern w:val="2"/>
                <w:sz w:val="24"/>
                <w:szCs w:val="24"/>
                <w:highlight w:val="none"/>
                <w:lang w:val="en-US" w:eastAsia="zh-CN" w:bidi="ar-SA"/>
              </w:rPr>
              <w:t>材料</w:t>
            </w:r>
          </w:p>
        </w:tc>
      </w:tr>
      <w:tr w14:paraId="0E35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294D52F2">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7</w:t>
            </w:r>
          </w:p>
        </w:tc>
        <w:tc>
          <w:tcPr>
            <w:tcW w:w="837" w:type="dxa"/>
            <w:noWrap w:val="0"/>
            <w:vAlign w:val="center"/>
          </w:tcPr>
          <w:p w14:paraId="7FBA50AC">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eastAsia="zh-CN"/>
              </w:rPr>
              <w:t>商务</w:t>
            </w:r>
          </w:p>
        </w:tc>
        <w:tc>
          <w:tcPr>
            <w:tcW w:w="1662" w:type="dxa"/>
            <w:noWrap w:val="0"/>
            <w:vAlign w:val="center"/>
          </w:tcPr>
          <w:p w14:paraId="71BFA3E1">
            <w:pPr>
              <w:pStyle w:val="38"/>
              <w:wordWrap w:val="0"/>
              <w:spacing w:line="240" w:lineRule="auto"/>
              <w:jc w:val="center"/>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合同履行期限</w:t>
            </w:r>
          </w:p>
        </w:tc>
        <w:tc>
          <w:tcPr>
            <w:tcW w:w="6678" w:type="dxa"/>
            <w:noWrap w:val="0"/>
            <w:vAlign w:val="center"/>
          </w:tcPr>
          <w:p w14:paraId="21667899">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接到供货指令后30日内完成供货、安装、调试</w:t>
            </w:r>
          </w:p>
        </w:tc>
      </w:tr>
      <w:tr w14:paraId="530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57EA872F">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8</w:t>
            </w:r>
          </w:p>
        </w:tc>
        <w:tc>
          <w:tcPr>
            <w:tcW w:w="837" w:type="dxa"/>
            <w:noWrap w:val="0"/>
            <w:vAlign w:val="center"/>
          </w:tcPr>
          <w:p w14:paraId="6A08E0A1">
            <w:pPr>
              <w:pStyle w:val="38"/>
              <w:wordWrap w:val="0"/>
              <w:spacing w:line="24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w:t>
            </w:r>
          </w:p>
        </w:tc>
        <w:tc>
          <w:tcPr>
            <w:tcW w:w="1662" w:type="dxa"/>
            <w:noWrap w:val="0"/>
            <w:vAlign w:val="center"/>
          </w:tcPr>
          <w:p w14:paraId="77070304">
            <w:pPr>
              <w:pStyle w:val="38"/>
              <w:wordWrap w:val="0"/>
              <w:spacing w:line="240" w:lineRule="auto"/>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质量要求</w:t>
            </w:r>
          </w:p>
        </w:tc>
        <w:tc>
          <w:tcPr>
            <w:tcW w:w="6678" w:type="dxa"/>
            <w:noWrap w:val="0"/>
            <w:vAlign w:val="center"/>
          </w:tcPr>
          <w:p w14:paraId="6B2CC64C">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符合国家及行业相关合格标准</w:t>
            </w:r>
          </w:p>
        </w:tc>
      </w:tr>
      <w:tr w14:paraId="2836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2FD6EED1">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9</w:t>
            </w:r>
          </w:p>
        </w:tc>
        <w:tc>
          <w:tcPr>
            <w:tcW w:w="837" w:type="dxa"/>
            <w:noWrap w:val="0"/>
            <w:vAlign w:val="center"/>
          </w:tcPr>
          <w:p w14:paraId="6676681B">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eastAsia="zh-CN"/>
              </w:rPr>
              <w:t>商务</w:t>
            </w:r>
          </w:p>
        </w:tc>
        <w:tc>
          <w:tcPr>
            <w:tcW w:w="1662" w:type="dxa"/>
            <w:noWrap w:val="0"/>
            <w:vAlign w:val="center"/>
          </w:tcPr>
          <w:p w14:paraId="377D7536">
            <w:pPr>
              <w:pStyle w:val="38"/>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kern w:val="2"/>
                <w:sz w:val="24"/>
                <w:szCs w:val="24"/>
                <w:highlight w:val="none"/>
                <w:lang w:eastAsia="zh-CN"/>
              </w:rPr>
              <w:t>投标有效期</w:t>
            </w:r>
          </w:p>
        </w:tc>
        <w:tc>
          <w:tcPr>
            <w:tcW w:w="6678" w:type="dxa"/>
            <w:noWrap w:val="0"/>
            <w:vAlign w:val="center"/>
          </w:tcPr>
          <w:p w14:paraId="2E921073">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投标文件递交截止之日后90天(日历天)</w:t>
            </w:r>
          </w:p>
        </w:tc>
      </w:tr>
      <w:tr w14:paraId="3670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12E4E98F">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10</w:t>
            </w:r>
          </w:p>
        </w:tc>
        <w:tc>
          <w:tcPr>
            <w:tcW w:w="837" w:type="dxa"/>
            <w:noWrap w:val="0"/>
            <w:vAlign w:val="center"/>
          </w:tcPr>
          <w:p w14:paraId="7FF75258">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商务</w:t>
            </w:r>
          </w:p>
        </w:tc>
        <w:tc>
          <w:tcPr>
            <w:tcW w:w="1662" w:type="dxa"/>
            <w:noWrap w:val="0"/>
            <w:vAlign w:val="center"/>
          </w:tcPr>
          <w:p w14:paraId="425661E8">
            <w:pPr>
              <w:pStyle w:val="38"/>
              <w:wordWrap w:val="0"/>
              <w:spacing w:line="240" w:lineRule="auto"/>
              <w:jc w:val="center"/>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联合体投标</w:t>
            </w:r>
          </w:p>
        </w:tc>
        <w:tc>
          <w:tcPr>
            <w:tcW w:w="6678" w:type="dxa"/>
            <w:noWrap w:val="0"/>
            <w:vAlign w:val="center"/>
          </w:tcPr>
          <w:p w14:paraId="5173CB5B">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投标人非联合体投标。</w:t>
            </w:r>
          </w:p>
        </w:tc>
      </w:tr>
      <w:tr w14:paraId="794E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37171CB2">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11</w:t>
            </w:r>
          </w:p>
        </w:tc>
        <w:tc>
          <w:tcPr>
            <w:tcW w:w="837" w:type="dxa"/>
            <w:noWrap w:val="0"/>
            <w:vAlign w:val="center"/>
          </w:tcPr>
          <w:p w14:paraId="40517104">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商务</w:t>
            </w:r>
          </w:p>
        </w:tc>
        <w:tc>
          <w:tcPr>
            <w:tcW w:w="1662" w:type="dxa"/>
            <w:noWrap w:val="0"/>
            <w:vAlign w:val="center"/>
          </w:tcPr>
          <w:p w14:paraId="57B39B02">
            <w:pPr>
              <w:pStyle w:val="38"/>
              <w:wordWrap w:val="0"/>
              <w:spacing w:line="240" w:lineRule="auto"/>
              <w:jc w:val="center"/>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实质性条款</w:t>
            </w:r>
          </w:p>
        </w:tc>
        <w:tc>
          <w:tcPr>
            <w:tcW w:w="6678" w:type="dxa"/>
            <w:noWrap w:val="0"/>
            <w:vAlign w:val="center"/>
          </w:tcPr>
          <w:p w14:paraId="5A12A698">
            <w:pPr>
              <w:widowControl/>
              <w:kinsoku w:val="0"/>
              <w:wordWrap w:val="0"/>
              <w:autoSpaceDE w:val="0"/>
              <w:autoSpaceDN w:val="0"/>
              <w:adjustRightInd w:val="0"/>
              <w:snapToGrid w:val="0"/>
              <w:spacing w:line="240" w:lineRule="auto"/>
              <w:jc w:val="left"/>
              <w:textAlignment w:val="baseline"/>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响应招标文件规定的全部实质性条款。</w:t>
            </w:r>
          </w:p>
        </w:tc>
      </w:tr>
      <w:tr w14:paraId="17A9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03A6AC1D">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12</w:t>
            </w:r>
          </w:p>
        </w:tc>
        <w:tc>
          <w:tcPr>
            <w:tcW w:w="837" w:type="dxa"/>
            <w:noWrap w:val="0"/>
            <w:vAlign w:val="center"/>
          </w:tcPr>
          <w:p w14:paraId="2CB31D42">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商务</w:t>
            </w:r>
          </w:p>
        </w:tc>
        <w:tc>
          <w:tcPr>
            <w:tcW w:w="1662" w:type="dxa"/>
            <w:noWrap w:val="0"/>
            <w:vAlign w:val="center"/>
          </w:tcPr>
          <w:p w14:paraId="1D5C68EF">
            <w:pPr>
              <w:pStyle w:val="38"/>
              <w:wordWrap w:val="0"/>
              <w:spacing w:line="240" w:lineRule="auto"/>
              <w:jc w:val="center"/>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z w:val="24"/>
                <w:szCs w:val="24"/>
                <w:highlight w:val="none"/>
                <w:lang w:eastAsia="zh-CN"/>
              </w:rPr>
              <w:t>采购需求</w:t>
            </w:r>
          </w:p>
        </w:tc>
        <w:tc>
          <w:tcPr>
            <w:tcW w:w="6678" w:type="dxa"/>
            <w:noWrap w:val="0"/>
            <w:vAlign w:val="center"/>
          </w:tcPr>
          <w:p w14:paraId="58353804">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z w:val="24"/>
                <w:szCs w:val="24"/>
                <w:highlight w:val="none"/>
              </w:rPr>
              <w:t>满足招标文件第五章"采购需求"</w:t>
            </w:r>
            <w:r>
              <w:rPr>
                <w:rFonts w:hint="eastAsia" w:ascii="宋体" w:hAnsi="宋体" w:eastAsia="宋体" w:cs="宋体"/>
                <w:sz w:val="24"/>
                <w:szCs w:val="24"/>
                <w:highlight w:val="none"/>
                <w:lang w:eastAsia="zh-CN"/>
              </w:rPr>
              <w:t>。</w:t>
            </w:r>
          </w:p>
        </w:tc>
      </w:tr>
      <w:tr w14:paraId="0C2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shd w:val="clear" w:color="auto" w:fill="auto"/>
            <w:noWrap w:val="0"/>
            <w:vAlign w:val="center"/>
          </w:tcPr>
          <w:p w14:paraId="2E1632B4">
            <w:pPr>
              <w:wordWrap w:val="0"/>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13</w:t>
            </w:r>
          </w:p>
        </w:tc>
        <w:tc>
          <w:tcPr>
            <w:tcW w:w="837" w:type="dxa"/>
            <w:noWrap w:val="0"/>
            <w:vAlign w:val="center"/>
          </w:tcPr>
          <w:p w14:paraId="581A385F">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eastAsia="zh-CN"/>
              </w:rPr>
              <w:t>报价</w:t>
            </w:r>
          </w:p>
        </w:tc>
        <w:tc>
          <w:tcPr>
            <w:tcW w:w="1662" w:type="dxa"/>
            <w:noWrap w:val="0"/>
            <w:vAlign w:val="center"/>
          </w:tcPr>
          <w:p w14:paraId="0DE0B400">
            <w:pPr>
              <w:pStyle w:val="38"/>
              <w:wordWrap w:val="0"/>
              <w:spacing w:line="240" w:lineRule="auto"/>
              <w:jc w:val="center"/>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kern w:val="2"/>
                <w:sz w:val="24"/>
                <w:szCs w:val="24"/>
                <w:highlight w:val="none"/>
              </w:rPr>
              <w:t>报价唯一</w:t>
            </w:r>
          </w:p>
        </w:tc>
        <w:tc>
          <w:tcPr>
            <w:tcW w:w="6678" w:type="dxa"/>
            <w:noWrap w:val="0"/>
            <w:vAlign w:val="center"/>
          </w:tcPr>
          <w:p w14:paraId="76068265">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z w:val="24"/>
                <w:szCs w:val="24"/>
                <w:highlight w:val="none"/>
              </w:rPr>
              <w:t>只能有一个有效报价。</w:t>
            </w:r>
          </w:p>
        </w:tc>
      </w:tr>
      <w:tr w14:paraId="7EA1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 w:type="dxa"/>
            <w:noWrap w:val="0"/>
            <w:vAlign w:val="center"/>
          </w:tcPr>
          <w:p w14:paraId="013C75F4">
            <w:pPr>
              <w:wordWrap w:val="0"/>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837" w:type="dxa"/>
            <w:noWrap w:val="0"/>
            <w:vAlign w:val="center"/>
          </w:tcPr>
          <w:p w14:paraId="6C7E2BED">
            <w:pPr>
              <w:pStyle w:val="38"/>
              <w:wordWrap w:val="0"/>
              <w:spacing w:line="24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eastAsia="zh-CN"/>
              </w:rPr>
              <w:t>报价</w:t>
            </w:r>
          </w:p>
        </w:tc>
        <w:tc>
          <w:tcPr>
            <w:tcW w:w="1662" w:type="dxa"/>
            <w:noWrap w:val="0"/>
            <w:vAlign w:val="center"/>
          </w:tcPr>
          <w:p w14:paraId="238947C3">
            <w:pPr>
              <w:pStyle w:val="38"/>
              <w:wordWrap w:val="0"/>
              <w:spacing w:line="240" w:lineRule="auto"/>
              <w:jc w:val="center"/>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报价</w:t>
            </w:r>
          </w:p>
        </w:tc>
        <w:tc>
          <w:tcPr>
            <w:tcW w:w="6678" w:type="dxa"/>
            <w:noWrap w:val="0"/>
            <w:vAlign w:val="center"/>
          </w:tcPr>
          <w:p w14:paraId="5ED2DE2F">
            <w:pPr>
              <w:widowControl/>
              <w:kinsoku w:val="0"/>
              <w:wordWrap w:val="0"/>
              <w:autoSpaceDE w:val="0"/>
              <w:autoSpaceDN w:val="0"/>
              <w:adjustRightInd w:val="0"/>
              <w:snapToGrid w:val="0"/>
              <w:spacing w:line="240" w:lineRule="auto"/>
              <w:jc w:val="left"/>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不超过最高限价(超出最高限价的投标报价其投标文件将被否决)</w:t>
            </w:r>
            <w:r>
              <w:rPr>
                <w:rFonts w:hint="eastAsia" w:ascii="宋体" w:hAnsi="宋体" w:eastAsia="宋体" w:cs="宋体"/>
                <w:sz w:val="24"/>
                <w:szCs w:val="24"/>
                <w:highlight w:val="none"/>
                <w:lang w:eastAsia="zh-CN"/>
              </w:rPr>
              <w:t>。</w:t>
            </w:r>
          </w:p>
        </w:tc>
      </w:tr>
    </w:tbl>
    <w:p w14:paraId="55151F7D">
      <w:pPr>
        <w:wordWrap w:val="0"/>
        <w:spacing w:line="360" w:lineRule="auto"/>
        <w:ind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注：投标文件不符合以上条件之一的，该投标文件作无效处理。不再</w:t>
      </w:r>
      <w:r>
        <w:rPr>
          <w:rFonts w:hint="eastAsia" w:ascii="宋体" w:hAnsi="宋体" w:eastAsia="宋体" w:cs="宋体"/>
          <w:color w:val="000000"/>
          <w:kern w:val="0"/>
          <w:szCs w:val="21"/>
          <w:highlight w:val="none"/>
        </w:rPr>
        <w:t>进行</w:t>
      </w:r>
      <w:r>
        <w:rPr>
          <w:rFonts w:hint="eastAsia" w:ascii="宋体" w:hAnsi="宋体" w:eastAsia="宋体" w:cs="宋体"/>
          <w:color w:val="000000"/>
          <w:szCs w:val="21"/>
          <w:highlight w:val="none"/>
          <w:shd w:val="clear" w:color="auto" w:fill="FFFFFF"/>
        </w:rPr>
        <w:t>详细评审</w:t>
      </w:r>
      <w:r>
        <w:rPr>
          <w:rFonts w:hint="eastAsia" w:ascii="宋体" w:hAnsi="宋体" w:eastAsia="宋体" w:cs="宋体"/>
          <w:color w:val="000000"/>
          <w:kern w:val="0"/>
          <w:szCs w:val="21"/>
          <w:highlight w:val="none"/>
        </w:rPr>
        <w:t>。</w:t>
      </w:r>
    </w:p>
    <w:p w14:paraId="72F838FE">
      <w:pPr>
        <w:pStyle w:val="19"/>
        <w:wordWrap w:val="0"/>
        <w:spacing w:line="360" w:lineRule="auto"/>
        <w:rPr>
          <w:rFonts w:hint="eastAsia" w:ascii="宋体" w:hAnsi="宋体" w:eastAsia="宋体" w:cs="宋体"/>
          <w:bCs/>
          <w:color w:val="000000"/>
          <w:highlight w:val="none"/>
          <w:lang w:val="zh-CN"/>
        </w:rPr>
      </w:pPr>
    </w:p>
    <w:p w14:paraId="2ABCA4DF">
      <w:pPr>
        <w:numPr>
          <w:ilvl w:val="0"/>
          <w:numId w:val="2"/>
        </w:numPr>
        <w:wordWrap w:val="0"/>
        <w:spacing w:line="360" w:lineRule="auto"/>
        <w:jc w:val="center"/>
        <w:rPr>
          <w:rFonts w:hint="eastAsia" w:ascii="宋体" w:hAnsi="宋体" w:eastAsia="宋体" w:cs="宋体"/>
          <w:b/>
          <w:bCs/>
          <w:sz w:val="28"/>
          <w:szCs w:val="28"/>
          <w:highlight w:val="none"/>
        </w:rPr>
        <w:sectPr>
          <w:footerReference r:id="rId13" w:type="first"/>
          <w:footerReference r:id="rId12" w:type="default"/>
          <w:pgSz w:w="11906" w:h="16838"/>
          <w:pgMar w:top="1134" w:right="1134" w:bottom="1134" w:left="1134" w:header="1134" w:footer="992" w:gutter="0"/>
          <w:pgNumType w:fmt="decimal"/>
          <w:cols w:space="720" w:num="1"/>
          <w:titlePg/>
          <w:docGrid w:type="lines" w:linePitch="312" w:charSpace="0"/>
        </w:sectPr>
      </w:pPr>
    </w:p>
    <w:p w14:paraId="6F0E1274">
      <w:pPr>
        <w:pageBreakBefore w:val="0"/>
        <w:widowControl/>
        <w:kinsoku/>
        <w:wordWrap w:val="0"/>
        <w:overflowPunct/>
        <w:bidi w:val="0"/>
        <w:jc w:val="center"/>
        <w:rPr>
          <w:rFonts w:hint="eastAsia" w:ascii="仿宋" w:eastAsia="仿宋" w:cs="仿宋"/>
          <w:b/>
          <w:sz w:val="28"/>
          <w:szCs w:val="20"/>
          <w:highlight w:val="none"/>
        </w:rPr>
      </w:pPr>
      <w:r>
        <w:rPr>
          <w:rFonts w:hint="eastAsia" w:ascii="宋体" w:hAnsi="宋体" w:cs="宋体"/>
          <w:b/>
          <w:sz w:val="28"/>
          <w:szCs w:val="20"/>
          <w:highlight w:val="none"/>
        </w:rPr>
        <w:t>评分标准（详细评审）</w:t>
      </w:r>
    </w:p>
    <w:bookmarkEnd w:id="374"/>
    <w:tbl>
      <w:tblPr>
        <w:tblStyle w:val="20"/>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875"/>
        <w:gridCol w:w="1237"/>
        <w:gridCol w:w="745"/>
        <w:gridCol w:w="6040"/>
      </w:tblGrid>
      <w:tr w14:paraId="1772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715E042B">
            <w:pPr>
              <w:spacing w:line="240" w:lineRule="auto"/>
              <w:ind w:firstLine="28"/>
              <w:jc w:val="center"/>
              <w:rPr>
                <w:rFonts w:hint="eastAsia" w:ascii="宋体" w:hAnsi="宋体" w:eastAsia="宋体" w:cs="宋体"/>
                <w:b/>
                <w:bCs w:val="0"/>
                <w:sz w:val="24"/>
                <w:szCs w:val="24"/>
              </w:rPr>
            </w:pPr>
            <w:bookmarkStart w:id="375" w:name="_Toc409424392"/>
            <w:bookmarkStart w:id="376" w:name="_Toc152045600"/>
            <w:bookmarkStart w:id="377" w:name="_Toc468267473"/>
            <w:bookmarkStart w:id="378" w:name="_Toc152042377"/>
            <w:bookmarkStart w:id="379" w:name="_Toc179632618"/>
            <w:bookmarkStart w:id="380" w:name="_Toc246996243"/>
            <w:bookmarkStart w:id="381" w:name="_Toc409424331"/>
            <w:bookmarkStart w:id="382" w:name="_Toc144974567"/>
            <w:bookmarkStart w:id="383" w:name="_Toc246996986"/>
            <w:bookmarkStart w:id="384" w:name="_Toc247085758"/>
            <w:r>
              <w:rPr>
                <w:rFonts w:hint="eastAsia" w:ascii="宋体" w:hAnsi="宋体" w:eastAsia="宋体" w:cs="宋体"/>
                <w:b/>
                <w:bCs w:val="0"/>
                <w:sz w:val="24"/>
                <w:szCs w:val="24"/>
              </w:rPr>
              <w:t>序号</w:t>
            </w:r>
          </w:p>
        </w:tc>
        <w:tc>
          <w:tcPr>
            <w:tcW w:w="1091" w:type="pct"/>
            <w:gridSpan w:val="2"/>
            <w:tcBorders>
              <w:top w:val="single" w:color="auto" w:sz="4" w:space="0"/>
              <w:left w:val="single" w:color="auto" w:sz="4" w:space="0"/>
              <w:bottom w:val="single" w:color="auto" w:sz="4" w:space="0"/>
              <w:right w:val="single" w:color="auto" w:sz="4" w:space="0"/>
            </w:tcBorders>
            <w:noWrap w:val="0"/>
            <w:vAlign w:val="center"/>
          </w:tcPr>
          <w:p w14:paraId="64E5A5C1">
            <w:pPr>
              <w:spacing w:line="240" w:lineRule="auto"/>
              <w:ind w:firstLine="28"/>
              <w:jc w:val="center"/>
              <w:rPr>
                <w:rFonts w:hint="eastAsia" w:ascii="宋体" w:hAnsi="宋体" w:eastAsia="宋体" w:cs="宋体"/>
                <w:b/>
                <w:bCs w:val="0"/>
                <w:sz w:val="24"/>
                <w:szCs w:val="24"/>
              </w:rPr>
            </w:pPr>
            <w:r>
              <w:rPr>
                <w:rFonts w:hint="eastAsia" w:ascii="宋体" w:hAnsi="宋体" w:eastAsia="宋体" w:cs="宋体"/>
                <w:b/>
                <w:bCs w:val="0"/>
                <w:sz w:val="24"/>
                <w:szCs w:val="24"/>
              </w:rPr>
              <w:t>评分因素</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5AC7C13F">
            <w:pPr>
              <w:spacing w:line="240" w:lineRule="auto"/>
              <w:ind w:firstLine="28"/>
              <w:jc w:val="center"/>
              <w:rPr>
                <w:rFonts w:hint="eastAsia" w:ascii="宋体" w:hAnsi="宋体" w:eastAsia="宋体" w:cs="宋体"/>
                <w:b/>
                <w:bCs w:val="0"/>
                <w:sz w:val="24"/>
                <w:szCs w:val="24"/>
              </w:rPr>
            </w:pPr>
            <w:r>
              <w:rPr>
                <w:rFonts w:hint="eastAsia" w:ascii="宋体" w:hAnsi="宋体" w:eastAsia="宋体" w:cs="宋体"/>
                <w:b/>
                <w:bCs w:val="0"/>
                <w:sz w:val="24"/>
                <w:szCs w:val="24"/>
              </w:rPr>
              <w:t>分值</w:t>
            </w:r>
          </w:p>
        </w:tc>
        <w:tc>
          <w:tcPr>
            <w:tcW w:w="3121" w:type="pct"/>
            <w:tcBorders>
              <w:top w:val="single" w:color="auto" w:sz="4" w:space="0"/>
              <w:left w:val="single" w:color="auto" w:sz="4" w:space="0"/>
              <w:bottom w:val="single" w:color="auto" w:sz="4" w:space="0"/>
              <w:right w:val="single" w:color="auto" w:sz="4" w:space="0"/>
            </w:tcBorders>
            <w:noWrap w:val="0"/>
            <w:vAlign w:val="center"/>
          </w:tcPr>
          <w:p w14:paraId="556EF5DD">
            <w:pPr>
              <w:spacing w:line="240" w:lineRule="auto"/>
              <w:ind w:firstLine="28"/>
              <w:jc w:val="center"/>
              <w:rPr>
                <w:rFonts w:hint="eastAsia" w:ascii="宋体" w:hAnsi="宋体" w:eastAsia="宋体" w:cs="宋体"/>
                <w:b/>
                <w:bCs w:val="0"/>
                <w:sz w:val="24"/>
                <w:szCs w:val="24"/>
              </w:rPr>
            </w:pPr>
            <w:r>
              <w:rPr>
                <w:rFonts w:hint="eastAsia" w:ascii="宋体" w:hAnsi="宋体" w:eastAsia="宋体" w:cs="宋体"/>
                <w:b/>
                <w:bCs w:val="0"/>
                <w:sz w:val="24"/>
                <w:szCs w:val="24"/>
              </w:rPr>
              <w:t>评分标准</w:t>
            </w:r>
          </w:p>
        </w:tc>
      </w:tr>
      <w:tr w14:paraId="06F6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251D8302">
            <w:pPr>
              <w:jc w:val="center"/>
              <w:rPr>
                <w:rFonts w:hint="eastAsia" w:ascii="宋体" w:hAnsi="宋体" w:eastAsia="宋体" w:cs="宋体"/>
                <w:sz w:val="24"/>
                <w:szCs w:val="32"/>
              </w:rPr>
            </w:pPr>
            <w:r>
              <w:rPr>
                <w:rFonts w:hint="eastAsia" w:ascii="宋体" w:hAnsi="宋体" w:eastAsia="宋体" w:cs="宋体"/>
                <w:sz w:val="24"/>
                <w:szCs w:val="32"/>
              </w:rPr>
              <w:t>1</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1DA5E585">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价格部分</w:t>
            </w:r>
          </w:p>
          <w:p w14:paraId="239B287E">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（30分）</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333513D0">
            <w:pPr>
              <w:jc w:val="center"/>
              <w:rPr>
                <w:rFonts w:hint="eastAsia" w:ascii="宋体" w:hAnsi="宋体" w:eastAsia="宋体" w:cs="宋体"/>
                <w:sz w:val="24"/>
                <w:szCs w:val="32"/>
                <w:lang w:val="en-US" w:eastAsia="zh-CN"/>
              </w:rPr>
            </w:pPr>
            <w:r>
              <w:rPr>
                <w:rFonts w:hint="eastAsia" w:ascii="宋体" w:hAnsi="宋体" w:eastAsia="宋体" w:cs="宋体"/>
                <w:sz w:val="24"/>
                <w:szCs w:val="32"/>
              </w:rPr>
              <w:t>报价</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784678CB">
            <w:pPr>
              <w:jc w:val="center"/>
              <w:rPr>
                <w:rFonts w:hint="eastAsia" w:ascii="宋体" w:hAnsi="宋体" w:eastAsia="宋体" w:cs="宋体"/>
                <w:sz w:val="24"/>
                <w:szCs w:val="32"/>
                <w:lang w:val="en-US" w:eastAsia="zh-CN"/>
              </w:rPr>
            </w:pPr>
            <w:r>
              <w:rPr>
                <w:rFonts w:hint="eastAsia" w:ascii="宋体" w:hAnsi="宋体" w:eastAsia="宋体" w:cs="宋体"/>
                <w:sz w:val="24"/>
                <w:szCs w:val="32"/>
              </w:rPr>
              <w:t>30</w:t>
            </w:r>
            <w:r>
              <w:rPr>
                <w:rFonts w:hint="eastAsia" w:ascii="宋体" w:hAnsi="宋体" w:eastAsia="宋体" w:cs="宋体"/>
                <w:sz w:val="24"/>
                <w:szCs w:val="32"/>
                <w:lang w:val="en-US" w:eastAsia="zh-CN"/>
              </w:rPr>
              <w:t>分</w:t>
            </w:r>
          </w:p>
        </w:tc>
        <w:tc>
          <w:tcPr>
            <w:tcW w:w="3121" w:type="pct"/>
            <w:tcBorders>
              <w:top w:val="single" w:color="auto" w:sz="4" w:space="0"/>
              <w:left w:val="single" w:color="auto" w:sz="4" w:space="0"/>
              <w:bottom w:val="single" w:color="auto" w:sz="4" w:space="0"/>
              <w:right w:val="single" w:color="auto" w:sz="4" w:space="0"/>
            </w:tcBorders>
            <w:noWrap w:val="0"/>
            <w:vAlign w:val="center"/>
          </w:tcPr>
          <w:p w14:paraId="060DDDA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完全满足招标文件技术参数要求且投标报价最低的（作为评标基准价）得30分，其他投标人的报价得分=（评标基准价/投标报价）×30%×100。保留两位小数。</w:t>
            </w:r>
          </w:p>
          <w:p w14:paraId="18306B78">
            <w:pPr>
              <w:pStyle w:val="44"/>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DB6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restart"/>
            <w:tcBorders>
              <w:top w:val="single" w:color="auto" w:sz="4" w:space="0"/>
              <w:left w:val="single" w:color="auto" w:sz="4" w:space="0"/>
              <w:right w:val="single" w:color="auto" w:sz="4" w:space="0"/>
            </w:tcBorders>
            <w:noWrap w:val="0"/>
            <w:vAlign w:val="center"/>
          </w:tcPr>
          <w:p w14:paraId="6C30007F">
            <w:pPr>
              <w:jc w:val="center"/>
              <w:rPr>
                <w:rFonts w:hint="eastAsia" w:ascii="宋体" w:hAnsi="宋体" w:eastAsia="宋体" w:cs="宋体"/>
                <w:sz w:val="24"/>
                <w:szCs w:val="32"/>
              </w:rPr>
            </w:pPr>
            <w:r>
              <w:rPr>
                <w:rFonts w:hint="eastAsia" w:ascii="宋体" w:hAnsi="宋体" w:eastAsia="宋体" w:cs="宋体"/>
                <w:sz w:val="24"/>
                <w:szCs w:val="32"/>
              </w:rPr>
              <w:t>2</w:t>
            </w:r>
          </w:p>
        </w:tc>
        <w:tc>
          <w:tcPr>
            <w:tcW w:w="452" w:type="pct"/>
            <w:vMerge w:val="restart"/>
            <w:tcBorders>
              <w:top w:val="single" w:color="auto" w:sz="4" w:space="0"/>
              <w:left w:val="single" w:color="auto" w:sz="4" w:space="0"/>
              <w:right w:val="single" w:color="auto" w:sz="4" w:space="0"/>
            </w:tcBorders>
            <w:noWrap w:val="0"/>
            <w:vAlign w:val="center"/>
          </w:tcPr>
          <w:p w14:paraId="7B0C03DA">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商务部分</w:t>
            </w:r>
          </w:p>
          <w:p w14:paraId="2E353B4A">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（34分）</w:t>
            </w: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332E8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default" w:ascii="宋体" w:hAnsi="宋体" w:eastAsia="宋体" w:cs="宋体"/>
                <w:bCs/>
                <w:spacing w:val="-3"/>
                <w:kern w:val="0"/>
                <w:sz w:val="24"/>
                <w:szCs w:val="24"/>
                <w:lang w:val="en-US" w:eastAsia="zh-CN" w:bidi="ar-SA"/>
              </w:rPr>
              <w:t>项目业绩</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4C882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10分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D3972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left"/>
              <w:outlineLvl w:val="9"/>
              <w:rPr>
                <w:rFonts w:hint="eastAsia" w:ascii="宋体" w:hAnsi="宋体" w:eastAsia="宋体" w:cs="宋体"/>
                <w:bCs/>
                <w:spacing w:val="-3"/>
                <w:kern w:val="0"/>
                <w:sz w:val="24"/>
                <w:szCs w:val="24"/>
                <w:lang w:val="en-US" w:eastAsia="zh-CN" w:bidi="ar-SA"/>
              </w:rPr>
            </w:pPr>
            <w:r>
              <w:rPr>
                <w:rFonts w:hint="default" w:ascii="宋体" w:hAnsi="宋体" w:eastAsia="宋体" w:cs="宋体"/>
                <w:bCs/>
                <w:spacing w:val="-3"/>
                <w:kern w:val="0"/>
                <w:sz w:val="24"/>
                <w:szCs w:val="24"/>
                <w:lang w:val="en-US" w:eastAsia="zh-CN" w:bidi="ar-SA"/>
              </w:rPr>
              <w:t>近三年（202</w:t>
            </w:r>
            <w:r>
              <w:rPr>
                <w:rFonts w:hint="eastAsia" w:ascii="宋体" w:hAnsi="宋体" w:eastAsia="宋体" w:cs="宋体"/>
                <w:bCs/>
                <w:spacing w:val="-3"/>
                <w:kern w:val="0"/>
                <w:sz w:val="24"/>
                <w:szCs w:val="24"/>
                <w:lang w:val="en-US" w:eastAsia="zh-CN" w:bidi="ar-SA"/>
              </w:rPr>
              <w:t>3</w:t>
            </w:r>
            <w:r>
              <w:rPr>
                <w:rFonts w:hint="default" w:ascii="宋体" w:hAnsi="宋体" w:eastAsia="宋体" w:cs="宋体"/>
                <w:bCs/>
                <w:spacing w:val="-3"/>
                <w:kern w:val="0"/>
                <w:sz w:val="24"/>
                <w:szCs w:val="24"/>
                <w:lang w:val="en-US" w:eastAsia="zh-CN" w:bidi="ar-SA"/>
              </w:rPr>
              <w:t>年至今）类似项目的业绩，每提供一</w:t>
            </w:r>
            <w:r>
              <w:rPr>
                <w:rFonts w:hint="eastAsia" w:ascii="宋体" w:hAnsi="宋体" w:cs="宋体"/>
                <w:bCs/>
                <w:spacing w:val="-3"/>
                <w:kern w:val="0"/>
                <w:sz w:val="24"/>
                <w:szCs w:val="24"/>
                <w:lang w:val="en-US" w:eastAsia="zh-CN" w:bidi="ar-SA"/>
              </w:rPr>
              <w:t>项有效业绩</w:t>
            </w:r>
            <w:r>
              <w:rPr>
                <w:rFonts w:hint="default" w:ascii="宋体" w:hAnsi="宋体" w:eastAsia="宋体" w:cs="宋体"/>
                <w:bCs/>
                <w:spacing w:val="-3"/>
                <w:kern w:val="0"/>
                <w:sz w:val="24"/>
                <w:szCs w:val="24"/>
                <w:lang w:val="en-US" w:eastAsia="zh-CN" w:bidi="ar-SA"/>
              </w:rPr>
              <w:t>得</w:t>
            </w:r>
            <w:r>
              <w:rPr>
                <w:rFonts w:hint="eastAsia" w:ascii="宋体" w:hAnsi="宋体" w:cs="宋体"/>
                <w:bCs/>
                <w:spacing w:val="-3"/>
                <w:kern w:val="0"/>
                <w:sz w:val="24"/>
                <w:szCs w:val="24"/>
                <w:lang w:val="en-US" w:eastAsia="zh-CN" w:bidi="ar-SA"/>
              </w:rPr>
              <w:t>2.5</w:t>
            </w:r>
            <w:r>
              <w:rPr>
                <w:rFonts w:hint="default" w:ascii="宋体" w:hAnsi="宋体" w:eastAsia="宋体" w:cs="宋体"/>
                <w:bCs/>
                <w:spacing w:val="-3"/>
                <w:kern w:val="0"/>
                <w:sz w:val="24"/>
                <w:szCs w:val="24"/>
                <w:lang w:val="en-US" w:eastAsia="zh-CN" w:bidi="ar-SA"/>
              </w:rPr>
              <w:t>分，本项满分10分。</w:t>
            </w:r>
            <w:r>
              <w:rPr>
                <w:rFonts w:hint="default" w:ascii="宋体" w:hAnsi="宋体" w:eastAsia="宋体" w:cs="宋体"/>
                <w:b/>
                <w:bCs w:val="0"/>
                <w:spacing w:val="-3"/>
                <w:kern w:val="0"/>
                <w:sz w:val="24"/>
                <w:szCs w:val="24"/>
                <w:highlight w:val="none"/>
                <w:lang w:val="en-US" w:eastAsia="zh-CN" w:bidi="ar-SA"/>
              </w:rPr>
              <w:t>（须提供加盖供应商公章的中标通知书复印件、合同复印件及对应项目发票复印件，否则不予计分。）</w:t>
            </w:r>
          </w:p>
        </w:tc>
      </w:tr>
      <w:tr w14:paraId="6C56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02" w:type="pct"/>
            <w:vMerge w:val="continue"/>
            <w:tcBorders>
              <w:left w:val="single" w:color="auto" w:sz="4" w:space="0"/>
              <w:right w:val="single" w:color="auto" w:sz="4" w:space="0"/>
            </w:tcBorders>
            <w:noWrap w:val="0"/>
            <w:vAlign w:val="center"/>
          </w:tcPr>
          <w:p w14:paraId="4FC7145C">
            <w:pPr>
              <w:jc w:val="center"/>
              <w:rPr>
                <w:rFonts w:hint="eastAsia" w:ascii="宋体" w:hAnsi="宋体" w:eastAsia="宋体" w:cs="宋体"/>
                <w:sz w:val="24"/>
                <w:szCs w:val="32"/>
                <w:lang w:val="en-US" w:eastAsia="zh-CN"/>
              </w:rPr>
            </w:pPr>
          </w:p>
        </w:tc>
        <w:tc>
          <w:tcPr>
            <w:tcW w:w="452" w:type="pct"/>
            <w:vMerge w:val="continue"/>
            <w:tcBorders>
              <w:left w:val="single" w:color="auto" w:sz="4" w:space="0"/>
              <w:right w:val="single" w:color="auto" w:sz="4" w:space="0"/>
            </w:tcBorders>
            <w:noWrap w:val="0"/>
            <w:vAlign w:val="center"/>
          </w:tcPr>
          <w:p w14:paraId="553DFA0C">
            <w:pPr>
              <w:jc w:val="center"/>
              <w:rPr>
                <w:rFonts w:hint="eastAsia" w:ascii="宋体" w:hAnsi="宋体" w:eastAsia="宋体" w:cs="宋体"/>
                <w:sz w:val="24"/>
                <w:szCs w:val="32"/>
                <w:lang w:val="en-US" w:eastAsia="zh-CN"/>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00489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zh-CN" w:eastAsia="zh-CN" w:bidi="ar-SA"/>
              </w:rPr>
            </w:pPr>
          </w:p>
          <w:p w14:paraId="3732CF7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zh-CN" w:eastAsia="zh-CN" w:bidi="ar-SA"/>
              </w:rPr>
            </w:pPr>
            <w:r>
              <w:rPr>
                <w:rFonts w:hint="eastAsia" w:ascii="宋体" w:hAnsi="宋体" w:eastAsia="宋体" w:cs="宋体"/>
                <w:bCs/>
                <w:spacing w:val="-3"/>
                <w:kern w:val="0"/>
                <w:sz w:val="24"/>
                <w:szCs w:val="24"/>
                <w:lang w:val="zh-CN" w:eastAsia="zh-CN" w:bidi="ar-SA"/>
              </w:rPr>
              <w:t>优惠条件</w:t>
            </w:r>
          </w:p>
          <w:p w14:paraId="6A6992E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0A093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5分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94CB0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left"/>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zh-CN" w:eastAsia="zh-CN" w:bidi="ar-SA"/>
              </w:rPr>
              <w:t>供应商</w:t>
            </w:r>
            <w:r>
              <w:rPr>
                <w:rFonts w:hint="eastAsia" w:ascii="宋体" w:hAnsi="宋体" w:eastAsia="宋体" w:cs="宋体"/>
                <w:bCs/>
                <w:spacing w:val="-3"/>
                <w:kern w:val="0"/>
                <w:sz w:val="24"/>
                <w:szCs w:val="24"/>
                <w:lang w:val="en-US" w:eastAsia="zh-CN" w:bidi="ar-SA"/>
              </w:rPr>
              <w:t>提出</w:t>
            </w:r>
            <w:r>
              <w:rPr>
                <w:rFonts w:hint="eastAsia" w:ascii="宋体" w:hAnsi="宋体" w:eastAsia="宋体" w:cs="宋体"/>
                <w:bCs/>
                <w:spacing w:val="-3"/>
                <w:kern w:val="0"/>
                <w:sz w:val="24"/>
                <w:szCs w:val="24"/>
                <w:lang w:val="zh-CN" w:eastAsia="zh-CN" w:bidi="ar-SA"/>
              </w:rPr>
              <w:t>合理的实质性政策优惠条件，</w:t>
            </w:r>
            <w:r>
              <w:rPr>
                <w:rFonts w:hint="eastAsia" w:ascii="宋体" w:hAnsi="宋体" w:eastAsia="宋体" w:cs="宋体"/>
                <w:bCs/>
                <w:spacing w:val="-3"/>
                <w:kern w:val="0"/>
                <w:sz w:val="24"/>
                <w:szCs w:val="24"/>
                <w:lang w:val="en-US" w:eastAsia="zh-CN" w:bidi="ar-SA"/>
              </w:rPr>
              <w:t>实质性政策优惠条件包含但不限于价格优惠政策、赠品优惠政策、备件优惠政策，</w:t>
            </w:r>
            <w:r>
              <w:rPr>
                <w:rFonts w:hint="eastAsia" w:ascii="宋体" w:hAnsi="宋体" w:eastAsia="宋体" w:cs="宋体"/>
                <w:bCs/>
                <w:spacing w:val="-3"/>
                <w:kern w:val="0"/>
                <w:sz w:val="24"/>
                <w:szCs w:val="24"/>
                <w:lang w:val="zh-CN" w:eastAsia="zh-CN" w:bidi="ar-SA"/>
              </w:rPr>
              <w:t>每有一条得1分，满分5分，没有不得分。</w:t>
            </w:r>
          </w:p>
        </w:tc>
      </w:tr>
      <w:tr w14:paraId="45DC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continue"/>
            <w:tcBorders>
              <w:left w:val="single" w:color="auto" w:sz="4" w:space="0"/>
              <w:right w:val="single" w:color="auto" w:sz="4" w:space="0"/>
            </w:tcBorders>
            <w:noWrap w:val="0"/>
            <w:vAlign w:val="center"/>
          </w:tcPr>
          <w:p w14:paraId="0F68BB19">
            <w:pPr>
              <w:jc w:val="center"/>
              <w:rPr>
                <w:rFonts w:hint="eastAsia" w:ascii="宋体" w:hAnsi="宋体" w:eastAsia="宋体" w:cs="宋体"/>
                <w:sz w:val="24"/>
                <w:szCs w:val="32"/>
                <w:lang w:val="en-US" w:eastAsia="zh-CN"/>
              </w:rPr>
            </w:pPr>
          </w:p>
        </w:tc>
        <w:tc>
          <w:tcPr>
            <w:tcW w:w="452" w:type="pct"/>
            <w:vMerge w:val="continue"/>
            <w:tcBorders>
              <w:left w:val="single" w:color="auto" w:sz="4" w:space="0"/>
              <w:right w:val="single" w:color="auto" w:sz="4" w:space="0"/>
            </w:tcBorders>
            <w:noWrap w:val="0"/>
            <w:vAlign w:val="center"/>
          </w:tcPr>
          <w:p w14:paraId="7598441F">
            <w:pPr>
              <w:jc w:val="center"/>
              <w:rPr>
                <w:rFonts w:hint="eastAsia" w:ascii="宋体" w:hAnsi="宋体" w:eastAsia="宋体" w:cs="宋体"/>
                <w:sz w:val="24"/>
                <w:szCs w:val="32"/>
                <w:lang w:val="en-US" w:eastAsia="zh-CN"/>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CCD1A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服务承诺</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DF557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5分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25CF3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left"/>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有服务承诺，并有采购人可接受的实质性服务承诺，每有一项实质性的承诺得1分，最多得5分，没有不得分。</w:t>
            </w:r>
          </w:p>
        </w:tc>
      </w:tr>
      <w:tr w14:paraId="540D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restart"/>
            <w:tcBorders>
              <w:top w:val="single" w:color="auto" w:sz="4" w:space="0"/>
              <w:left w:val="single" w:color="auto" w:sz="4" w:space="0"/>
              <w:right w:val="single" w:color="auto" w:sz="4" w:space="0"/>
            </w:tcBorders>
            <w:noWrap w:val="0"/>
            <w:vAlign w:val="center"/>
          </w:tcPr>
          <w:p w14:paraId="12DF2477">
            <w:pPr>
              <w:jc w:val="center"/>
              <w:rPr>
                <w:rFonts w:hint="eastAsia" w:ascii="宋体" w:hAnsi="宋体" w:eastAsia="宋体" w:cs="宋体"/>
                <w:sz w:val="24"/>
                <w:szCs w:val="32"/>
                <w:lang w:eastAsia="zh-CN"/>
              </w:rPr>
            </w:pPr>
            <w:r>
              <w:rPr>
                <w:rFonts w:hint="eastAsia" w:ascii="宋体" w:hAnsi="宋体" w:eastAsia="宋体" w:cs="宋体"/>
                <w:sz w:val="24"/>
                <w:szCs w:val="32"/>
                <w:lang w:val="en-US" w:eastAsia="zh-CN"/>
              </w:rPr>
              <w:t>3</w:t>
            </w:r>
          </w:p>
        </w:tc>
        <w:tc>
          <w:tcPr>
            <w:tcW w:w="452" w:type="pct"/>
            <w:vMerge w:val="restart"/>
            <w:tcBorders>
              <w:top w:val="single" w:color="auto" w:sz="4" w:space="0"/>
              <w:left w:val="single" w:color="auto" w:sz="4" w:space="0"/>
              <w:right w:val="single" w:color="auto" w:sz="4" w:space="0"/>
            </w:tcBorders>
            <w:noWrap w:val="0"/>
            <w:vAlign w:val="center"/>
          </w:tcPr>
          <w:p w14:paraId="148E185A">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技术因素</w:t>
            </w:r>
          </w:p>
          <w:p w14:paraId="23963836">
            <w:pPr>
              <w:jc w:val="center"/>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w:t>
            </w:r>
            <w:r>
              <w:rPr>
                <w:rFonts w:hint="eastAsia" w:ascii="宋体" w:hAnsi="宋体" w:cs="宋体"/>
                <w:b/>
                <w:bCs/>
                <w:sz w:val="24"/>
                <w:szCs w:val="32"/>
                <w:lang w:val="en-US" w:eastAsia="zh-CN"/>
              </w:rPr>
              <w:t>50</w:t>
            </w:r>
            <w:r>
              <w:rPr>
                <w:rFonts w:hint="eastAsia" w:ascii="宋体" w:hAnsi="宋体" w:eastAsia="宋体" w:cs="宋体"/>
                <w:b/>
                <w:bCs/>
                <w:sz w:val="24"/>
                <w:szCs w:val="32"/>
                <w:lang w:val="en-US" w:eastAsia="zh-CN"/>
              </w:rPr>
              <w:t>分）</w:t>
            </w:r>
            <w:r>
              <w:rPr>
                <w:rFonts w:hint="eastAsia" w:ascii="宋体" w:hAnsi="宋体" w:cs="宋体"/>
                <w:b/>
                <w:bCs/>
                <w:sz w:val="24"/>
                <w:szCs w:val="32"/>
                <w:lang w:val="en-US" w:eastAsia="zh-CN"/>
              </w:rPr>
              <w:t>（暗标）</w:t>
            </w: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9D4EA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项目实施方案</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BC707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10分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642EF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根据各供应商针对本项目所提供的项目实施方案，包括但不限于交货进度安排，项目验收方案，进度计划、质量保证措施、文明措施进行横向综合评审：交货及进度安排非常合理，项目验收方案非常详细，质量保证及文明措施非常完善、系统全面，可行性非常强的得10分；</w:t>
            </w:r>
          </w:p>
          <w:p w14:paraId="70F6831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交货及进度安排较为合理，项目验收方案详细， 质量保证及文明措施较为完善、系统全面，可行性较强的得7分；</w:t>
            </w:r>
          </w:p>
          <w:p w14:paraId="4F10108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交货及进度安排基本合理，项目验收方案不太详细， 质量保证及文明措施基本完善，具有一定可行性的得3分；</w:t>
            </w:r>
          </w:p>
          <w:p w14:paraId="157DF85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未提供对应方案不得分。</w:t>
            </w:r>
          </w:p>
        </w:tc>
      </w:tr>
      <w:tr w14:paraId="7DA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Merge w:val="continue"/>
            <w:tcBorders>
              <w:left w:val="single" w:color="auto" w:sz="4" w:space="0"/>
              <w:right w:val="single" w:color="auto" w:sz="4" w:space="0"/>
            </w:tcBorders>
            <w:noWrap w:val="0"/>
            <w:vAlign w:val="center"/>
          </w:tcPr>
          <w:p w14:paraId="19B0C842">
            <w:pPr>
              <w:jc w:val="center"/>
              <w:rPr>
                <w:rFonts w:hint="eastAsia" w:ascii="宋体" w:hAnsi="宋体" w:eastAsia="宋体" w:cs="宋体"/>
                <w:sz w:val="24"/>
                <w:szCs w:val="32"/>
                <w:lang w:eastAsia="zh-CN"/>
              </w:rPr>
            </w:pPr>
          </w:p>
        </w:tc>
        <w:tc>
          <w:tcPr>
            <w:tcW w:w="452" w:type="pct"/>
            <w:vMerge w:val="continue"/>
            <w:tcBorders>
              <w:left w:val="single" w:color="auto" w:sz="4" w:space="0"/>
              <w:right w:val="single" w:color="auto" w:sz="4" w:space="0"/>
            </w:tcBorders>
            <w:noWrap w:val="0"/>
            <w:vAlign w:val="center"/>
          </w:tcPr>
          <w:p w14:paraId="0BB647A4">
            <w:pPr>
              <w:jc w:val="center"/>
              <w:rPr>
                <w:rFonts w:hint="eastAsia" w:ascii="宋体" w:hAnsi="宋体" w:eastAsia="宋体" w:cs="宋体"/>
                <w:sz w:val="24"/>
                <w:szCs w:val="32"/>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58B48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应急预案</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44C03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5分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5DCB2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应急故障（如可能发生的应急事故情况分析、应急响应时间、紧急安全保障措施、临时处理措施、故障或事故解决处理措施等）进行综合评审，</w:t>
            </w:r>
          </w:p>
          <w:p w14:paraId="6BF3471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应急故障方案内容全面，方案描述详细，可行高，得5分；</w:t>
            </w:r>
          </w:p>
          <w:p w14:paraId="622622B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应急故障方案内容全面，方案描述相对简单，具有可行性，得3分；</w:t>
            </w:r>
          </w:p>
          <w:p w14:paraId="1EC6D30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应急故障方案内容基本全面，有方案描述，具有可行性，得1分；</w:t>
            </w:r>
          </w:p>
          <w:p w14:paraId="6057EB7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zh-TW" w:eastAsia="zh-CN" w:bidi="ar-SA"/>
              </w:rPr>
            </w:pPr>
            <w:r>
              <w:rPr>
                <w:rFonts w:hint="eastAsia" w:ascii="宋体" w:hAnsi="宋体" w:eastAsia="宋体" w:cs="宋体"/>
                <w:bCs/>
                <w:spacing w:val="-3"/>
                <w:kern w:val="0"/>
                <w:sz w:val="24"/>
                <w:szCs w:val="24"/>
                <w:lang w:val="en-US" w:eastAsia="zh-CN" w:bidi="ar-SA"/>
              </w:rPr>
              <w:t>无应急预案，本项不得分。</w:t>
            </w:r>
          </w:p>
        </w:tc>
      </w:tr>
      <w:tr w14:paraId="7143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continue"/>
            <w:tcBorders>
              <w:left w:val="single" w:color="auto" w:sz="4" w:space="0"/>
              <w:right w:val="single" w:color="auto" w:sz="4" w:space="0"/>
            </w:tcBorders>
            <w:noWrap w:val="0"/>
            <w:vAlign w:val="center"/>
          </w:tcPr>
          <w:p w14:paraId="1A2181D1">
            <w:pPr>
              <w:jc w:val="center"/>
              <w:rPr>
                <w:rFonts w:hint="eastAsia" w:ascii="宋体" w:hAnsi="宋体" w:eastAsia="宋体" w:cs="宋体"/>
                <w:sz w:val="24"/>
                <w:szCs w:val="32"/>
                <w:lang w:eastAsia="zh-CN"/>
              </w:rPr>
            </w:pPr>
          </w:p>
        </w:tc>
        <w:tc>
          <w:tcPr>
            <w:tcW w:w="452" w:type="pct"/>
            <w:vMerge w:val="continue"/>
            <w:tcBorders>
              <w:left w:val="single" w:color="auto" w:sz="4" w:space="0"/>
              <w:right w:val="single" w:color="auto" w:sz="4" w:space="0"/>
            </w:tcBorders>
            <w:noWrap w:val="0"/>
            <w:vAlign w:val="center"/>
          </w:tcPr>
          <w:p w14:paraId="3FDBF4AF">
            <w:pPr>
              <w:jc w:val="center"/>
              <w:rPr>
                <w:rFonts w:hint="eastAsia" w:ascii="宋体" w:hAnsi="宋体" w:eastAsia="宋体" w:cs="宋体"/>
                <w:sz w:val="24"/>
                <w:szCs w:val="32"/>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56323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设备安装调试方案</w:t>
            </w:r>
          </w:p>
          <w:p w14:paraId="62FE8D7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BB928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5分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96E96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zh-CN" w:eastAsia="zh-CN" w:bidi="ar-SA"/>
              </w:rPr>
            </w:pPr>
            <w:r>
              <w:rPr>
                <w:rFonts w:hint="eastAsia" w:ascii="宋体" w:hAnsi="宋体" w:eastAsia="宋体" w:cs="宋体"/>
                <w:bCs/>
                <w:spacing w:val="-3"/>
                <w:kern w:val="0"/>
                <w:sz w:val="24"/>
                <w:szCs w:val="24"/>
                <w:lang w:val="zh-CN" w:eastAsia="zh-CN" w:bidi="ar-SA"/>
              </w:rPr>
              <w:t>根据</w:t>
            </w:r>
            <w:r>
              <w:rPr>
                <w:rFonts w:hint="eastAsia" w:ascii="宋体" w:hAnsi="宋体" w:eastAsia="宋体" w:cs="宋体"/>
                <w:bCs/>
                <w:spacing w:val="-3"/>
                <w:kern w:val="0"/>
                <w:sz w:val="24"/>
                <w:szCs w:val="24"/>
                <w:lang w:val="en-US" w:eastAsia="zh-CN" w:bidi="ar-SA"/>
              </w:rPr>
              <w:t>供应商</w:t>
            </w:r>
            <w:r>
              <w:rPr>
                <w:rFonts w:hint="eastAsia" w:ascii="宋体" w:hAnsi="宋体" w:eastAsia="宋体" w:cs="宋体"/>
                <w:bCs/>
                <w:spacing w:val="-3"/>
                <w:kern w:val="0"/>
                <w:sz w:val="24"/>
                <w:szCs w:val="24"/>
                <w:lang w:val="zh-CN" w:eastAsia="zh-CN" w:bidi="ar-SA"/>
              </w:rPr>
              <w:t>所提供设备安装调试方案进行横向综合评审，</w:t>
            </w:r>
          </w:p>
          <w:p w14:paraId="1AAEF33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zh-CN" w:eastAsia="zh-CN" w:bidi="ar-SA"/>
              </w:rPr>
            </w:pPr>
            <w:r>
              <w:rPr>
                <w:rFonts w:hint="eastAsia" w:ascii="宋体" w:hAnsi="宋体" w:eastAsia="宋体" w:cs="宋体"/>
                <w:bCs/>
                <w:spacing w:val="-3"/>
                <w:kern w:val="0"/>
                <w:sz w:val="24"/>
                <w:szCs w:val="24"/>
                <w:lang w:val="zh-CN" w:eastAsia="zh-CN" w:bidi="ar-SA"/>
              </w:rPr>
              <w:t>方案非常明确、详尽，合理，可操作性强的得</w:t>
            </w:r>
            <w:r>
              <w:rPr>
                <w:rFonts w:hint="eastAsia" w:ascii="宋体" w:hAnsi="宋体" w:eastAsia="宋体" w:cs="宋体"/>
                <w:bCs/>
                <w:spacing w:val="-3"/>
                <w:kern w:val="0"/>
                <w:sz w:val="24"/>
                <w:szCs w:val="24"/>
                <w:lang w:val="en-US" w:eastAsia="zh-CN" w:bidi="ar-SA"/>
              </w:rPr>
              <w:t>5</w:t>
            </w:r>
            <w:r>
              <w:rPr>
                <w:rFonts w:hint="eastAsia" w:ascii="宋体" w:hAnsi="宋体" w:eastAsia="宋体" w:cs="宋体"/>
                <w:bCs/>
                <w:spacing w:val="-3"/>
                <w:kern w:val="0"/>
                <w:sz w:val="24"/>
                <w:szCs w:val="24"/>
                <w:lang w:val="zh-CN" w:eastAsia="zh-CN" w:bidi="ar-SA"/>
              </w:rPr>
              <w:t>分；</w:t>
            </w:r>
          </w:p>
          <w:p w14:paraId="197F0CF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zh-CN" w:eastAsia="zh-CN" w:bidi="ar-SA"/>
              </w:rPr>
            </w:pPr>
            <w:r>
              <w:rPr>
                <w:rFonts w:hint="eastAsia" w:ascii="宋体" w:hAnsi="宋体" w:eastAsia="宋体" w:cs="宋体"/>
                <w:bCs/>
                <w:spacing w:val="-3"/>
                <w:kern w:val="0"/>
                <w:sz w:val="24"/>
                <w:szCs w:val="24"/>
                <w:lang w:val="zh-CN" w:eastAsia="zh-CN" w:bidi="ar-SA"/>
              </w:rPr>
              <w:t>方案明确、详尽，合理，可操作性较好的得</w:t>
            </w:r>
            <w:r>
              <w:rPr>
                <w:rFonts w:hint="eastAsia" w:ascii="宋体" w:hAnsi="宋体" w:eastAsia="宋体" w:cs="宋体"/>
                <w:bCs/>
                <w:spacing w:val="-3"/>
                <w:kern w:val="0"/>
                <w:sz w:val="24"/>
                <w:szCs w:val="24"/>
                <w:lang w:val="en-US" w:eastAsia="zh-CN" w:bidi="ar-SA"/>
              </w:rPr>
              <w:t>3</w:t>
            </w:r>
            <w:r>
              <w:rPr>
                <w:rFonts w:hint="eastAsia" w:ascii="宋体" w:hAnsi="宋体" w:eastAsia="宋体" w:cs="宋体"/>
                <w:bCs/>
                <w:spacing w:val="-3"/>
                <w:kern w:val="0"/>
                <w:sz w:val="24"/>
                <w:szCs w:val="24"/>
                <w:lang w:val="zh-CN" w:eastAsia="zh-CN" w:bidi="ar-SA"/>
              </w:rPr>
              <w:t>分；</w:t>
            </w:r>
          </w:p>
          <w:p w14:paraId="4680FC1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zh-CN" w:eastAsia="zh-CN" w:bidi="ar-SA"/>
              </w:rPr>
            </w:pPr>
            <w:r>
              <w:rPr>
                <w:rFonts w:hint="eastAsia" w:ascii="宋体" w:hAnsi="宋体" w:eastAsia="宋体" w:cs="宋体"/>
                <w:bCs/>
                <w:spacing w:val="-3"/>
                <w:kern w:val="0"/>
                <w:sz w:val="24"/>
                <w:szCs w:val="24"/>
                <w:lang w:val="zh-CN" w:eastAsia="zh-CN" w:bidi="ar-SA"/>
              </w:rPr>
              <w:t>方案基本明确、合理，可操作性一般的得</w:t>
            </w:r>
            <w:r>
              <w:rPr>
                <w:rFonts w:hint="eastAsia" w:ascii="宋体" w:hAnsi="宋体" w:eastAsia="宋体" w:cs="宋体"/>
                <w:bCs/>
                <w:spacing w:val="-3"/>
                <w:kern w:val="0"/>
                <w:sz w:val="24"/>
                <w:szCs w:val="24"/>
                <w:lang w:val="en-US" w:eastAsia="zh-CN" w:bidi="ar-SA"/>
              </w:rPr>
              <w:t>1</w:t>
            </w:r>
            <w:r>
              <w:rPr>
                <w:rFonts w:hint="eastAsia" w:ascii="宋体" w:hAnsi="宋体" w:eastAsia="宋体" w:cs="宋体"/>
                <w:bCs/>
                <w:spacing w:val="-3"/>
                <w:kern w:val="0"/>
                <w:sz w:val="24"/>
                <w:szCs w:val="24"/>
                <w:lang w:val="zh-CN" w:eastAsia="zh-CN" w:bidi="ar-SA"/>
              </w:rPr>
              <w:t>分；</w:t>
            </w:r>
          </w:p>
          <w:p w14:paraId="4B18753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left"/>
              <w:outlineLvl w:val="9"/>
              <w:rPr>
                <w:rFonts w:hint="eastAsia" w:ascii="宋体" w:hAnsi="宋体" w:eastAsia="宋体" w:cs="宋体"/>
                <w:bCs/>
                <w:spacing w:val="-3"/>
                <w:kern w:val="0"/>
                <w:sz w:val="24"/>
                <w:szCs w:val="24"/>
                <w:lang w:val="zh-TW" w:eastAsia="zh-TW" w:bidi="ar-SA"/>
              </w:rPr>
            </w:pPr>
            <w:r>
              <w:rPr>
                <w:rFonts w:hint="eastAsia" w:ascii="宋体" w:hAnsi="宋体" w:eastAsia="宋体" w:cs="宋体"/>
                <w:bCs/>
                <w:spacing w:val="-3"/>
                <w:kern w:val="0"/>
                <w:sz w:val="24"/>
                <w:szCs w:val="24"/>
                <w:lang w:val="zh-CN" w:eastAsia="zh-CN" w:bidi="ar-SA"/>
              </w:rPr>
              <w:t>方案差或未提供对应方案不得分。</w:t>
            </w:r>
          </w:p>
        </w:tc>
      </w:tr>
      <w:tr w14:paraId="50CE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continue"/>
            <w:tcBorders>
              <w:left w:val="single" w:color="auto" w:sz="4" w:space="0"/>
              <w:right w:val="single" w:color="auto" w:sz="4" w:space="0"/>
            </w:tcBorders>
            <w:noWrap w:val="0"/>
            <w:vAlign w:val="center"/>
          </w:tcPr>
          <w:p w14:paraId="6611811F">
            <w:pPr>
              <w:jc w:val="center"/>
              <w:rPr>
                <w:rFonts w:hint="eastAsia" w:ascii="宋体" w:hAnsi="宋体" w:eastAsia="宋体" w:cs="宋体"/>
                <w:sz w:val="24"/>
                <w:szCs w:val="32"/>
                <w:lang w:eastAsia="zh-CN"/>
              </w:rPr>
            </w:pPr>
          </w:p>
        </w:tc>
        <w:tc>
          <w:tcPr>
            <w:tcW w:w="452" w:type="pct"/>
            <w:vMerge w:val="continue"/>
            <w:tcBorders>
              <w:left w:val="single" w:color="auto" w:sz="4" w:space="0"/>
              <w:right w:val="single" w:color="auto" w:sz="4" w:space="0"/>
            </w:tcBorders>
            <w:noWrap w:val="0"/>
            <w:vAlign w:val="center"/>
          </w:tcPr>
          <w:p w14:paraId="3C4B13CA">
            <w:pPr>
              <w:jc w:val="center"/>
              <w:rPr>
                <w:rFonts w:hint="eastAsia" w:ascii="宋体" w:hAnsi="宋体" w:eastAsia="宋体" w:cs="宋体"/>
                <w:sz w:val="24"/>
                <w:szCs w:val="32"/>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B9A3D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质量保证措施</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1D600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10分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4E2D3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根据供应商的质量保证措施进行评审，</w:t>
            </w:r>
          </w:p>
          <w:p w14:paraId="232BC3A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1、供应商提供的质量保证措施科学、合理，可以完全满足采购人对项目进度的要求，得10分；</w:t>
            </w:r>
          </w:p>
          <w:p w14:paraId="44202C4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 xml:space="preserve">2、供应商提供的质量保证措施基本满足项目内容，但存在一定的不足，质量保证缺乏一定的科学性，得7分；          </w:t>
            </w:r>
          </w:p>
          <w:p w14:paraId="6D9BFA5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3、供应商提供的质量保证措施不够完整，得3分。</w:t>
            </w:r>
          </w:p>
          <w:p w14:paraId="68B4967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left"/>
              <w:outlineLvl w:val="9"/>
              <w:rPr>
                <w:rFonts w:hint="eastAsia" w:ascii="宋体" w:hAnsi="宋体" w:eastAsia="宋体" w:cs="宋体"/>
                <w:bCs/>
                <w:spacing w:val="-3"/>
                <w:kern w:val="0"/>
                <w:sz w:val="24"/>
                <w:szCs w:val="24"/>
                <w:lang w:val="en-US" w:eastAsia="en-US" w:bidi="ar-SA"/>
              </w:rPr>
            </w:pPr>
            <w:r>
              <w:rPr>
                <w:rFonts w:hint="eastAsia" w:ascii="宋体" w:hAnsi="宋体" w:eastAsia="宋体" w:cs="宋体"/>
                <w:bCs/>
                <w:spacing w:val="-3"/>
                <w:kern w:val="0"/>
                <w:sz w:val="24"/>
                <w:szCs w:val="24"/>
                <w:lang w:val="en-US" w:eastAsia="zh-CN" w:bidi="ar-SA"/>
              </w:rPr>
              <w:t>无质量保证措施，本项不得分。</w:t>
            </w:r>
          </w:p>
        </w:tc>
      </w:tr>
      <w:tr w14:paraId="3D6B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continue"/>
            <w:tcBorders>
              <w:left w:val="single" w:color="auto" w:sz="4" w:space="0"/>
              <w:right w:val="single" w:color="auto" w:sz="4" w:space="0"/>
            </w:tcBorders>
            <w:noWrap w:val="0"/>
            <w:vAlign w:val="center"/>
          </w:tcPr>
          <w:p w14:paraId="2DFBAD57">
            <w:pPr>
              <w:jc w:val="center"/>
              <w:rPr>
                <w:rFonts w:hint="eastAsia" w:ascii="宋体" w:hAnsi="宋体" w:eastAsia="宋体" w:cs="宋体"/>
                <w:sz w:val="24"/>
                <w:szCs w:val="32"/>
                <w:lang w:val="en-US" w:eastAsia="zh-CN"/>
              </w:rPr>
            </w:pPr>
          </w:p>
        </w:tc>
        <w:tc>
          <w:tcPr>
            <w:tcW w:w="452" w:type="pct"/>
            <w:vMerge w:val="continue"/>
            <w:tcBorders>
              <w:left w:val="single" w:color="auto" w:sz="4" w:space="0"/>
              <w:right w:val="single" w:color="auto" w:sz="4" w:space="0"/>
            </w:tcBorders>
            <w:noWrap w:val="0"/>
            <w:vAlign w:val="center"/>
          </w:tcPr>
          <w:p w14:paraId="6B792064">
            <w:pPr>
              <w:jc w:val="center"/>
              <w:rPr>
                <w:rFonts w:hint="eastAsia" w:ascii="宋体" w:hAnsi="宋体" w:eastAsia="宋体" w:cs="宋体"/>
                <w:sz w:val="24"/>
                <w:szCs w:val="32"/>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4A185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进度计划与保证措施</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7E0CB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10分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23EA4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供应商应具备充足的库存，根据供应商的进度计划与保证措施进行评审，</w:t>
            </w:r>
          </w:p>
          <w:p w14:paraId="5E4BEE4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1、供应商提供的进度计划与保证措施科学、合理，各工作流程衔接有序，运行流畅，可以完全满足采购人对项目进度的要求，得10分；</w:t>
            </w:r>
          </w:p>
          <w:p w14:paraId="2FB9916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 xml:space="preserve">2、供应商提供的进度计划与保证措施基本可以在规定时间内完成项目内容，但各工作流程衔接存在一定的不足，进度管理缺乏一定的科学性，得7分；          </w:t>
            </w:r>
          </w:p>
          <w:p w14:paraId="110D9AE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3、供应商提供的进度计划、保证措施工作流程不够完整，得3分。</w:t>
            </w:r>
          </w:p>
          <w:p w14:paraId="00CE43A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en-US" w:bidi="ar-SA"/>
              </w:rPr>
            </w:pPr>
            <w:r>
              <w:rPr>
                <w:rFonts w:hint="eastAsia" w:ascii="宋体" w:hAnsi="宋体" w:eastAsia="宋体" w:cs="宋体"/>
                <w:bCs/>
                <w:spacing w:val="-3"/>
                <w:kern w:val="0"/>
                <w:sz w:val="24"/>
                <w:szCs w:val="24"/>
                <w:lang w:val="en-US" w:eastAsia="zh-CN" w:bidi="ar-SA"/>
              </w:rPr>
              <w:t>无进度计划与保证措施，本项不得分。</w:t>
            </w:r>
          </w:p>
        </w:tc>
      </w:tr>
      <w:tr w14:paraId="5EAA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 w:type="pct"/>
            <w:vMerge w:val="continue"/>
            <w:tcBorders>
              <w:left w:val="single" w:color="auto" w:sz="4" w:space="0"/>
              <w:right w:val="single" w:color="auto" w:sz="4" w:space="0"/>
            </w:tcBorders>
            <w:noWrap w:val="0"/>
            <w:vAlign w:val="center"/>
          </w:tcPr>
          <w:p w14:paraId="2C884877">
            <w:pPr>
              <w:jc w:val="center"/>
              <w:rPr>
                <w:rFonts w:hint="eastAsia" w:ascii="宋体" w:hAnsi="宋体" w:eastAsia="宋体" w:cs="宋体"/>
                <w:sz w:val="24"/>
                <w:szCs w:val="32"/>
                <w:lang w:val="en-US" w:eastAsia="zh-CN"/>
              </w:rPr>
            </w:pPr>
          </w:p>
        </w:tc>
        <w:tc>
          <w:tcPr>
            <w:tcW w:w="452" w:type="pct"/>
            <w:vMerge w:val="continue"/>
            <w:tcBorders>
              <w:left w:val="single" w:color="auto" w:sz="4" w:space="0"/>
              <w:right w:val="single" w:color="auto" w:sz="4" w:space="0"/>
            </w:tcBorders>
            <w:noWrap w:val="0"/>
            <w:vAlign w:val="center"/>
          </w:tcPr>
          <w:p w14:paraId="5FED5694">
            <w:pPr>
              <w:jc w:val="center"/>
              <w:rPr>
                <w:rFonts w:hint="eastAsia" w:ascii="宋体" w:hAnsi="宋体" w:eastAsia="宋体" w:cs="宋体"/>
                <w:sz w:val="24"/>
                <w:szCs w:val="32"/>
              </w:rPr>
            </w:pPr>
          </w:p>
        </w:tc>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6F628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zh-CN" w:eastAsia="zh-CN" w:bidi="ar-SA"/>
              </w:rPr>
              <w:t>售后服务方案</w:t>
            </w:r>
          </w:p>
        </w:tc>
        <w:tc>
          <w:tcPr>
            <w:tcW w:w="3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B3564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10分</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9D7C1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 xml:space="preserve">依据各供应商的售后服务方案进行评审， </w:t>
            </w:r>
          </w:p>
          <w:p w14:paraId="2B6EC29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 xml:space="preserve">供应商提供的售后服务方案总体合理完整，实用性强，可以完全满足项目需求，得10分； </w:t>
            </w:r>
          </w:p>
          <w:p w14:paraId="21DF72E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 xml:space="preserve">供应商提供的售后服务方案有一定合理性、但考虑问题不周全、相关服务措施不够具体或涵盖不全面，得7分； </w:t>
            </w:r>
          </w:p>
          <w:p w14:paraId="63AABF2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zh-CN" w:bidi="ar-SA"/>
              </w:rPr>
            </w:pPr>
            <w:r>
              <w:rPr>
                <w:rFonts w:hint="eastAsia" w:ascii="宋体" w:hAnsi="宋体" w:eastAsia="宋体" w:cs="宋体"/>
                <w:bCs/>
                <w:spacing w:val="-3"/>
                <w:kern w:val="0"/>
                <w:sz w:val="24"/>
                <w:szCs w:val="24"/>
                <w:lang w:val="en-US" w:eastAsia="zh-CN" w:bidi="ar-SA"/>
              </w:rPr>
              <w:t>供应商的售后服务方案内容合理不完整、方案基本上满足项目要求可实施，得3分。</w:t>
            </w:r>
          </w:p>
          <w:p w14:paraId="3D10FD5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Cs/>
                <w:spacing w:val="-3"/>
                <w:kern w:val="0"/>
                <w:sz w:val="24"/>
                <w:szCs w:val="24"/>
                <w:lang w:val="en-US" w:eastAsia="en-US" w:bidi="ar-SA"/>
              </w:rPr>
            </w:pPr>
            <w:r>
              <w:rPr>
                <w:rFonts w:hint="eastAsia" w:ascii="宋体" w:hAnsi="宋体" w:eastAsia="宋体" w:cs="宋体"/>
                <w:bCs/>
                <w:spacing w:val="-3"/>
                <w:kern w:val="0"/>
                <w:sz w:val="24"/>
                <w:szCs w:val="24"/>
                <w:lang w:val="en-US" w:eastAsia="zh-CN" w:bidi="ar-SA"/>
              </w:rPr>
              <w:t>无售后服务方案本项不得分。</w:t>
            </w:r>
          </w:p>
        </w:tc>
      </w:tr>
    </w:tbl>
    <w:p w14:paraId="4D5FE3B8">
      <w:pPr>
        <w:spacing w:line="360" w:lineRule="auto"/>
        <w:rPr>
          <w:sz w:val="24"/>
          <w:szCs w:val="32"/>
          <w:lang w:eastAsia="zh-CN"/>
        </w:rPr>
      </w:pPr>
      <w:r>
        <w:rPr>
          <w:rFonts w:hint="eastAsia"/>
          <w:sz w:val="24"/>
          <w:szCs w:val="32"/>
          <w:lang w:eastAsia="zh-CN"/>
        </w:rPr>
        <w:t>满足以下条件的可享受价格分扣除待遇：</w:t>
      </w:r>
    </w:p>
    <w:p w14:paraId="09F33B4E">
      <w:pPr>
        <w:spacing w:line="360" w:lineRule="auto"/>
        <w:rPr>
          <w:sz w:val="24"/>
          <w:szCs w:val="32"/>
          <w:lang w:eastAsia="zh-CN"/>
        </w:rPr>
      </w:pPr>
      <w:r>
        <w:rPr>
          <w:rFonts w:hint="eastAsia"/>
          <w:sz w:val="24"/>
          <w:szCs w:val="32"/>
          <w:lang w:eastAsia="zh-CN"/>
        </w:rPr>
        <w:t>（1）根据财库【2022】19号文件规定，对小型和微型企业的产品给予10%的价格扣除，并按照扣除后的价格参加评审。</w:t>
      </w:r>
    </w:p>
    <w:p w14:paraId="4FD5FFEE">
      <w:pPr>
        <w:spacing w:line="360" w:lineRule="auto"/>
        <w:rPr>
          <w:sz w:val="24"/>
          <w:szCs w:val="32"/>
          <w:lang w:eastAsia="zh-CN"/>
        </w:rPr>
      </w:pPr>
      <w:r>
        <w:rPr>
          <w:rFonts w:hint="eastAsia"/>
          <w:sz w:val="24"/>
          <w:szCs w:val="32"/>
          <w:lang w:eastAsia="zh-CN"/>
        </w:rPr>
        <w:t>（2）监狱企业视同小型、微型企业，监狱企业投标的提供由省级以上监狱管理局、戒毒管理局(含新疆生产建设兵团)出具的属于监狱企业的证明文件，不再提供《中小企业声明函》；</w:t>
      </w:r>
    </w:p>
    <w:p w14:paraId="15B89DB3">
      <w:pPr>
        <w:spacing w:line="360" w:lineRule="auto"/>
        <w:rPr>
          <w:sz w:val="24"/>
          <w:szCs w:val="32"/>
          <w:lang w:eastAsia="zh-CN"/>
        </w:rPr>
      </w:pPr>
      <w:r>
        <w:rPr>
          <w:rFonts w:hint="eastAsia"/>
          <w:sz w:val="24"/>
          <w:szCs w:val="32"/>
          <w:lang w:eastAsia="zh-CN"/>
        </w:rPr>
        <w:t>（3）残疾人福利性单位视同小型、微型企业，残疾人福利性单位属于小型、微型企业的，不重复享受政策。符合条件的残疾人福利性单位在参加政府采购活动时，应当提供《残疾人福利性单位声明函》。</w:t>
      </w:r>
    </w:p>
    <w:p w14:paraId="6FE54D38">
      <w:pPr>
        <w:spacing w:line="360" w:lineRule="auto"/>
        <w:rPr>
          <w:rFonts w:hint="eastAsia"/>
          <w:sz w:val="24"/>
          <w:szCs w:val="32"/>
          <w:lang w:eastAsia="zh-CN"/>
        </w:rPr>
      </w:pPr>
      <w:r>
        <w:rPr>
          <w:rFonts w:hint="eastAsia"/>
          <w:sz w:val="24"/>
          <w:szCs w:val="32"/>
          <w:lang w:eastAsia="zh-CN"/>
        </w:rPr>
        <w:t>（4）价格扣除的依据：提供《中小企业声明函》或《残疾人福利性单位声明函》或《残疾人福利性单位声明函》。</w:t>
      </w:r>
    </w:p>
    <w:p w14:paraId="3219BCEF">
      <w:pPr>
        <w:spacing w:line="360" w:lineRule="auto"/>
        <w:rPr>
          <w:rFonts w:hint="eastAsia"/>
          <w:sz w:val="24"/>
          <w:szCs w:val="32"/>
          <w:lang w:eastAsia="zh-CN"/>
        </w:rPr>
        <w:sectPr>
          <w:pgSz w:w="11906" w:h="16839"/>
          <w:pgMar w:top="1392" w:right="1362" w:bottom="0" w:left="1369" w:header="0" w:footer="737" w:gutter="0"/>
          <w:pgNumType w:fmt="decimal"/>
          <w:cols w:space="720" w:num="1"/>
        </w:sectPr>
      </w:pPr>
    </w:p>
    <w:bookmarkEnd w:id="375"/>
    <w:bookmarkEnd w:id="376"/>
    <w:bookmarkEnd w:id="377"/>
    <w:bookmarkEnd w:id="378"/>
    <w:bookmarkEnd w:id="379"/>
    <w:bookmarkEnd w:id="380"/>
    <w:bookmarkEnd w:id="381"/>
    <w:bookmarkEnd w:id="382"/>
    <w:bookmarkEnd w:id="383"/>
    <w:bookmarkEnd w:id="384"/>
    <w:p w14:paraId="18BEECF9">
      <w:pPr>
        <w:spacing w:before="296" w:line="222" w:lineRule="auto"/>
        <w:ind w:left="679"/>
        <w:rPr>
          <w:rFonts w:hint="eastAsia" w:ascii="宋体" w:hAnsi="宋体" w:eastAsia="宋体" w:cs="宋体"/>
          <w:color w:val="auto"/>
          <w:sz w:val="28"/>
          <w:szCs w:val="28"/>
          <w:highlight w:val="none"/>
          <w:lang w:eastAsia="zh-CN"/>
        </w:rPr>
      </w:pPr>
      <w:bookmarkStart w:id="385" w:name="_Toc77166515"/>
      <w:bookmarkStart w:id="386" w:name="_Toc63327630"/>
      <w:bookmarkStart w:id="387" w:name="_Toc7568"/>
      <w:bookmarkStart w:id="388" w:name="_Toc26831"/>
      <w:r>
        <w:rPr>
          <w:rFonts w:hint="eastAsia" w:ascii="宋体" w:hAnsi="宋体" w:eastAsia="宋体" w:cs="宋体"/>
          <w:b/>
          <w:bCs/>
          <w:color w:val="auto"/>
          <w:spacing w:val="-3"/>
          <w:sz w:val="28"/>
          <w:szCs w:val="28"/>
          <w:highlight w:val="none"/>
          <w:lang w:eastAsia="zh-CN"/>
        </w:rPr>
        <w:t>附件：关于印发《政府采购促进中小企业发展暂行办法》的通知</w:t>
      </w:r>
    </w:p>
    <w:p w14:paraId="2927A75F">
      <w:pPr>
        <w:pStyle w:val="10"/>
        <w:spacing w:line="321" w:lineRule="auto"/>
        <w:rPr>
          <w:rFonts w:hint="eastAsia" w:ascii="宋体" w:hAnsi="宋体" w:eastAsia="宋体" w:cs="宋体"/>
          <w:color w:val="auto"/>
          <w:highlight w:val="none"/>
          <w:lang w:eastAsia="zh-CN"/>
        </w:rPr>
      </w:pPr>
    </w:p>
    <w:p w14:paraId="3163AB4F">
      <w:pPr>
        <w:spacing w:before="91" w:line="220" w:lineRule="auto"/>
        <w:ind w:left="347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财库〔2020〕46号</w:t>
      </w:r>
    </w:p>
    <w:p w14:paraId="62330169">
      <w:pPr>
        <w:spacing w:before="215" w:line="502" w:lineRule="exact"/>
        <w:ind w:right="22"/>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position w:val="23"/>
          <w:sz w:val="20"/>
          <w:szCs w:val="20"/>
          <w:highlight w:val="none"/>
          <w:lang w:eastAsia="zh-CN"/>
        </w:rPr>
        <w:t>各中央预算单位办公厅（室</w:t>
      </w:r>
      <w:r>
        <w:rPr>
          <w:rFonts w:hint="eastAsia" w:ascii="宋体" w:hAnsi="宋体" w:eastAsia="宋体" w:cs="宋体"/>
          <w:color w:val="auto"/>
          <w:spacing w:val="14"/>
          <w:position w:val="23"/>
          <w:sz w:val="20"/>
          <w:szCs w:val="20"/>
          <w:highlight w:val="none"/>
          <w:lang w:eastAsia="zh-CN"/>
        </w:rPr>
        <w:t>），</w:t>
      </w:r>
      <w:r>
        <w:rPr>
          <w:rFonts w:hint="eastAsia" w:ascii="宋体" w:hAnsi="宋体" w:eastAsia="宋体" w:cs="宋体"/>
          <w:color w:val="auto"/>
          <w:spacing w:val="7"/>
          <w:position w:val="23"/>
          <w:sz w:val="20"/>
          <w:szCs w:val="20"/>
          <w:highlight w:val="none"/>
          <w:lang w:eastAsia="zh-CN"/>
        </w:rPr>
        <w:t>各省、自治区、直辖市、计划单列市财政厅（局）、工业和信息</w:t>
      </w:r>
    </w:p>
    <w:p w14:paraId="70DBC41B">
      <w:pPr>
        <w:spacing w:line="227" w:lineRule="auto"/>
        <w:ind w:left="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化主管部门，新疆生产建设兵团财政局、工业和信息化主管部门：</w:t>
      </w:r>
    </w:p>
    <w:p w14:paraId="127936FC">
      <w:pPr>
        <w:spacing w:before="252" w:line="462" w:lineRule="auto"/>
        <w:ind w:left="4" w:right="22" w:firstLine="41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为贯彻落实《关于促进中小企业健康发展的指导意见》，发挥政府采购政策功能，促进中小企业发展，根据《中华人民共和国政府采购法》、《中华人民共和国中小企业促进法》等法律法规，财政</w:t>
      </w:r>
    </w:p>
    <w:p w14:paraId="5E7580EC">
      <w:pPr>
        <w:spacing w:line="226"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部、工业和信息化部制定了《政府采购促进中小企业发展管理办法》。现印发给你们，请遵照</w:t>
      </w:r>
      <w:r>
        <w:rPr>
          <w:rFonts w:hint="eastAsia" w:ascii="宋体" w:hAnsi="宋体" w:eastAsia="宋体" w:cs="宋体"/>
          <w:color w:val="auto"/>
          <w:spacing w:val="8"/>
          <w:sz w:val="20"/>
          <w:szCs w:val="20"/>
          <w:highlight w:val="none"/>
          <w:lang w:eastAsia="zh-CN"/>
        </w:rPr>
        <w:t>执行。</w:t>
      </w:r>
    </w:p>
    <w:p w14:paraId="1BBA2E04">
      <w:pPr>
        <w:spacing w:before="254" w:line="227" w:lineRule="auto"/>
        <w:ind w:left="43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附件：政府采购促进中小企业发展管理办法。</w:t>
      </w:r>
    </w:p>
    <w:p w14:paraId="6E228048">
      <w:pPr>
        <w:pStyle w:val="10"/>
        <w:spacing w:line="316" w:lineRule="auto"/>
        <w:rPr>
          <w:rFonts w:hint="eastAsia" w:ascii="宋体" w:hAnsi="宋体" w:eastAsia="宋体" w:cs="宋体"/>
          <w:color w:val="auto"/>
          <w:highlight w:val="none"/>
          <w:lang w:eastAsia="zh-CN"/>
        </w:rPr>
      </w:pPr>
    </w:p>
    <w:p w14:paraId="55915FA4">
      <w:pPr>
        <w:spacing w:before="65" w:line="228" w:lineRule="auto"/>
        <w:ind w:right="22"/>
        <w:jc w:val="right"/>
        <w:rPr>
          <w:rFonts w:hint="eastAsia" w:ascii="宋体" w:hAnsi="宋体" w:eastAsia="宋体" w:cs="宋体"/>
          <w:color w:val="auto"/>
          <w:highlight w:val="none"/>
          <w:lang w:eastAsia="zh-CN"/>
        </w:rPr>
      </w:pPr>
      <w:r>
        <w:rPr>
          <w:rFonts w:hint="eastAsia" w:ascii="宋体" w:hAnsi="宋体" w:eastAsia="宋体" w:cs="宋体"/>
          <w:color w:val="auto"/>
          <w:spacing w:val="6"/>
          <w:sz w:val="20"/>
          <w:szCs w:val="20"/>
          <w:highlight w:val="none"/>
          <w:lang w:eastAsia="zh-CN"/>
        </w:rPr>
        <w:t>财政部</w:t>
      </w:r>
    </w:p>
    <w:p w14:paraId="50F913E7">
      <w:pPr>
        <w:spacing w:before="66" w:line="228" w:lineRule="auto"/>
        <w:ind w:right="22"/>
        <w:jc w:val="right"/>
        <w:rPr>
          <w:rFonts w:hint="eastAsia" w:ascii="宋体" w:hAnsi="宋体" w:eastAsia="宋体" w:cs="宋体"/>
          <w:color w:val="auto"/>
          <w:highlight w:val="none"/>
          <w:lang w:eastAsia="zh-CN"/>
        </w:rPr>
      </w:pPr>
      <w:r>
        <w:rPr>
          <w:rFonts w:hint="eastAsia" w:ascii="宋体" w:hAnsi="宋体" w:eastAsia="宋体" w:cs="宋体"/>
          <w:color w:val="auto"/>
          <w:spacing w:val="8"/>
          <w:sz w:val="20"/>
          <w:szCs w:val="20"/>
          <w:highlight w:val="none"/>
          <w:lang w:eastAsia="zh-CN"/>
        </w:rPr>
        <w:t>工业和信息化部</w:t>
      </w:r>
    </w:p>
    <w:p w14:paraId="211FBA0A">
      <w:pPr>
        <w:spacing w:before="66" w:line="228" w:lineRule="auto"/>
        <w:jc w:val="right"/>
        <w:rPr>
          <w:rFonts w:hint="eastAsia" w:ascii="宋体" w:hAnsi="宋体" w:eastAsia="宋体" w:cs="宋体"/>
          <w:color w:val="auto"/>
          <w:highlight w:val="none"/>
          <w:lang w:eastAsia="zh-CN"/>
        </w:rPr>
      </w:pPr>
      <w:r>
        <w:rPr>
          <w:rFonts w:hint="eastAsia" w:ascii="宋体" w:hAnsi="宋体" w:eastAsia="宋体" w:cs="宋体"/>
          <w:color w:val="auto"/>
          <w:spacing w:val="12"/>
          <w:sz w:val="20"/>
          <w:szCs w:val="20"/>
          <w:highlight w:val="none"/>
          <w:lang w:eastAsia="zh-CN"/>
        </w:rPr>
        <w:t>2020年12月18日</w:t>
      </w:r>
    </w:p>
    <w:p w14:paraId="7067FBDB">
      <w:pPr>
        <w:spacing w:before="91" w:line="222" w:lineRule="auto"/>
        <w:ind w:left="2634"/>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1"/>
          <w:sz w:val="28"/>
          <w:szCs w:val="28"/>
          <w:highlight w:val="none"/>
          <w:lang w:eastAsia="zh-CN"/>
        </w:rPr>
        <w:t>政府采购促进中小企业发展管理办法</w:t>
      </w:r>
    </w:p>
    <w:p w14:paraId="0FC10BD8">
      <w:pPr>
        <w:spacing w:before="208" w:line="271" w:lineRule="auto"/>
        <w:ind w:right="37" w:firstLine="449"/>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3"/>
          <w:sz w:val="20"/>
          <w:szCs w:val="20"/>
          <w:highlight w:val="none"/>
          <w:lang w:eastAsia="zh-CN"/>
        </w:rPr>
        <w:t>第一条</w:t>
      </w:r>
      <w:r>
        <w:rPr>
          <w:rFonts w:hint="eastAsia" w:ascii="宋体" w:hAnsi="宋体" w:eastAsia="宋体" w:cs="宋体"/>
          <w:color w:val="auto"/>
          <w:spacing w:val="23"/>
          <w:sz w:val="20"/>
          <w:szCs w:val="20"/>
          <w:highlight w:val="none"/>
          <w:lang w:eastAsia="zh-CN"/>
        </w:rPr>
        <w:t xml:space="preserve">  为了发挥政府采购的政策功能，促进中小</w:t>
      </w:r>
      <w:r>
        <w:rPr>
          <w:rFonts w:hint="eastAsia" w:ascii="宋体" w:hAnsi="宋体" w:eastAsia="宋体" w:cs="宋体"/>
          <w:color w:val="auto"/>
          <w:spacing w:val="22"/>
          <w:sz w:val="20"/>
          <w:szCs w:val="20"/>
          <w:highlight w:val="none"/>
          <w:lang w:eastAsia="zh-CN"/>
        </w:rPr>
        <w:t>企业健康发展，根据《中华人民共和国</w:t>
      </w:r>
      <w:r>
        <w:rPr>
          <w:rFonts w:hint="eastAsia" w:ascii="宋体" w:hAnsi="宋体" w:eastAsia="宋体" w:cs="宋体"/>
          <w:color w:val="auto"/>
          <w:spacing w:val="19"/>
          <w:sz w:val="20"/>
          <w:szCs w:val="20"/>
          <w:highlight w:val="none"/>
          <w:lang w:eastAsia="zh-CN"/>
        </w:rPr>
        <w:t>政府采购法》、《中华人民共和国中小企业促进法》等有关法律法规，制定本办法。</w:t>
      </w:r>
    </w:p>
    <w:p w14:paraId="381B120F">
      <w:pPr>
        <w:spacing w:before="95" w:line="285" w:lineRule="auto"/>
        <w:ind w:left="2" w:right="37" w:firstLine="447"/>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第二条</w:t>
      </w:r>
      <w:r>
        <w:rPr>
          <w:rFonts w:hint="eastAsia" w:ascii="宋体" w:hAnsi="宋体" w:eastAsia="宋体" w:cs="宋体"/>
          <w:color w:val="auto"/>
          <w:spacing w:val="22"/>
          <w:sz w:val="20"/>
          <w:szCs w:val="20"/>
          <w:highlight w:val="none"/>
          <w:lang w:eastAsia="zh-CN"/>
        </w:rPr>
        <w:t xml:space="preserve">  本办法所称中小企业，是指在中华人</w:t>
      </w:r>
      <w:r>
        <w:rPr>
          <w:rFonts w:hint="eastAsia" w:ascii="宋体" w:hAnsi="宋体" w:eastAsia="宋体" w:cs="宋体"/>
          <w:color w:val="auto"/>
          <w:spacing w:val="21"/>
          <w:sz w:val="20"/>
          <w:szCs w:val="20"/>
          <w:highlight w:val="none"/>
          <w:lang w:eastAsia="zh-CN"/>
        </w:rPr>
        <w:t>民共和国境内依法设立，依据国务院批准的</w:t>
      </w:r>
      <w:r>
        <w:rPr>
          <w:rFonts w:hint="eastAsia" w:ascii="宋体" w:hAnsi="宋体" w:eastAsia="宋体" w:cs="宋体"/>
          <w:color w:val="auto"/>
          <w:spacing w:val="23"/>
          <w:sz w:val="20"/>
          <w:szCs w:val="20"/>
          <w:highlight w:val="none"/>
          <w:lang w:eastAsia="zh-CN"/>
        </w:rPr>
        <w:t>中小企业划分标准确定的中型企业、小型企业和微型企业，但与大企业的负责人为同一人，或</w:t>
      </w:r>
      <w:r>
        <w:rPr>
          <w:rFonts w:hint="eastAsia" w:ascii="宋体" w:hAnsi="宋体" w:eastAsia="宋体" w:cs="宋体"/>
          <w:color w:val="auto"/>
          <w:spacing w:val="21"/>
          <w:sz w:val="20"/>
          <w:szCs w:val="20"/>
          <w:highlight w:val="none"/>
          <w:lang w:eastAsia="zh-CN"/>
        </w:rPr>
        <w:t>者与大企业存在直接控股、管理关系的除外。</w:t>
      </w:r>
    </w:p>
    <w:p w14:paraId="491E4E1C">
      <w:pPr>
        <w:spacing w:before="94" w:line="227" w:lineRule="auto"/>
        <w:ind w:left="45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符合中小企业划分标准的个体工商户，在政府采购活动中视同中小企业。</w:t>
      </w:r>
    </w:p>
    <w:p w14:paraId="125C21F9">
      <w:pPr>
        <w:spacing w:before="92" w:line="271" w:lineRule="auto"/>
        <w:ind w:right="37" w:firstLine="449"/>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3"/>
          <w:sz w:val="20"/>
          <w:szCs w:val="20"/>
          <w:highlight w:val="none"/>
          <w:lang w:eastAsia="zh-CN"/>
        </w:rPr>
        <w:t>第三条</w:t>
      </w:r>
      <w:r>
        <w:rPr>
          <w:rFonts w:hint="eastAsia" w:ascii="宋体" w:hAnsi="宋体" w:eastAsia="宋体" w:cs="宋体"/>
          <w:color w:val="auto"/>
          <w:spacing w:val="23"/>
          <w:sz w:val="20"/>
          <w:szCs w:val="20"/>
          <w:highlight w:val="none"/>
          <w:lang w:eastAsia="zh-CN"/>
        </w:rPr>
        <w:t xml:space="preserve">  采购人在政府采购活动中应当通过加强采</w:t>
      </w:r>
      <w:r>
        <w:rPr>
          <w:rFonts w:hint="eastAsia" w:ascii="宋体" w:hAnsi="宋体" w:eastAsia="宋体" w:cs="宋体"/>
          <w:color w:val="auto"/>
          <w:spacing w:val="22"/>
          <w:sz w:val="20"/>
          <w:szCs w:val="20"/>
          <w:highlight w:val="none"/>
          <w:lang w:eastAsia="zh-CN"/>
        </w:rPr>
        <w:t>购需求管理，落实预留采购份额、价格</w:t>
      </w:r>
      <w:r>
        <w:rPr>
          <w:rFonts w:hint="eastAsia" w:ascii="宋体" w:hAnsi="宋体" w:eastAsia="宋体" w:cs="宋体"/>
          <w:color w:val="auto"/>
          <w:spacing w:val="23"/>
          <w:sz w:val="20"/>
          <w:szCs w:val="20"/>
          <w:highlight w:val="none"/>
          <w:lang w:eastAsia="zh-CN"/>
        </w:rPr>
        <w:t>评审优惠、优先采购等措施，提高中小企业在政府采购中的份额</w:t>
      </w:r>
      <w:r>
        <w:rPr>
          <w:rFonts w:hint="eastAsia" w:ascii="宋体" w:hAnsi="宋体" w:eastAsia="宋体" w:cs="宋体"/>
          <w:color w:val="auto"/>
          <w:spacing w:val="22"/>
          <w:sz w:val="20"/>
          <w:szCs w:val="20"/>
          <w:highlight w:val="none"/>
          <w:lang w:eastAsia="zh-CN"/>
        </w:rPr>
        <w:t>，支持中小企业发展。</w:t>
      </w:r>
    </w:p>
    <w:p w14:paraId="7FBFEF39">
      <w:pPr>
        <w:spacing w:before="95" w:line="270" w:lineRule="auto"/>
        <w:ind w:left="5" w:right="34" w:firstLine="444"/>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第四条</w:t>
      </w:r>
      <w:r>
        <w:rPr>
          <w:rFonts w:hint="eastAsia" w:ascii="宋体" w:hAnsi="宋体" w:eastAsia="宋体" w:cs="宋体"/>
          <w:color w:val="auto"/>
          <w:spacing w:val="22"/>
          <w:sz w:val="20"/>
          <w:szCs w:val="20"/>
          <w:highlight w:val="none"/>
          <w:lang w:eastAsia="zh-CN"/>
        </w:rPr>
        <w:t xml:space="preserve">  在政府采购活动中，供应商提供的货物、工</w:t>
      </w:r>
      <w:r>
        <w:rPr>
          <w:rFonts w:hint="eastAsia" w:ascii="宋体" w:hAnsi="宋体" w:eastAsia="宋体" w:cs="宋体"/>
          <w:color w:val="auto"/>
          <w:spacing w:val="21"/>
          <w:sz w:val="20"/>
          <w:szCs w:val="20"/>
          <w:highlight w:val="none"/>
          <w:lang w:eastAsia="zh-CN"/>
        </w:rPr>
        <w:t>程或者服务符合下列情形的，享受本</w:t>
      </w:r>
      <w:r>
        <w:rPr>
          <w:rFonts w:hint="eastAsia" w:ascii="宋体" w:hAnsi="宋体" w:eastAsia="宋体" w:cs="宋体"/>
          <w:color w:val="auto"/>
          <w:spacing w:val="20"/>
          <w:sz w:val="20"/>
          <w:szCs w:val="20"/>
          <w:highlight w:val="none"/>
          <w:lang w:eastAsia="zh-CN"/>
        </w:rPr>
        <w:t>办法规定的中小企业扶持政策：</w:t>
      </w:r>
    </w:p>
    <w:p w14:paraId="4F36A62A">
      <w:pPr>
        <w:spacing w:before="95" w:line="271" w:lineRule="auto"/>
        <w:ind w:right="37" w:firstLine="45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（一）在货物采购项目中，货物由中小企业制造，即货物由中小</w:t>
      </w:r>
      <w:r>
        <w:rPr>
          <w:rFonts w:hint="eastAsia" w:ascii="宋体" w:hAnsi="宋体" w:eastAsia="宋体" w:cs="宋体"/>
          <w:color w:val="auto"/>
          <w:spacing w:val="20"/>
          <w:sz w:val="20"/>
          <w:szCs w:val="20"/>
          <w:highlight w:val="none"/>
          <w:lang w:eastAsia="zh-CN"/>
        </w:rPr>
        <w:t>企业生产且使用该中小企</w:t>
      </w:r>
      <w:r>
        <w:rPr>
          <w:rFonts w:hint="eastAsia" w:ascii="宋体" w:hAnsi="宋体" w:eastAsia="宋体" w:cs="宋体"/>
          <w:color w:val="auto"/>
          <w:spacing w:val="19"/>
          <w:sz w:val="20"/>
          <w:szCs w:val="20"/>
          <w:highlight w:val="none"/>
          <w:lang w:eastAsia="zh-CN"/>
        </w:rPr>
        <w:t>业商号或者注册商标；</w:t>
      </w:r>
    </w:p>
    <w:p w14:paraId="593EBDB8">
      <w:pPr>
        <w:spacing w:before="91" w:line="227" w:lineRule="auto"/>
        <w:ind w:left="45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8"/>
          <w:sz w:val="20"/>
          <w:szCs w:val="20"/>
          <w:highlight w:val="none"/>
          <w:lang w:eastAsia="zh-CN"/>
        </w:rPr>
        <w:t>（二）在工程采购项目中，工程由中小企业承建，即工程施工单位为中小企业；</w:t>
      </w:r>
    </w:p>
    <w:p w14:paraId="2CF0AE9D">
      <w:pPr>
        <w:spacing w:before="95" w:line="271" w:lineRule="auto"/>
        <w:ind w:left="1" w:right="37" w:firstLine="45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（三）在服务采购项目中，服务由中小企业承接，即提供服务的</w:t>
      </w:r>
      <w:r>
        <w:rPr>
          <w:rFonts w:hint="eastAsia" w:ascii="宋体" w:hAnsi="宋体" w:eastAsia="宋体" w:cs="宋体"/>
          <w:color w:val="auto"/>
          <w:spacing w:val="20"/>
          <w:sz w:val="20"/>
          <w:szCs w:val="20"/>
          <w:highlight w:val="none"/>
          <w:lang w:eastAsia="zh-CN"/>
        </w:rPr>
        <w:t>人员为中小企业依照《中华人民共和国劳动合同法》订立劳动合同的</w:t>
      </w:r>
      <w:r>
        <w:rPr>
          <w:rFonts w:hint="eastAsia" w:ascii="宋体" w:hAnsi="宋体" w:eastAsia="宋体" w:cs="宋体"/>
          <w:color w:val="auto"/>
          <w:spacing w:val="19"/>
          <w:sz w:val="20"/>
          <w:szCs w:val="20"/>
          <w:highlight w:val="none"/>
          <w:lang w:eastAsia="zh-CN"/>
        </w:rPr>
        <w:t>从业人员。</w:t>
      </w:r>
    </w:p>
    <w:p w14:paraId="1C424548">
      <w:pPr>
        <w:spacing w:before="41" w:line="271" w:lineRule="auto"/>
        <w:ind w:left="5" w:firstLine="44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9"/>
          <w:sz w:val="20"/>
          <w:szCs w:val="20"/>
          <w:highlight w:val="none"/>
          <w:lang w:eastAsia="zh-CN"/>
        </w:rPr>
        <w:t>在货物采购项目中，供应商提供的货物既有中小企业制造货物，也有大型企业制造货物的，</w:t>
      </w:r>
      <w:r>
        <w:rPr>
          <w:rFonts w:hint="eastAsia" w:ascii="宋体" w:hAnsi="宋体" w:eastAsia="宋体" w:cs="宋体"/>
          <w:color w:val="auto"/>
          <w:spacing w:val="21"/>
          <w:sz w:val="20"/>
          <w:szCs w:val="20"/>
          <w:highlight w:val="none"/>
          <w:lang w:eastAsia="zh-CN"/>
        </w:rPr>
        <w:t>不享受本办法规定的中小企业扶持政策。</w:t>
      </w:r>
    </w:p>
    <w:p w14:paraId="2FBB0C46">
      <w:pPr>
        <w:spacing w:before="95" w:line="270" w:lineRule="auto"/>
        <w:ind w:left="21" w:right="61" w:firstLine="45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以联合体形式参加政府采购活动，联合体各方均</w:t>
      </w:r>
      <w:r>
        <w:rPr>
          <w:rFonts w:hint="eastAsia" w:ascii="宋体" w:hAnsi="宋体" w:eastAsia="宋体" w:cs="宋体"/>
          <w:color w:val="auto"/>
          <w:spacing w:val="20"/>
          <w:sz w:val="20"/>
          <w:szCs w:val="20"/>
          <w:highlight w:val="none"/>
          <w:lang w:eastAsia="zh-CN"/>
        </w:rPr>
        <w:t>为中小企业的，联合体视同中小企业。其</w:t>
      </w:r>
      <w:r>
        <w:rPr>
          <w:rFonts w:hint="eastAsia" w:ascii="宋体" w:hAnsi="宋体" w:eastAsia="宋体" w:cs="宋体"/>
          <w:color w:val="auto"/>
          <w:spacing w:val="19"/>
          <w:sz w:val="20"/>
          <w:szCs w:val="20"/>
          <w:highlight w:val="none"/>
          <w:lang w:eastAsia="zh-CN"/>
        </w:rPr>
        <w:t>中，联合体各方均为小微企业的，联合体视同小微企业。</w:t>
      </w:r>
    </w:p>
    <w:p w14:paraId="17AA41CE">
      <w:pPr>
        <w:spacing w:before="95" w:line="292" w:lineRule="auto"/>
        <w:ind w:left="2" w:right="59" w:firstLine="447"/>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3"/>
          <w:sz w:val="20"/>
          <w:szCs w:val="20"/>
          <w:highlight w:val="none"/>
          <w:lang w:eastAsia="zh-CN"/>
        </w:rPr>
        <w:t>第五条</w:t>
      </w:r>
      <w:r>
        <w:rPr>
          <w:rFonts w:hint="eastAsia" w:ascii="宋体" w:hAnsi="宋体" w:eastAsia="宋体" w:cs="宋体"/>
          <w:color w:val="auto"/>
          <w:spacing w:val="23"/>
          <w:sz w:val="20"/>
          <w:szCs w:val="20"/>
          <w:highlight w:val="none"/>
          <w:lang w:eastAsia="zh-CN"/>
        </w:rPr>
        <w:t xml:space="preserve">  采购人在政府采购活动中应当合理确定采</w:t>
      </w:r>
      <w:r>
        <w:rPr>
          <w:rFonts w:hint="eastAsia" w:ascii="宋体" w:hAnsi="宋体" w:eastAsia="宋体" w:cs="宋体"/>
          <w:color w:val="auto"/>
          <w:spacing w:val="22"/>
          <w:sz w:val="20"/>
          <w:szCs w:val="20"/>
          <w:highlight w:val="none"/>
          <w:lang w:eastAsia="zh-CN"/>
        </w:rPr>
        <w:t>购项目的采购需求，不得以企业注册资</w:t>
      </w:r>
      <w:r>
        <w:rPr>
          <w:rFonts w:hint="eastAsia" w:ascii="宋体" w:hAnsi="宋体" w:eastAsia="宋体" w:cs="宋体"/>
          <w:color w:val="auto"/>
          <w:spacing w:val="23"/>
          <w:sz w:val="20"/>
          <w:szCs w:val="20"/>
          <w:highlight w:val="none"/>
          <w:lang w:eastAsia="zh-CN"/>
        </w:rPr>
        <w:t>本、资产总额、营业收入、从业人员、利润、纳税额等规模条件和财务指标作为供应商的资格</w:t>
      </w:r>
      <w:r>
        <w:rPr>
          <w:rFonts w:hint="eastAsia" w:ascii="宋体" w:hAnsi="宋体" w:eastAsia="宋体" w:cs="宋体"/>
          <w:color w:val="auto"/>
          <w:spacing w:val="22"/>
          <w:sz w:val="20"/>
          <w:szCs w:val="20"/>
          <w:highlight w:val="none"/>
          <w:lang w:eastAsia="zh-CN"/>
        </w:rPr>
        <w:t>要求或者评审因素，不得在企业股权结构、经营年限等方面对中小企业实行差别待遇或者歧视</w:t>
      </w:r>
      <w:r>
        <w:rPr>
          <w:rFonts w:hint="eastAsia" w:ascii="宋体" w:hAnsi="宋体" w:eastAsia="宋体" w:cs="宋体"/>
          <w:color w:val="auto"/>
          <w:spacing w:val="7"/>
          <w:sz w:val="20"/>
          <w:szCs w:val="20"/>
          <w:highlight w:val="none"/>
          <w:lang w:eastAsia="zh-CN"/>
        </w:rPr>
        <w:t>待遇。</w:t>
      </w:r>
    </w:p>
    <w:p w14:paraId="103B3D53">
      <w:pPr>
        <w:spacing w:before="92" w:line="285" w:lineRule="auto"/>
        <w:ind w:left="5" w:right="61" w:firstLine="445"/>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第六条</w:t>
      </w:r>
      <w:r>
        <w:rPr>
          <w:rFonts w:hint="eastAsia" w:ascii="宋体" w:hAnsi="宋体" w:eastAsia="宋体" w:cs="宋体"/>
          <w:color w:val="auto"/>
          <w:spacing w:val="22"/>
          <w:sz w:val="20"/>
          <w:szCs w:val="20"/>
          <w:highlight w:val="none"/>
          <w:lang w:eastAsia="zh-CN"/>
        </w:rPr>
        <w:t xml:space="preserve">  主管预算单位应当组织评估本部门及</w:t>
      </w:r>
      <w:r>
        <w:rPr>
          <w:rFonts w:hint="eastAsia" w:ascii="宋体" w:hAnsi="宋体" w:eastAsia="宋体" w:cs="宋体"/>
          <w:color w:val="auto"/>
          <w:spacing w:val="21"/>
          <w:sz w:val="20"/>
          <w:szCs w:val="20"/>
          <w:highlight w:val="none"/>
          <w:lang w:eastAsia="zh-CN"/>
        </w:rPr>
        <w:t>所属单位政府采购项目，统筹制定面向中小</w:t>
      </w:r>
      <w:r>
        <w:rPr>
          <w:rFonts w:hint="eastAsia" w:ascii="宋体" w:hAnsi="宋体" w:eastAsia="宋体" w:cs="宋体"/>
          <w:color w:val="auto"/>
          <w:spacing w:val="22"/>
          <w:sz w:val="20"/>
          <w:szCs w:val="20"/>
          <w:highlight w:val="none"/>
          <w:lang w:eastAsia="zh-CN"/>
        </w:rPr>
        <w:t>企业预留采购份额的具体方案，对适宜由中小企业提供的采购项目和采购包，预留采购份额专门面向中小企业采购，并在政府采购预算中</w:t>
      </w:r>
      <w:r>
        <w:rPr>
          <w:rFonts w:hint="eastAsia" w:ascii="宋体" w:hAnsi="宋体" w:eastAsia="宋体" w:cs="宋体"/>
          <w:color w:val="auto"/>
          <w:spacing w:val="21"/>
          <w:sz w:val="20"/>
          <w:szCs w:val="20"/>
          <w:highlight w:val="none"/>
          <w:lang w:eastAsia="zh-CN"/>
        </w:rPr>
        <w:t>单独列示。</w:t>
      </w:r>
    </w:p>
    <w:p w14:paraId="149BD403">
      <w:pPr>
        <w:spacing w:before="94" w:line="227" w:lineRule="auto"/>
        <w:ind w:left="45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0"/>
          <w:sz w:val="20"/>
          <w:szCs w:val="20"/>
          <w:highlight w:val="none"/>
          <w:lang w:eastAsia="zh-CN"/>
        </w:rPr>
        <w:t>符合下列情形之一的，可不专门面向中小企业预留采购份额：</w:t>
      </w:r>
    </w:p>
    <w:p w14:paraId="28BFA5D7">
      <w:pPr>
        <w:spacing w:before="92" w:line="271" w:lineRule="auto"/>
        <w:ind w:left="3" w:right="61" w:firstLine="45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（一）法律法规和国家有关政策明确规定优先或者应当面向事业单位、社会组</w:t>
      </w:r>
      <w:r>
        <w:rPr>
          <w:rFonts w:hint="eastAsia" w:ascii="宋体" w:hAnsi="宋体" w:eastAsia="宋体" w:cs="宋体"/>
          <w:color w:val="auto"/>
          <w:spacing w:val="21"/>
          <w:sz w:val="20"/>
          <w:szCs w:val="20"/>
          <w:highlight w:val="none"/>
          <w:lang w:eastAsia="zh-CN"/>
        </w:rPr>
        <w:t>织等非企业</w:t>
      </w:r>
      <w:r>
        <w:rPr>
          <w:rFonts w:hint="eastAsia" w:ascii="宋体" w:hAnsi="宋体" w:eastAsia="宋体" w:cs="宋体"/>
          <w:color w:val="auto"/>
          <w:spacing w:val="15"/>
          <w:sz w:val="20"/>
          <w:szCs w:val="20"/>
          <w:highlight w:val="none"/>
          <w:lang w:eastAsia="zh-CN"/>
        </w:rPr>
        <w:t>主体采购的；</w:t>
      </w:r>
    </w:p>
    <w:p w14:paraId="63B90099">
      <w:pPr>
        <w:spacing w:before="94" w:line="270" w:lineRule="auto"/>
        <w:ind w:left="6" w:right="61" w:firstLine="45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（二）因确需使用不可替代的专利、专有技术，基础设施限制，或者提供特定公共服务等</w:t>
      </w:r>
      <w:r>
        <w:rPr>
          <w:rFonts w:hint="eastAsia" w:ascii="宋体" w:hAnsi="宋体" w:eastAsia="宋体" w:cs="宋体"/>
          <w:color w:val="auto"/>
          <w:spacing w:val="17"/>
          <w:sz w:val="20"/>
          <w:szCs w:val="20"/>
          <w:highlight w:val="none"/>
          <w:lang w:eastAsia="zh-CN"/>
        </w:rPr>
        <w:t>原因，只能从中小企业之外的供应商处采购的；</w:t>
      </w:r>
    </w:p>
    <w:p w14:paraId="34A54D9A">
      <w:pPr>
        <w:spacing w:before="95" w:line="271" w:lineRule="auto"/>
        <w:ind w:right="59" w:firstLine="45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（三）按照本办法规定预留采购份额无法确保充分供应、充分竞争，或者存</w:t>
      </w:r>
      <w:r>
        <w:rPr>
          <w:rFonts w:hint="eastAsia" w:ascii="宋体" w:hAnsi="宋体" w:eastAsia="宋体" w:cs="宋体"/>
          <w:color w:val="auto"/>
          <w:spacing w:val="21"/>
          <w:sz w:val="20"/>
          <w:szCs w:val="20"/>
          <w:highlight w:val="none"/>
          <w:lang w:eastAsia="zh-CN"/>
        </w:rPr>
        <w:t>在可能影响政</w:t>
      </w:r>
      <w:r>
        <w:rPr>
          <w:rFonts w:hint="eastAsia" w:ascii="宋体" w:hAnsi="宋体" w:eastAsia="宋体" w:cs="宋体"/>
          <w:color w:val="auto"/>
          <w:spacing w:val="19"/>
          <w:sz w:val="20"/>
          <w:szCs w:val="20"/>
          <w:highlight w:val="none"/>
          <w:lang w:eastAsia="zh-CN"/>
        </w:rPr>
        <w:t>府采购目标实现的情形；</w:t>
      </w:r>
    </w:p>
    <w:p w14:paraId="527AB8B5">
      <w:pPr>
        <w:spacing w:before="92" w:line="227" w:lineRule="auto"/>
        <w:ind w:left="4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5"/>
          <w:sz w:val="20"/>
          <w:szCs w:val="20"/>
          <w:highlight w:val="none"/>
          <w:lang w:eastAsia="zh-CN"/>
        </w:rPr>
        <w:t>（四）框架协议采购项目；</w:t>
      </w:r>
    </w:p>
    <w:p w14:paraId="4F5D6270">
      <w:pPr>
        <w:spacing w:before="95" w:line="227" w:lineRule="auto"/>
        <w:ind w:left="4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9"/>
          <w:sz w:val="20"/>
          <w:szCs w:val="20"/>
          <w:highlight w:val="none"/>
          <w:lang w:eastAsia="zh-CN"/>
        </w:rPr>
        <w:t>（五）省级以上人民政府财政部门规定的其他情形。</w:t>
      </w:r>
    </w:p>
    <w:p w14:paraId="285B1E82">
      <w:pPr>
        <w:spacing w:before="95" w:line="227" w:lineRule="auto"/>
        <w:ind w:left="46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除上述情形外，其他均为适宜由中小企业提供的情形。</w:t>
      </w:r>
    </w:p>
    <w:p w14:paraId="3BAD4753">
      <w:pPr>
        <w:spacing w:before="92" w:line="271" w:lineRule="auto"/>
        <w:ind w:right="61" w:firstLine="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1"/>
          <w:sz w:val="20"/>
          <w:szCs w:val="20"/>
          <w:highlight w:val="none"/>
          <w:lang w:eastAsia="zh-CN"/>
        </w:rPr>
        <w:t>第七条</w:t>
      </w:r>
      <w:r>
        <w:rPr>
          <w:rFonts w:hint="eastAsia" w:ascii="宋体" w:hAnsi="宋体" w:eastAsia="宋体" w:cs="宋体"/>
          <w:color w:val="auto"/>
          <w:spacing w:val="21"/>
          <w:sz w:val="20"/>
          <w:szCs w:val="20"/>
          <w:highlight w:val="none"/>
          <w:lang w:eastAsia="zh-CN"/>
        </w:rPr>
        <w:t xml:space="preserve">  采购限额标准以上，200万元以下的货物和服务采购项目、400万元以下的工程采购项目，适宜由中小企业提供的，采购人应当专门面向中小企业采购。</w:t>
      </w:r>
    </w:p>
    <w:p w14:paraId="3248760C">
      <w:pPr>
        <w:spacing w:before="94" w:line="285" w:lineRule="auto"/>
        <w:ind w:left="1" w:right="59" w:firstLine="448"/>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1"/>
          <w:sz w:val="20"/>
          <w:szCs w:val="20"/>
          <w:highlight w:val="none"/>
          <w:lang w:eastAsia="zh-CN"/>
        </w:rPr>
        <w:t>第八条</w:t>
      </w:r>
      <w:r>
        <w:rPr>
          <w:rFonts w:hint="eastAsia" w:ascii="宋体" w:hAnsi="宋体" w:eastAsia="宋体" w:cs="宋体"/>
          <w:color w:val="auto"/>
          <w:spacing w:val="21"/>
          <w:sz w:val="20"/>
          <w:szCs w:val="20"/>
          <w:highlight w:val="none"/>
          <w:lang w:eastAsia="zh-CN"/>
        </w:rPr>
        <w:t xml:space="preserve">  超过200万元的货物和服务采购项目、超过400万元的工程采购项目中适宜由中小</w:t>
      </w:r>
      <w:r>
        <w:rPr>
          <w:rFonts w:hint="eastAsia" w:ascii="宋体" w:hAnsi="宋体" w:eastAsia="宋体" w:cs="宋体"/>
          <w:color w:val="auto"/>
          <w:spacing w:val="23"/>
          <w:sz w:val="20"/>
          <w:szCs w:val="20"/>
          <w:highlight w:val="none"/>
          <w:lang w:eastAsia="zh-CN"/>
        </w:rPr>
        <w:t>企业提供的，预留该部分采购项目预算总额的30%以上专门面向中小企业采购，其中预留给小</w:t>
      </w:r>
      <w:r>
        <w:rPr>
          <w:rFonts w:hint="eastAsia" w:ascii="宋体" w:hAnsi="宋体" w:eastAsia="宋体" w:cs="宋体"/>
          <w:color w:val="auto"/>
          <w:spacing w:val="21"/>
          <w:sz w:val="20"/>
          <w:szCs w:val="20"/>
          <w:highlight w:val="none"/>
          <w:lang w:eastAsia="zh-CN"/>
        </w:rPr>
        <w:t>微企业的比例不低于60%。预留份额通过</w:t>
      </w:r>
      <w:r>
        <w:rPr>
          <w:rFonts w:hint="eastAsia" w:ascii="宋体" w:hAnsi="宋体" w:eastAsia="宋体" w:cs="宋体"/>
          <w:color w:val="auto"/>
          <w:spacing w:val="20"/>
          <w:sz w:val="20"/>
          <w:szCs w:val="20"/>
          <w:highlight w:val="none"/>
          <w:lang w:eastAsia="zh-CN"/>
        </w:rPr>
        <w:t>下列措施进行：</w:t>
      </w:r>
    </w:p>
    <w:p w14:paraId="410EF340">
      <w:pPr>
        <w:spacing w:before="95" w:line="227" w:lineRule="auto"/>
        <w:ind w:left="4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0"/>
          <w:sz w:val="20"/>
          <w:szCs w:val="20"/>
          <w:highlight w:val="none"/>
          <w:lang w:eastAsia="zh-CN"/>
        </w:rPr>
        <w:t>（一）将采购项目整体或者设置采购包专门面向中小企业采购；</w:t>
      </w:r>
    </w:p>
    <w:p w14:paraId="49984555">
      <w:pPr>
        <w:spacing w:before="92" w:line="272" w:lineRule="auto"/>
        <w:ind w:left="24" w:right="59" w:firstLine="43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（二）要求供应商以联合体形式参加采购活动，且联合体中中小企业承担的部</w:t>
      </w:r>
      <w:r>
        <w:rPr>
          <w:rFonts w:hint="eastAsia" w:ascii="宋体" w:hAnsi="宋体" w:eastAsia="宋体" w:cs="宋体"/>
          <w:color w:val="auto"/>
          <w:spacing w:val="21"/>
          <w:sz w:val="20"/>
          <w:szCs w:val="20"/>
          <w:highlight w:val="none"/>
          <w:lang w:eastAsia="zh-CN"/>
        </w:rPr>
        <w:t>分达到一定</w:t>
      </w:r>
      <w:r>
        <w:rPr>
          <w:rFonts w:hint="eastAsia" w:ascii="宋体" w:hAnsi="宋体" w:eastAsia="宋体" w:cs="宋体"/>
          <w:color w:val="auto"/>
          <w:sz w:val="20"/>
          <w:szCs w:val="20"/>
          <w:highlight w:val="none"/>
          <w:lang w:eastAsia="zh-CN"/>
        </w:rPr>
        <w:t>比例；</w:t>
      </w:r>
    </w:p>
    <w:p w14:paraId="58CEB3C9">
      <w:pPr>
        <w:spacing w:before="93" w:line="276" w:lineRule="auto"/>
        <w:ind w:right="61" w:firstLine="45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7"/>
          <w:sz w:val="20"/>
          <w:szCs w:val="20"/>
          <w:highlight w:val="none"/>
          <w:lang w:eastAsia="zh-CN"/>
        </w:rPr>
        <w:t>（三）要求获得采购合同的供应商将采购项目中的一定比例分包给一家或者多家中小企</w:t>
      </w:r>
      <w:r>
        <w:rPr>
          <w:rFonts w:hint="eastAsia" w:ascii="宋体" w:hAnsi="宋体" w:eastAsia="宋体" w:cs="宋体"/>
          <w:color w:val="auto"/>
          <w:sz w:val="20"/>
          <w:szCs w:val="20"/>
          <w:highlight w:val="none"/>
          <w:lang w:eastAsia="zh-CN"/>
        </w:rPr>
        <w:t>业。</w:t>
      </w:r>
    </w:p>
    <w:p w14:paraId="62EE6C3F">
      <w:pPr>
        <w:spacing w:before="81" w:line="271" w:lineRule="auto"/>
        <w:ind w:right="61" w:firstLine="45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3"/>
          <w:sz w:val="20"/>
          <w:szCs w:val="20"/>
          <w:highlight w:val="none"/>
          <w:lang w:eastAsia="zh-CN"/>
        </w:rPr>
        <w:t>组成联合体或者接受分包合同的中小企业与联合体内其他企业、分包企业之间不得存在直</w:t>
      </w:r>
      <w:r>
        <w:rPr>
          <w:rFonts w:hint="eastAsia" w:ascii="宋体" w:hAnsi="宋体" w:eastAsia="宋体" w:cs="宋体"/>
          <w:color w:val="auto"/>
          <w:spacing w:val="18"/>
          <w:sz w:val="20"/>
          <w:szCs w:val="20"/>
          <w:highlight w:val="none"/>
          <w:lang w:eastAsia="zh-CN"/>
        </w:rPr>
        <w:t>接控股、管理关系。</w:t>
      </w:r>
    </w:p>
    <w:p w14:paraId="08BE6D4D">
      <w:pPr>
        <w:spacing w:before="94" w:line="296" w:lineRule="auto"/>
        <w:ind w:right="61" w:firstLine="449"/>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1"/>
          <w:sz w:val="20"/>
          <w:szCs w:val="20"/>
          <w:highlight w:val="none"/>
          <w:lang w:eastAsia="zh-CN"/>
        </w:rPr>
        <w:t>第九条</w:t>
      </w:r>
      <w:r>
        <w:rPr>
          <w:rFonts w:hint="eastAsia" w:ascii="宋体" w:hAnsi="宋体" w:eastAsia="宋体" w:cs="宋体"/>
          <w:color w:val="auto"/>
          <w:spacing w:val="21"/>
          <w:sz w:val="20"/>
          <w:szCs w:val="20"/>
          <w:highlight w:val="none"/>
          <w:lang w:eastAsia="zh-CN"/>
        </w:rPr>
        <w:t xml:space="preserve">  对于经主管预算单位统筹后未预留份额专门面向中小企业采购的采购项目，以及</w:t>
      </w:r>
      <w:r>
        <w:rPr>
          <w:rFonts w:hint="eastAsia" w:ascii="宋体" w:hAnsi="宋体" w:eastAsia="宋体" w:cs="宋体"/>
          <w:color w:val="auto"/>
          <w:spacing w:val="22"/>
          <w:sz w:val="20"/>
          <w:szCs w:val="20"/>
          <w:highlight w:val="none"/>
          <w:lang w:eastAsia="zh-CN"/>
        </w:rPr>
        <w:t>预留份额项目中的非预留部分采购包，采购人、采购代理机构应当对符合本办法规定的小微企</w:t>
      </w:r>
      <w:r>
        <w:rPr>
          <w:rFonts w:hint="eastAsia" w:ascii="宋体" w:hAnsi="宋体" w:eastAsia="宋体" w:cs="宋体"/>
          <w:color w:val="auto"/>
          <w:spacing w:val="19"/>
          <w:sz w:val="20"/>
          <w:szCs w:val="20"/>
          <w:highlight w:val="none"/>
          <w:lang w:eastAsia="zh-CN"/>
        </w:rPr>
        <w:t>业报价给予6%—10%（工程项目为3%—5%）的</w:t>
      </w:r>
      <w:r>
        <w:rPr>
          <w:rFonts w:hint="eastAsia" w:ascii="宋体" w:hAnsi="宋体" w:eastAsia="宋体" w:cs="宋体"/>
          <w:color w:val="auto"/>
          <w:spacing w:val="18"/>
          <w:sz w:val="20"/>
          <w:szCs w:val="20"/>
          <w:highlight w:val="none"/>
          <w:lang w:eastAsia="zh-CN"/>
        </w:rPr>
        <w:t>扣除，用扣除后的价格参加评审。适用招标投标</w:t>
      </w:r>
      <w:r>
        <w:rPr>
          <w:rFonts w:hint="eastAsia" w:ascii="宋体" w:hAnsi="宋体" w:eastAsia="宋体" w:cs="宋体"/>
          <w:color w:val="auto"/>
          <w:spacing w:val="22"/>
          <w:sz w:val="20"/>
          <w:szCs w:val="20"/>
          <w:highlight w:val="none"/>
          <w:lang w:eastAsia="zh-CN"/>
        </w:rPr>
        <w:t>法的政府采购工程建设项目，采用综合评估法但未采用低价优先法计算价格分的，评标时应当</w:t>
      </w:r>
      <w:r>
        <w:rPr>
          <w:rFonts w:hint="eastAsia" w:ascii="宋体" w:hAnsi="宋体" w:eastAsia="宋体" w:cs="宋体"/>
          <w:color w:val="auto"/>
          <w:spacing w:val="20"/>
          <w:sz w:val="20"/>
          <w:szCs w:val="20"/>
          <w:highlight w:val="none"/>
          <w:lang w:eastAsia="zh-CN"/>
        </w:rPr>
        <w:t>在采用原报价进行评分的基础上增加其价格得分的3%—5%作为其价格分。</w:t>
      </w:r>
    </w:p>
    <w:p w14:paraId="742BD8B5">
      <w:pPr>
        <w:spacing w:before="97" w:line="284" w:lineRule="auto"/>
        <w:ind w:left="1" w:right="58" w:firstLine="44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9"/>
          <w:sz w:val="20"/>
          <w:szCs w:val="20"/>
          <w:highlight w:val="none"/>
          <w:lang w:eastAsia="zh-CN"/>
        </w:rPr>
        <w:t>接受大中型企业与小微企业组成联合体或者允许大中型企业向一家或者多家小微企业分</w:t>
      </w:r>
      <w:r>
        <w:rPr>
          <w:rFonts w:hint="eastAsia" w:ascii="宋体" w:hAnsi="宋体" w:eastAsia="宋体" w:cs="宋体"/>
          <w:color w:val="auto"/>
          <w:spacing w:val="24"/>
          <w:sz w:val="20"/>
          <w:szCs w:val="20"/>
          <w:highlight w:val="none"/>
          <w:lang w:eastAsia="zh-CN"/>
        </w:rPr>
        <w:t>包的采购项目，对于联合协议或者分包意向协议约定小微企业的合同份额占到合同总金额30%</w:t>
      </w:r>
      <w:r>
        <w:rPr>
          <w:rFonts w:hint="eastAsia" w:ascii="宋体" w:hAnsi="宋体" w:eastAsia="宋体" w:cs="宋体"/>
          <w:color w:val="auto"/>
          <w:spacing w:val="23"/>
          <w:sz w:val="20"/>
          <w:szCs w:val="20"/>
          <w:highlight w:val="none"/>
          <w:lang w:eastAsia="zh-CN"/>
        </w:rPr>
        <w:t>以上的，采购人、采购代理机构应当对联合体或者大中型企</w:t>
      </w:r>
      <w:r>
        <w:rPr>
          <w:rFonts w:hint="eastAsia" w:ascii="宋体" w:hAnsi="宋体" w:eastAsia="宋体" w:cs="宋体"/>
          <w:color w:val="auto"/>
          <w:spacing w:val="22"/>
          <w:sz w:val="20"/>
          <w:szCs w:val="20"/>
          <w:highlight w:val="none"/>
          <w:lang w:eastAsia="zh-CN"/>
        </w:rPr>
        <w:t>业的报价给予2%-3%（工程项目为</w:t>
      </w:r>
    </w:p>
    <w:p w14:paraId="0609DD75">
      <w:pPr>
        <w:spacing w:line="284" w:lineRule="auto"/>
        <w:rPr>
          <w:rFonts w:hint="eastAsia" w:ascii="宋体" w:hAnsi="宋体" w:eastAsia="宋体" w:cs="宋体"/>
          <w:color w:val="auto"/>
          <w:sz w:val="20"/>
          <w:szCs w:val="20"/>
          <w:highlight w:val="none"/>
          <w:lang w:eastAsia="zh-CN"/>
        </w:rPr>
        <w:sectPr>
          <w:pgSz w:w="11906" w:h="16839"/>
          <w:pgMar w:top="1354" w:right="1315" w:bottom="0" w:left="1367" w:header="0" w:footer="737" w:gutter="0"/>
          <w:pgNumType w:fmt="decimal"/>
          <w:cols w:space="720" w:num="1"/>
        </w:sectPr>
      </w:pPr>
    </w:p>
    <w:p w14:paraId="186E2E67">
      <w:pPr>
        <w:spacing w:before="41" w:line="292" w:lineRule="auto"/>
        <w:ind w:right="59" w:firstLine="16"/>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9"/>
          <w:sz w:val="20"/>
          <w:szCs w:val="20"/>
          <w:highlight w:val="none"/>
          <w:lang w:eastAsia="zh-CN"/>
        </w:rPr>
        <w:t>1%—2%）的扣除，用扣除后的价格参加评审。适用招标投标法的政府采购工程建设项目，采用</w:t>
      </w:r>
      <w:r>
        <w:rPr>
          <w:rFonts w:hint="eastAsia" w:ascii="宋体" w:hAnsi="宋体" w:eastAsia="宋体" w:cs="宋体"/>
          <w:color w:val="auto"/>
          <w:spacing w:val="22"/>
          <w:sz w:val="20"/>
          <w:szCs w:val="20"/>
          <w:highlight w:val="none"/>
          <w:lang w:eastAsia="zh-CN"/>
        </w:rPr>
        <w:t>综合评估法但未采用低价优先法计算价格分的，评标时应当在采用原报价进行评分的基础上增</w:t>
      </w:r>
      <w:r>
        <w:rPr>
          <w:rFonts w:hint="eastAsia" w:ascii="宋体" w:hAnsi="宋体" w:eastAsia="宋体" w:cs="宋体"/>
          <w:color w:val="auto"/>
          <w:spacing w:val="21"/>
          <w:sz w:val="20"/>
          <w:szCs w:val="20"/>
          <w:highlight w:val="none"/>
          <w:lang w:eastAsia="zh-CN"/>
        </w:rPr>
        <w:t>加其价格得分的1%—2%作为其价格分。组成联合体或者接受分包的小微企</w:t>
      </w:r>
      <w:r>
        <w:rPr>
          <w:rFonts w:hint="eastAsia" w:ascii="宋体" w:hAnsi="宋体" w:eastAsia="宋体" w:cs="宋体"/>
          <w:color w:val="auto"/>
          <w:spacing w:val="20"/>
          <w:sz w:val="20"/>
          <w:szCs w:val="20"/>
          <w:highlight w:val="none"/>
          <w:lang w:eastAsia="zh-CN"/>
        </w:rPr>
        <w:t>业与联合体内其他企</w:t>
      </w:r>
      <w:r>
        <w:rPr>
          <w:rFonts w:hint="eastAsia" w:ascii="宋体" w:hAnsi="宋体" w:eastAsia="宋体" w:cs="宋体"/>
          <w:color w:val="auto"/>
          <w:spacing w:val="21"/>
          <w:sz w:val="20"/>
          <w:szCs w:val="20"/>
          <w:highlight w:val="none"/>
          <w:lang w:eastAsia="zh-CN"/>
        </w:rPr>
        <w:t>业、分包企业之间存在直接控股、管理关系的，不享受价格扣除优惠政策。</w:t>
      </w:r>
    </w:p>
    <w:p w14:paraId="788A0AF9">
      <w:pPr>
        <w:spacing w:before="97" w:line="284" w:lineRule="auto"/>
        <w:ind w:left="4" w:right="61" w:firstLine="44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价格扣除比例或者价格分加分比例对小型企业和微型企业同等对待，不作区分。具体采购</w:t>
      </w:r>
      <w:r>
        <w:rPr>
          <w:rFonts w:hint="eastAsia" w:ascii="宋体" w:hAnsi="宋体" w:eastAsia="宋体" w:cs="宋体"/>
          <w:color w:val="auto"/>
          <w:spacing w:val="22"/>
          <w:sz w:val="20"/>
          <w:szCs w:val="20"/>
          <w:highlight w:val="none"/>
          <w:lang w:eastAsia="zh-CN"/>
        </w:rPr>
        <w:t>项目的价格扣除比例或者价格分加分比例，由采购人根据采购标的相关行业平均利润率、市场</w:t>
      </w:r>
      <w:r>
        <w:rPr>
          <w:rFonts w:hint="eastAsia" w:ascii="宋体" w:hAnsi="宋体" w:eastAsia="宋体" w:cs="宋体"/>
          <w:color w:val="auto"/>
          <w:spacing w:val="19"/>
          <w:sz w:val="20"/>
          <w:szCs w:val="20"/>
          <w:highlight w:val="none"/>
          <w:lang w:eastAsia="zh-CN"/>
        </w:rPr>
        <w:t>竞争状况等，在本办法规定的幅度内确定。</w:t>
      </w:r>
    </w:p>
    <w:p w14:paraId="0D5E2B05">
      <w:pPr>
        <w:spacing w:before="96" w:line="292" w:lineRule="auto"/>
        <w:ind w:left="2" w:firstLine="447"/>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5"/>
          <w:sz w:val="20"/>
          <w:szCs w:val="20"/>
          <w:highlight w:val="none"/>
          <w:lang w:eastAsia="zh-CN"/>
        </w:rPr>
        <w:t>第十条</w:t>
      </w:r>
      <w:r>
        <w:rPr>
          <w:rFonts w:hint="eastAsia" w:ascii="宋体" w:hAnsi="宋体" w:eastAsia="宋体" w:cs="宋体"/>
          <w:color w:val="auto"/>
          <w:spacing w:val="25"/>
          <w:sz w:val="20"/>
          <w:szCs w:val="20"/>
          <w:highlight w:val="none"/>
          <w:lang w:eastAsia="zh-CN"/>
        </w:rPr>
        <w:t xml:space="preserve">  采购人应当严格按照本办法规定和主管预算单位制定的预留采购份额</w:t>
      </w:r>
      <w:r>
        <w:rPr>
          <w:rFonts w:hint="eastAsia" w:ascii="宋体" w:hAnsi="宋体" w:eastAsia="宋体" w:cs="宋体"/>
          <w:color w:val="auto"/>
          <w:spacing w:val="24"/>
          <w:sz w:val="20"/>
          <w:szCs w:val="20"/>
          <w:highlight w:val="none"/>
          <w:lang w:eastAsia="zh-CN"/>
        </w:rPr>
        <w:t>具体方案</w:t>
      </w:r>
      <w:r>
        <w:rPr>
          <w:rFonts w:hint="eastAsia" w:ascii="宋体" w:hAnsi="宋体" w:eastAsia="宋体" w:cs="宋体"/>
          <w:color w:val="auto"/>
          <w:spacing w:val="20"/>
          <w:sz w:val="20"/>
          <w:szCs w:val="20"/>
          <w:highlight w:val="none"/>
          <w:lang w:eastAsia="zh-CN"/>
        </w:rPr>
        <w:t>开展采购活动。预留份额的采购项目或者采购包，通过发布公告方式邀请供应商后，符合资格</w:t>
      </w:r>
      <w:r>
        <w:rPr>
          <w:rFonts w:hint="eastAsia" w:ascii="宋体" w:hAnsi="宋体" w:eastAsia="宋体" w:cs="宋体"/>
          <w:color w:val="auto"/>
          <w:spacing w:val="21"/>
          <w:sz w:val="20"/>
          <w:szCs w:val="20"/>
          <w:highlight w:val="none"/>
          <w:lang w:eastAsia="zh-CN"/>
        </w:rPr>
        <w:t>条件的中小企业数量不足3家的，应当中止采购活动，视同未预留份额的采购项目或</w:t>
      </w:r>
      <w:r>
        <w:rPr>
          <w:rFonts w:hint="eastAsia" w:ascii="宋体" w:hAnsi="宋体" w:eastAsia="宋体" w:cs="宋体"/>
          <w:color w:val="auto"/>
          <w:spacing w:val="20"/>
          <w:sz w:val="20"/>
          <w:szCs w:val="20"/>
          <w:highlight w:val="none"/>
          <w:lang w:eastAsia="zh-CN"/>
        </w:rPr>
        <w:t>者采购包，</w:t>
      </w:r>
      <w:r>
        <w:rPr>
          <w:rFonts w:hint="eastAsia" w:ascii="宋体" w:hAnsi="宋体" w:eastAsia="宋体" w:cs="宋体"/>
          <w:color w:val="auto"/>
          <w:spacing w:val="21"/>
          <w:sz w:val="20"/>
          <w:szCs w:val="20"/>
          <w:highlight w:val="none"/>
          <w:lang w:eastAsia="zh-CN"/>
        </w:rPr>
        <w:t>按照本办法第九条有关规定重新组织采购活动。</w:t>
      </w:r>
    </w:p>
    <w:p w14:paraId="22F30C04">
      <w:pPr>
        <w:spacing w:before="94" w:line="285" w:lineRule="auto"/>
        <w:ind w:left="5" w:right="61" w:firstLine="444"/>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第十一条</w:t>
      </w:r>
      <w:r>
        <w:rPr>
          <w:rFonts w:hint="eastAsia" w:ascii="宋体" w:hAnsi="宋体" w:eastAsia="宋体" w:cs="宋体"/>
          <w:color w:val="auto"/>
          <w:spacing w:val="22"/>
          <w:sz w:val="20"/>
          <w:szCs w:val="20"/>
          <w:highlight w:val="none"/>
          <w:lang w:eastAsia="zh-CN"/>
        </w:rPr>
        <w:t xml:space="preserve">  中小企业参加政府采购活动，</w:t>
      </w:r>
      <w:r>
        <w:rPr>
          <w:rFonts w:hint="eastAsia" w:ascii="宋体" w:hAnsi="宋体" w:eastAsia="宋体" w:cs="宋体"/>
          <w:color w:val="auto"/>
          <w:spacing w:val="21"/>
          <w:sz w:val="20"/>
          <w:szCs w:val="20"/>
          <w:highlight w:val="none"/>
          <w:lang w:eastAsia="zh-CN"/>
        </w:rPr>
        <w:t>应当出具本办法规定的《中小企业声明函》（附</w:t>
      </w:r>
      <w:r>
        <w:rPr>
          <w:rFonts w:hint="eastAsia" w:ascii="宋体" w:hAnsi="宋体" w:eastAsia="宋体" w:cs="宋体"/>
          <w:color w:val="auto"/>
          <w:spacing w:val="24"/>
          <w:sz w:val="20"/>
          <w:szCs w:val="20"/>
          <w:highlight w:val="none"/>
          <w:lang w:eastAsia="zh-CN"/>
        </w:rPr>
        <w:t>1</w:t>
      </w:r>
      <w:r>
        <w:rPr>
          <w:rFonts w:hint="eastAsia" w:ascii="宋体" w:hAnsi="宋体" w:eastAsia="宋体" w:cs="宋体"/>
          <w:color w:val="auto"/>
          <w:spacing w:val="-12"/>
          <w:sz w:val="20"/>
          <w:szCs w:val="20"/>
          <w:highlight w:val="none"/>
          <w:lang w:eastAsia="zh-CN"/>
        </w:rPr>
        <w:t>），</w:t>
      </w:r>
      <w:r>
        <w:rPr>
          <w:rFonts w:hint="eastAsia" w:ascii="宋体" w:hAnsi="宋体" w:eastAsia="宋体" w:cs="宋体"/>
          <w:color w:val="auto"/>
          <w:spacing w:val="24"/>
          <w:sz w:val="20"/>
          <w:szCs w:val="20"/>
          <w:highlight w:val="none"/>
          <w:lang w:eastAsia="zh-CN"/>
        </w:rPr>
        <w:t>否则不得享受相关中小企业扶持政策。任何单位和个人不得要求供应</w:t>
      </w:r>
      <w:r>
        <w:rPr>
          <w:rFonts w:hint="eastAsia" w:ascii="宋体" w:hAnsi="宋体" w:eastAsia="宋体" w:cs="宋体"/>
          <w:color w:val="auto"/>
          <w:spacing w:val="23"/>
          <w:sz w:val="20"/>
          <w:szCs w:val="20"/>
          <w:highlight w:val="none"/>
          <w:lang w:eastAsia="zh-CN"/>
        </w:rPr>
        <w:t>商提供《中小企业</w:t>
      </w:r>
      <w:r>
        <w:rPr>
          <w:rFonts w:hint="eastAsia" w:ascii="宋体" w:hAnsi="宋体" w:eastAsia="宋体" w:cs="宋体"/>
          <w:color w:val="auto"/>
          <w:spacing w:val="18"/>
          <w:sz w:val="20"/>
          <w:szCs w:val="20"/>
          <w:highlight w:val="none"/>
          <w:lang w:eastAsia="zh-CN"/>
        </w:rPr>
        <w:t>声明函》之外的中小企业身份证明文件。</w:t>
      </w:r>
    </w:p>
    <w:p w14:paraId="7F06D25A">
      <w:pPr>
        <w:spacing w:before="94" w:line="227" w:lineRule="auto"/>
        <w:ind w:left="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第十二条</w:t>
      </w:r>
      <w:r>
        <w:rPr>
          <w:rFonts w:hint="eastAsia" w:ascii="宋体" w:hAnsi="宋体" w:eastAsia="宋体" w:cs="宋体"/>
          <w:color w:val="auto"/>
          <w:spacing w:val="22"/>
          <w:sz w:val="20"/>
          <w:szCs w:val="20"/>
          <w:highlight w:val="none"/>
          <w:lang w:eastAsia="zh-CN"/>
        </w:rPr>
        <w:t xml:space="preserve">  采购项目涉及中小企业采购的，</w:t>
      </w:r>
      <w:r>
        <w:rPr>
          <w:rFonts w:hint="eastAsia" w:ascii="宋体" w:hAnsi="宋体" w:eastAsia="宋体" w:cs="宋体"/>
          <w:color w:val="auto"/>
          <w:spacing w:val="21"/>
          <w:sz w:val="20"/>
          <w:szCs w:val="20"/>
          <w:highlight w:val="none"/>
          <w:lang w:eastAsia="zh-CN"/>
        </w:rPr>
        <w:t>采购文件应当明确以下内容：</w:t>
      </w:r>
    </w:p>
    <w:p w14:paraId="5434DBA1">
      <w:pPr>
        <w:spacing w:before="92" w:line="271" w:lineRule="auto"/>
        <w:ind w:left="25" w:firstLine="43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8"/>
          <w:sz w:val="20"/>
          <w:szCs w:val="20"/>
          <w:highlight w:val="none"/>
          <w:lang w:eastAsia="zh-CN"/>
        </w:rPr>
        <w:t>（一）预留份额的采购项目或者采购包，明确该项目或相关采购包专门面向中小企业采购，以及相关标的及预算金额；</w:t>
      </w:r>
    </w:p>
    <w:p w14:paraId="5B3AB473">
      <w:pPr>
        <w:spacing w:before="93" w:line="270" w:lineRule="auto"/>
        <w:ind w:right="59" w:firstLine="45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（二）要求以联合体形式参加或者合同分包的，明</w:t>
      </w:r>
      <w:r>
        <w:rPr>
          <w:rFonts w:hint="eastAsia" w:ascii="宋体" w:hAnsi="宋体" w:eastAsia="宋体" w:cs="宋体"/>
          <w:color w:val="auto"/>
          <w:spacing w:val="20"/>
          <w:sz w:val="20"/>
          <w:szCs w:val="20"/>
          <w:highlight w:val="none"/>
          <w:lang w:eastAsia="zh-CN"/>
        </w:rPr>
        <w:t>确联合协议或者分包意向协议中中小企</w:t>
      </w:r>
      <w:r>
        <w:rPr>
          <w:rFonts w:hint="eastAsia" w:ascii="宋体" w:hAnsi="宋体" w:eastAsia="宋体" w:cs="宋体"/>
          <w:color w:val="auto"/>
          <w:spacing w:val="22"/>
          <w:sz w:val="20"/>
          <w:szCs w:val="20"/>
          <w:highlight w:val="none"/>
          <w:lang w:eastAsia="zh-CN"/>
        </w:rPr>
        <w:t>业合同金额应当达到的比例，并作为供应商资格条件；</w:t>
      </w:r>
    </w:p>
    <w:p w14:paraId="2C536702">
      <w:pPr>
        <w:spacing w:before="95" w:line="226" w:lineRule="auto"/>
        <w:ind w:left="4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0"/>
          <w:sz w:val="20"/>
          <w:szCs w:val="20"/>
          <w:highlight w:val="none"/>
          <w:lang w:eastAsia="zh-CN"/>
        </w:rPr>
        <w:t>（三）非预留份额的采购项目或者采购包，明确有关价格扣除比例或者价格分加</w:t>
      </w:r>
      <w:r>
        <w:rPr>
          <w:rFonts w:hint="eastAsia" w:ascii="宋体" w:hAnsi="宋体" w:eastAsia="宋体" w:cs="宋体"/>
          <w:color w:val="auto"/>
          <w:spacing w:val="19"/>
          <w:sz w:val="20"/>
          <w:szCs w:val="20"/>
          <w:highlight w:val="none"/>
          <w:lang w:eastAsia="zh-CN"/>
        </w:rPr>
        <w:t>分比例；</w:t>
      </w:r>
    </w:p>
    <w:p w14:paraId="5DF7F49E">
      <w:pPr>
        <w:spacing w:before="96" w:line="270" w:lineRule="auto"/>
        <w:ind w:left="2" w:right="61" w:firstLine="45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（四）规定依据本办法规定享受扶持政策获得政府采购合同的，小微企业</w:t>
      </w:r>
      <w:r>
        <w:rPr>
          <w:rFonts w:hint="eastAsia" w:ascii="宋体" w:hAnsi="宋体" w:eastAsia="宋体" w:cs="宋体"/>
          <w:color w:val="auto"/>
          <w:spacing w:val="21"/>
          <w:sz w:val="20"/>
          <w:szCs w:val="20"/>
          <w:highlight w:val="none"/>
          <w:lang w:eastAsia="zh-CN"/>
        </w:rPr>
        <w:t>不得将合同分包</w:t>
      </w:r>
      <w:r>
        <w:rPr>
          <w:rFonts w:hint="eastAsia" w:ascii="宋体" w:hAnsi="宋体" w:eastAsia="宋体" w:cs="宋体"/>
          <w:color w:val="auto"/>
          <w:spacing w:val="20"/>
          <w:sz w:val="20"/>
          <w:szCs w:val="20"/>
          <w:highlight w:val="none"/>
          <w:lang w:eastAsia="zh-CN"/>
        </w:rPr>
        <w:t>给大中型企业，中型企业不得将合同分包给大型</w:t>
      </w:r>
      <w:r>
        <w:rPr>
          <w:rFonts w:hint="eastAsia" w:ascii="宋体" w:hAnsi="宋体" w:eastAsia="宋体" w:cs="宋体"/>
          <w:color w:val="auto"/>
          <w:spacing w:val="19"/>
          <w:sz w:val="20"/>
          <w:szCs w:val="20"/>
          <w:highlight w:val="none"/>
          <w:lang w:eastAsia="zh-CN"/>
        </w:rPr>
        <w:t>企业；</w:t>
      </w:r>
    </w:p>
    <w:p w14:paraId="2F86AC22">
      <w:pPr>
        <w:spacing w:before="94" w:line="271" w:lineRule="auto"/>
        <w:ind w:left="18" w:right="61" w:firstLine="44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（五）采购人认为具备相关条件的，明确对中小企业在</w:t>
      </w:r>
      <w:r>
        <w:rPr>
          <w:rFonts w:hint="eastAsia" w:ascii="宋体" w:hAnsi="宋体" w:eastAsia="宋体" w:cs="宋体"/>
          <w:color w:val="auto"/>
          <w:spacing w:val="20"/>
          <w:sz w:val="20"/>
          <w:szCs w:val="20"/>
          <w:highlight w:val="none"/>
          <w:lang w:eastAsia="zh-CN"/>
        </w:rPr>
        <w:t>资金支付期限、预付款比例等方面</w:t>
      </w:r>
      <w:r>
        <w:rPr>
          <w:rFonts w:hint="eastAsia" w:ascii="宋体" w:hAnsi="宋体" w:eastAsia="宋体" w:cs="宋体"/>
          <w:color w:val="auto"/>
          <w:spacing w:val="13"/>
          <w:sz w:val="20"/>
          <w:szCs w:val="20"/>
          <w:highlight w:val="none"/>
          <w:lang w:eastAsia="zh-CN"/>
        </w:rPr>
        <w:t>的优惠措施；</w:t>
      </w:r>
    </w:p>
    <w:p w14:paraId="324FFB3B">
      <w:pPr>
        <w:spacing w:before="92" w:line="227" w:lineRule="auto"/>
        <w:ind w:left="4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9"/>
          <w:sz w:val="20"/>
          <w:szCs w:val="20"/>
          <w:highlight w:val="none"/>
          <w:lang w:eastAsia="zh-CN"/>
        </w:rPr>
        <w:t>（六）明确采购标的对应的中小企业划分标准所属行业；</w:t>
      </w:r>
    </w:p>
    <w:p w14:paraId="3D6F272A">
      <w:pPr>
        <w:spacing w:before="95" w:line="227" w:lineRule="auto"/>
        <w:ind w:left="4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0"/>
          <w:sz w:val="20"/>
          <w:szCs w:val="20"/>
          <w:highlight w:val="none"/>
          <w:lang w:eastAsia="zh-CN"/>
        </w:rPr>
        <w:t>（七）法律法规和省级以上人民政府财政部门规定的其他事项。</w:t>
      </w:r>
    </w:p>
    <w:p w14:paraId="35D65199">
      <w:pPr>
        <w:spacing w:before="94" w:line="270" w:lineRule="auto"/>
        <w:ind w:right="61" w:firstLine="449"/>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3"/>
          <w:sz w:val="20"/>
          <w:szCs w:val="20"/>
          <w:highlight w:val="none"/>
          <w:lang w:eastAsia="zh-CN"/>
        </w:rPr>
        <w:t>第十三条</w:t>
      </w:r>
      <w:r>
        <w:rPr>
          <w:rFonts w:hint="eastAsia" w:ascii="宋体" w:hAnsi="宋体" w:eastAsia="宋体" w:cs="宋体"/>
          <w:color w:val="auto"/>
          <w:spacing w:val="23"/>
          <w:sz w:val="20"/>
          <w:szCs w:val="20"/>
          <w:highlight w:val="none"/>
          <w:lang w:eastAsia="zh-CN"/>
        </w:rPr>
        <w:t xml:space="preserve">  中标、成交供应商享受本办法规定</w:t>
      </w:r>
      <w:r>
        <w:rPr>
          <w:rFonts w:hint="eastAsia" w:ascii="宋体" w:hAnsi="宋体" w:eastAsia="宋体" w:cs="宋体"/>
          <w:color w:val="auto"/>
          <w:spacing w:val="22"/>
          <w:sz w:val="20"/>
          <w:szCs w:val="20"/>
          <w:highlight w:val="none"/>
          <w:lang w:eastAsia="zh-CN"/>
        </w:rPr>
        <w:t>的中小企业扶持政策的，采购人、采购代理机构应当随中标、成交结果公开中标、成交供应商的《中小企</w:t>
      </w:r>
      <w:r>
        <w:rPr>
          <w:rFonts w:hint="eastAsia" w:ascii="宋体" w:hAnsi="宋体" w:eastAsia="宋体" w:cs="宋体"/>
          <w:color w:val="auto"/>
          <w:spacing w:val="21"/>
          <w:sz w:val="20"/>
          <w:szCs w:val="20"/>
          <w:highlight w:val="none"/>
          <w:lang w:eastAsia="zh-CN"/>
        </w:rPr>
        <w:t>业声明函》。</w:t>
      </w:r>
    </w:p>
    <w:p w14:paraId="16D62841">
      <w:pPr>
        <w:spacing w:before="95" w:line="271" w:lineRule="auto"/>
        <w:ind w:left="7" w:right="61" w:firstLine="44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适用招标投标法的政府采购工程建设项目，应当在公示中标候选人时</w:t>
      </w:r>
      <w:r>
        <w:rPr>
          <w:rFonts w:hint="eastAsia" w:ascii="宋体" w:hAnsi="宋体" w:eastAsia="宋体" w:cs="宋体"/>
          <w:color w:val="auto"/>
          <w:spacing w:val="21"/>
          <w:sz w:val="20"/>
          <w:szCs w:val="20"/>
          <w:highlight w:val="none"/>
          <w:lang w:eastAsia="zh-CN"/>
        </w:rPr>
        <w:t>公开中标候选人的</w:t>
      </w:r>
      <w:r>
        <w:rPr>
          <w:rFonts w:hint="eastAsia" w:ascii="宋体" w:hAnsi="宋体" w:eastAsia="宋体" w:cs="宋体"/>
          <w:color w:val="auto"/>
          <w:spacing w:val="16"/>
          <w:sz w:val="20"/>
          <w:szCs w:val="20"/>
          <w:highlight w:val="none"/>
          <w:lang w:eastAsia="zh-CN"/>
        </w:rPr>
        <w:t>《中小企业声明函》。</w:t>
      </w:r>
    </w:p>
    <w:p w14:paraId="2B2E97C2">
      <w:pPr>
        <w:spacing w:before="94" w:line="292" w:lineRule="auto"/>
        <w:ind w:left="1" w:right="59" w:firstLine="448"/>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4"/>
          <w:sz w:val="20"/>
          <w:szCs w:val="20"/>
          <w:highlight w:val="none"/>
          <w:lang w:eastAsia="zh-CN"/>
        </w:rPr>
        <w:t>第十四条</w:t>
      </w:r>
      <w:r>
        <w:rPr>
          <w:rFonts w:hint="eastAsia" w:ascii="宋体" w:hAnsi="宋体" w:eastAsia="宋体" w:cs="宋体"/>
          <w:color w:val="auto"/>
          <w:spacing w:val="24"/>
          <w:sz w:val="20"/>
          <w:szCs w:val="20"/>
          <w:highlight w:val="none"/>
          <w:lang w:eastAsia="zh-CN"/>
        </w:rPr>
        <w:t>对于通过预留采购项目、预留专门采购包、要求以联合体形式参加或者合同分</w:t>
      </w:r>
      <w:r>
        <w:rPr>
          <w:rFonts w:hint="eastAsia" w:ascii="宋体" w:hAnsi="宋体" w:eastAsia="宋体" w:cs="宋体"/>
          <w:color w:val="auto"/>
          <w:spacing w:val="20"/>
          <w:sz w:val="20"/>
          <w:szCs w:val="20"/>
          <w:highlight w:val="none"/>
          <w:lang w:eastAsia="zh-CN"/>
        </w:rPr>
        <w:t>包等措施签订的采购合同，应当明确标注本合同为中小企业预留合同。其中，要求以联合体形</w:t>
      </w:r>
      <w:r>
        <w:rPr>
          <w:rFonts w:hint="eastAsia" w:ascii="宋体" w:hAnsi="宋体" w:eastAsia="宋体" w:cs="宋体"/>
          <w:color w:val="auto"/>
          <w:spacing w:val="24"/>
          <w:sz w:val="20"/>
          <w:szCs w:val="20"/>
          <w:highlight w:val="none"/>
          <w:lang w:eastAsia="zh-CN"/>
        </w:rPr>
        <w:t>式参加采购活动或者合同分包的，应当将联合协议或者分包意向协议作为采购合同的组成部</w:t>
      </w:r>
      <w:r>
        <w:rPr>
          <w:rFonts w:hint="eastAsia" w:ascii="宋体" w:hAnsi="宋体" w:eastAsia="宋体" w:cs="宋体"/>
          <w:color w:val="auto"/>
          <w:sz w:val="20"/>
          <w:szCs w:val="20"/>
          <w:highlight w:val="none"/>
          <w:lang w:eastAsia="zh-CN"/>
        </w:rPr>
        <w:t>分。</w:t>
      </w:r>
    </w:p>
    <w:p w14:paraId="09142C99">
      <w:pPr>
        <w:spacing w:before="94" w:line="285" w:lineRule="auto"/>
        <w:ind w:right="59" w:firstLine="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第十五条</w:t>
      </w:r>
      <w:r>
        <w:rPr>
          <w:rFonts w:hint="eastAsia" w:ascii="宋体" w:hAnsi="宋体" w:eastAsia="宋体" w:cs="宋体"/>
          <w:color w:val="auto"/>
          <w:spacing w:val="22"/>
          <w:sz w:val="20"/>
          <w:szCs w:val="20"/>
          <w:highlight w:val="none"/>
          <w:lang w:eastAsia="zh-CN"/>
        </w:rPr>
        <w:t xml:space="preserve">  鼓励各地区、各部门在采购活</w:t>
      </w:r>
      <w:r>
        <w:rPr>
          <w:rFonts w:hint="eastAsia" w:ascii="宋体" w:hAnsi="宋体" w:eastAsia="宋体" w:cs="宋体"/>
          <w:color w:val="auto"/>
          <w:spacing w:val="21"/>
          <w:sz w:val="20"/>
          <w:szCs w:val="20"/>
          <w:highlight w:val="none"/>
          <w:lang w:eastAsia="zh-CN"/>
        </w:rPr>
        <w:t>动中允许中小企业引入信用担保手段，为中小企业在投标（响应）保证、履约保证等方面提供专业化服务。鼓励中小企业依法合规通过政府采</w:t>
      </w:r>
      <w:r>
        <w:rPr>
          <w:rFonts w:hint="eastAsia" w:ascii="宋体" w:hAnsi="宋体" w:eastAsia="宋体" w:cs="宋体"/>
          <w:color w:val="auto"/>
          <w:spacing w:val="16"/>
          <w:sz w:val="20"/>
          <w:szCs w:val="20"/>
          <w:highlight w:val="none"/>
          <w:lang w:eastAsia="zh-CN"/>
        </w:rPr>
        <w:t>购合同融资。</w:t>
      </w:r>
    </w:p>
    <w:p w14:paraId="47D8E6A5">
      <w:pPr>
        <w:spacing w:before="93" w:line="271" w:lineRule="auto"/>
        <w:ind w:left="1" w:right="61" w:firstLine="448"/>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0"/>
          <w:sz w:val="20"/>
          <w:szCs w:val="20"/>
          <w:highlight w:val="none"/>
          <w:lang w:eastAsia="zh-CN"/>
        </w:rPr>
        <w:t>第十六条</w:t>
      </w:r>
      <w:r>
        <w:rPr>
          <w:rFonts w:hint="eastAsia" w:ascii="宋体" w:hAnsi="宋体" w:eastAsia="宋体" w:cs="宋体"/>
          <w:color w:val="auto"/>
          <w:spacing w:val="20"/>
          <w:sz w:val="20"/>
          <w:szCs w:val="20"/>
          <w:highlight w:val="none"/>
          <w:lang w:eastAsia="zh-CN"/>
        </w:rPr>
        <w:t xml:space="preserve">  政府采购监督检查、投诉处理及政府采购行政处罚中对中小企业的认定，由货</w:t>
      </w:r>
      <w:r>
        <w:rPr>
          <w:rFonts w:hint="eastAsia" w:ascii="宋体" w:hAnsi="宋体" w:eastAsia="宋体" w:cs="宋体"/>
          <w:color w:val="auto"/>
          <w:spacing w:val="23"/>
          <w:sz w:val="20"/>
          <w:szCs w:val="20"/>
          <w:highlight w:val="none"/>
          <w:lang w:eastAsia="zh-CN"/>
        </w:rPr>
        <w:t>物制造商或者工程、服务供应商注册登记所在地的县级以上人民政府中小企</w:t>
      </w:r>
      <w:r>
        <w:rPr>
          <w:rFonts w:hint="eastAsia" w:ascii="宋体" w:hAnsi="宋体" w:eastAsia="宋体" w:cs="宋体"/>
          <w:color w:val="auto"/>
          <w:spacing w:val="22"/>
          <w:sz w:val="20"/>
          <w:szCs w:val="20"/>
          <w:highlight w:val="none"/>
          <w:lang w:eastAsia="zh-CN"/>
        </w:rPr>
        <w:t>业主管部门负责。</w:t>
      </w:r>
    </w:p>
    <w:p w14:paraId="4118B657">
      <w:pPr>
        <w:spacing w:before="42" w:line="285" w:lineRule="auto"/>
        <w:ind w:left="4" w:firstLine="446"/>
        <w:rPr>
          <w:rFonts w:hint="eastAsia" w:ascii="宋体" w:hAnsi="宋体" w:eastAsia="宋体" w:cs="宋体"/>
          <w:color w:val="auto"/>
          <w:spacing w:val="20"/>
          <w:sz w:val="20"/>
          <w:szCs w:val="20"/>
          <w:highlight w:val="none"/>
          <w:lang w:eastAsia="zh-CN"/>
        </w:rPr>
      </w:pPr>
      <w:r>
        <w:rPr>
          <w:rFonts w:hint="eastAsia" w:ascii="宋体" w:hAnsi="宋体" w:eastAsia="宋体" w:cs="宋体"/>
          <w:color w:val="auto"/>
          <w:spacing w:val="22"/>
          <w:sz w:val="20"/>
          <w:szCs w:val="20"/>
          <w:highlight w:val="none"/>
          <w:lang w:eastAsia="zh-CN"/>
        </w:rPr>
        <w:t>中小企业主管部门应当在收到财政部门或者有关招标投标行政监督部门关于协助开展中</w:t>
      </w:r>
      <w:r>
        <w:rPr>
          <w:rFonts w:hint="eastAsia" w:ascii="宋体" w:hAnsi="宋体" w:eastAsia="宋体" w:cs="宋体"/>
          <w:color w:val="auto"/>
          <w:spacing w:val="20"/>
          <w:sz w:val="20"/>
          <w:szCs w:val="20"/>
          <w:highlight w:val="none"/>
          <w:lang w:eastAsia="zh-CN"/>
        </w:rPr>
        <w:t>小企业认定函后10个工作日内做出书面答复。</w:t>
      </w:r>
    </w:p>
    <w:p w14:paraId="3CB34B71">
      <w:pPr>
        <w:spacing w:before="42" w:line="285" w:lineRule="auto"/>
        <w:ind w:left="4" w:firstLine="446"/>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3"/>
          <w:sz w:val="20"/>
          <w:szCs w:val="20"/>
          <w:highlight w:val="none"/>
          <w:lang w:eastAsia="zh-CN"/>
        </w:rPr>
        <w:t>第十七条</w:t>
      </w:r>
      <w:r>
        <w:rPr>
          <w:rFonts w:hint="eastAsia" w:ascii="宋体" w:hAnsi="宋体" w:eastAsia="宋体" w:cs="宋体"/>
          <w:color w:val="auto"/>
          <w:spacing w:val="23"/>
          <w:sz w:val="20"/>
          <w:szCs w:val="20"/>
          <w:highlight w:val="none"/>
          <w:lang w:eastAsia="zh-CN"/>
        </w:rPr>
        <w:t xml:space="preserve">  各地区、各部门应当对涉及中小企</w:t>
      </w:r>
      <w:r>
        <w:rPr>
          <w:rFonts w:hint="eastAsia" w:ascii="宋体" w:hAnsi="宋体" w:eastAsia="宋体" w:cs="宋体"/>
          <w:color w:val="auto"/>
          <w:spacing w:val="22"/>
          <w:sz w:val="20"/>
          <w:szCs w:val="20"/>
          <w:highlight w:val="none"/>
          <w:lang w:eastAsia="zh-CN"/>
        </w:rPr>
        <w:t>业采购的预算项目实施全过程绩效管理，合理设置绩效目标和指标，落实扶持中小企业有关政策要求，定期开展绩效监控和评价，强化绩</w:t>
      </w:r>
      <w:r>
        <w:rPr>
          <w:rFonts w:hint="eastAsia" w:ascii="宋体" w:hAnsi="宋体" w:eastAsia="宋体" w:cs="宋体"/>
          <w:color w:val="auto"/>
          <w:spacing w:val="17"/>
          <w:sz w:val="20"/>
          <w:szCs w:val="20"/>
          <w:highlight w:val="none"/>
          <w:lang w:eastAsia="zh-CN"/>
        </w:rPr>
        <w:t>效评价结果应用。</w:t>
      </w:r>
    </w:p>
    <w:p w14:paraId="6DA6FEF7">
      <w:pPr>
        <w:spacing w:before="94" w:line="285" w:lineRule="auto"/>
        <w:ind w:left="2" w:right="2" w:firstLine="447"/>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7"/>
          <w:sz w:val="20"/>
          <w:szCs w:val="20"/>
          <w:highlight w:val="none"/>
          <w:lang w:eastAsia="zh-CN"/>
        </w:rPr>
        <w:t>第十八条</w:t>
      </w:r>
      <w:r>
        <w:rPr>
          <w:rFonts w:hint="eastAsia" w:ascii="宋体" w:hAnsi="宋体" w:eastAsia="宋体" w:cs="宋体"/>
          <w:color w:val="auto"/>
          <w:spacing w:val="27"/>
          <w:sz w:val="20"/>
          <w:szCs w:val="20"/>
          <w:highlight w:val="none"/>
          <w:lang w:eastAsia="zh-CN"/>
        </w:rPr>
        <w:t xml:space="preserve">  主管预算单位应当自2022年起向同级财政部门报告本部门上一</w:t>
      </w:r>
      <w:r>
        <w:rPr>
          <w:rFonts w:hint="eastAsia" w:ascii="宋体" w:hAnsi="宋体" w:eastAsia="宋体" w:cs="宋体"/>
          <w:color w:val="auto"/>
          <w:spacing w:val="26"/>
          <w:sz w:val="20"/>
          <w:szCs w:val="20"/>
          <w:highlight w:val="none"/>
          <w:lang w:eastAsia="zh-CN"/>
        </w:rPr>
        <w:t>年度面向中小</w:t>
      </w:r>
      <w:r>
        <w:rPr>
          <w:rFonts w:hint="eastAsia" w:ascii="宋体" w:hAnsi="宋体" w:eastAsia="宋体" w:cs="宋体"/>
          <w:color w:val="auto"/>
          <w:spacing w:val="23"/>
          <w:sz w:val="20"/>
          <w:szCs w:val="20"/>
          <w:highlight w:val="none"/>
          <w:lang w:eastAsia="zh-CN"/>
        </w:rPr>
        <w:t>企业预留份额和采购的具体情况，并在中国政府采购网公开预留项目执行情况(附2)。未达到</w:t>
      </w:r>
      <w:r>
        <w:rPr>
          <w:rFonts w:hint="eastAsia" w:ascii="宋体" w:hAnsi="宋体" w:eastAsia="宋体" w:cs="宋体"/>
          <w:color w:val="auto"/>
          <w:spacing w:val="21"/>
          <w:sz w:val="20"/>
          <w:szCs w:val="20"/>
          <w:highlight w:val="none"/>
          <w:lang w:eastAsia="zh-CN"/>
        </w:rPr>
        <w:t>本办法规定的预留份额比例的，应当作出说明。</w:t>
      </w:r>
    </w:p>
    <w:p w14:paraId="51D6C944">
      <w:pPr>
        <w:spacing w:before="93" w:line="285" w:lineRule="auto"/>
        <w:ind w:left="7" w:right="2" w:firstLine="443"/>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3"/>
          <w:sz w:val="20"/>
          <w:szCs w:val="20"/>
          <w:highlight w:val="none"/>
          <w:lang w:eastAsia="zh-CN"/>
        </w:rPr>
        <w:t>第十九条</w:t>
      </w:r>
      <w:r>
        <w:rPr>
          <w:rFonts w:hint="eastAsia" w:ascii="宋体" w:hAnsi="宋体" w:eastAsia="宋体" w:cs="宋体"/>
          <w:color w:val="auto"/>
          <w:spacing w:val="23"/>
          <w:sz w:val="20"/>
          <w:szCs w:val="20"/>
          <w:highlight w:val="none"/>
          <w:lang w:eastAsia="zh-CN"/>
        </w:rPr>
        <w:t xml:space="preserve">  采购人未按本办法规定为中小企业</w:t>
      </w:r>
      <w:r>
        <w:rPr>
          <w:rFonts w:hint="eastAsia" w:ascii="宋体" w:hAnsi="宋体" w:eastAsia="宋体" w:cs="宋体"/>
          <w:color w:val="auto"/>
          <w:spacing w:val="22"/>
          <w:sz w:val="20"/>
          <w:szCs w:val="20"/>
          <w:highlight w:val="none"/>
          <w:lang w:eastAsia="zh-CN"/>
        </w:rPr>
        <w:t>预留采购份额，采购人、采购代理机构未按照本办法规定要求实施价格扣除或者价格分加分的，属于未按照规定执行政府采购政策，依照</w:t>
      </w:r>
      <w:r>
        <w:rPr>
          <w:rFonts w:hint="eastAsia" w:ascii="宋体" w:hAnsi="宋体" w:eastAsia="宋体" w:cs="宋体"/>
          <w:color w:val="auto"/>
          <w:spacing w:val="20"/>
          <w:sz w:val="20"/>
          <w:szCs w:val="20"/>
          <w:highlight w:val="none"/>
          <w:lang w:eastAsia="zh-CN"/>
        </w:rPr>
        <w:t>《中华人民共和国政府采购法》等国家有关规定追究法律责任。</w:t>
      </w:r>
    </w:p>
    <w:p w14:paraId="39D64504">
      <w:pPr>
        <w:spacing w:before="92" w:line="271" w:lineRule="auto"/>
        <w:ind w:left="3" w:right="32" w:firstLine="447"/>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1"/>
          <w:sz w:val="20"/>
          <w:szCs w:val="20"/>
          <w:highlight w:val="none"/>
          <w:lang w:eastAsia="zh-CN"/>
        </w:rPr>
        <w:t>第二十条</w:t>
      </w:r>
      <w:r>
        <w:rPr>
          <w:rFonts w:hint="eastAsia" w:ascii="宋体" w:hAnsi="宋体" w:eastAsia="宋体" w:cs="宋体"/>
          <w:color w:val="auto"/>
          <w:spacing w:val="21"/>
          <w:sz w:val="20"/>
          <w:szCs w:val="20"/>
          <w:highlight w:val="none"/>
          <w:lang w:eastAsia="zh-CN"/>
        </w:rPr>
        <w:t xml:space="preserve">  供应商按照本办法规定提供声明函内容不实的，属于</w:t>
      </w:r>
      <w:r>
        <w:rPr>
          <w:rFonts w:hint="eastAsia" w:ascii="宋体" w:hAnsi="宋体" w:eastAsia="宋体" w:cs="宋体"/>
          <w:color w:val="auto"/>
          <w:spacing w:val="20"/>
          <w:sz w:val="20"/>
          <w:szCs w:val="20"/>
          <w:highlight w:val="none"/>
          <w:lang w:eastAsia="zh-CN"/>
        </w:rPr>
        <w:t>提供虚假材料谋取中标、成交，依照《中华人民共和国政府采购法》等国家有关</w:t>
      </w:r>
      <w:r>
        <w:rPr>
          <w:rFonts w:hint="eastAsia" w:ascii="宋体" w:hAnsi="宋体" w:eastAsia="宋体" w:cs="宋体"/>
          <w:color w:val="auto"/>
          <w:spacing w:val="19"/>
          <w:sz w:val="20"/>
          <w:szCs w:val="20"/>
          <w:highlight w:val="none"/>
          <w:lang w:eastAsia="zh-CN"/>
        </w:rPr>
        <w:t>规定追究相应责任。</w:t>
      </w:r>
    </w:p>
    <w:p w14:paraId="01680C9D">
      <w:pPr>
        <w:spacing w:before="94" w:line="285" w:lineRule="auto"/>
        <w:ind w:firstLine="44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8"/>
          <w:sz w:val="20"/>
          <w:szCs w:val="20"/>
          <w:highlight w:val="none"/>
          <w:lang w:eastAsia="zh-CN"/>
        </w:rPr>
        <w:t>适用招标投标法的政府采购工程建设项目，投标人按照本办法规定提供声明函内容不实</w:t>
      </w:r>
      <w:r>
        <w:rPr>
          <w:rFonts w:hint="eastAsia" w:ascii="宋体" w:hAnsi="宋体" w:eastAsia="宋体" w:cs="宋体"/>
          <w:color w:val="auto"/>
          <w:spacing w:val="21"/>
          <w:sz w:val="20"/>
          <w:szCs w:val="20"/>
          <w:highlight w:val="none"/>
          <w:lang w:eastAsia="zh-CN"/>
        </w:rPr>
        <w:t>的，属于弄虚作假骗取中标，依照《中华人民共和国招标投标法》等国家有关规定追究相应责</w:t>
      </w:r>
      <w:r>
        <w:rPr>
          <w:rFonts w:hint="eastAsia" w:ascii="宋体" w:hAnsi="宋体" w:eastAsia="宋体" w:cs="宋体"/>
          <w:color w:val="auto"/>
          <w:sz w:val="20"/>
          <w:szCs w:val="20"/>
          <w:highlight w:val="none"/>
          <w:lang w:eastAsia="zh-CN"/>
        </w:rPr>
        <w:t>任。</w:t>
      </w:r>
    </w:p>
    <w:p w14:paraId="2E66C007">
      <w:pPr>
        <w:spacing w:before="94" w:line="292" w:lineRule="auto"/>
        <w:ind w:right="2" w:firstLine="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1"/>
          <w:sz w:val="20"/>
          <w:szCs w:val="20"/>
          <w:highlight w:val="none"/>
          <w:lang w:eastAsia="zh-CN"/>
        </w:rPr>
        <w:t>第二十一条</w:t>
      </w:r>
      <w:r>
        <w:rPr>
          <w:rFonts w:hint="eastAsia" w:ascii="宋体" w:hAnsi="宋体" w:eastAsia="宋体" w:cs="宋体"/>
          <w:color w:val="auto"/>
          <w:spacing w:val="21"/>
          <w:sz w:val="20"/>
          <w:szCs w:val="20"/>
          <w:highlight w:val="none"/>
          <w:lang w:eastAsia="zh-CN"/>
        </w:rPr>
        <w:t xml:space="preserve">  财政部门、中小企业主管部门及其工作人员在履行职责中违反本办法规定及</w:t>
      </w:r>
      <w:r>
        <w:rPr>
          <w:rFonts w:hint="eastAsia" w:ascii="宋体" w:hAnsi="宋体" w:eastAsia="宋体" w:cs="宋体"/>
          <w:color w:val="auto"/>
          <w:spacing w:val="23"/>
          <w:sz w:val="20"/>
          <w:szCs w:val="20"/>
          <w:highlight w:val="none"/>
          <w:lang w:eastAsia="zh-CN"/>
        </w:rPr>
        <w:t>存在其他滥用职权、玩忽职守、徇私舞弊等违法违纪行为的，依照《中华人民共和国政府采购</w:t>
      </w:r>
      <w:r>
        <w:rPr>
          <w:rFonts w:hint="eastAsia" w:ascii="宋体" w:hAnsi="宋体" w:eastAsia="宋体" w:cs="宋体"/>
          <w:color w:val="auto"/>
          <w:spacing w:val="17"/>
          <w:sz w:val="20"/>
          <w:szCs w:val="20"/>
          <w:highlight w:val="none"/>
          <w:lang w:eastAsia="zh-CN"/>
        </w:rPr>
        <w:t>法》、《中华人民共和国公务员法》、《中华人民共和国监察法》、《中华人民共和国政</w:t>
      </w:r>
      <w:r>
        <w:rPr>
          <w:rFonts w:hint="eastAsia" w:ascii="宋体" w:hAnsi="宋体" w:eastAsia="宋体" w:cs="宋体"/>
          <w:color w:val="auto"/>
          <w:spacing w:val="16"/>
          <w:sz w:val="20"/>
          <w:szCs w:val="20"/>
          <w:highlight w:val="none"/>
          <w:lang w:eastAsia="zh-CN"/>
        </w:rPr>
        <w:t>府采</w:t>
      </w:r>
      <w:r>
        <w:rPr>
          <w:rFonts w:hint="eastAsia" w:ascii="宋体" w:hAnsi="宋体" w:eastAsia="宋体" w:cs="宋体"/>
          <w:color w:val="auto"/>
          <w:spacing w:val="19"/>
          <w:sz w:val="20"/>
          <w:szCs w:val="20"/>
          <w:highlight w:val="none"/>
          <w:lang w:eastAsia="zh-CN"/>
        </w:rPr>
        <w:t>购法实施条例》等国家有关规定追究相应责任；涉嫌犯罪的，依法移送有关国家机关处理。</w:t>
      </w:r>
    </w:p>
    <w:p w14:paraId="69480DD5">
      <w:pPr>
        <w:spacing w:line="51" w:lineRule="exact"/>
        <w:rPr>
          <w:rFonts w:hint="eastAsia" w:ascii="宋体" w:hAnsi="宋体" w:eastAsia="宋体" w:cs="宋体"/>
          <w:color w:val="auto"/>
          <w:highlight w:val="none"/>
          <w:lang w:eastAsia="zh-CN"/>
        </w:rPr>
      </w:pPr>
    </w:p>
    <w:p w14:paraId="16F7ABA3">
      <w:pPr>
        <w:spacing w:line="51" w:lineRule="exact"/>
        <w:rPr>
          <w:rFonts w:hint="eastAsia" w:ascii="宋体" w:hAnsi="宋体" w:eastAsia="宋体" w:cs="宋体"/>
          <w:color w:val="auto"/>
          <w:highlight w:val="none"/>
          <w:lang w:eastAsia="zh-CN"/>
        </w:rPr>
        <w:sectPr>
          <w:pgSz w:w="11906" w:h="16839"/>
          <w:pgMar w:top="1354" w:right="1374" w:bottom="0" w:left="1367" w:header="0" w:footer="737" w:gutter="0"/>
          <w:pgNumType w:fmt="decimal"/>
          <w:cols w:equalWidth="0" w:num="1">
            <w:col w:w="9165"/>
          </w:cols>
        </w:sectPr>
      </w:pPr>
    </w:p>
    <w:p w14:paraId="2548599C">
      <w:pPr>
        <w:spacing w:before="41" w:line="228" w:lineRule="auto"/>
        <w:ind w:left="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18"/>
          <w:sz w:val="20"/>
          <w:szCs w:val="20"/>
          <w:highlight w:val="none"/>
          <w:lang w:eastAsia="zh-CN"/>
        </w:rPr>
        <w:t>第二十二条</w:t>
      </w:r>
    </w:p>
    <w:p w14:paraId="6CDC2278">
      <w:pPr>
        <w:spacing w:before="94" w:line="228" w:lineRule="auto"/>
        <w:ind w:lef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办法。</w:t>
      </w:r>
    </w:p>
    <w:p w14:paraId="297EDC3A">
      <w:pPr>
        <w:spacing w:before="94" w:line="228" w:lineRule="auto"/>
        <w:ind w:left="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18"/>
          <w:sz w:val="20"/>
          <w:szCs w:val="20"/>
          <w:highlight w:val="none"/>
          <w:lang w:eastAsia="zh-CN"/>
        </w:rPr>
        <w:t>第二十三条</w:t>
      </w:r>
    </w:p>
    <w:p w14:paraId="33CC0CC9">
      <w:pPr>
        <w:spacing w:before="92" w:line="228" w:lineRule="auto"/>
        <w:ind w:left="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3"/>
          <w:sz w:val="20"/>
          <w:szCs w:val="20"/>
          <w:highlight w:val="none"/>
          <w:lang w:eastAsia="zh-CN"/>
        </w:rPr>
        <w:t>另行规定。</w:t>
      </w:r>
    </w:p>
    <w:p w14:paraId="246AE54E">
      <w:pPr>
        <w:spacing w:before="93" w:line="228" w:lineRule="auto"/>
        <w:ind w:left="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22"/>
          <w:sz w:val="20"/>
          <w:szCs w:val="20"/>
          <w:highlight w:val="none"/>
          <w:lang w:eastAsia="zh-CN"/>
        </w:rPr>
        <w:t>第二十四条</w:t>
      </w:r>
    </w:p>
    <w:p w14:paraId="01079CE7">
      <w:pPr>
        <w:spacing w:before="94" w:line="228" w:lineRule="auto"/>
        <w:ind w:lef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办法。</w:t>
      </w:r>
    </w:p>
    <w:p w14:paraId="4D979BC8">
      <w:pPr>
        <w:spacing w:before="91" w:line="193" w:lineRule="auto"/>
        <w:ind w:left="45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18"/>
          <w:sz w:val="20"/>
          <w:szCs w:val="20"/>
          <w:highlight w:val="none"/>
          <w:lang w:eastAsia="zh-CN"/>
        </w:rPr>
        <w:t>第二十五条</w:t>
      </w:r>
    </w:p>
    <w:p w14:paraId="46F05F06">
      <w:pPr>
        <w:pStyle w:val="10"/>
        <w:spacing w:line="14" w:lineRule="auto"/>
        <w:rPr>
          <w:rFonts w:hint="eastAsia" w:ascii="宋体" w:hAnsi="宋体" w:eastAsia="宋体" w:cs="宋体"/>
          <w:color w:val="auto"/>
          <w:sz w:val="2"/>
          <w:highlight w:val="none"/>
          <w:lang w:eastAsia="zh-CN"/>
        </w:rPr>
      </w:pPr>
      <w:r>
        <w:rPr>
          <w:rFonts w:hint="eastAsia" w:ascii="宋体" w:hAnsi="宋体" w:eastAsia="宋体" w:cs="宋体"/>
          <w:color w:val="auto"/>
          <w:sz w:val="2"/>
          <w:szCs w:val="2"/>
          <w:highlight w:val="none"/>
          <w:lang w:eastAsia="zh-CN"/>
        </w:rPr>
        <w:br w:type="column"/>
      </w:r>
    </w:p>
    <w:p w14:paraId="04BA39E4">
      <w:pPr>
        <w:spacing w:before="40" w:line="227"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2"/>
          <w:sz w:val="20"/>
          <w:szCs w:val="20"/>
          <w:highlight w:val="none"/>
          <w:lang w:eastAsia="zh-CN"/>
        </w:rPr>
        <w:t>对外援助项目、国家相关资格或者资质管理制度另</w:t>
      </w:r>
      <w:r>
        <w:rPr>
          <w:rFonts w:hint="eastAsia" w:ascii="宋体" w:hAnsi="宋体" w:eastAsia="宋体" w:cs="宋体"/>
          <w:color w:val="auto"/>
          <w:spacing w:val="21"/>
          <w:sz w:val="20"/>
          <w:szCs w:val="20"/>
          <w:highlight w:val="none"/>
          <w:lang w:eastAsia="zh-CN"/>
        </w:rPr>
        <w:t>有规定的项目，不适用本</w:t>
      </w:r>
    </w:p>
    <w:p w14:paraId="51979E0A">
      <w:pPr>
        <w:pStyle w:val="10"/>
        <w:spacing w:line="368" w:lineRule="auto"/>
        <w:rPr>
          <w:rFonts w:hint="eastAsia" w:ascii="宋体" w:hAnsi="宋体" w:eastAsia="宋体" w:cs="宋体"/>
          <w:color w:val="auto"/>
          <w:highlight w:val="none"/>
          <w:lang w:eastAsia="zh-CN"/>
        </w:rPr>
      </w:pPr>
    </w:p>
    <w:p w14:paraId="0014CBE2">
      <w:pPr>
        <w:spacing w:before="66" w:line="227" w:lineRule="auto"/>
        <w:ind w:lef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关于视同中小企业的其他主体的政府采购扶持政策，由财政部会同有关部门</w:t>
      </w:r>
    </w:p>
    <w:p w14:paraId="3F2D94D4">
      <w:pPr>
        <w:pStyle w:val="10"/>
        <w:spacing w:line="366" w:lineRule="auto"/>
        <w:rPr>
          <w:rFonts w:hint="eastAsia" w:ascii="宋体" w:hAnsi="宋体" w:eastAsia="宋体" w:cs="宋体"/>
          <w:color w:val="auto"/>
          <w:highlight w:val="none"/>
          <w:lang w:eastAsia="zh-CN"/>
        </w:rPr>
      </w:pPr>
    </w:p>
    <w:p w14:paraId="59DF1FF3">
      <w:pPr>
        <w:spacing w:before="65" w:line="227" w:lineRule="auto"/>
        <w:ind w:right="2"/>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9"/>
          <w:sz w:val="20"/>
          <w:szCs w:val="20"/>
          <w:highlight w:val="none"/>
          <w:lang w:eastAsia="zh-CN"/>
        </w:rPr>
        <w:t>省级财政部门可以会同中小企业主管部门根据本办法的规定制定</w:t>
      </w:r>
      <w:r>
        <w:rPr>
          <w:rFonts w:hint="eastAsia" w:ascii="宋体" w:hAnsi="宋体" w:eastAsia="宋体" w:cs="宋体"/>
          <w:color w:val="auto"/>
          <w:spacing w:val="28"/>
          <w:sz w:val="20"/>
          <w:szCs w:val="20"/>
          <w:highlight w:val="none"/>
          <w:lang w:eastAsia="zh-CN"/>
        </w:rPr>
        <w:t>具体实施</w:t>
      </w:r>
    </w:p>
    <w:p w14:paraId="13BF84B6">
      <w:pPr>
        <w:pStyle w:val="10"/>
        <w:spacing w:line="365" w:lineRule="auto"/>
        <w:rPr>
          <w:rFonts w:hint="eastAsia" w:ascii="宋体" w:hAnsi="宋体" w:eastAsia="宋体" w:cs="宋体"/>
          <w:color w:val="auto"/>
          <w:highlight w:val="none"/>
          <w:lang w:eastAsia="zh-CN"/>
        </w:rPr>
      </w:pPr>
    </w:p>
    <w:p w14:paraId="42B53E60">
      <w:pPr>
        <w:spacing w:before="66" w:line="193"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9"/>
          <w:sz w:val="20"/>
          <w:szCs w:val="20"/>
          <w:highlight w:val="none"/>
          <w:lang w:eastAsia="zh-CN"/>
        </w:rPr>
        <w:t>本办法自2021年1月1日起施行。《财政部工业和信息化部关于印发〈政府采</w:t>
      </w:r>
    </w:p>
    <w:p w14:paraId="77A9A64E">
      <w:pPr>
        <w:spacing w:line="193" w:lineRule="auto"/>
        <w:rPr>
          <w:rFonts w:hint="eastAsia" w:ascii="宋体" w:hAnsi="宋体" w:eastAsia="宋体" w:cs="宋体"/>
          <w:color w:val="auto"/>
          <w:sz w:val="20"/>
          <w:szCs w:val="20"/>
          <w:highlight w:val="none"/>
          <w:lang w:eastAsia="zh-CN"/>
        </w:rPr>
        <w:sectPr>
          <w:type w:val="continuous"/>
          <w:pgSz w:w="11906" w:h="16839"/>
          <w:pgMar w:top="1354" w:right="1374" w:bottom="0" w:left="1367" w:header="0" w:footer="0" w:gutter="0"/>
          <w:pgNumType w:fmt="decimal"/>
          <w:cols w:equalWidth="0" w:num="2">
            <w:col w:w="1699" w:space="100"/>
            <w:col w:w="7366"/>
          </w:cols>
        </w:sectPr>
      </w:pPr>
    </w:p>
    <w:p w14:paraId="20B5B690">
      <w:pPr>
        <w:spacing w:before="131" w:line="227"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6"/>
          <w:sz w:val="20"/>
          <w:szCs w:val="20"/>
          <w:highlight w:val="none"/>
          <w:lang w:eastAsia="zh-CN"/>
        </w:rPr>
        <w:t>购促进中小企业发展暂行办法〉的通知》（财库﹝2011</w:t>
      </w:r>
      <w:r>
        <w:rPr>
          <w:rFonts w:hint="eastAsia" w:ascii="宋体" w:hAnsi="宋体" w:eastAsia="宋体" w:cs="宋体"/>
          <w:color w:val="auto"/>
          <w:spacing w:val="15"/>
          <w:sz w:val="20"/>
          <w:szCs w:val="20"/>
          <w:highlight w:val="none"/>
          <w:lang w:eastAsia="zh-CN"/>
        </w:rPr>
        <w:t>﹞181号）同时废止。</w:t>
      </w:r>
    </w:p>
    <w:p w14:paraId="07572CEF">
      <w:pPr>
        <w:spacing w:before="95" w:line="227" w:lineRule="auto"/>
        <w:ind w:left="17"/>
        <w:outlineLvl w:val="0"/>
        <w:rPr>
          <w:rFonts w:hint="eastAsia" w:ascii="宋体" w:hAnsi="宋体" w:eastAsia="宋体" w:cs="宋体"/>
          <w:color w:val="auto"/>
          <w:sz w:val="20"/>
          <w:szCs w:val="20"/>
          <w:highlight w:val="none"/>
          <w:lang w:eastAsia="zh-CN"/>
        </w:rPr>
      </w:pPr>
      <w:bookmarkStart w:id="389" w:name="_Toc31553"/>
      <w:r>
        <w:rPr>
          <w:rFonts w:hint="eastAsia" w:ascii="宋体" w:hAnsi="宋体" w:eastAsia="宋体" w:cs="宋体"/>
          <w:b/>
          <w:bCs/>
          <w:color w:val="auto"/>
          <w:spacing w:val="-10"/>
          <w:sz w:val="20"/>
          <w:szCs w:val="20"/>
          <w:highlight w:val="none"/>
          <w:lang w:eastAsia="zh-CN"/>
        </w:rPr>
        <w:t>附：</w:t>
      </w:r>
      <w:bookmarkEnd w:id="389"/>
    </w:p>
    <w:p w14:paraId="2C8DDE2C">
      <w:pPr>
        <w:spacing w:before="93" w:line="228" w:lineRule="auto"/>
        <w:ind w:left="1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sz w:val="20"/>
          <w:szCs w:val="20"/>
          <w:highlight w:val="none"/>
          <w:lang w:eastAsia="zh-CN"/>
        </w:rPr>
        <w:t>1.中小企业声明函</w:t>
      </w:r>
    </w:p>
    <w:p w14:paraId="437902F4">
      <w:pPr>
        <w:spacing w:before="93" w:line="193" w:lineRule="auto"/>
        <w:ind w:lef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1"/>
          <w:sz w:val="20"/>
          <w:szCs w:val="20"/>
          <w:highlight w:val="none"/>
          <w:lang w:eastAsia="zh-CN"/>
        </w:rPr>
        <w:t>2.面向中小企业预留项目执行情况公告</w:t>
      </w:r>
    </w:p>
    <w:p w14:paraId="42A71249">
      <w:pPr>
        <w:spacing w:line="193" w:lineRule="auto"/>
        <w:rPr>
          <w:rFonts w:hint="eastAsia" w:ascii="宋体" w:hAnsi="宋体" w:eastAsia="宋体" w:cs="宋体"/>
          <w:color w:val="auto"/>
          <w:sz w:val="20"/>
          <w:szCs w:val="20"/>
          <w:highlight w:val="none"/>
          <w:lang w:eastAsia="zh-CN"/>
        </w:rPr>
        <w:sectPr>
          <w:type w:val="continuous"/>
          <w:pgSz w:w="11906" w:h="16839"/>
          <w:pgMar w:top="1354" w:right="1374" w:bottom="0" w:left="1367" w:header="0" w:footer="0" w:gutter="0"/>
          <w:pgNumType w:fmt="decimal"/>
          <w:cols w:equalWidth="0" w:num="1">
            <w:col w:w="9165"/>
          </w:cols>
        </w:sectPr>
      </w:pPr>
    </w:p>
    <w:p w14:paraId="24356A8C">
      <w:pPr>
        <w:spacing w:before="56" w:line="224" w:lineRule="auto"/>
        <w:ind w:left="3498"/>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中小企业划型标准规定</w:t>
      </w:r>
    </w:p>
    <w:p w14:paraId="7A71ABAF">
      <w:pPr>
        <w:pStyle w:val="10"/>
        <w:spacing w:line="253" w:lineRule="auto"/>
        <w:rPr>
          <w:rFonts w:hint="eastAsia" w:ascii="宋体" w:hAnsi="宋体" w:eastAsia="宋体" w:cs="宋体"/>
          <w:color w:val="auto"/>
          <w:highlight w:val="none"/>
          <w:lang w:eastAsia="zh-CN"/>
        </w:rPr>
      </w:pPr>
    </w:p>
    <w:p w14:paraId="047163C2">
      <w:pPr>
        <w:spacing w:before="65" w:line="271" w:lineRule="auto"/>
        <w:ind w:left="4" w:right="22"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一、根据《中华人民共和国中小企业促进法》和《国务院关于进一步促进中小企业发展的若干意</w:t>
      </w:r>
      <w:r>
        <w:rPr>
          <w:rFonts w:hint="eastAsia" w:ascii="宋体" w:hAnsi="宋体" w:eastAsia="宋体" w:cs="宋体"/>
          <w:color w:val="auto"/>
          <w:spacing w:val="4"/>
          <w:sz w:val="20"/>
          <w:szCs w:val="20"/>
          <w:highlight w:val="none"/>
          <w:lang w:eastAsia="zh-CN"/>
        </w:rPr>
        <w:t>见》(国发〔2009〕36号)，制定本规定。</w:t>
      </w:r>
    </w:p>
    <w:p w14:paraId="4B471093">
      <w:pPr>
        <w:spacing w:before="95" w:line="270" w:lineRule="auto"/>
        <w:ind w:left="6" w:right="22" w:firstLine="41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二、中小企业划分为中型、小型、微型三种类型，具体标准根据企业从业人员、营业收入、资产总额等指标，结合行业特点制定。</w:t>
      </w:r>
    </w:p>
    <w:p w14:paraId="11C8F627">
      <w:pPr>
        <w:spacing w:before="92" w:line="297" w:lineRule="auto"/>
        <w:ind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三、本规定适用的行业包括：农、林、牧、渔业，工业（包括采矿业，制造业，电力、热力、燃气及水生产和供应业</w:t>
      </w:r>
      <w:r>
        <w:rPr>
          <w:rFonts w:hint="eastAsia" w:ascii="宋体" w:hAnsi="宋体" w:eastAsia="宋体" w:cs="宋体"/>
          <w:color w:val="auto"/>
          <w:spacing w:val="13"/>
          <w:sz w:val="20"/>
          <w:szCs w:val="20"/>
          <w:highlight w:val="none"/>
          <w:lang w:eastAsia="zh-CN"/>
        </w:rPr>
        <w:t>），</w:t>
      </w:r>
      <w:r>
        <w:rPr>
          <w:rFonts w:hint="eastAsia" w:ascii="宋体" w:hAnsi="宋体" w:eastAsia="宋体" w:cs="宋体"/>
          <w:color w:val="auto"/>
          <w:spacing w:val="8"/>
          <w:sz w:val="20"/>
          <w:szCs w:val="20"/>
          <w:highlight w:val="none"/>
          <w:lang w:eastAsia="zh-CN"/>
        </w:rPr>
        <w:t>建筑业，批发业，零售业，交通运输业（不含铁路运输业</w:t>
      </w:r>
      <w:r>
        <w:rPr>
          <w:rFonts w:hint="eastAsia" w:ascii="宋体" w:hAnsi="宋体" w:eastAsia="宋体" w:cs="宋体"/>
          <w:color w:val="auto"/>
          <w:spacing w:val="13"/>
          <w:sz w:val="20"/>
          <w:szCs w:val="20"/>
          <w:highlight w:val="none"/>
          <w:lang w:eastAsia="zh-CN"/>
        </w:rPr>
        <w:t>），</w:t>
      </w:r>
      <w:r>
        <w:rPr>
          <w:rFonts w:hint="eastAsia" w:ascii="宋体" w:hAnsi="宋体" w:eastAsia="宋体" w:cs="宋体"/>
          <w:color w:val="auto"/>
          <w:spacing w:val="8"/>
          <w:sz w:val="20"/>
          <w:szCs w:val="20"/>
          <w:highlight w:val="none"/>
          <w:lang w:eastAsia="zh-CN"/>
        </w:rPr>
        <w:t>仓储业，邮政</w:t>
      </w:r>
      <w:r>
        <w:rPr>
          <w:rFonts w:hint="eastAsia" w:ascii="宋体" w:hAnsi="宋体" w:eastAsia="宋体" w:cs="宋体"/>
          <w:color w:val="auto"/>
          <w:spacing w:val="9"/>
          <w:sz w:val="20"/>
          <w:szCs w:val="20"/>
          <w:highlight w:val="none"/>
          <w:lang w:eastAsia="zh-CN"/>
        </w:rPr>
        <w:t>业，住宿业，餐饮业，信息传输业（包括电</w:t>
      </w:r>
      <w:r>
        <w:rPr>
          <w:rFonts w:hint="eastAsia" w:ascii="宋体" w:hAnsi="宋体" w:eastAsia="宋体" w:cs="宋体"/>
          <w:color w:val="auto"/>
          <w:spacing w:val="8"/>
          <w:sz w:val="20"/>
          <w:szCs w:val="20"/>
          <w:highlight w:val="none"/>
          <w:lang w:eastAsia="zh-CN"/>
        </w:rPr>
        <w:t>信、互联网和相关服务</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8"/>
          <w:sz w:val="20"/>
          <w:szCs w:val="20"/>
          <w:highlight w:val="none"/>
          <w:lang w:eastAsia="zh-CN"/>
        </w:rPr>
        <w:t>软件和信息技术服务业，房地</w:t>
      </w:r>
      <w:r>
        <w:rPr>
          <w:rFonts w:hint="eastAsia" w:ascii="宋体" w:hAnsi="宋体" w:eastAsia="宋体" w:cs="宋体"/>
          <w:color w:val="auto"/>
          <w:spacing w:val="9"/>
          <w:sz w:val="20"/>
          <w:szCs w:val="20"/>
          <w:highlight w:val="none"/>
          <w:lang w:eastAsia="zh-CN"/>
        </w:rPr>
        <w:t>产开发经营，物业管理，租赁和商务服务业，软件和信息技术服务业（包括科学研究和技术服务业，水利、环境和公共设施管理业，居民服务、修理和其他服务业，社会工作，文化、体育和娱乐业等）。</w:t>
      </w:r>
    </w:p>
    <w:p w14:paraId="45151778">
      <w:pPr>
        <w:spacing w:before="92" w:line="228" w:lineRule="auto"/>
        <w:ind w:left="44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四、各行业划型标准为：</w:t>
      </w:r>
    </w:p>
    <w:p w14:paraId="1B1CEA87">
      <w:pPr>
        <w:spacing w:before="94" w:line="271" w:lineRule="auto"/>
        <w:ind w:right="22"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（一）农、林、牧、渔业。营业收入20000</w:t>
      </w:r>
      <w:r>
        <w:rPr>
          <w:rFonts w:hint="eastAsia" w:ascii="宋体" w:hAnsi="宋体" w:eastAsia="宋体" w:cs="宋体"/>
          <w:color w:val="auto"/>
          <w:spacing w:val="7"/>
          <w:sz w:val="20"/>
          <w:szCs w:val="20"/>
          <w:highlight w:val="none"/>
          <w:lang w:eastAsia="zh-CN"/>
        </w:rPr>
        <w:t>万元以下的为中小微型企业。其中，营业收入500万元</w:t>
      </w:r>
      <w:r>
        <w:rPr>
          <w:rFonts w:hint="eastAsia" w:ascii="宋体" w:hAnsi="宋体" w:eastAsia="宋体" w:cs="宋体"/>
          <w:color w:val="auto"/>
          <w:spacing w:val="9"/>
          <w:sz w:val="20"/>
          <w:szCs w:val="20"/>
          <w:highlight w:val="none"/>
          <w:lang w:eastAsia="zh-CN"/>
        </w:rPr>
        <w:t>及以上的为中型企业，营业收入50万元及以上的为小型企业，营业收入50万元以下的为微型企业。</w:t>
      </w:r>
    </w:p>
    <w:p w14:paraId="47DBB38D">
      <w:pPr>
        <w:spacing w:before="90" w:line="286" w:lineRule="auto"/>
        <w:ind w:left="5" w:right="70" w:firstLine="42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（二）工业。从业人员1000人以下或营业收入40000</w:t>
      </w:r>
      <w:r>
        <w:rPr>
          <w:rFonts w:hint="eastAsia" w:ascii="宋体" w:hAnsi="宋体" w:eastAsia="宋体" w:cs="宋体"/>
          <w:color w:val="auto"/>
          <w:spacing w:val="8"/>
          <w:sz w:val="20"/>
          <w:szCs w:val="20"/>
          <w:highlight w:val="none"/>
          <w:lang w:eastAsia="zh-CN"/>
        </w:rPr>
        <w:t>万元以下的为中小微型企业。其中，从业人</w:t>
      </w:r>
      <w:r>
        <w:rPr>
          <w:rFonts w:hint="eastAsia" w:ascii="宋体" w:hAnsi="宋体" w:eastAsia="宋体" w:cs="宋体"/>
          <w:color w:val="auto"/>
          <w:spacing w:val="9"/>
          <w:sz w:val="20"/>
          <w:szCs w:val="20"/>
          <w:highlight w:val="none"/>
          <w:lang w:eastAsia="zh-CN"/>
        </w:rPr>
        <w:t>员300人及以上，且营业收入2000万元及以上的为中</w:t>
      </w:r>
      <w:r>
        <w:rPr>
          <w:rFonts w:hint="eastAsia" w:ascii="宋体" w:hAnsi="宋体" w:eastAsia="宋体" w:cs="宋体"/>
          <w:color w:val="auto"/>
          <w:spacing w:val="8"/>
          <w:sz w:val="20"/>
          <w:szCs w:val="20"/>
          <w:highlight w:val="none"/>
          <w:lang w:eastAsia="zh-CN"/>
        </w:rPr>
        <w:t>型企业；从业人员20人及以上，且营业收入300</w:t>
      </w:r>
      <w:r>
        <w:rPr>
          <w:rFonts w:hint="eastAsia" w:ascii="宋体" w:hAnsi="宋体" w:eastAsia="宋体" w:cs="宋体"/>
          <w:color w:val="auto"/>
          <w:spacing w:val="9"/>
          <w:sz w:val="20"/>
          <w:szCs w:val="20"/>
          <w:highlight w:val="none"/>
          <w:lang w:eastAsia="zh-CN"/>
        </w:rPr>
        <w:t>万元及以上的为小型企业；从业人员20人以下或营业收入300</w:t>
      </w:r>
      <w:r>
        <w:rPr>
          <w:rFonts w:hint="eastAsia" w:ascii="宋体" w:hAnsi="宋体" w:eastAsia="宋体" w:cs="宋体"/>
          <w:color w:val="auto"/>
          <w:spacing w:val="8"/>
          <w:sz w:val="20"/>
          <w:szCs w:val="20"/>
          <w:highlight w:val="none"/>
          <w:lang w:eastAsia="zh-CN"/>
        </w:rPr>
        <w:t>万元以下的为微型企业。</w:t>
      </w:r>
    </w:p>
    <w:p w14:paraId="5F80DC9F">
      <w:pPr>
        <w:spacing w:before="91" w:line="286" w:lineRule="auto"/>
        <w:ind w:right="22"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（三）建筑业。营业收入80000万元以下或资产总额80000万元以下的为中小微型企业。其中，营</w:t>
      </w:r>
      <w:r>
        <w:rPr>
          <w:rFonts w:hint="eastAsia" w:ascii="宋体" w:hAnsi="宋体" w:eastAsia="宋体" w:cs="宋体"/>
          <w:color w:val="auto"/>
          <w:spacing w:val="9"/>
          <w:sz w:val="20"/>
          <w:szCs w:val="20"/>
          <w:highlight w:val="none"/>
          <w:lang w:eastAsia="zh-CN"/>
        </w:rPr>
        <w:t>业收入6000万元及以上，且资产总额5000万元及以上的为中型企业；</w:t>
      </w:r>
      <w:r>
        <w:rPr>
          <w:rFonts w:hint="eastAsia" w:ascii="宋体" w:hAnsi="宋体" w:eastAsia="宋体" w:cs="宋体"/>
          <w:color w:val="auto"/>
          <w:spacing w:val="8"/>
          <w:sz w:val="20"/>
          <w:szCs w:val="20"/>
          <w:highlight w:val="none"/>
          <w:lang w:eastAsia="zh-CN"/>
        </w:rPr>
        <w:t>营业收入300万元及以上，且资</w:t>
      </w:r>
      <w:r>
        <w:rPr>
          <w:rFonts w:hint="eastAsia" w:ascii="宋体" w:hAnsi="宋体" w:eastAsia="宋体" w:cs="宋体"/>
          <w:color w:val="auto"/>
          <w:spacing w:val="9"/>
          <w:sz w:val="20"/>
          <w:szCs w:val="20"/>
          <w:highlight w:val="none"/>
          <w:lang w:eastAsia="zh-CN"/>
        </w:rPr>
        <w:t>产总额300万元及以上的为小型企业；营业收入300万元以下或资</w:t>
      </w:r>
      <w:r>
        <w:rPr>
          <w:rFonts w:hint="eastAsia" w:ascii="宋体" w:hAnsi="宋体" w:eastAsia="宋体" w:cs="宋体"/>
          <w:color w:val="auto"/>
          <w:spacing w:val="8"/>
          <w:sz w:val="20"/>
          <w:szCs w:val="20"/>
          <w:highlight w:val="none"/>
          <w:lang w:eastAsia="zh-CN"/>
        </w:rPr>
        <w:t>产总额300万元以下的为微型企业。</w:t>
      </w:r>
    </w:p>
    <w:p w14:paraId="7BD389A3">
      <w:pPr>
        <w:spacing w:before="90" w:line="286" w:lineRule="auto"/>
        <w:ind w:left="2" w:right="22" w:firstLine="42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（四）批发业。从业人员200人以下或营业收</w:t>
      </w:r>
      <w:r>
        <w:rPr>
          <w:rFonts w:hint="eastAsia" w:ascii="宋体" w:hAnsi="宋体" w:eastAsia="宋体" w:cs="宋体"/>
          <w:color w:val="auto"/>
          <w:spacing w:val="7"/>
          <w:sz w:val="20"/>
          <w:szCs w:val="20"/>
          <w:highlight w:val="none"/>
          <w:lang w:eastAsia="zh-CN"/>
        </w:rPr>
        <w:t>入40000万元以下的为中小微型企业。其中，从业人</w:t>
      </w:r>
      <w:r>
        <w:rPr>
          <w:rFonts w:hint="eastAsia" w:ascii="宋体" w:hAnsi="宋体" w:eastAsia="宋体" w:cs="宋体"/>
          <w:color w:val="auto"/>
          <w:spacing w:val="9"/>
          <w:sz w:val="20"/>
          <w:szCs w:val="20"/>
          <w:highlight w:val="none"/>
          <w:lang w:eastAsia="zh-CN"/>
        </w:rPr>
        <w:t>员20人及以上，且营业收入5000万元及以上的为中型企业；从业</w:t>
      </w:r>
      <w:r>
        <w:rPr>
          <w:rFonts w:hint="eastAsia" w:ascii="宋体" w:hAnsi="宋体" w:eastAsia="宋体" w:cs="宋体"/>
          <w:color w:val="auto"/>
          <w:spacing w:val="8"/>
          <w:sz w:val="20"/>
          <w:szCs w:val="20"/>
          <w:highlight w:val="none"/>
          <w:lang w:eastAsia="zh-CN"/>
        </w:rPr>
        <w:t>人员5人及以上，且营业收入1000万</w:t>
      </w:r>
      <w:r>
        <w:rPr>
          <w:rFonts w:hint="eastAsia" w:ascii="宋体" w:hAnsi="宋体" w:eastAsia="宋体" w:cs="宋体"/>
          <w:color w:val="auto"/>
          <w:spacing w:val="9"/>
          <w:sz w:val="20"/>
          <w:szCs w:val="20"/>
          <w:highlight w:val="none"/>
          <w:lang w:eastAsia="zh-CN"/>
        </w:rPr>
        <w:t>元及以上的为小型企业；从业人员5人以下或营业收入1000万元以</w:t>
      </w:r>
      <w:r>
        <w:rPr>
          <w:rFonts w:hint="eastAsia" w:ascii="宋体" w:hAnsi="宋体" w:eastAsia="宋体" w:cs="宋体"/>
          <w:color w:val="auto"/>
          <w:spacing w:val="8"/>
          <w:sz w:val="20"/>
          <w:szCs w:val="20"/>
          <w:highlight w:val="none"/>
          <w:lang w:eastAsia="zh-CN"/>
        </w:rPr>
        <w:t>下的为微型企业。</w:t>
      </w:r>
    </w:p>
    <w:p w14:paraId="0FF62691">
      <w:pPr>
        <w:spacing w:before="91" w:line="286" w:lineRule="auto"/>
        <w:ind w:right="22"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（五）零售业。从业人员300人以下或营业收</w:t>
      </w:r>
      <w:r>
        <w:rPr>
          <w:rFonts w:hint="eastAsia" w:ascii="宋体" w:hAnsi="宋体" w:eastAsia="宋体" w:cs="宋体"/>
          <w:color w:val="auto"/>
          <w:spacing w:val="7"/>
          <w:sz w:val="20"/>
          <w:szCs w:val="20"/>
          <w:highlight w:val="none"/>
          <w:lang w:eastAsia="zh-CN"/>
        </w:rPr>
        <w:t>入20000万元以下的为中小微型企业。其中，从业人</w:t>
      </w:r>
      <w:r>
        <w:rPr>
          <w:rFonts w:hint="eastAsia" w:ascii="宋体" w:hAnsi="宋体" w:eastAsia="宋体" w:cs="宋体"/>
          <w:color w:val="auto"/>
          <w:spacing w:val="8"/>
          <w:sz w:val="20"/>
          <w:szCs w:val="20"/>
          <w:highlight w:val="none"/>
          <w:lang w:eastAsia="zh-CN"/>
        </w:rPr>
        <w:t>员50人及以上，且营业收入500万元及以上的为中型企业；从业人</w:t>
      </w:r>
      <w:r>
        <w:rPr>
          <w:rFonts w:hint="eastAsia" w:ascii="宋体" w:hAnsi="宋体" w:eastAsia="宋体" w:cs="宋体"/>
          <w:color w:val="auto"/>
          <w:spacing w:val="7"/>
          <w:sz w:val="20"/>
          <w:szCs w:val="20"/>
          <w:highlight w:val="none"/>
          <w:lang w:eastAsia="zh-CN"/>
        </w:rPr>
        <w:t>员10人及以上，且营业收入100万元</w:t>
      </w:r>
      <w:r>
        <w:rPr>
          <w:rFonts w:hint="eastAsia" w:ascii="宋体" w:hAnsi="宋体" w:eastAsia="宋体" w:cs="宋体"/>
          <w:color w:val="auto"/>
          <w:spacing w:val="9"/>
          <w:sz w:val="20"/>
          <w:szCs w:val="20"/>
          <w:highlight w:val="none"/>
          <w:lang w:eastAsia="zh-CN"/>
        </w:rPr>
        <w:t>及以上的为小型企业；从业人员10人以下或营业收入100万元以下</w:t>
      </w:r>
      <w:r>
        <w:rPr>
          <w:rFonts w:hint="eastAsia" w:ascii="宋体" w:hAnsi="宋体" w:eastAsia="宋体" w:cs="宋体"/>
          <w:color w:val="auto"/>
          <w:spacing w:val="8"/>
          <w:sz w:val="20"/>
          <w:szCs w:val="20"/>
          <w:highlight w:val="none"/>
          <w:lang w:eastAsia="zh-CN"/>
        </w:rPr>
        <w:t>的为微型企业。</w:t>
      </w:r>
    </w:p>
    <w:p w14:paraId="7CBF185F">
      <w:pPr>
        <w:spacing w:before="90" w:line="286" w:lineRule="auto"/>
        <w:ind w:right="70"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（六）交通运输业。从业人员1000人以下或营业收入30</w:t>
      </w:r>
      <w:r>
        <w:rPr>
          <w:rFonts w:hint="eastAsia" w:ascii="宋体" w:hAnsi="宋体" w:eastAsia="宋体" w:cs="宋体"/>
          <w:color w:val="auto"/>
          <w:spacing w:val="8"/>
          <w:sz w:val="20"/>
          <w:szCs w:val="20"/>
          <w:highlight w:val="none"/>
          <w:lang w:eastAsia="zh-CN"/>
        </w:rPr>
        <w:t>000万元以下的为中小微型企业。其中，</w:t>
      </w:r>
      <w:r>
        <w:rPr>
          <w:rFonts w:hint="eastAsia" w:ascii="宋体" w:hAnsi="宋体" w:eastAsia="宋体" w:cs="宋体"/>
          <w:color w:val="auto"/>
          <w:spacing w:val="9"/>
          <w:sz w:val="20"/>
          <w:szCs w:val="20"/>
          <w:highlight w:val="none"/>
          <w:lang w:eastAsia="zh-CN"/>
        </w:rPr>
        <w:t>从业人员300人及以上，且营业收入3000万元及以上的为中型企业；从业人员20人及以</w:t>
      </w:r>
      <w:r>
        <w:rPr>
          <w:rFonts w:hint="eastAsia" w:ascii="宋体" w:hAnsi="宋体" w:eastAsia="宋体" w:cs="宋体"/>
          <w:color w:val="auto"/>
          <w:spacing w:val="8"/>
          <w:sz w:val="20"/>
          <w:szCs w:val="20"/>
          <w:highlight w:val="none"/>
          <w:lang w:eastAsia="zh-CN"/>
        </w:rPr>
        <w:t>上，且营业收</w:t>
      </w:r>
      <w:r>
        <w:rPr>
          <w:rFonts w:hint="eastAsia" w:ascii="宋体" w:hAnsi="宋体" w:eastAsia="宋体" w:cs="宋体"/>
          <w:color w:val="auto"/>
          <w:spacing w:val="9"/>
          <w:sz w:val="20"/>
          <w:szCs w:val="20"/>
          <w:highlight w:val="none"/>
          <w:lang w:eastAsia="zh-CN"/>
        </w:rPr>
        <w:t>入200万元及以上的为小型企业；从业人员20人以下或营业</w:t>
      </w:r>
      <w:r>
        <w:rPr>
          <w:rFonts w:hint="eastAsia" w:ascii="宋体" w:hAnsi="宋体" w:eastAsia="宋体" w:cs="宋体"/>
          <w:color w:val="auto"/>
          <w:spacing w:val="8"/>
          <w:sz w:val="20"/>
          <w:szCs w:val="20"/>
          <w:highlight w:val="none"/>
          <w:lang w:eastAsia="zh-CN"/>
        </w:rPr>
        <w:t>收入200万元以下的为微型企业。</w:t>
      </w:r>
    </w:p>
    <w:p w14:paraId="503822F1">
      <w:pPr>
        <w:spacing w:before="91" w:line="286" w:lineRule="auto"/>
        <w:ind w:left="5" w:right="22" w:firstLine="42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（七）仓储业。从业人员200人以下或营业收</w:t>
      </w:r>
      <w:r>
        <w:rPr>
          <w:rFonts w:hint="eastAsia" w:ascii="宋体" w:hAnsi="宋体" w:eastAsia="宋体" w:cs="宋体"/>
          <w:color w:val="auto"/>
          <w:spacing w:val="7"/>
          <w:sz w:val="20"/>
          <w:szCs w:val="20"/>
          <w:highlight w:val="none"/>
          <w:lang w:eastAsia="zh-CN"/>
        </w:rPr>
        <w:t>入30000万元以下的为中小微型企业。其中，从业人</w:t>
      </w:r>
      <w:r>
        <w:rPr>
          <w:rFonts w:hint="eastAsia" w:ascii="宋体" w:hAnsi="宋体" w:eastAsia="宋体" w:cs="宋体"/>
          <w:color w:val="auto"/>
          <w:spacing w:val="9"/>
          <w:sz w:val="20"/>
          <w:szCs w:val="20"/>
          <w:highlight w:val="none"/>
          <w:lang w:eastAsia="zh-CN"/>
        </w:rPr>
        <w:t>员100人及以上，且营业收入1000万元及以上的为中</w:t>
      </w:r>
      <w:r>
        <w:rPr>
          <w:rFonts w:hint="eastAsia" w:ascii="宋体" w:hAnsi="宋体" w:eastAsia="宋体" w:cs="宋体"/>
          <w:color w:val="auto"/>
          <w:spacing w:val="8"/>
          <w:sz w:val="20"/>
          <w:szCs w:val="20"/>
          <w:highlight w:val="none"/>
          <w:lang w:eastAsia="zh-CN"/>
        </w:rPr>
        <w:t>型企业；从业人员20人及以上，且营业收入100</w:t>
      </w:r>
      <w:r>
        <w:rPr>
          <w:rFonts w:hint="eastAsia" w:ascii="宋体" w:hAnsi="宋体" w:eastAsia="宋体" w:cs="宋体"/>
          <w:color w:val="auto"/>
          <w:spacing w:val="9"/>
          <w:sz w:val="20"/>
          <w:szCs w:val="20"/>
          <w:highlight w:val="none"/>
          <w:lang w:eastAsia="zh-CN"/>
        </w:rPr>
        <w:t>万元及以上的为小型企业；从业人员20人以下或营业收入100</w:t>
      </w:r>
      <w:r>
        <w:rPr>
          <w:rFonts w:hint="eastAsia" w:ascii="宋体" w:hAnsi="宋体" w:eastAsia="宋体" w:cs="宋体"/>
          <w:color w:val="auto"/>
          <w:spacing w:val="8"/>
          <w:sz w:val="20"/>
          <w:szCs w:val="20"/>
          <w:highlight w:val="none"/>
          <w:lang w:eastAsia="zh-CN"/>
        </w:rPr>
        <w:t>万元以下的为微型企业。</w:t>
      </w:r>
    </w:p>
    <w:p w14:paraId="0EA9BB3C">
      <w:pPr>
        <w:spacing w:before="90" w:line="286" w:lineRule="auto"/>
        <w:ind w:left="2" w:right="21" w:firstLine="42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（八）邮政业。从业人员1000人以下或营业收入3000</w:t>
      </w:r>
      <w:r>
        <w:rPr>
          <w:rFonts w:hint="eastAsia" w:ascii="宋体" w:hAnsi="宋体" w:eastAsia="宋体" w:cs="宋体"/>
          <w:color w:val="auto"/>
          <w:spacing w:val="8"/>
          <w:sz w:val="20"/>
          <w:szCs w:val="20"/>
          <w:highlight w:val="none"/>
          <w:lang w:eastAsia="zh-CN"/>
        </w:rPr>
        <w:t>0万元以下的为中小微型企业。其中，从业人员300人及以上，且营业收入2000万元及</w:t>
      </w:r>
      <w:r>
        <w:rPr>
          <w:rFonts w:hint="eastAsia" w:ascii="宋体" w:hAnsi="宋体" w:eastAsia="宋体" w:cs="宋体"/>
          <w:color w:val="auto"/>
          <w:spacing w:val="7"/>
          <w:sz w:val="20"/>
          <w:szCs w:val="20"/>
          <w:highlight w:val="none"/>
          <w:lang w:eastAsia="zh-CN"/>
        </w:rPr>
        <w:t>以上的为中型企业；从业人员20人及以上，且营业收入100</w:t>
      </w:r>
      <w:r>
        <w:rPr>
          <w:rFonts w:hint="eastAsia" w:ascii="宋体" w:hAnsi="宋体" w:eastAsia="宋体" w:cs="宋体"/>
          <w:color w:val="auto"/>
          <w:spacing w:val="9"/>
          <w:sz w:val="20"/>
          <w:szCs w:val="20"/>
          <w:highlight w:val="none"/>
          <w:lang w:eastAsia="zh-CN"/>
        </w:rPr>
        <w:t>万元及以上的为小型企业；从业人员20人以下或营业收入100万元以</w:t>
      </w:r>
      <w:r>
        <w:rPr>
          <w:rFonts w:hint="eastAsia" w:ascii="宋体" w:hAnsi="宋体" w:eastAsia="宋体" w:cs="宋体"/>
          <w:color w:val="auto"/>
          <w:spacing w:val="8"/>
          <w:sz w:val="20"/>
          <w:szCs w:val="20"/>
          <w:highlight w:val="none"/>
          <w:lang w:eastAsia="zh-CN"/>
        </w:rPr>
        <w:t>下的为微型企业。</w:t>
      </w:r>
    </w:p>
    <w:p w14:paraId="07C8E095">
      <w:pPr>
        <w:spacing w:before="91" w:line="286" w:lineRule="auto"/>
        <w:ind w:left="5" w:right="22" w:firstLine="42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（九）住宿业。从业人员300人以下或营业收</w:t>
      </w:r>
      <w:r>
        <w:rPr>
          <w:rFonts w:hint="eastAsia" w:ascii="宋体" w:hAnsi="宋体" w:eastAsia="宋体" w:cs="宋体"/>
          <w:color w:val="auto"/>
          <w:spacing w:val="7"/>
          <w:sz w:val="20"/>
          <w:szCs w:val="20"/>
          <w:highlight w:val="none"/>
          <w:lang w:eastAsia="zh-CN"/>
        </w:rPr>
        <w:t>入10000万元以下的为中小微型企业。其中，从业人</w:t>
      </w:r>
      <w:r>
        <w:rPr>
          <w:rFonts w:hint="eastAsia" w:ascii="宋体" w:hAnsi="宋体" w:eastAsia="宋体" w:cs="宋体"/>
          <w:color w:val="auto"/>
          <w:spacing w:val="9"/>
          <w:sz w:val="20"/>
          <w:szCs w:val="20"/>
          <w:highlight w:val="none"/>
          <w:lang w:eastAsia="zh-CN"/>
        </w:rPr>
        <w:t>员100人及以上，且营业收入2000万元及以上的为中</w:t>
      </w:r>
      <w:r>
        <w:rPr>
          <w:rFonts w:hint="eastAsia" w:ascii="宋体" w:hAnsi="宋体" w:eastAsia="宋体" w:cs="宋体"/>
          <w:color w:val="auto"/>
          <w:spacing w:val="8"/>
          <w:sz w:val="20"/>
          <w:szCs w:val="20"/>
          <w:highlight w:val="none"/>
          <w:lang w:eastAsia="zh-CN"/>
        </w:rPr>
        <w:t>型企业；从业人员10人及以上，且营业收入100</w:t>
      </w:r>
      <w:r>
        <w:rPr>
          <w:rFonts w:hint="eastAsia" w:ascii="宋体" w:hAnsi="宋体" w:eastAsia="宋体" w:cs="宋体"/>
          <w:color w:val="auto"/>
          <w:spacing w:val="9"/>
          <w:sz w:val="20"/>
          <w:szCs w:val="20"/>
          <w:highlight w:val="none"/>
          <w:lang w:eastAsia="zh-CN"/>
        </w:rPr>
        <w:t>万元及以上的为小型企业；从业人员10人以下或营业收入100</w:t>
      </w:r>
      <w:r>
        <w:rPr>
          <w:rFonts w:hint="eastAsia" w:ascii="宋体" w:hAnsi="宋体" w:eastAsia="宋体" w:cs="宋体"/>
          <w:color w:val="auto"/>
          <w:spacing w:val="8"/>
          <w:sz w:val="20"/>
          <w:szCs w:val="20"/>
          <w:highlight w:val="none"/>
          <w:lang w:eastAsia="zh-CN"/>
        </w:rPr>
        <w:t>万元以下的为微型企业。</w:t>
      </w:r>
    </w:p>
    <w:p w14:paraId="3DE84FF4">
      <w:pPr>
        <w:spacing w:before="40" w:line="286" w:lineRule="auto"/>
        <w:ind w:left="5" w:right="70" w:firstLine="42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（十）餐饮业。从业人员300人以下或营业收</w:t>
      </w:r>
      <w:r>
        <w:rPr>
          <w:rFonts w:hint="eastAsia" w:ascii="宋体" w:hAnsi="宋体" w:eastAsia="宋体" w:cs="宋体"/>
          <w:color w:val="auto"/>
          <w:spacing w:val="7"/>
          <w:sz w:val="20"/>
          <w:szCs w:val="20"/>
          <w:highlight w:val="none"/>
          <w:lang w:eastAsia="zh-CN"/>
        </w:rPr>
        <w:t>入10000万元以下的为中小微型企业。其中，从业人</w:t>
      </w:r>
      <w:r>
        <w:rPr>
          <w:rFonts w:hint="eastAsia" w:ascii="宋体" w:hAnsi="宋体" w:eastAsia="宋体" w:cs="宋体"/>
          <w:color w:val="auto"/>
          <w:spacing w:val="9"/>
          <w:sz w:val="20"/>
          <w:szCs w:val="20"/>
          <w:highlight w:val="none"/>
          <w:lang w:eastAsia="zh-CN"/>
        </w:rPr>
        <w:t>员100人及以上，且营业收入2000万元及以上的为中</w:t>
      </w:r>
      <w:r>
        <w:rPr>
          <w:rFonts w:hint="eastAsia" w:ascii="宋体" w:hAnsi="宋体" w:eastAsia="宋体" w:cs="宋体"/>
          <w:color w:val="auto"/>
          <w:spacing w:val="8"/>
          <w:sz w:val="20"/>
          <w:szCs w:val="20"/>
          <w:highlight w:val="none"/>
          <w:lang w:eastAsia="zh-CN"/>
        </w:rPr>
        <w:t>型企业；从业人员10人及以上，且营业收入100</w:t>
      </w:r>
      <w:r>
        <w:rPr>
          <w:rFonts w:hint="eastAsia" w:ascii="宋体" w:hAnsi="宋体" w:eastAsia="宋体" w:cs="宋体"/>
          <w:color w:val="auto"/>
          <w:spacing w:val="9"/>
          <w:sz w:val="20"/>
          <w:szCs w:val="20"/>
          <w:highlight w:val="none"/>
          <w:lang w:eastAsia="zh-CN"/>
        </w:rPr>
        <w:t>万元及以上的为小型企业；从业人员10人以下或营业收入100</w:t>
      </w:r>
      <w:r>
        <w:rPr>
          <w:rFonts w:hint="eastAsia" w:ascii="宋体" w:hAnsi="宋体" w:eastAsia="宋体" w:cs="宋体"/>
          <w:color w:val="auto"/>
          <w:spacing w:val="8"/>
          <w:sz w:val="20"/>
          <w:szCs w:val="20"/>
          <w:highlight w:val="none"/>
          <w:lang w:eastAsia="zh-CN"/>
        </w:rPr>
        <w:t>万元以下的为微型企业。</w:t>
      </w:r>
    </w:p>
    <w:p w14:paraId="674D7559">
      <w:pPr>
        <w:spacing w:before="90" w:line="286" w:lineRule="auto"/>
        <w:ind w:right="16"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eastAsia="zh-CN"/>
        </w:rPr>
        <w:t>（十一）信息传输业。从业人员2000人以下或营业收入100000万元以下的为中小微型企业。其中，</w:t>
      </w:r>
      <w:r>
        <w:rPr>
          <w:rFonts w:hint="eastAsia" w:ascii="宋体" w:hAnsi="宋体" w:eastAsia="宋体" w:cs="宋体"/>
          <w:color w:val="auto"/>
          <w:spacing w:val="9"/>
          <w:sz w:val="20"/>
          <w:szCs w:val="20"/>
          <w:highlight w:val="none"/>
          <w:lang w:eastAsia="zh-CN"/>
        </w:rPr>
        <w:t>从业人员100人及以上，且营业收入1000万元及以上的为中型企业；从业人员10人及以</w:t>
      </w:r>
      <w:r>
        <w:rPr>
          <w:rFonts w:hint="eastAsia" w:ascii="宋体" w:hAnsi="宋体" w:eastAsia="宋体" w:cs="宋体"/>
          <w:color w:val="auto"/>
          <w:spacing w:val="8"/>
          <w:sz w:val="20"/>
          <w:szCs w:val="20"/>
          <w:highlight w:val="none"/>
          <w:lang w:eastAsia="zh-CN"/>
        </w:rPr>
        <w:t>上，且营业收</w:t>
      </w:r>
      <w:r>
        <w:rPr>
          <w:rFonts w:hint="eastAsia" w:ascii="宋体" w:hAnsi="宋体" w:eastAsia="宋体" w:cs="宋体"/>
          <w:color w:val="auto"/>
          <w:spacing w:val="9"/>
          <w:sz w:val="20"/>
          <w:szCs w:val="20"/>
          <w:highlight w:val="none"/>
          <w:lang w:eastAsia="zh-CN"/>
        </w:rPr>
        <w:t>入100万元及以上的为小型企业；从业人员10人以下或营业</w:t>
      </w:r>
      <w:r>
        <w:rPr>
          <w:rFonts w:hint="eastAsia" w:ascii="宋体" w:hAnsi="宋体" w:eastAsia="宋体" w:cs="宋体"/>
          <w:color w:val="auto"/>
          <w:spacing w:val="8"/>
          <w:sz w:val="20"/>
          <w:szCs w:val="20"/>
          <w:highlight w:val="none"/>
          <w:lang w:eastAsia="zh-CN"/>
        </w:rPr>
        <w:t>收入100万元以下的为微型企业。</w:t>
      </w:r>
    </w:p>
    <w:p w14:paraId="675C3391">
      <w:pPr>
        <w:spacing w:before="90" w:line="286" w:lineRule="auto"/>
        <w:ind w:right="16"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（十二）软件和信息技术服务业。从业人员30</w:t>
      </w:r>
      <w:r>
        <w:rPr>
          <w:rFonts w:hint="eastAsia" w:ascii="宋体" w:hAnsi="宋体" w:eastAsia="宋体" w:cs="宋体"/>
          <w:color w:val="auto"/>
          <w:spacing w:val="7"/>
          <w:sz w:val="20"/>
          <w:szCs w:val="20"/>
          <w:highlight w:val="none"/>
          <w:lang w:eastAsia="zh-CN"/>
        </w:rPr>
        <w:t>0人以下或营业收入10000万元以下的为中小微型企业。其中，从业人员100人及以上，且营业收入1000万元及以上的为中</w:t>
      </w:r>
      <w:r>
        <w:rPr>
          <w:rFonts w:hint="eastAsia" w:ascii="宋体" w:hAnsi="宋体" w:eastAsia="宋体" w:cs="宋体"/>
          <w:color w:val="auto"/>
          <w:spacing w:val="6"/>
          <w:sz w:val="20"/>
          <w:szCs w:val="20"/>
          <w:highlight w:val="none"/>
          <w:lang w:eastAsia="zh-CN"/>
        </w:rPr>
        <w:t>型企业；从业人员10人及以上，</w:t>
      </w:r>
      <w:r>
        <w:rPr>
          <w:rFonts w:hint="eastAsia" w:ascii="宋体" w:hAnsi="宋体" w:eastAsia="宋体" w:cs="宋体"/>
          <w:color w:val="auto"/>
          <w:spacing w:val="9"/>
          <w:sz w:val="20"/>
          <w:szCs w:val="20"/>
          <w:highlight w:val="none"/>
          <w:lang w:eastAsia="zh-CN"/>
        </w:rPr>
        <w:t>且营业收入50万元及以上的为小型企业；从业人员10人以下或营业收入50万元以下的为</w:t>
      </w:r>
      <w:r>
        <w:rPr>
          <w:rFonts w:hint="eastAsia" w:ascii="宋体" w:hAnsi="宋体" w:eastAsia="宋体" w:cs="宋体"/>
          <w:color w:val="auto"/>
          <w:spacing w:val="8"/>
          <w:sz w:val="20"/>
          <w:szCs w:val="20"/>
          <w:highlight w:val="none"/>
          <w:lang w:eastAsia="zh-CN"/>
        </w:rPr>
        <w:t>微型企业。</w:t>
      </w:r>
    </w:p>
    <w:p w14:paraId="78E1F6E4">
      <w:pPr>
        <w:spacing w:before="93" w:line="292" w:lineRule="auto"/>
        <w:ind w:right="118"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（十三）房地产开发经营。营业收入200</w:t>
      </w:r>
      <w:r>
        <w:rPr>
          <w:rFonts w:hint="eastAsia" w:ascii="宋体" w:hAnsi="宋体" w:eastAsia="宋体" w:cs="宋体"/>
          <w:color w:val="auto"/>
          <w:spacing w:val="8"/>
          <w:sz w:val="20"/>
          <w:szCs w:val="20"/>
          <w:highlight w:val="none"/>
          <w:lang w:eastAsia="zh-CN"/>
        </w:rPr>
        <w:t>000万元以下或资产总额10000万元以下的为中小微型企</w:t>
      </w:r>
      <w:r>
        <w:rPr>
          <w:rFonts w:hint="eastAsia" w:ascii="宋体" w:hAnsi="宋体" w:eastAsia="宋体" w:cs="宋体"/>
          <w:color w:val="auto"/>
          <w:spacing w:val="9"/>
          <w:sz w:val="20"/>
          <w:szCs w:val="20"/>
          <w:highlight w:val="none"/>
          <w:lang w:eastAsia="zh-CN"/>
        </w:rPr>
        <w:t>业。其中，营业收入1000万元及以上，且资产总额5000万元及以上的</w:t>
      </w:r>
      <w:r>
        <w:rPr>
          <w:rFonts w:hint="eastAsia" w:ascii="宋体" w:hAnsi="宋体" w:eastAsia="宋体" w:cs="宋体"/>
          <w:color w:val="auto"/>
          <w:spacing w:val="8"/>
          <w:sz w:val="20"/>
          <w:szCs w:val="20"/>
          <w:highlight w:val="none"/>
          <w:lang w:eastAsia="zh-CN"/>
        </w:rPr>
        <w:t>为中型企业；营业收入100万元</w:t>
      </w:r>
      <w:r>
        <w:rPr>
          <w:rFonts w:hint="eastAsia" w:ascii="宋体" w:hAnsi="宋体" w:eastAsia="宋体" w:cs="宋体"/>
          <w:color w:val="auto"/>
          <w:spacing w:val="9"/>
          <w:sz w:val="20"/>
          <w:szCs w:val="20"/>
          <w:highlight w:val="none"/>
          <w:lang w:eastAsia="zh-CN"/>
        </w:rPr>
        <w:t>及以上，且资产总额2000万元及以上的为小型企业；营业收入100万元</w:t>
      </w:r>
      <w:r>
        <w:rPr>
          <w:rFonts w:hint="eastAsia" w:ascii="宋体" w:hAnsi="宋体" w:eastAsia="宋体" w:cs="宋体"/>
          <w:color w:val="auto"/>
          <w:spacing w:val="8"/>
          <w:sz w:val="20"/>
          <w:szCs w:val="20"/>
          <w:highlight w:val="none"/>
          <w:lang w:eastAsia="zh-CN"/>
        </w:rPr>
        <w:t>以下或资产总额2000万元以下</w:t>
      </w:r>
      <w:r>
        <w:rPr>
          <w:rFonts w:hint="eastAsia" w:ascii="宋体" w:hAnsi="宋体" w:eastAsia="宋体" w:cs="宋体"/>
          <w:color w:val="auto"/>
          <w:spacing w:val="7"/>
          <w:sz w:val="20"/>
          <w:szCs w:val="20"/>
          <w:highlight w:val="none"/>
          <w:lang w:eastAsia="zh-CN"/>
        </w:rPr>
        <w:t>的为微型企业。</w:t>
      </w:r>
    </w:p>
    <w:p w14:paraId="58A91B16">
      <w:pPr>
        <w:spacing w:before="93" w:line="285" w:lineRule="auto"/>
        <w:ind w:right="70" w:firstLine="4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（十四）物业管理。从业人员1000人以下或</w:t>
      </w:r>
      <w:r>
        <w:rPr>
          <w:rFonts w:hint="eastAsia" w:ascii="宋体" w:hAnsi="宋体" w:eastAsia="宋体" w:cs="宋体"/>
          <w:color w:val="auto"/>
          <w:spacing w:val="7"/>
          <w:sz w:val="20"/>
          <w:szCs w:val="20"/>
          <w:highlight w:val="none"/>
          <w:lang w:eastAsia="zh-CN"/>
        </w:rPr>
        <w:t>营业收入5000万元以下的为中小微型企业。其中，从</w:t>
      </w:r>
      <w:r>
        <w:rPr>
          <w:rFonts w:hint="eastAsia" w:ascii="宋体" w:hAnsi="宋体" w:eastAsia="宋体" w:cs="宋体"/>
          <w:color w:val="auto"/>
          <w:spacing w:val="8"/>
          <w:sz w:val="20"/>
          <w:szCs w:val="20"/>
          <w:highlight w:val="none"/>
          <w:lang w:eastAsia="zh-CN"/>
        </w:rPr>
        <w:t>业人员300人及以上，且营业收入1000万元及以上的为中型企业</w:t>
      </w:r>
      <w:r>
        <w:rPr>
          <w:rFonts w:hint="eastAsia" w:ascii="宋体" w:hAnsi="宋体" w:eastAsia="宋体" w:cs="宋体"/>
          <w:color w:val="auto"/>
          <w:spacing w:val="7"/>
          <w:sz w:val="20"/>
          <w:szCs w:val="20"/>
          <w:highlight w:val="none"/>
          <w:lang w:eastAsia="zh-CN"/>
        </w:rPr>
        <w:t>；从业人员100人及以上，且营业收入</w:t>
      </w:r>
      <w:r>
        <w:rPr>
          <w:rFonts w:hint="eastAsia" w:ascii="宋体" w:hAnsi="宋体" w:eastAsia="宋体" w:cs="宋体"/>
          <w:color w:val="auto"/>
          <w:spacing w:val="9"/>
          <w:sz w:val="20"/>
          <w:szCs w:val="20"/>
          <w:highlight w:val="none"/>
          <w:lang w:eastAsia="zh-CN"/>
        </w:rPr>
        <w:t>500万元及以上的为小型企业；从业人员100人</w:t>
      </w:r>
      <w:r>
        <w:rPr>
          <w:rFonts w:hint="eastAsia" w:ascii="宋体" w:hAnsi="宋体" w:eastAsia="宋体" w:cs="宋体"/>
          <w:color w:val="auto"/>
          <w:spacing w:val="8"/>
          <w:sz w:val="20"/>
          <w:szCs w:val="20"/>
          <w:highlight w:val="none"/>
          <w:lang w:eastAsia="zh-CN"/>
        </w:rPr>
        <w:t>以下或营业收入500万元以下的为微型企业。</w:t>
      </w:r>
    </w:p>
    <w:p w14:paraId="4A236B58">
      <w:pPr>
        <w:spacing w:before="94" w:line="285" w:lineRule="auto"/>
        <w:ind w:left="1" w:firstLine="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（十五）租赁和商务服务业。从业人员300人以下或资产总额1200</w:t>
      </w:r>
      <w:r>
        <w:rPr>
          <w:rFonts w:hint="eastAsia" w:ascii="宋体" w:hAnsi="宋体" w:eastAsia="宋体" w:cs="宋体"/>
          <w:color w:val="auto"/>
          <w:spacing w:val="6"/>
          <w:sz w:val="20"/>
          <w:szCs w:val="20"/>
          <w:highlight w:val="none"/>
          <w:lang w:eastAsia="zh-CN"/>
        </w:rPr>
        <w:t>00万元以下的为中小微型企业。</w:t>
      </w:r>
      <w:r>
        <w:rPr>
          <w:rFonts w:hint="eastAsia" w:ascii="宋体" w:hAnsi="宋体" w:eastAsia="宋体" w:cs="宋体"/>
          <w:color w:val="auto"/>
          <w:spacing w:val="9"/>
          <w:sz w:val="20"/>
          <w:szCs w:val="20"/>
          <w:highlight w:val="none"/>
          <w:lang w:eastAsia="zh-CN"/>
        </w:rPr>
        <w:t>其中，从业人员100人及以上，且资产总额8000万元及以上的为中型企业；从业人员</w:t>
      </w:r>
      <w:r>
        <w:rPr>
          <w:rFonts w:hint="eastAsia" w:ascii="宋体" w:hAnsi="宋体" w:eastAsia="宋体" w:cs="宋体"/>
          <w:color w:val="auto"/>
          <w:spacing w:val="8"/>
          <w:sz w:val="20"/>
          <w:szCs w:val="20"/>
          <w:highlight w:val="none"/>
          <w:lang w:eastAsia="zh-CN"/>
        </w:rPr>
        <w:t>10人及以上，且</w:t>
      </w:r>
      <w:r>
        <w:rPr>
          <w:rFonts w:hint="eastAsia" w:ascii="宋体" w:hAnsi="宋体" w:eastAsia="宋体" w:cs="宋体"/>
          <w:color w:val="auto"/>
          <w:spacing w:val="9"/>
          <w:sz w:val="20"/>
          <w:szCs w:val="20"/>
          <w:highlight w:val="none"/>
          <w:lang w:eastAsia="zh-CN"/>
        </w:rPr>
        <w:t>资产总额100万元及以上的为小型企业；从业人员10人以下或资产</w:t>
      </w:r>
      <w:r>
        <w:rPr>
          <w:rFonts w:hint="eastAsia" w:ascii="宋体" w:hAnsi="宋体" w:eastAsia="宋体" w:cs="宋体"/>
          <w:color w:val="auto"/>
          <w:spacing w:val="8"/>
          <w:sz w:val="20"/>
          <w:szCs w:val="20"/>
          <w:highlight w:val="none"/>
          <w:lang w:eastAsia="zh-CN"/>
        </w:rPr>
        <w:t>总额100万元以下的为微型企业。</w:t>
      </w:r>
    </w:p>
    <w:p w14:paraId="32DD8E14">
      <w:pPr>
        <w:spacing w:before="94" w:line="271" w:lineRule="auto"/>
        <w:ind w:left="17" w:right="70" w:firstLine="41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（十六）软件和信息技术服务业。从业人员300人以下的为中小微型</w:t>
      </w:r>
      <w:r>
        <w:rPr>
          <w:rFonts w:hint="eastAsia" w:ascii="宋体" w:hAnsi="宋体" w:eastAsia="宋体" w:cs="宋体"/>
          <w:color w:val="auto"/>
          <w:spacing w:val="7"/>
          <w:sz w:val="20"/>
          <w:szCs w:val="20"/>
          <w:highlight w:val="none"/>
          <w:lang w:eastAsia="zh-CN"/>
        </w:rPr>
        <w:t>企业。其中，从业人员100人及以上</w:t>
      </w:r>
      <w:r>
        <w:rPr>
          <w:rFonts w:hint="eastAsia" w:ascii="宋体" w:hAnsi="宋体" w:eastAsia="宋体" w:cs="宋体"/>
          <w:color w:val="auto"/>
          <w:spacing w:val="9"/>
          <w:sz w:val="20"/>
          <w:szCs w:val="20"/>
          <w:highlight w:val="none"/>
          <w:lang w:eastAsia="zh-CN"/>
        </w:rPr>
        <w:t>的为中型企业；从业人员10人及以上的为小型企</w:t>
      </w:r>
      <w:r>
        <w:rPr>
          <w:rFonts w:hint="eastAsia" w:ascii="宋体" w:hAnsi="宋体" w:eastAsia="宋体" w:cs="宋体"/>
          <w:color w:val="auto"/>
          <w:spacing w:val="8"/>
          <w:sz w:val="20"/>
          <w:szCs w:val="20"/>
          <w:highlight w:val="none"/>
          <w:lang w:eastAsia="zh-CN"/>
        </w:rPr>
        <w:t>业；从业人员10人以下的为微型企业。</w:t>
      </w:r>
    </w:p>
    <w:p w14:paraId="451D7093">
      <w:pPr>
        <w:spacing w:before="92" w:line="227" w:lineRule="auto"/>
        <w:ind w:left="42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五、企业类型的划分以统计部门的统计数据为依</w:t>
      </w:r>
      <w:r>
        <w:rPr>
          <w:rFonts w:hint="eastAsia" w:ascii="宋体" w:hAnsi="宋体" w:eastAsia="宋体" w:cs="宋体"/>
          <w:color w:val="auto"/>
          <w:spacing w:val="8"/>
          <w:sz w:val="20"/>
          <w:szCs w:val="20"/>
          <w:highlight w:val="none"/>
          <w:lang w:eastAsia="zh-CN"/>
        </w:rPr>
        <w:t>据。</w:t>
      </w:r>
    </w:p>
    <w:p w14:paraId="3202814C">
      <w:pPr>
        <w:spacing w:before="94" w:line="271" w:lineRule="auto"/>
        <w:ind w:left="5" w:right="70" w:firstLine="41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六、本规定适用于在中华人民共和国境内依法设立的各类所有制和各种组织形式的企业。个体工</w:t>
      </w:r>
      <w:r>
        <w:rPr>
          <w:rFonts w:hint="eastAsia" w:ascii="宋体" w:hAnsi="宋体" w:eastAsia="宋体" w:cs="宋体"/>
          <w:color w:val="auto"/>
          <w:spacing w:val="9"/>
          <w:sz w:val="20"/>
          <w:szCs w:val="20"/>
          <w:highlight w:val="none"/>
          <w:lang w:eastAsia="zh-CN"/>
        </w:rPr>
        <w:t>商户和本规定以外的行业，参照本规定进行</w:t>
      </w:r>
      <w:r>
        <w:rPr>
          <w:rFonts w:hint="eastAsia" w:ascii="宋体" w:hAnsi="宋体" w:eastAsia="宋体" w:cs="宋体"/>
          <w:color w:val="auto"/>
          <w:spacing w:val="8"/>
          <w:sz w:val="20"/>
          <w:szCs w:val="20"/>
          <w:highlight w:val="none"/>
          <w:lang w:eastAsia="zh-CN"/>
        </w:rPr>
        <w:t>划型。</w:t>
      </w:r>
    </w:p>
    <w:p w14:paraId="6D97C434">
      <w:pPr>
        <w:spacing w:before="92" w:line="271" w:lineRule="auto"/>
        <w:ind w:right="48"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七、本规定的中型企业标准上限即为大型企业标准的下限，国家统计部门据此制定大中小微型企</w:t>
      </w:r>
      <w:r>
        <w:rPr>
          <w:rFonts w:hint="eastAsia" w:ascii="宋体" w:hAnsi="宋体" w:eastAsia="宋体" w:cs="宋体"/>
          <w:color w:val="auto"/>
          <w:spacing w:val="9"/>
          <w:sz w:val="20"/>
          <w:szCs w:val="20"/>
          <w:highlight w:val="none"/>
          <w:lang w:eastAsia="zh-CN"/>
        </w:rPr>
        <w:t>业的统计分类。国务院有关部门据此进行相关数据分析，不得制定与本规定不一致的企业划型标准。</w:t>
      </w:r>
    </w:p>
    <w:p w14:paraId="12AACF95">
      <w:pPr>
        <w:spacing w:before="95" w:line="270" w:lineRule="auto"/>
        <w:ind w:left="4" w:right="70"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八、本规定由工业和信息化部、国家统计局会同有关部门根据《国民经济行业分类》修订情况和企业发展变化情况适时修订。</w:t>
      </w:r>
    </w:p>
    <w:p w14:paraId="6CB0DC8B">
      <w:pPr>
        <w:spacing w:before="94" w:line="227" w:lineRule="auto"/>
        <w:ind w:left="42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九、本规定由工业和信息化部、国家统计局会同有关部门负责解释。</w:t>
      </w:r>
    </w:p>
    <w:p w14:paraId="6D7A28E4">
      <w:pPr>
        <w:spacing w:before="131" w:line="227" w:lineRule="auto"/>
        <w:ind w:left="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十、本规定自发布之日起执行，原国家经贸委、原国家计委、财政部和国家统计局2003年颁布的《中</w:t>
      </w:r>
    </w:p>
    <w:p w14:paraId="1063E138">
      <w:pPr>
        <w:spacing w:before="223" w:line="228" w:lineRule="auto"/>
        <w:ind w:left="6"/>
        <w:outlineLvl w:val="0"/>
        <w:rPr>
          <w:rFonts w:hint="eastAsia" w:ascii="宋体" w:hAnsi="宋体" w:eastAsia="宋体" w:cs="宋体"/>
          <w:color w:val="auto"/>
          <w:sz w:val="20"/>
          <w:szCs w:val="20"/>
          <w:highlight w:val="none"/>
          <w:lang w:eastAsia="zh-CN"/>
        </w:rPr>
      </w:pPr>
      <w:bookmarkStart w:id="390" w:name="bookmark4"/>
      <w:bookmarkEnd w:id="390"/>
      <w:bookmarkStart w:id="391" w:name="_Toc25506"/>
      <w:r>
        <w:rPr>
          <w:rFonts w:hint="eastAsia" w:ascii="宋体" w:hAnsi="宋体" w:eastAsia="宋体" w:cs="宋体"/>
          <w:color w:val="auto"/>
          <w:spacing w:val="8"/>
          <w:sz w:val="20"/>
          <w:szCs w:val="20"/>
          <w:highlight w:val="none"/>
          <w:lang w:eastAsia="zh-CN"/>
        </w:rPr>
        <w:t>小企业标准暂行规定》同时废止。</w:t>
      </w:r>
      <w:bookmarkEnd w:id="391"/>
    </w:p>
    <w:p w14:paraId="41AD5DF8">
      <w:pPr>
        <w:spacing w:line="228" w:lineRule="auto"/>
        <w:rPr>
          <w:rFonts w:hint="eastAsia" w:ascii="宋体" w:hAnsi="宋体" w:eastAsia="宋体" w:cs="宋体"/>
          <w:color w:val="auto"/>
          <w:sz w:val="20"/>
          <w:szCs w:val="20"/>
          <w:highlight w:val="none"/>
          <w:lang w:eastAsia="zh-CN"/>
        </w:rPr>
        <w:sectPr>
          <w:pgSz w:w="11906" w:h="16839"/>
          <w:pgMar w:top="1354" w:right="1291" w:bottom="0" w:left="1368" w:header="0" w:footer="737" w:gutter="0"/>
          <w:pgNumType w:fmt="decimal"/>
          <w:cols w:space="720" w:num="1"/>
        </w:sectPr>
      </w:pPr>
    </w:p>
    <w:p w14:paraId="52ADFE67">
      <w:pPr>
        <w:pageBreakBefore w:val="0"/>
        <w:widowControl/>
        <w:kinsoku/>
        <w:wordWrap w:val="0"/>
        <w:overflowPunct/>
        <w:bidi w:val="0"/>
        <w:adjustRightInd w:val="0"/>
        <w:snapToGrid w:val="0"/>
        <w:spacing w:before="0" w:after="0" w:line="360" w:lineRule="auto"/>
        <w:outlineLvl w:val="9"/>
        <w:rPr>
          <w:rFonts w:hint="eastAsia" w:ascii="宋体"/>
          <w:bCs/>
          <w:kern w:val="44"/>
          <w:szCs w:val="21"/>
          <w:highlight w:val="none"/>
        </w:rPr>
      </w:pPr>
      <w:r>
        <w:rPr>
          <w:rFonts w:hint="eastAsia" w:ascii="宋体"/>
          <w:bCs/>
          <w:kern w:val="44"/>
          <w:szCs w:val="21"/>
          <w:highlight w:val="none"/>
        </w:rPr>
        <w:t>附1</w:t>
      </w:r>
      <w:bookmarkEnd w:id="385"/>
      <w:bookmarkEnd w:id="386"/>
      <w:bookmarkEnd w:id="387"/>
      <w:bookmarkEnd w:id="388"/>
    </w:p>
    <w:p w14:paraId="4A226EE6">
      <w:pPr>
        <w:pageBreakBefore w:val="0"/>
        <w:kinsoku/>
        <w:wordWrap w:val="0"/>
        <w:overflowPunct/>
        <w:bidi w:val="0"/>
        <w:jc w:val="center"/>
        <w:rPr>
          <w:rFonts w:hint="eastAsia" w:ascii="宋体" w:cs="宋体"/>
          <w:b/>
          <w:bCs/>
          <w:sz w:val="30"/>
          <w:szCs w:val="30"/>
          <w:highlight w:val="none"/>
        </w:rPr>
      </w:pPr>
      <w:r>
        <w:rPr>
          <w:rFonts w:hint="eastAsia" w:ascii="宋体" w:cs="宋体"/>
          <w:b/>
          <w:bCs/>
          <w:sz w:val="30"/>
          <w:szCs w:val="30"/>
          <w:highlight w:val="none"/>
        </w:rPr>
        <w:t>中小企业声明函（货物）</w:t>
      </w:r>
    </w:p>
    <w:p w14:paraId="65668267">
      <w:pPr>
        <w:pageBreakBefore w:val="0"/>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rPr>
        <w:t>本公司（联合体）郑重声明，根据《政府采购促进中小 企业发展管理办法》（财库﹝2020﹞46 号）的规定，本公司 （联合体）参加</w:t>
      </w:r>
      <w:r>
        <w:rPr>
          <w:rFonts w:hint="eastAsia" w:ascii="宋体" w:cs="宋体"/>
          <w:sz w:val="21"/>
          <w:szCs w:val="21"/>
          <w:highlight w:val="none"/>
          <w:u w:val="single"/>
        </w:rPr>
        <w:t>（单位名称）</w:t>
      </w:r>
      <w:r>
        <w:rPr>
          <w:rFonts w:hint="eastAsia" w:ascii="宋体" w:cs="宋体"/>
          <w:sz w:val="21"/>
          <w:szCs w:val="21"/>
          <w:highlight w:val="none"/>
        </w:rPr>
        <w:t>的</w:t>
      </w:r>
      <w:r>
        <w:rPr>
          <w:rFonts w:hint="eastAsia" w:ascii="宋体" w:cs="宋体"/>
          <w:sz w:val="21"/>
          <w:szCs w:val="21"/>
          <w:highlight w:val="none"/>
          <w:u w:val="single"/>
        </w:rPr>
        <w:t>（项目名称）</w:t>
      </w:r>
      <w:r>
        <w:rPr>
          <w:rFonts w:hint="eastAsia" w:ascii="宋体" w:cs="宋体"/>
          <w:sz w:val="21"/>
          <w:szCs w:val="21"/>
          <w:highlight w:val="none"/>
        </w:rPr>
        <w:t>采购活动，提供的货物全部由符合政策要求的中小企业制造。相关企业 （含联合体中的中小企业、签订分包意向协议的中小企业） 的具体情况如下：</w:t>
      </w:r>
    </w:p>
    <w:p w14:paraId="7EFCAAD4">
      <w:pPr>
        <w:pageBreakBefore w:val="0"/>
        <w:numPr>
          <w:ilvl w:val="0"/>
          <w:numId w:val="4"/>
        </w:numPr>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u w:val="single"/>
        </w:rPr>
        <w:t>（标的名称）</w:t>
      </w:r>
      <w:r>
        <w:rPr>
          <w:rFonts w:hint="eastAsia" w:ascii="宋体" w:cs="宋体"/>
          <w:sz w:val="21"/>
          <w:szCs w:val="21"/>
          <w:highlight w:val="none"/>
        </w:rPr>
        <w:t xml:space="preserve"> ，属于</w:t>
      </w:r>
      <w:r>
        <w:rPr>
          <w:rFonts w:hint="eastAsia" w:ascii="宋体" w:cs="宋体"/>
          <w:sz w:val="21"/>
          <w:szCs w:val="21"/>
          <w:highlight w:val="none"/>
          <w:u w:val="single"/>
        </w:rPr>
        <w:t xml:space="preserve">                  </w:t>
      </w:r>
      <w:r>
        <w:rPr>
          <w:rFonts w:hint="eastAsia" w:ascii="宋体" w:cs="宋体"/>
          <w:sz w:val="21"/>
          <w:szCs w:val="21"/>
          <w:highlight w:val="none"/>
        </w:rPr>
        <w:t>行业；制造商为</w:t>
      </w:r>
      <w:r>
        <w:rPr>
          <w:rFonts w:hint="eastAsia" w:ascii="宋体" w:cs="宋体"/>
          <w:sz w:val="21"/>
          <w:szCs w:val="21"/>
          <w:highlight w:val="none"/>
          <w:u w:val="single"/>
        </w:rPr>
        <w:t>（企业名称）</w:t>
      </w:r>
      <w:r>
        <w:rPr>
          <w:rFonts w:hint="eastAsia" w:ascii="宋体" w:cs="宋体"/>
          <w:sz w:val="21"/>
          <w:szCs w:val="21"/>
          <w:highlight w:val="none"/>
        </w:rPr>
        <w:t>，从业人员</w:t>
      </w:r>
      <w:r>
        <w:rPr>
          <w:rFonts w:hint="eastAsia" w:ascii="宋体" w:cs="宋体"/>
          <w:sz w:val="21"/>
          <w:szCs w:val="21"/>
          <w:highlight w:val="none"/>
          <w:u w:val="single"/>
        </w:rPr>
        <w:t xml:space="preserve">    </w:t>
      </w:r>
      <w:r>
        <w:rPr>
          <w:rFonts w:hint="eastAsia" w:ascii="宋体" w:cs="宋体"/>
          <w:sz w:val="21"/>
          <w:szCs w:val="21"/>
          <w:highlight w:val="none"/>
        </w:rPr>
        <w:t>人，营业收 入为</w:t>
      </w:r>
      <w:r>
        <w:rPr>
          <w:rFonts w:hint="eastAsia" w:ascii="宋体" w:cs="宋体"/>
          <w:sz w:val="21"/>
          <w:szCs w:val="21"/>
          <w:highlight w:val="none"/>
          <w:u w:val="single"/>
        </w:rPr>
        <w:t xml:space="preserve">    </w:t>
      </w:r>
      <w:r>
        <w:rPr>
          <w:rFonts w:hint="eastAsia" w:ascii="宋体" w:cs="宋体"/>
          <w:sz w:val="21"/>
          <w:szCs w:val="21"/>
          <w:highlight w:val="none"/>
        </w:rPr>
        <w:t>万元，资产总额为</w:t>
      </w:r>
      <w:r>
        <w:rPr>
          <w:rFonts w:hint="eastAsia" w:ascii="宋体" w:cs="宋体"/>
          <w:sz w:val="21"/>
          <w:szCs w:val="21"/>
          <w:highlight w:val="none"/>
          <w:u w:val="single"/>
        </w:rPr>
        <w:t xml:space="preserve">      </w:t>
      </w:r>
      <w:r>
        <w:rPr>
          <w:rFonts w:hint="eastAsia" w:ascii="宋体" w:cs="宋体"/>
          <w:sz w:val="21"/>
          <w:szCs w:val="21"/>
          <w:highlight w:val="none"/>
        </w:rPr>
        <w:t>万元①，属于</w:t>
      </w:r>
      <w:r>
        <w:rPr>
          <w:rFonts w:hint="eastAsia" w:ascii="宋体" w:cs="宋体"/>
          <w:sz w:val="21"/>
          <w:szCs w:val="21"/>
          <w:highlight w:val="none"/>
          <w:u w:val="single"/>
        </w:rPr>
        <w:t>（中型企业、小 型企业、微型企业）</w:t>
      </w:r>
      <w:r>
        <w:rPr>
          <w:rFonts w:hint="eastAsia" w:ascii="宋体" w:cs="宋体"/>
          <w:sz w:val="21"/>
          <w:szCs w:val="21"/>
          <w:highlight w:val="none"/>
        </w:rPr>
        <w:t xml:space="preserve">； </w:t>
      </w:r>
    </w:p>
    <w:p w14:paraId="0B5A00C0">
      <w:pPr>
        <w:pageBreakBefore w:val="0"/>
        <w:numPr>
          <w:ilvl w:val="0"/>
          <w:numId w:val="4"/>
        </w:numPr>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u w:val="single"/>
        </w:rPr>
        <w:t>（标的名称）</w:t>
      </w:r>
      <w:r>
        <w:rPr>
          <w:rFonts w:hint="eastAsia" w:ascii="宋体" w:cs="宋体"/>
          <w:sz w:val="21"/>
          <w:szCs w:val="21"/>
          <w:highlight w:val="none"/>
        </w:rPr>
        <w:t xml:space="preserve"> ，属于</w:t>
      </w:r>
      <w:r>
        <w:rPr>
          <w:rFonts w:hint="eastAsia" w:ascii="宋体" w:cs="宋体"/>
          <w:sz w:val="21"/>
          <w:szCs w:val="21"/>
          <w:highlight w:val="none"/>
          <w:u w:val="single"/>
        </w:rPr>
        <w:t xml:space="preserve">                  </w:t>
      </w:r>
      <w:r>
        <w:rPr>
          <w:rFonts w:hint="eastAsia" w:ascii="宋体" w:cs="宋体"/>
          <w:sz w:val="21"/>
          <w:szCs w:val="21"/>
          <w:highlight w:val="none"/>
        </w:rPr>
        <w:t>行业；制造商为</w:t>
      </w:r>
      <w:r>
        <w:rPr>
          <w:rFonts w:hint="eastAsia" w:ascii="宋体" w:cs="宋体"/>
          <w:sz w:val="21"/>
          <w:szCs w:val="21"/>
          <w:highlight w:val="none"/>
          <w:u w:val="single"/>
        </w:rPr>
        <w:t>（企业名称）</w:t>
      </w:r>
      <w:r>
        <w:rPr>
          <w:rFonts w:hint="eastAsia" w:ascii="宋体" w:cs="宋体"/>
          <w:sz w:val="21"/>
          <w:szCs w:val="21"/>
          <w:highlight w:val="none"/>
        </w:rPr>
        <w:t>，从业人员</w:t>
      </w:r>
      <w:r>
        <w:rPr>
          <w:rFonts w:hint="eastAsia" w:ascii="宋体" w:cs="宋体"/>
          <w:sz w:val="21"/>
          <w:szCs w:val="21"/>
          <w:highlight w:val="none"/>
          <w:u w:val="single"/>
        </w:rPr>
        <w:t xml:space="preserve">    </w:t>
      </w:r>
      <w:r>
        <w:rPr>
          <w:rFonts w:hint="eastAsia" w:ascii="宋体" w:cs="宋体"/>
          <w:sz w:val="21"/>
          <w:szCs w:val="21"/>
          <w:highlight w:val="none"/>
        </w:rPr>
        <w:t>人，营业收入为</w:t>
      </w:r>
      <w:r>
        <w:rPr>
          <w:rFonts w:hint="eastAsia" w:ascii="宋体" w:cs="宋体"/>
          <w:sz w:val="21"/>
          <w:szCs w:val="21"/>
          <w:highlight w:val="none"/>
          <w:u w:val="single"/>
        </w:rPr>
        <w:t xml:space="preserve">     </w:t>
      </w:r>
      <w:r>
        <w:rPr>
          <w:rFonts w:hint="eastAsia" w:ascii="宋体" w:cs="宋体"/>
          <w:sz w:val="21"/>
          <w:szCs w:val="21"/>
          <w:highlight w:val="none"/>
        </w:rPr>
        <w:t>万元，资产总额为</w:t>
      </w:r>
      <w:r>
        <w:rPr>
          <w:rFonts w:hint="eastAsia" w:ascii="宋体" w:cs="宋体"/>
          <w:sz w:val="21"/>
          <w:szCs w:val="21"/>
          <w:highlight w:val="none"/>
          <w:u w:val="single"/>
        </w:rPr>
        <w:t xml:space="preserve">      </w:t>
      </w:r>
      <w:r>
        <w:rPr>
          <w:rFonts w:hint="eastAsia" w:ascii="宋体" w:cs="宋体"/>
          <w:sz w:val="21"/>
          <w:szCs w:val="21"/>
          <w:highlight w:val="none"/>
        </w:rPr>
        <w:t>万元，属于</w:t>
      </w:r>
      <w:r>
        <w:rPr>
          <w:rFonts w:hint="eastAsia" w:ascii="宋体" w:cs="宋体"/>
          <w:sz w:val="21"/>
          <w:szCs w:val="21"/>
          <w:highlight w:val="none"/>
          <w:u w:val="single"/>
        </w:rPr>
        <w:t>（中型企业、小型 企业、微型企业）</w:t>
      </w:r>
      <w:r>
        <w:rPr>
          <w:rFonts w:hint="eastAsia" w:ascii="宋体" w:cs="宋体"/>
          <w:sz w:val="21"/>
          <w:szCs w:val="21"/>
          <w:highlight w:val="none"/>
        </w:rPr>
        <w:t>；</w:t>
      </w:r>
    </w:p>
    <w:p w14:paraId="6F7387DF">
      <w:pPr>
        <w:pageBreakBefore w:val="0"/>
        <w:kinsoku/>
        <w:wordWrap w:val="0"/>
        <w:overflowPunct/>
        <w:bidi w:val="0"/>
        <w:spacing w:line="360" w:lineRule="auto"/>
        <w:ind w:left="630" w:leftChars="300"/>
        <w:rPr>
          <w:rFonts w:hint="eastAsia" w:ascii="宋体" w:cs="宋体"/>
          <w:sz w:val="21"/>
          <w:szCs w:val="21"/>
          <w:highlight w:val="none"/>
        </w:rPr>
      </w:pPr>
      <w:r>
        <w:rPr>
          <w:rFonts w:hint="eastAsia" w:ascii="宋体" w:cs="宋体"/>
          <w:sz w:val="21"/>
          <w:szCs w:val="21"/>
          <w:highlight w:val="none"/>
        </w:rPr>
        <w:t xml:space="preserve"> ....... </w:t>
      </w:r>
    </w:p>
    <w:p w14:paraId="574F94C3">
      <w:pPr>
        <w:pageBreakBefore w:val="0"/>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rPr>
        <w:t xml:space="preserve">以上企业，不属于大企业的分支机构，不存在控股股东 为大企业的情形，也不存在与大企业的负责人为同一人的情形。 </w:t>
      </w:r>
    </w:p>
    <w:p w14:paraId="3D8956DE">
      <w:pPr>
        <w:pageBreakBefore w:val="0"/>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rPr>
        <w:t xml:space="preserve">本企业对上述声明内容的真实性负责。如有虚假，将依 法承担相应责任。 </w:t>
      </w:r>
    </w:p>
    <w:p w14:paraId="262E5F01">
      <w:pPr>
        <w:pageBreakBefore w:val="0"/>
        <w:kinsoku/>
        <w:wordWrap w:val="0"/>
        <w:overflowPunct/>
        <w:bidi w:val="0"/>
        <w:spacing w:line="360" w:lineRule="auto"/>
        <w:ind w:firstLine="630" w:firstLineChars="300"/>
        <w:jc w:val="center"/>
        <w:rPr>
          <w:rFonts w:hint="eastAsia" w:ascii="宋体" w:cs="宋体"/>
          <w:sz w:val="21"/>
          <w:szCs w:val="21"/>
          <w:highlight w:val="none"/>
        </w:rPr>
      </w:pPr>
    </w:p>
    <w:p w14:paraId="3D614F1D">
      <w:pPr>
        <w:pageBreakBefore w:val="0"/>
        <w:kinsoku/>
        <w:wordWrap w:val="0"/>
        <w:overflowPunct/>
        <w:bidi w:val="0"/>
        <w:spacing w:line="360" w:lineRule="auto"/>
        <w:ind w:firstLine="630" w:firstLineChars="300"/>
        <w:jc w:val="center"/>
        <w:rPr>
          <w:rFonts w:hint="eastAsia" w:ascii="宋体" w:cs="宋体"/>
          <w:sz w:val="21"/>
          <w:szCs w:val="21"/>
          <w:highlight w:val="none"/>
        </w:rPr>
      </w:pPr>
      <w:r>
        <w:rPr>
          <w:rFonts w:hint="eastAsia" w:ascii="宋体" w:cs="宋体"/>
          <w:sz w:val="21"/>
          <w:szCs w:val="21"/>
          <w:highlight w:val="none"/>
          <w:lang w:val="en-US" w:eastAsia="zh-CN"/>
        </w:rPr>
        <w:t xml:space="preserve">          </w:t>
      </w:r>
      <w:r>
        <w:rPr>
          <w:rFonts w:hint="eastAsia" w:ascii="宋体" w:cs="宋体"/>
          <w:sz w:val="21"/>
          <w:szCs w:val="21"/>
          <w:highlight w:val="none"/>
        </w:rPr>
        <w:t>企业名称（盖章）：</w:t>
      </w:r>
    </w:p>
    <w:p w14:paraId="2A785945">
      <w:pPr>
        <w:pageBreakBefore w:val="0"/>
        <w:kinsoku/>
        <w:wordWrap w:val="0"/>
        <w:overflowPunct/>
        <w:bidi w:val="0"/>
        <w:spacing w:line="360" w:lineRule="auto"/>
        <w:ind w:firstLine="4200" w:firstLineChars="2000"/>
        <w:rPr>
          <w:rFonts w:hint="eastAsia" w:ascii="宋体" w:cs="宋体"/>
          <w:sz w:val="21"/>
          <w:szCs w:val="21"/>
          <w:highlight w:val="none"/>
        </w:rPr>
      </w:pPr>
      <w:r>
        <w:rPr>
          <w:rFonts w:hint="eastAsia" w:ascii="宋体" w:cs="宋体"/>
          <w:sz w:val="21"/>
          <w:szCs w:val="21"/>
          <w:highlight w:val="none"/>
        </w:rPr>
        <w:t>日 期：</w:t>
      </w:r>
    </w:p>
    <w:p w14:paraId="54E15FFF">
      <w:pPr>
        <w:pageBreakBefore w:val="0"/>
        <w:kinsoku/>
        <w:wordWrap w:val="0"/>
        <w:overflowPunct/>
        <w:bidi w:val="0"/>
        <w:spacing w:line="480" w:lineRule="auto"/>
        <w:ind w:firstLine="630" w:firstLineChars="300"/>
        <w:rPr>
          <w:rFonts w:hint="eastAsia" w:ascii="宋体" w:cs="宋体"/>
          <w:sz w:val="21"/>
          <w:szCs w:val="21"/>
          <w:highlight w:val="none"/>
        </w:rPr>
      </w:pPr>
    </w:p>
    <w:p w14:paraId="61E98DA6">
      <w:pPr>
        <w:pageBreakBefore w:val="0"/>
        <w:kinsoku/>
        <w:wordWrap w:val="0"/>
        <w:overflowPunct/>
        <w:bidi w:val="0"/>
        <w:spacing w:line="480" w:lineRule="auto"/>
        <w:ind w:firstLine="720" w:firstLineChars="300"/>
        <w:rPr>
          <w:rFonts w:hint="eastAsia" w:ascii="宋体" w:cs="宋体"/>
          <w:sz w:val="24"/>
          <w:highlight w:val="none"/>
        </w:rPr>
      </w:pPr>
    </w:p>
    <w:p w14:paraId="47BAE984">
      <w:pPr>
        <w:pageBreakBefore w:val="0"/>
        <w:kinsoku/>
        <w:wordWrap w:val="0"/>
        <w:overflowPunct/>
        <w:bidi w:val="0"/>
        <w:spacing w:line="480" w:lineRule="auto"/>
        <w:ind w:firstLine="480" w:firstLineChars="300"/>
        <w:rPr>
          <w:rFonts w:hint="eastAsia" w:ascii="宋体" w:cs="宋体"/>
          <w:sz w:val="32"/>
          <w:szCs w:val="32"/>
          <w:highlight w:val="none"/>
        </w:rPr>
      </w:pPr>
      <w:r>
        <w:rPr>
          <w:rFonts w:hint="eastAsia" w:ascii="宋体" w:cs="宋体"/>
          <w:sz w:val="16"/>
          <w:szCs w:val="16"/>
          <w:highlight w:val="none"/>
        </w:rPr>
        <w:t>①从业人员、营业收入、资产总额填报上一年度数据，无上一年度数据的新成立企业可不填报</w:t>
      </w:r>
    </w:p>
    <w:p w14:paraId="05661109">
      <w:pPr>
        <w:pageBreakBefore w:val="0"/>
        <w:kinsoku/>
        <w:wordWrap w:val="0"/>
        <w:overflowPunct/>
        <w:bidi w:val="0"/>
        <w:rPr>
          <w:rFonts w:hint="eastAsia" w:ascii="宋体"/>
          <w:sz w:val="24"/>
          <w:szCs w:val="24"/>
          <w:highlight w:val="none"/>
        </w:rPr>
        <w:sectPr>
          <w:footerReference r:id="rId14" w:type="default"/>
          <w:pgSz w:w="11910" w:h="16840"/>
          <w:pgMar w:top="1500" w:right="1380" w:bottom="1780" w:left="1580" w:header="0" w:footer="1595" w:gutter="0"/>
          <w:pgNumType w:fmt="decimal"/>
          <w:cols w:space="720" w:num="1"/>
          <w:docGrid w:linePitch="285" w:charSpace="0"/>
        </w:sectPr>
      </w:pPr>
    </w:p>
    <w:p w14:paraId="6AB1A79A">
      <w:pPr>
        <w:pageBreakBefore w:val="0"/>
        <w:widowControl/>
        <w:kinsoku/>
        <w:wordWrap w:val="0"/>
        <w:overflowPunct/>
        <w:bidi w:val="0"/>
        <w:adjustRightInd w:val="0"/>
        <w:snapToGrid w:val="0"/>
        <w:spacing w:before="0" w:after="0" w:line="360" w:lineRule="auto"/>
        <w:outlineLvl w:val="9"/>
        <w:rPr>
          <w:rFonts w:hint="eastAsia" w:ascii="宋体" w:eastAsia="宋体"/>
          <w:bCs/>
          <w:kern w:val="44"/>
          <w:szCs w:val="21"/>
          <w:highlight w:val="none"/>
          <w:lang w:val="en-US" w:eastAsia="zh-CN"/>
        </w:rPr>
      </w:pPr>
      <w:bookmarkStart w:id="392" w:name="_Toc144974577"/>
      <w:bookmarkStart w:id="393" w:name="_Toc152045609"/>
      <w:bookmarkStart w:id="394" w:name="_Toc468267476"/>
      <w:bookmarkStart w:id="395" w:name="_Toc246996252"/>
      <w:bookmarkStart w:id="396" w:name="_Toc77166516"/>
      <w:bookmarkStart w:id="397" w:name="_Toc247085767"/>
      <w:bookmarkStart w:id="398" w:name="_Toc179632627"/>
      <w:bookmarkStart w:id="399" w:name="_Toc439"/>
      <w:bookmarkStart w:id="400" w:name="_Toc13394"/>
      <w:bookmarkStart w:id="401" w:name="_Toc246996995"/>
      <w:bookmarkStart w:id="402" w:name="_Toc152042387"/>
      <w:r>
        <w:rPr>
          <w:rFonts w:hint="eastAsia" w:ascii="宋体"/>
          <w:bCs/>
          <w:kern w:val="44"/>
          <w:szCs w:val="21"/>
          <w:highlight w:val="none"/>
        </w:rPr>
        <w:t>附</w:t>
      </w:r>
      <w:r>
        <w:rPr>
          <w:rFonts w:hint="eastAsia" w:ascii="宋体"/>
          <w:bCs/>
          <w:kern w:val="44"/>
          <w:szCs w:val="21"/>
          <w:highlight w:val="none"/>
          <w:lang w:val="en-US" w:eastAsia="zh-CN"/>
        </w:rPr>
        <w:t>2</w:t>
      </w:r>
    </w:p>
    <w:p w14:paraId="6D3AD6E6">
      <w:pPr>
        <w:wordWrap w:val="0"/>
        <w:autoSpaceDE w:val="0"/>
        <w:autoSpaceDN w:val="0"/>
        <w:adjustRightInd w:val="0"/>
        <w:spacing w:line="360" w:lineRule="auto"/>
        <w:ind w:left="570" w:hanging="57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※以下内容如果投标企业未涉及无需填写</w:t>
      </w:r>
    </w:p>
    <w:p w14:paraId="2F72CF9F">
      <w:pPr>
        <w:wordWrap w:val="0"/>
        <w:autoSpaceDE w:val="0"/>
        <w:autoSpaceDN w:val="0"/>
        <w:adjustRightInd w:val="0"/>
        <w:spacing w:line="360" w:lineRule="auto"/>
        <w:ind w:left="570" w:hanging="57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）残疾人福利性单位声明函</w:t>
      </w:r>
    </w:p>
    <w:p w14:paraId="78BDB985">
      <w:pPr>
        <w:kinsoku w:val="0"/>
        <w:wordWrap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财库〔2017〕141号)的规定，本单位为符合条件的残疾人福利性单位，且本单位参加单位的项目采购活动提供本单位制造的货物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由本单位承担工程/提供服务)，或者提供其他残疾人福利性单位制造的货物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不包括使用非残疾人福利性单位注册商标的货物)。</w:t>
      </w:r>
    </w:p>
    <w:p w14:paraId="28CDBF5E">
      <w:pPr>
        <w:kinsoku w:val="0"/>
        <w:wordWrap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C367B6D">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1013A6D6">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2A7C6C44">
      <w:pPr>
        <w:spacing w:before="78"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提醒：如果供应商不是残疾人福利性单位，此项</w:t>
      </w:r>
      <w:r>
        <w:rPr>
          <w:rFonts w:hint="eastAsia" w:ascii="宋体" w:hAnsi="宋体" w:eastAsia="宋体" w:cs="宋体"/>
          <w:color w:val="auto"/>
          <w:spacing w:val="-4"/>
          <w:sz w:val="21"/>
          <w:szCs w:val="21"/>
          <w:highlight w:val="none"/>
          <w:lang w:eastAsia="zh-CN"/>
        </w:rPr>
        <w:t>加盖单位公章</w:t>
      </w:r>
      <w:r>
        <w:rPr>
          <w:rFonts w:hint="eastAsia" w:ascii="宋体" w:hAnsi="宋体" w:eastAsia="宋体" w:cs="宋体"/>
          <w:color w:val="auto"/>
          <w:spacing w:val="-4"/>
          <w:sz w:val="21"/>
          <w:szCs w:val="21"/>
          <w:highlight w:val="none"/>
        </w:rPr>
        <w:t>即可。</w:t>
      </w:r>
    </w:p>
    <w:p w14:paraId="4080A991">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70BCE7BE">
      <w:pPr>
        <w:bidi w:val="0"/>
        <w:spacing w:line="360" w:lineRule="auto"/>
        <w:rPr>
          <w:rFonts w:hint="eastAsia" w:ascii="宋体" w:hAnsi="宋体" w:eastAsia="宋体" w:cs="宋体"/>
          <w:color w:val="auto"/>
          <w:sz w:val="21"/>
          <w:szCs w:val="21"/>
          <w:highlight w:val="none"/>
          <w:lang w:eastAsia="zh-CN"/>
        </w:rPr>
      </w:pPr>
    </w:p>
    <w:p w14:paraId="337AAAC1">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盖章)</w:t>
      </w:r>
    </w:p>
    <w:p w14:paraId="36C91122">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3D4FC9B">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46560DA7">
      <w:pPr>
        <w:pageBreakBefore w:val="0"/>
        <w:widowControl/>
        <w:kinsoku/>
        <w:wordWrap w:val="0"/>
        <w:overflowPunct/>
        <w:bidi w:val="0"/>
        <w:adjustRightInd w:val="0"/>
        <w:snapToGrid w:val="0"/>
        <w:spacing w:before="0" w:after="0" w:line="360" w:lineRule="auto"/>
        <w:outlineLvl w:val="9"/>
        <w:rPr>
          <w:rFonts w:hint="eastAsia" w:ascii="宋体" w:eastAsia="宋体"/>
          <w:bCs/>
          <w:kern w:val="44"/>
          <w:szCs w:val="21"/>
          <w:highlight w:val="none"/>
          <w:lang w:val="en-US" w:eastAsia="zh-CN"/>
        </w:rPr>
      </w:pPr>
      <w:r>
        <w:rPr>
          <w:rFonts w:hint="eastAsia" w:ascii="宋体" w:hAnsi="宋体" w:eastAsia="宋体" w:cs="宋体"/>
          <w:b/>
          <w:bCs/>
          <w:color w:val="auto"/>
          <w:sz w:val="32"/>
          <w:szCs w:val="32"/>
          <w:highlight w:val="none"/>
        </w:rPr>
        <w:br w:type="page"/>
      </w:r>
      <w:r>
        <w:rPr>
          <w:rFonts w:hint="eastAsia" w:ascii="宋体"/>
          <w:bCs/>
          <w:kern w:val="44"/>
          <w:szCs w:val="21"/>
          <w:highlight w:val="none"/>
        </w:rPr>
        <w:t>附</w:t>
      </w:r>
      <w:r>
        <w:rPr>
          <w:rFonts w:hint="eastAsia" w:ascii="宋体"/>
          <w:bCs/>
          <w:kern w:val="44"/>
          <w:szCs w:val="21"/>
          <w:highlight w:val="none"/>
          <w:lang w:val="en-US" w:eastAsia="zh-CN"/>
        </w:rPr>
        <w:t>3</w:t>
      </w:r>
    </w:p>
    <w:p w14:paraId="344F56B1">
      <w:pPr>
        <w:wordWrap w:val="0"/>
        <w:autoSpaceDE w:val="0"/>
        <w:autoSpaceDN w:val="0"/>
        <w:adjustRightInd w:val="0"/>
        <w:spacing w:line="360" w:lineRule="auto"/>
        <w:ind w:left="570" w:hanging="57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※以下内容如果投标企业未涉及无需填写</w:t>
      </w:r>
    </w:p>
    <w:p w14:paraId="19314151">
      <w:pPr>
        <w:wordWrap w:val="0"/>
        <w:autoSpaceDE w:val="0"/>
        <w:autoSpaceDN w:val="0"/>
        <w:adjustRightInd w:val="0"/>
        <w:spacing w:line="360" w:lineRule="auto"/>
        <w:ind w:left="570" w:hanging="57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rPr>
        <w:t>）监狱企业声明函</w:t>
      </w:r>
    </w:p>
    <w:p w14:paraId="55B1905F">
      <w:pPr>
        <w:kinsoku w:val="0"/>
        <w:wordWrap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本单位郑重声明，根据《财政部司法部关于政府采购支持监狱企业发展有关问题的通知》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财库〔2014〕68号)的规定，本单位为符合条件的监狱企业，且本单位参加单位的项目采购活动提供本单位制造的货物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由本单位承担工程/提供服务)。</w:t>
      </w:r>
    </w:p>
    <w:p w14:paraId="3F2AED3D">
      <w:pPr>
        <w:kinsoku w:val="0"/>
        <w:wordWrap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DE6D450">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44940359">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03AD2DAB">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6AF2F06A">
      <w:pPr>
        <w:spacing w:before="78"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提醒：如果供应商不是监狱企业单位，此项</w:t>
      </w:r>
      <w:r>
        <w:rPr>
          <w:rFonts w:hint="eastAsia" w:ascii="宋体" w:hAnsi="宋体" w:eastAsia="宋体" w:cs="宋体"/>
          <w:color w:val="auto"/>
          <w:spacing w:val="-4"/>
          <w:sz w:val="21"/>
          <w:szCs w:val="21"/>
          <w:highlight w:val="none"/>
          <w:lang w:eastAsia="zh-CN"/>
        </w:rPr>
        <w:t>加盖单位公章</w:t>
      </w:r>
      <w:r>
        <w:rPr>
          <w:rFonts w:hint="eastAsia" w:ascii="宋体" w:hAnsi="宋体" w:eastAsia="宋体" w:cs="宋体"/>
          <w:color w:val="auto"/>
          <w:spacing w:val="-4"/>
          <w:sz w:val="21"/>
          <w:szCs w:val="21"/>
          <w:highlight w:val="none"/>
        </w:rPr>
        <w:t>即可。</w:t>
      </w:r>
    </w:p>
    <w:p w14:paraId="635ABB6A">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250E7EBA">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62D7D353">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盖章)</w:t>
      </w:r>
    </w:p>
    <w:p w14:paraId="71123325">
      <w:pPr>
        <w:rPr>
          <w:rFonts w:hint="eastAsia"/>
          <w:b/>
          <w:bCs/>
          <w:kern w:val="44"/>
          <w:sz w:val="21"/>
          <w:szCs w:val="21"/>
          <w:highlight w:val="none"/>
        </w:rPr>
      </w:pPr>
      <w:r>
        <w:rPr>
          <w:rFonts w:hint="eastAsia" w:ascii="宋体" w:hAnsi="宋体" w:eastAsia="宋体" w:cs="宋体"/>
          <w:color w:val="auto"/>
          <w:sz w:val="21"/>
          <w:szCs w:val="21"/>
          <w:highlight w:val="none"/>
        </w:rPr>
        <w:t>日期：</w:t>
      </w:r>
      <w:r>
        <w:rPr>
          <w:rFonts w:hint="eastAsia"/>
          <w:b/>
          <w:bCs/>
          <w:kern w:val="44"/>
          <w:sz w:val="21"/>
          <w:szCs w:val="21"/>
          <w:highlight w:val="none"/>
        </w:rPr>
        <w:br w:type="page"/>
      </w:r>
    </w:p>
    <w:p w14:paraId="4B16B884">
      <w:pPr>
        <w:keepNext w:val="0"/>
        <w:keepLines w:val="0"/>
        <w:pageBreakBefore w:val="0"/>
        <w:kinsoku/>
        <w:wordWrap w:val="0"/>
        <w:overflowPunct/>
        <w:bidi w:val="0"/>
        <w:spacing w:line="300" w:lineRule="auto"/>
        <w:jc w:val="center"/>
        <w:outlineLvl w:val="9"/>
        <w:rPr>
          <w:rFonts w:hint="eastAsia"/>
          <w:b/>
          <w:bCs/>
          <w:kern w:val="44"/>
          <w:sz w:val="44"/>
          <w:szCs w:val="44"/>
          <w:highlight w:val="none"/>
        </w:rPr>
        <w:sectPr>
          <w:footerReference r:id="rId16" w:type="first"/>
          <w:footerReference r:id="rId15" w:type="default"/>
          <w:pgSz w:w="11907" w:h="16840"/>
          <w:pgMar w:top="1134" w:right="1418" w:bottom="1134" w:left="1418" w:header="567" w:footer="567" w:gutter="0"/>
          <w:pgNumType w:fmt="decimal"/>
          <w:cols w:space="720" w:num="1"/>
          <w:titlePg/>
          <w:docGrid w:linePitch="312" w:charSpace="0"/>
        </w:sectPr>
      </w:pPr>
    </w:p>
    <w:p w14:paraId="2399D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300" w:afterAutospacing="0" w:line="540" w:lineRule="atLeast"/>
        <w:ind w:left="0" w:right="0" w:firstLine="0"/>
        <w:jc w:val="center"/>
        <w:textAlignment w:val="baseline"/>
        <w:rPr>
          <w:rFonts w:ascii="微软雅黑" w:hAnsi="微软雅黑" w:eastAsia="微软雅黑" w:cs="微软雅黑"/>
          <w:b/>
          <w:bCs/>
          <w:i w:val="0"/>
          <w:iCs w:val="0"/>
          <w:caps w:val="0"/>
          <w:color w:val="auto"/>
          <w:spacing w:val="0"/>
          <w:sz w:val="39"/>
          <w:szCs w:val="39"/>
          <w:highlight w:val="none"/>
        </w:rPr>
      </w:pPr>
      <w:r>
        <w:rPr>
          <w:rFonts w:hint="eastAsia" w:ascii="微软雅黑" w:hAnsi="微软雅黑" w:eastAsia="微软雅黑" w:cs="微软雅黑"/>
          <w:b/>
          <w:bCs/>
          <w:i w:val="0"/>
          <w:iCs w:val="0"/>
          <w:caps w:val="0"/>
          <w:color w:val="auto"/>
          <w:spacing w:val="0"/>
          <w:sz w:val="39"/>
          <w:szCs w:val="39"/>
          <w:highlight w:val="none"/>
          <w:shd w:val="clear" w:fill="FFFFFF"/>
          <w:vertAlign w:val="baseline"/>
        </w:rPr>
        <w:t>国务院办公厅关于在政府采购中实施本国产品标准及相关政策的通知</w:t>
      </w:r>
    </w:p>
    <w:p w14:paraId="587C4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ascii="华文中宋" w:hAnsi="华文中宋" w:eastAsia="华文中宋" w:cs="华文中宋"/>
          <w:b/>
          <w:bCs/>
          <w:i w:val="0"/>
          <w:iCs w:val="0"/>
          <w:caps w:val="0"/>
          <w:color w:val="auto"/>
          <w:spacing w:val="0"/>
          <w:sz w:val="60"/>
          <w:szCs w:val="60"/>
          <w:highlight w:val="none"/>
          <w:u w:val="none"/>
        </w:rPr>
      </w:pPr>
      <w:r>
        <w:rPr>
          <w:rFonts w:hint="default" w:ascii="华文中宋" w:hAnsi="华文中宋" w:eastAsia="华文中宋" w:cs="华文中宋"/>
          <w:b/>
          <w:bCs/>
          <w:i w:val="0"/>
          <w:iCs w:val="0"/>
          <w:caps w:val="0"/>
          <w:color w:val="auto"/>
          <w:spacing w:val="0"/>
          <w:sz w:val="60"/>
          <w:szCs w:val="60"/>
          <w:highlight w:val="none"/>
          <w:u w:val="none"/>
          <w:shd w:val="clear" w:fill="FFFFFF"/>
          <w:vertAlign w:val="baseline"/>
        </w:rPr>
        <w:t>国务院办公厅</w:t>
      </w:r>
    </w:p>
    <w:p w14:paraId="1E08C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textAlignment w:val="baseline"/>
        <w:rPr>
          <w:rFonts w:ascii="仿宋" w:hAnsi="仿宋" w:eastAsia="仿宋" w:cs="仿宋"/>
          <w:b w:val="0"/>
          <w:bCs w:val="0"/>
          <w:i w:val="0"/>
          <w:iCs w:val="0"/>
          <w:caps w:val="0"/>
          <w:color w:val="auto"/>
          <w:spacing w:val="0"/>
          <w:sz w:val="25"/>
          <w:szCs w:val="25"/>
          <w:highlight w:val="none"/>
          <w:u w:val="none"/>
        </w:rPr>
      </w:pPr>
      <w:r>
        <w:rPr>
          <w:rFonts w:hint="eastAsia" w:ascii="仿宋" w:hAnsi="仿宋" w:eastAsia="仿宋" w:cs="仿宋"/>
          <w:b w:val="0"/>
          <w:bCs w:val="0"/>
          <w:i w:val="0"/>
          <w:iCs w:val="0"/>
          <w:caps w:val="0"/>
          <w:color w:val="auto"/>
          <w:spacing w:val="0"/>
          <w:sz w:val="25"/>
          <w:szCs w:val="25"/>
          <w:highlight w:val="none"/>
          <w:u w:val="none"/>
          <w:shd w:val="clear" w:fill="FFFFFF"/>
          <w:vertAlign w:val="baseline"/>
        </w:rPr>
        <w:t>国办发〔2025〕34号</w:t>
      </w:r>
    </w:p>
    <w:p w14:paraId="78A4DD26">
      <w:pPr>
        <w:jc w:val="center"/>
        <w:rPr>
          <w:rFonts w:ascii="华文中宋" w:hAnsi="华文中宋" w:eastAsia="华文中宋" w:cs="华文中宋"/>
          <w:i w:val="0"/>
          <w:iCs w:val="0"/>
          <w:caps w:val="0"/>
          <w:color w:val="auto"/>
          <w:spacing w:val="0"/>
          <w:sz w:val="30"/>
          <w:szCs w:val="30"/>
          <w:highlight w:val="none"/>
          <w:shd w:val="clear" w:fill="FFFFFF"/>
        </w:rPr>
      </w:pPr>
      <w:r>
        <w:rPr>
          <w:rFonts w:ascii="华文中宋" w:hAnsi="华文中宋" w:eastAsia="华文中宋" w:cs="华文中宋"/>
          <w:i w:val="0"/>
          <w:iCs w:val="0"/>
          <w:caps w:val="0"/>
          <w:color w:val="auto"/>
          <w:spacing w:val="0"/>
          <w:sz w:val="30"/>
          <w:szCs w:val="30"/>
          <w:highlight w:val="none"/>
          <w:shd w:val="clear" w:fill="FFFFFF"/>
        </w:rPr>
        <w:t>国务院办公厅关于在政府采购中实施本国产品标准及相关政策的通知</w:t>
      </w:r>
    </w:p>
    <w:p w14:paraId="5376839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left"/>
        <w:textAlignment w:val="baseline"/>
        <w:rPr>
          <w:rFonts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4"/>
          <w:szCs w:val="24"/>
          <w:highlight w:val="none"/>
          <w:shd w:val="clear" w:fill="FFFFFF"/>
          <w:vertAlign w:val="baseline"/>
        </w:rPr>
        <w:t>各省、自治区、直辖市人民政府，国务院各部委、各直属机构：</w:t>
      </w:r>
    </w:p>
    <w:p w14:paraId="63D9448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4304AE7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highlight w:val="none"/>
        </w:rPr>
      </w:pPr>
      <w:r>
        <w:rPr>
          <w:rStyle w:val="23"/>
          <w:rFonts w:hint="eastAsia" w:ascii="仿宋" w:hAnsi="仿宋" w:eastAsia="仿宋" w:cs="仿宋"/>
          <w:i w:val="0"/>
          <w:iCs w:val="0"/>
          <w:caps w:val="0"/>
          <w:color w:val="auto"/>
          <w:spacing w:val="0"/>
          <w:sz w:val="28"/>
          <w:szCs w:val="28"/>
          <w:highlight w:val="none"/>
          <w:shd w:val="clear" w:fill="FFFFFF"/>
          <w:vertAlign w:val="baseline"/>
        </w:rPr>
        <w:t>一、本国产品标准</w:t>
      </w:r>
    </w:p>
    <w:p w14:paraId="5EFEA5B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vertAlign w:val="baseline"/>
        </w:rPr>
        <w:t>本国产品应当符合以下条件：</w:t>
      </w:r>
    </w:p>
    <w:p w14:paraId="7A78CF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highlight w:val="none"/>
        </w:rPr>
      </w:pPr>
      <w:r>
        <w:rPr>
          <w:rFonts w:ascii="楷体" w:hAnsi="楷体" w:eastAsia="楷体" w:cs="楷体"/>
          <w:i w:val="0"/>
          <w:iCs w:val="0"/>
          <w:caps w:val="0"/>
          <w:color w:val="auto"/>
          <w:spacing w:val="0"/>
          <w:sz w:val="28"/>
          <w:szCs w:val="28"/>
          <w:highlight w:val="none"/>
          <w:shd w:val="clear" w:fill="FFFFFF"/>
          <w:vertAlign w:val="baseline"/>
        </w:rPr>
        <w:t>（一）在中国境内生产</w:t>
      </w:r>
    </w:p>
    <w:p w14:paraId="1ADB9D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vertAlign w:val="baseline"/>
        </w:rPr>
        <w:t>产品应当在中国境内生产，即在中华人民共和国关境内实现从原材料、组件到产品的属性改变。</w:t>
      </w:r>
    </w:p>
    <w:p w14:paraId="3E300B4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vertAlign w:val="baseline"/>
        </w:rPr>
        <w:t>属性改变是指经过制造、加工或者组装等工序，产生完全不同于原材料、组件的新产品，并具有新的名称和特征（用途）。属性改变不包括以下细微操作：</w:t>
      </w:r>
    </w:p>
    <w:p w14:paraId="0FFB7DD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1.为确保产品在运输或者储存期间保持某种状态而进行的操作；</w:t>
      </w:r>
    </w:p>
    <w:p w14:paraId="339A19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2.为产品运输或者销售进行的包装或者展示；</w:t>
      </w:r>
    </w:p>
    <w:p w14:paraId="4F270C2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3.在产品或者其包装上粘贴或者印刷品牌、标志、标识以及其他用于区别的标记；</w:t>
      </w:r>
    </w:p>
    <w:p w14:paraId="73823AE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4.简单的上漆、磨光和分装；</w:t>
      </w:r>
    </w:p>
    <w:p w14:paraId="7627291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5.其他不属于属性改变的情形。</w:t>
      </w:r>
    </w:p>
    <w:p w14:paraId="5D4369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楷体" w:hAnsi="楷体" w:eastAsia="楷体" w:cs="楷体"/>
          <w:i w:val="0"/>
          <w:iCs w:val="0"/>
          <w:caps w:val="0"/>
          <w:color w:val="000000"/>
          <w:spacing w:val="0"/>
          <w:sz w:val="28"/>
          <w:szCs w:val="28"/>
          <w:shd w:val="clear" w:fill="FFFFFF"/>
          <w:vertAlign w:val="baseline"/>
        </w:rPr>
        <w:t>（二）在中国境内生产的组件成本占比达到规定比例</w:t>
      </w:r>
    </w:p>
    <w:p w14:paraId="0BBCC19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产品在中国境内生产的组件成本占比应当达到规定比例，计算公式为：</w:t>
      </w:r>
    </w:p>
    <w:p w14:paraId="39BFDF7F">
      <w:pPr>
        <w:jc w:val="center"/>
        <w:rPr>
          <w:rFonts w:ascii="华文中宋" w:hAnsi="华文中宋" w:eastAsia="华文中宋" w:cs="华文中宋"/>
          <w:i w:val="0"/>
          <w:iCs w:val="0"/>
          <w:caps w:val="0"/>
          <w:color w:val="000000"/>
          <w:spacing w:val="0"/>
          <w:sz w:val="30"/>
          <w:szCs w:val="30"/>
          <w:shd w:val="clear" w:fill="FFFFFF"/>
        </w:rPr>
      </w:pPr>
      <w:r>
        <w:rPr>
          <w:rFonts w:ascii="华文中宋" w:hAnsi="华文中宋" w:eastAsia="华文中宋" w:cs="华文中宋"/>
          <w:i w:val="0"/>
          <w:iCs w:val="0"/>
          <w:caps w:val="0"/>
          <w:color w:val="000000"/>
          <w:spacing w:val="0"/>
          <w:sz w:val="30"/>
          <w:szCs w:val="30"/>
          <w:shd w:val="clear" w:fill="FFFFFF"/>
        </w:rPr>
        <w:drawing>
          <wp:inline distT="0" distB="0" distL="114300" distR="114300">
            <wp:extent cx="5248275" cy="1009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48275" cy="1009650"/>
                    </a:xfrm>
                    <a:prstGeom prst="rect">
                      <a:avLst/>
                    </a:prstGeom>
                    <a:noFill/>
                    <a:ln>
                      <a:noFill/>
                    </a:ln>
                  </pic:spPr>
                </pic:pic>
              </a:graphicData>
            </a:graphic>
          </wp:inline>
        </w:drawing>
      </w:r>
    </w:p>
    <w:p w14:paraId="0670D0A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2F6E9B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ascii="楷体" w:hAnsi="楷体" w:eastAsia="楷体" w:cs="楷体"/>
          <w:i w:val="0"/>
          <w:iCs w:val="0"/>
          <w:caps w:val="0"/>
          <w:color w:val="000000"/>
          <w:spacing w:val="0"/>
          <w:sz w:val="28"/>
          <w:szCs w:val="28"/>
          <w:shd w:val="clear" w:fill="FFFFFF"/>
          <w:vertAlign w:val="baseline"/>
        </w:rPr>
        <w:t>（三）特定产品的关键组件、关键工序符合相关要求</w:t>
      </w:r>
    </w:p>
    <w:p w14:paraId="70184E7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4CFA2B8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C470E7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Style w:val="23"/>
          <w:rFonts w:hint="eastAsia" w:ascii="仿宋" w:hAnsi="仿宋" w:eastAsia="仿宋" w:cs="仿宋"/>
          <w:i w:val="0"/>
          <w:iCs w:val="0"/>
          <w:caps w:val="0"/>
          <w:color w:val="000000"/>
          <w:spacing w:val="0"/>
          <w:sz w:val="28"/>
          <w:szCs w:val="28"/>
          <w:shd w:val="clear" w:fill="FFFFFF"/>
          <w:vertAlign w:val="baseline"/>
        </w:rPr>
        <w:t>二、本国产品标准的适用范围</w:t>
      </w:r>
    </w:p>
    <w:p w14:paraId="1C9B7CA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7653E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highlight w:val="none"/>
        </w:rPr>
      </w:pPr>
      <w:r>
        <w:rPr>
          <w:rStyle w:val="23"/>
          <w:rFonts w:hint="eastAsia" w:ascii="仿宋" w:hAnsi="仿宋" w:eastAsia="仿宋" w:cs="仿宋"/>
          <w:i w:val="0"/>
          <w:iCs w:val="0"/>
          <w:caps w:val="0"/>
          <w:color w:val="000000"/>
          <w:spacing w:val="0"/>
          <w:sz w:val="28"/>
          <w:szCs w:val="28"/>
          <w:highlight w:val="none"/>
          <w:shd w:val="clear" w:fill="FFFFFF"/>
          <w:vertAlign w:val="baseline"/>
        </w:rPr>
        <w:t>三、对本国产品的支持政策</w:t>
      </w:r>
    </w:p>
    <w:p w14:paraId="4A06294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righ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61F5326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right="0" w:firstLine="560" w:firstLineChars="20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B6C36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Style w:val="23"/>
          <w:rFonts w:hint="eastAsia" w:ascii="仿宋" w:hAnsi="仿宋" w:eastAsia="仿宋" w:cs="仿宋"/>
          <w:i w:val="0"/>
          <w:iCs w:val="0"/>
          <w:caps w:val="0"/>
          <w:color w:val="000000"/>
          <w:spacing w:val="0"/>
          <w:sz w:val="28"/>
          <w:szCs w:val="28"/>
          <w:shd w:val="clear" w:fill="FFFFFF"/>
          <w:vertAlign w:val="baseline"/>
        </w:rPr>
        <w:t>四、政策执行要求</w:t>
      </w:r>
    </w:p>
    <w:p w14:paraId="1C0DB1C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楷体" w:hAnsi="楷体" w:eastAsia="楷体" w:cs="楷体"/>
          <w:i w:val="0"/>
          <w:iCs w:val="0"/>
          <w:caps w:val="0"/>
          <w:color w:val="000000"/>
          <w:spacing w:val="0"/>
          <w:sz w:val="28"/>
          <w:szCs w:val="28"/>
          <w:shd w:val="clear" w:fill="FFFFFF"/>
          <w:vertAlign w:val="baseline"/>
        </w:rPr>
        <w:t>（一）产品在中国境内生产的组件成本核算规则。</w:t>
      </w:r>
      <w:r>
        <w:rPr>
          <w:rFonts w:hint="eastAsia" w:ascii="仿宋" w:hAnsi="仿宋" w:eastAsia="仿宋" w:cs="仿宋"/>
          <w:i w:val="0"/>
          <w:iCs w:val="0"/>
          <w:caps w:val="0"/>
          <w:color w:val="000000"/>
          <w:spacing w:val="0"/>
          <w:sz w:val="28"/>
          <w:szCs w:val="28"/>
          <w:shd w:val="clear" w:fill="FFFFFF"/>
          <w:vertAlign w:val="baseline"/>
        </w:rPr>
        <w:t>产品在中国境内生产的组件成本，按照《中国境内生产的组件成本核算基本规则》（见附件1）计算。</w:t>
      </w:r>
    </w:p>
    <w:p w14:paraId="7B56EFC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highlight w:val="none"/>
        </w:rPr>
      </w:pPr>
      <w:r>
        <w:rPr>
          <w:rFonts w:hint="eastAsia" w:ascii="楷体" w:hAnsi="楷体" w:eastAsia="楷体" w:cs="楷体"/>
          <w:i w:val="0"/>
          <w:iCs w:val="0"/>
          <w:caps w:val="0"/>
          <w:color w:val="000000"/>
          <w:spacing w:val="0"/>
          <w:sz w:val="28"/>
          <w:szCs w:val="28"/>
          <w:shd w:val="clear" w:fill="FFFFFF"/>
          <w:vertAlign w:val="baseline"/>
        </w:rPr>
        <w:t>（二）有关证明文件。</w:t>
      </w:r>
      <w:r>
        <w:rPr>
          <w:rFonts w:hint="eastAsia" w:ascii="仿宋" w:hAnsi="仿宋" w:eastAsia="仿宋" w:cs="仿宋"/>
          <w:i w:val="0"/>
          <w:iCs w:val="0"/>
          <w:caps w:val="0"/>
          <w:color w:val="000000"/>
          <w:spacing w:val="0"/>
          <w:sz w:val="28"/>
          <w:szCs w:val="28"/>
          <w:shd w:val="clear" w:fill="FFFFFF"/>
          <w:vertAlign w:val="baseline"/>
        </w:rPr>
        <w:t>采购人、采购代理机构应当在采购文件中明确要求供应商对其提供的产品出具《关于符合本国产品标准的声明函》（样式见附件2，以下简称《声明函》）或财政部会同有关部门规定的有关证明文</w:t>
      </w:r>
      <w:r>
        <w:rPr>
          <w:rFonts w:hint="eastAsia" w:ascii="仿宋" w:hAnsi="仿宋" w:eastAsia="仿宋" w:cs="仿宋"/>
          <w:i w:val="0"/>
          <w:iCs w:val="0"/>
          <w:caps w:val="0"/>
          <w:color w:val="000000"/>
          <w:spacing w:val="0"/>
          <w:sz w:val="28"/>
          <w:szCs w:val="28"/>
          <w:highlight w:val="none"/>
          <w:shd w:val="clear" w:fill="FFFFFF"/>
          <w:vertAlign w:val="baseline"/>
        </w:rPr>
        <w:t>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F071A9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shd w:val="clear" w:fill="FFFFFF"/>
          <w:vertAlign w:val="baseline"/>
        </w:rPr>
        <w:t>采购人、采购代理机构应当随中标、成交结果同时公告中标、成交供应商提供的《声明函》或有关证明文件。</w:t>
      </w:r>
    </w:p>
    <w:p w14:paraId="47E737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楷体" w:hAnsi="楷体" w:eastAsia="楷体" w:cs="楷体"/>
          <w:i w:val="0"/>
          <w:iCs w:val="0"/>
          <w:caps w:val="0"/>
          <w:color w:val="000000"/>
          <w:spacing w:val="0"/>
          <w:sz w:val="28"/>
          <w:szCs w:val="28"/>
          <w:shd w:val="clear" w:fill="FFFFFF"/>
          <w:vertAlign w:val="baseline"/>
        </w:rPr>
        <w:t>（三）平等对待各类经营主体。</w:t>
      </w:r>
      <w:r>
        <w:rPr>
          <w:rFonts w:hint="eastAsia" w:ascii="仿宋" w:hAnsi="仿宋" w:eastAsia="仿宋" w:cs="仿宋"/>
          <w:i w:val="0"/>
          <w:iCs w:val="0"/>
          <w:caps w:val="0"/>
          <w:color w:val="000000"/>
          <w:spacing w:val="0"/>
          <w:sz w:val="28"/>
          <w:szCs w:val="28"/>
          <w:shd w:val="clear" w:fill="FFFFFF"/>
          <w:vertAlign w:val="baseline"/>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43EFB8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（四）中华人民共和国缔结或者共同参加的国际条约、协定对政府采购中本国产品政策另有规定的，按照有关条约、协定执行。</w:t>
      </w:r>
    </w:p>
    <w:p w14:paraId="640E69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Style w:val="23"/>
          <w:rFonts w:hint="eastAsia" w:ascii="仿宋" w:hAnsi="仿宋" w:eastAsia="仿宋" w:cs="仿宋"/>
          <w:i w:val="0"/>
          <w:iCs w:val="0"/>
          <w:caps w:val="0"/>
          <w:color w:val="000000"/>
          <w:spacing w:val="0"/>
          <w:sz w:val="28"/>
          <w:szCs w:val="28"/>
          <w:shd w:val="clear" w:fill="FFFFFF"/>
          <w:vertAlign w:val="baseline"/>
        </w:rPr>
        <w:t>五、争议处理</w:t>
      </w:r>
    </w:p>
    <w:p w14:paraId="0FA457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C64363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（一）政府采购投诉处理、监督检查中，对产品或组件是否在中国境内生产存在争议的，按照以下原则处理：</w:t>
      </w:r>
    </w:p>
    <w:p w14:paraId="232752E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ABFCC1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C80E9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CECCE1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7801D6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CB362A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shd w:val="clear" w:fill="FFFFFF"/>
          <w:vertAlign w:val="baseline"/>
        </w:rPr>
        <w:t>本通知自2026年1月1日起施行。</w:t>
      </w:r>
    </w:p>
    <w:p w14:paraId="6C8E2D9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2E36DFF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附件：1.中国境内生产的组件成本核算基本规则</w:t>
      </w:r>
    </w:p>
    <w:p w14:paraId="00140AB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2.关于符合本国产品标准的声明函</w:t>
      </w:r>
    </w:p>
    <w:p w14:paraId="12B07D2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国务院办公厅　        </w:t>
      </w:r>
    </w:p>
    <w:p w14:paraId="74EF66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2025年9月28日         </w:t>
      </w:r>
    </w:p>
    <w:p w14:paraId="354BA5C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（此件公开发布）</w:t>
      </w:r>
    </w:p>
    <w:p w14:paraId="048FD5AF">
      <w:pPr>
        <w:rPr>
          <w:rStyle w:val="23"/>
          <w:rFonts w:hint="eastAsia" w:ascii="仿宋" w:hAnsi="仿宋" w:eastAsia="仿宋" w:cs="仿宋"/>
          <w:i w:val="0"/>
          <w:iCs w:val="0"/>
          <w:caps w:val="0"/>
          <w:color w:val="000000"/>
          <w:spacing w:val="0"/>
          <w:sz w:val="28"/>
          <w:szCs w:val="28"/>
          <w:shd w:val="clear" w:fill="FFFFFF"/>
          <w:vertAlign w:val="baseline"/>
        </w:rPr>
      </w:pPr>
      <w:r>
        <w:rPr>
          <w:rStyle w:val="23"/>
          <w:rFonts w:hint="eastAsia" w:ascii="仿宋" w:hAnsi="仿宋" w:eastAsia="仿宋" w:cs="仿宋"/>
          <w:i w:val="0"/>
          <w:iCs w:val="0"/>
          <w:caps w:val="0"/>
          <w:color w:val="000000"/>
          <w:spacing w:val="0"/>
          <w:sz w:val="28"/>
          <w:szCs w:val="28"/>
          <w:shd w:val="clear" w:fill="FFFFFF"/>
          <w:vertAlign w:val="baseline"/>
        </w:rPr>
        <w:br w:type="page"/>
      </w:r>
    </w:p>
    <w:p w14:paraId="692C7DE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ascii="仿宋" w:hAnsi="仿宋" w:eastAsia="仿宋" w:cs="仿宋"/>
          <w:i w:val="0"/>
          <w:iCs w:val="0"/>
          <w:caps w:val="0"/>
          <w:color w:val="000000"/>
          <w:spacing w:val="0"/>
          <w:sz w:val="28"/>
          <w:szCs w:val="28"/>
        </w:rPr>
      </w:pPr>
      <w:r>
        <w:rPr>
          <w:rStyle w:val="23"/>
          <w:rFonts w:hint="eastAsia" w:ascii="仿宋" w:hAnsi="仿宋" w:eastAsia="仿宋" w:cs="仿宋"/>
          <w:i w:val="0"/>
          <w:iCs w:val="0"/>
          <w:caps w:val="0"/>
          <w:color w:val="000000"/>
          <w:spacing w:val="0"/>
          <w:sz w:val="28"/>
          <w:szCs w:val="28"/>
          <w:shd w:val="clear" w:fill="FFFFFF"/>
          <w:vertAlign w:val="baseline"/>
        </w:rPr>
        <w:t>附件1</w:t>
      </w:r>
    </w:p>
    <w:p w14:paraId="2D0B189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5CEA82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仿宋" w:hAnsi="仿宋" w:eastAsia="仿宋" w:cs="仿宋"/>
          <w:i w:val="0"/>
          <w:iCs w:val="0"/>
          <w:caps w:val="0"/>
          <w:color w:val="000000"/>
          <w:spacing w:val="0"/>
          <w:sz w:val="36"/>
          <w:szCs w:val="36"/>
        </w:rPr>
      </w:pPr>
      <w:r>
        <w:rPr>
          <w:rStyle w:val="23"/>
          <w:rFonts w:hint="eastAsia" w:ascii="仿宋" w:hAnsi="仿宋" w:eastAsia="仿宋" w:cs="仿宋"/>
          <w:i w:val="0"/>
          <w:iCs w:val="0"/>
          <w:caps w:val="0"/>
          <w:color w:val="000000"/>
          <w:spacing w:val="0"/>
          <w:sz w:val="36"/>
          <w:szCs w:val="36"/>
          <w:shd w:val="clear" w:fill="FFFFFF"/>
          <w:vertAlign w:val="baseline"/>
        </w:rPr>
        <w:t>中国境内生产的组件成本核算基本规则</w:t>
      </w:r>
    </w:p>
    <w:p w14:paraId="7C6E2EC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15CBFD2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909764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一、产品的一级组件是指直接组成产品的组件。产品的二级组件是指直接组成产品一级组件的组件。一级组件不可分解的，视同二级组件。</w:t>
      </w:r>
    </w:p>
    <w:p w14:paraId="3724743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二、二级组件在中国境内生产的，其全部成本计入中国境内生产的组件成本；二级组件不在中国境内生产的，其成本不计入中国境内生产的组件成本。</w:t>
      </w:r>
    </w:p>
    <w:p w14:paraId="01FD7E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三、产品总成本和组件成本以相关会计核算数据、采购合同、进货记录等为基础进行计算。</w:t>
      </w:r>
    </w:p>
    <w:p w14:paraId="02648C4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四、需要对成本核算规则予以进一步明确的其他有关事项，由财政部会同有关部门另行规定。</w:t>
      </w:r>
    </w:p>
    <w:p w14:paraId="67F36F2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3F46BB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6B30C75E">
      <w:pPr>
        <w:rPr>
          <w:rStyle w:val="23"/>
          <w:rFonts w:hint="eastAsia" w:ascii="仿宋" w:hAnsi="仿宋" w:eastAsia="仿宋" w:cs="仿宋"/>
          <w:i w:val="0"/>
          <w:iCs w:val="0"/>
          <w:caps w:val="0"/>
          <w:color w:val="000000"/>
          <w:spacing w:val="0"/>
          <w:sz w:val="28"/>
          <w:szCs w:val="28"/>
          <w:shd w:val="clear" w:fill="FFFFFF"/>
          <w:vertAlign w:val="baseline"/>
        </w:rPr>
      </w:pPr>
      <w:r>
        <w:rPr>
          <w:rStyle w:val="23"/>
          <w:rFonts w:hint="eastAsia" w:ascii="仿宋" w:hAnsi="仿宋" w:eastAsia="仿宋" w:cs="仿宋"/>
          <w:i w:val="0"/>
          <w:iCs w:val="0"/>
          <w:caps w:val="0"/>
          <w:color w:val="000000"/>
          <w:spacing w:val="0"/>
          <w:sz w:val="28"/>
          <w:szCs w:val="28"/>
          <w:shd w:val="clear" w:fill="FFFFFF"/>
          <w:vertAlign w:val="baseline"/>
        </w:rPr>
        <w:br w:type="page"/>
      </w:r>
    </w:p>
    <w:p w14:paraId="710925C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Style w:val="23"/>
          <w:rFonts w:hint="eastAsia" w:ascii="仿宋" w:hAnsi="仿宋" w:eastAsia="仿宋" w:cs="仿宋"/>
          <w:i w:val="0"/>
          <w:iCs w:val="0"/>
          <w:caps w:val="0"/>
          <w:color w:val="000000"/>
          <w:spacing w:val="0"/>
          <w:sz w:val="28"/>
          <w:szCs w:val="28"/>
          <w:shd w:val="clear" w:fill="FFFFFF"/>
          <w:vertAlign w:val="baseline"/>
        </w:rPr>
        <w:t>附件2</w:t>
      </w:r>
    </w:p>
    <w:p w14:paraId="5E6258D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47E877A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仿宋" w:hAnsi="仿宋" w:eastAsia="仿宋" w:cs="仿宋"/>
          <w:i w:val="0"/>
          <w:iCs w:val="0"/>
          <w:caps w:val="0"/>
          <w:color w:val="000000"/>
          <w:spacing w:val="0"/>
          <w:sz w:val="36"/>
          <w:szCs w:val="36"/>
        </w:rPr>
      </w:pPr>
      <w:r>
        <w:rPr>
          <w:rStyle w:val="23"/>
          <w:rFonts w:hint="eastAsia" w:ascii="仿宋" w:hAnsi="仿宋" w:eastAsia="仿宋" w:cs="仿宋"/>
          <w:i w:val="0"/>
          <w:iCs w:val="0"/>
          <w:caps w:val="0"/>
          <w:color w:val="000000"/>
          <w:spacing w:val="0"/>
          <w:sz w:val="36"/>
          <w:szCs w:val="36"/>
          <w:shd w:val="clear" w:fill="FFFFFF"/>
          <w:vertAlign w:val="baseline"/>
        </w:rPr>
        <w:t>关于符合本国产品标准的声明函</w:t>
      </w:r>
    </w:p>
    <w:p w14:paraId="6EDFDF8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366B9EC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4F823D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1.</w:t>
      </w:r>
      <w:r>
        <w:rPr>
          <w:rStyle w:val="24"/>
          <w:rFonts w:hint="eastAsia" w:ascii="仿宋" w:hAnsi="仿宋" w:eastAsia="仿宋" w:cs="仿宋"/>
          <w:i w:val="0"/>
          <w:iCs w:val="0"/>
          <w:caps w:val="0"/>
          <w:color w:val="000000"/>
          <w:spacing w:val="0"/>
          <w:sz w:val="28"/>
          <w:szCs w:val="28"/>
          <w:shd w:val="clear" w:fill="FFFFFF"/>
          <w:vertAlign w:val="baseline"/>
        </w:rPr>
        <w:t>（产品名称1）</w:t>
      </w:r>
      <w:r>
        <w:rPr>
          <w:rFonts w:hint="eastAsia" w:ascii="仿宋" w:hAnsi="仿宋" w:eastAsia="仿宋" w:cs="仿宋"/>
          <w:i w:val="0"/>
          <w:iCs w:val="0"/>
          <w:caps w:val="0"/>
          <w:color w:val="000000"/>
          <w:spacing w:val="0"/>
          <w:sz w:val="28"/>
          <w:szCs w:val="28"/>
          <w:shd w:val="clear" w:fill="FFFFFF"/>
          <w:vertAlign w:val="baseline"/>
        </w:rPr>
        <w:t>，生产厂为</w:t>
      </w:r>
      <w:r>
        <w:rPr>
          <w:rStyle w:val="24"/>
          <w:rFonts w:hint="eastAsia" w:ascii="仿宋" w:hAnsi="仿宋" w:eastAsia="仿宋" w:cs="仿宋"/>
          <w:i w:val="0"/>
          <w:iCs w:val="0"/>
          <w:caps w:val="0"/>
          <w:color w:val="000000"/>
          <w:spacing w:val="0"/>
          <w:sz w:val="28"/>
          <w:szCs w:val="28"/>
          <w:shd w:val="clear" w:fill="FFFFFF"/>
          <w:vertAlign w:val="baseline"/>
        </w:rPr>
        <w:t>（厂名）</w:t>
      </w:r>
      <w:r>
        <w:rPr>
          <w:rFonts w:hint="eastAsia" w:ascii="仿宋" w:hAnsi="仿宋" w:eastAsia="仿宋" w:cs="仿宋"/>
          <w:i w:val="0"/>
          <w:iCs w:val="0"/>
          <w:caps w:val="0"/>
          <w:color w:val="000000"/>
          <w:spacing w:val="0"/>
          <w:sz w:val="28"/>
          <w:szCs w:val="28"/>
          <w:shd w:val="clear" w:fill="FFFFFF"/>
          <w:vertAlign w:val="baseline"/>
        </w:rPr>
        <w:t>，厂址为</w:t>
      </w:r>
      <w:r>
        <w:rPr>
          <w:rStyle w:val="24"/>
          <w:rFonts w:hint="eastAsia" w:ascii="仿宋" w:hAnsi="仿宋" w:eastAsia="仿宋" w:cs="仿宋"/>
          <w:i w:val="0"/>
          <w:iCs w:val="0"/>
          <w:caps w:val="0"/>
          <w:color w:val="000000"/>
          <w:spacing w:val="0"/>
          <w:sz w:val="28"/>
          <w:szCs w:val="28"/>
          <w:shd w:val="clear" w:fill="FFFFFF"/>
          <w:vertAlign w:val="baseline"/>
        </w:rPr>
        <w:t>（生产厂址）</w:t>
      </w:r>
      <w:r>
        <w:rPr>
          <w:rFonts w:hint="eastAsia" w:ascii="仿宋" w:hAnsi="仿宋" w:eastAsia="仿宋" w:cs="仿宋"/>
          <w:i w:val="0"/>
          <w:iCs w:val="0"/>
          <w:caps w:val="0"/>
          <w:color w:val="000000"/>
          <w:spacing w:val="0"/>
          <w:sz w:val="28"/>
          <w:szCs w:val="28"/>
          <w:shd w:val="clear" w:fill="FFFFFF"/>
          <w:vertAlign w:val="baseline"/>
        </w:rPr>
        <w:t>。</w:t>
      </w:r>
      <w:r>
        <w:rPr>
          <w:rStyle w:val="24"/>
          <w:rFonts w:hint="eastAsia" w:ascii="仿宋" w:hAnsi="仿宋" w:eastAsia="仿宋" w:cs="仿宋"/>
          <w:i w:val="0"/>
          <w:iCs w:val="0"/>
          <w:caps w:val="0"/>
          <w:color w:val="000000"/>
          <w:spacing w:val="0"/>
          <w:sz w:val="28"/>
          <w:szCs w:val="28"/>
          <w:shd w:val="clear" w:fill="FFFFFF"/>
          <w:vertAlign w:val="baseline"/>
        </w:rPr>
        <w:t>（产品名称1）</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关键组件</w:t>
      </w:r>
      <w:r>
        <w:rPr>
          <w:rFonts w:hint="eastAsia" w:ascii="仿宋" w:hAnsi="仿宋" w:eastAsia="仿宋" w:cs="仿宋"/>
          <w:i w:val="0"/>
          <w:iCs w:val="0"/>
          <w:caps w:val="0"/>
          <w:color w:val="000000"/>
          <w:spacing w:val="0"/>
          <w:sz w:val="28"/>
          <w:szCs w:val="28"/>
          <w:shd w:val="clear" w:fill="FFFFFF"/>
          <w:vertAlign w:val="baseline"/>
        </w:rPr>
        <w:t>在中国境内生产。</w:t>
      </w:r>
      <w:r>
        <w:rPr>
          <w:rStyle w:val="24"/>
          <w:rFonts w:hint="eastAsia" w:ascii="仿宋" w:hAnsi="仿宋" w:eastAsia="仿宋" w:cs="仿宋"/>
          <w:i w:val="0"/>
          <w:iCs w:val="0"/>
          <w:caps w:val="0"/>
          <w:color w:val="000000"/>
          <w:spacing w:val="0"/>
          <w:sz w:val="28"/>
          <w:szCs w:val="28"/>
          <w:shd w:val="clear" w:fill="FFFFFF"/>
          <w:vertAlign w:val="baseline"/>
        </w:rPr>
        <w:t>（产品名称1）</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关键工序</w:t>
      </w:r>
      <w:r>
        <w:rPr>
          <w:rFonts w:hint="eastAsia" w:ascii="仿宋" w:hAnsi="仿宋" w:eastAsia="仿宋" w:cs="仿宋"/>
          <w:i w:val="0"/>
          <w:iCs w:val="0"/>
          <w:caps w:val="0"/>
          <w:color w:val="000000"/>
          <w:spacing w:val="0"/>
          <w:sz w:val="28"/>
          <w:szCs w:val="28"/>
          <w:shd w:val="clear" w:fill="FFFFFF"/>
          <w:vertAlign w:val="baseline"/>
        </w:rPr>
        <w:t>在中国境内完成。</w:t>
      </w:r>
    </w:p>
    <w:p w14:paraId="21D5968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2.</w:t>
      </w:r>
      <w:r>
        <w:rPr>
          <w:rStyle w:val="24"/>
          <w:rFonts w:hint="eastAsia" w:ascii="仿宋" w:hAnsi="仿宋" w:eastAsia="仿宋" w:cs="仿宋"/>
          <w:i w:val="0"/>
          <w:iCs w:val="0"/>
          <w:caps w:val="0"/>
          <w:color w:val="000000"/>
          <w:spacing w:val="0"/>
          <w:sz w:val="28"/>
          <w:szCs w:val="28"/>
          <w:shd w:val="clear" w:fill="FFFFFF"/>
          <w:vertAlign w:val="baseline"/>
        </w:rPr>
        <w:t>（产品名称2）</w:t>
      </w:r>
      <w:r>
        <w:rPr>
          <w:rFonts w:hint="eastAsia" w:ascii="仿宋" w:hAnsi="仿宋" w:eastAsia="仿宋" w:cs="仿宋"/>
          <w:i w:val="0"/>
          <w:iCs w:val="0"/>
          <w:caps w:val="0"/>
          <w:color w:val="000000"/>
          <w:spacing w:val="0"/>
          <w:sz w:val="28"/>
          <w:szCs w:val="28"/>
          <w:shd w:val="clear" w:fill="FFFFFF"/>
          <w:vertAlign w:val="baseline"/>
        </w:rPr>
        <w:t>，生产厂为</w:t>
      </w:r>
      <w:r>
        <w:rPr>
          <w:rStyle w:val="24"/>
          <w:rFonts w:hint="eastAsia" w:ascii="仿宋" w:hAnsi="仿宋" w:eastAsia="仿宋" w:cs="仿宋"/>
          <w:i w:val="0"/>
          <w:iCs w:val="0"/>
          <w:caps w:val="0"/>
          <w:color w:val="000000"/>
          <w:spacing w:val="0"/>
          <w:sz w:val="28"/>
          <w:szCs w:val="28"/>
          <w:shd w:val="clear" w:fill="FFFFFF"/>
          <w:vertAlign w:val="baseline"/>
        </w:rPr>
        <w:t>（厂名）</w:t>
      </w:r>
      <w:r>
        <w:rPr>
          <w:rFonts w:hint="eastAsia" w:ascii="仿宋" w:hAnsi="仿宋" w:eastAsia="仿宋" w:cs="仿宋"/>
          <w:i w:val="0"/>
          <w:iCs w:val="0"/>
          <w:caps w:val="0"/>
          <w:color w:val="000000"/>
          <w:spacing w:val="0"/>
          <w:sz w:val="28"/>
          <w:szCs w:val="28"/>
          <w:shd w:val="clear" w:fill="FFFFFF"/>
          <w:vertAlign w:val="baseline"/>
        </w:rPr>
        <w:t>，厂址为</w:t>
      </w:r>
      <w:r>
        <w:rPr>
          <w:rStyle w:val="24"/>
          <w:rFonts w:hint="eastAsia" w:ascii="仿宋" w:hAnsi="仿宋" w:eastAsia="仿宋" w:cs="仿宋"/>
          <w:i w:val="0"/>
          <w:iCs w:val="0"/>
          <w:caps w:val="0"/>
          <w:color w:val="000000"/>
          <w:spacing w:val="0"/>
          <w:sz w:val="28"/>
          <w:szCs w:val="28"/>
          <w:shd w:val="clear" w:fill="FFFFFF"/>
          <w:vertAlign w:val="baseline"/>
        </w:rPr>
        <w:t>（生产厂址）</w:t>
      </w:r>
      <w:r>
        <w:rPr>
          <w:rStyle w:val="24"/>
          <w:rFonts w:hint="eastAsia" w:ascii="仿宋" w:hAnsi="仿宋" w:eastAsia="仿宋" w:cs="仿宋"/>
          <w:i w:val="0"/>
          <w:iCs w:val="0"/>
          <w:caps w:val="0"/>
          <w:color w:val="000000"/>
          <w:spacing w:val="0"/>
          <w:sz w:val="28"/>
          <w:szCs w:val="28"/>
          <w:shd w:val="clear" w:fill="FFFFFF"/>
          <w:vertAlign w:val="baseline"/>
          <w:lang w:eastAsia="zh-CN"/>
        </w:rPr>
        <w:t>。</w:t>
      </w:r>
      <w:r>
        <w:rPr>
          <w:rStyle w:val="24"/>
          <w:rFonts w:hint="eastAsia" w:ascii="仿宋" w:hAnsi="仿宋" w:eastAsia="仿宋" w:cs="仿宋"/>
          <w:i w:val="0"/>
          <w:iCs w:val="0"/>
          <w:caps w:val="0"/>
          <w:color w:val="000000"/>
          <w:spacing w:val="0"/>
          <w:sz w:val="28"/>
          <w:szCs w:val="28"/>
          <w:shd w:val="clear" w:fill="FFFFFF"/>
          <w:vertAlign w:val="baseline"/>
        </w:rPr>
        <w:t>（产品名称2）</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关键组件</w:t>
      </w:r>
      <w:r>
        <w:rPr>
          <w:rFonts w:hint="eastAsia" w:ascii="仿宋" w:hAnsi="仿宋" w:eastAsia="仿宋" w:cs="仿宋"/>
          <w:i w:val="0"/>
          <w:iCs w:val="0"/>
          <w:caps w:val="0"/>
          <w:color w:val="000000"/>
          <w:spacing w:val="0"/>
          <w:sz w:val="28"/>
          <w:szCs w:val="28"/>
          <w:shd w:val="clear" w:fill="FFFFFF"/>
          <w:vertAlign w:val="baseline"/>
        </w:rPr>
        <w:t>在中国境内生产。</w:t>
      </w:r>
      <w:r>
        <w:rPr>
          <w:rStyle w:val="24"/>
          <w:rFonts w:hint="eastAsia" w:ascii="仿宋" w:hAnsi="仿宋" w:eastAsia="仿宋" w:cs="仿宋"/>
          <w:i w:val="0"/>
          <w:iCs w:val="0"/>
          <w:caps w:val="0"/>
          <w:color w:val="000000"/>
          <w:spacing w:val="0"/>
          <w:sz w:val="28"/>
          <w:szCs w:val="28"/>
          <w:shd w:val="clear" w:fill="FFFFFF"/>
          <w:vertAlign w:val="baseline"/>
        </w:rPr>
        <w:t>（产品名称2）</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关键工序</w:t>
      </w:r>
      <w:r>
        <w:rPr>
          <w:rFonts w:hint="eastAsia" w:ascii="仿宋" w:hAnsi="仿宋" w:eastAsia="仿宋" w:cs="仿宋"/>
          <w:i w:val="0"/>
          <w:iCs w:val="0"/>
          <w:caps w:val="0"/>
          <w:color w:val="000000"/>
          <w:spacing w:val="0"/>
          <w:sz w:val="28"/>
          <w:szCs w:val="28"/>
          <w:shd w:val="clear" w:fill="FFFFFF"/>
          <w:vertAlign w:val="baseline"/>
        </w:rPr>
        <w:t>在中国境内完成。</w:t>
      </w:r>
    </w:p>
    <w:p w14:paraId="42DCD86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w:t>
      </w:r>
    </w:p>
    <w:p w14:paraId="570C7AC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本公司（单位）对上述声明内容的真实性负责。如有虚假，愿承担相应法律责任。</w:t>
      </w:r>
    </w:p>
    <w:p w14:paraId="55BECDC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 </w:t>
      </w:r>
    </w:p>
    <w:p w14:paraId="0CD3DDA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公司（单位）名称（盖章）：　        </w:t>
      </w:r>
    </w:p>
    <w:p w14:paraId="42CB4D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日期：　     年　  月　  日         </w:t>
      </w:r>
    </w:p>
    <w:p w14:paraId="5A75D81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__________________</w:t>
      </w:r>
    </w:p>
    <w:p w14:paraId="5F2DBD1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1.产品如有型号，请在“产品名称”栏一并填写。</w:t>
      </w:r>
    </w:p>
    <w:p w14:paraId="464C57F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2.生产厂名与厂址应与生产厂营业执照载明的相关信息保持一致。</w:t>
      </w:r>
    </w:p>
    <w:p w14:paraId="512FC25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3.该产品的中国境内生产的组件成本占比相关要求实施前，“规定比例”栏可不填，下同。</w:t>
      </w:r>
    </w:p>
    <w:p w14:paraId="2D859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4.该产品的关键组件要求实施前，“关键组件”栏可不填，下同。</w:t>
      </w:r>
    </w:p>
    <w:p w14:paraId="532BDB7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5.该产品的关键工序要求实施前，“关键工序”栏可不填，下同。</w:t>
      </w:r>
    </w:p>
    <w:p w14:paraId="5E85240B">
      <w:pPr>
        <w:keepNext w:val="0"/>
        <w:keepLines w:val="0"/>
        <w:pageBreakBefore w:val="0"/>
        <w:kinsoku/>
        <w:wordWrap w:val="0"/>
        <w:overflowPunct/>
        <w:bidi w:val="0"/>
        <w:spacing w:line="300" w:lineRule="auto"/>
        <w:jc w:val="center"/>
        <w:outlineLvl w:val="9"/>
        <w:rPr>
          <w:rFonts w:hint="eastAsia"/>
          <w:b/>
          <w:bCs/>
          <w:kern w:val="44"/>
          <w:sz w:val="44"/>
          <w:szCs w:val="44"/>
          <w:highlight w:val="none"/>
        </w:rPr>
      </w:pPr>
      <w:r>
        <w:rPr>
          <w:rFonts w:hint="eastAsia"/>
          <w:b/>
          <w:bCs/>
          <w:kern w:val="44"/>
          <w:sz w:val="44"/>
          <w:szCs w:val="44"/>
          <w:highlight w:val="none"/>
        </w:rPr>
        <w:t>第四章 合同条款</w:t>
      </w:r>
      <w:bookmarkEnd w:id="392"/>
      <w:bookmarkEnd w:id="393"/>
      <w:bookmarkEnd w:id="394"/>
      <w:bookmarkEnd w:id="395"/>
      <w:bookmarkEnd w:id="396"/>
      <w:bookmarkEnd w:id="397"/>
      <w:bookmarkEnd w:id="398"/>
      <w:bookmarkEnd w:id="399"/>
      <w:bookmarkEnd w:id="400"/>
      <w:bookmarkEnd w:id="401"/>
      <w:bookmarkEnd w:id="402"/>
      <w:bookmarkStart w:id="403" w:name="_Toc468267477"/>
      <w:bookmarkStart w:id="404" w:name="_Toc144974826"/>
      <w:bookmarkStart w:id="405" w:name="_Toc152042546"/>
      <w:bookmarkStart w:id="406" w:name="_Toc179632785"/>
      <w:bookmarkStart w:id="407" w:name="_Toc152045767"/>
    </w:p>
    <w:bookmarkEnd w:id="403"/>
    <w:p w14:paraId="1895A314">
      <w:pPr>
        <w:pageBreakBefore w:val="0"/>
        <w:widowControl/>
        <w:kinsoku/>
        <w:wordWrap w:val="0"/>
        <w:overflowPunct/>
        <w:bidi w:val="0"/>
        <w:spacing w:before="75" w:after="75" w:line="320" w:lineRule="atLeast"/>
        <w:jc w:val="left"/>
        <w:rPr>
          <w:rFonts w:hint="eastAsia" w:ascii="宋体"/>
          <w:kern w:val="0"/>
          <w:sz w:val="21"/>
          <w:szCs w:val="21"/>
          <w:highlight w:val="none"/>
        </w:rPr>
      </w:pPr>
      <w:r>
        <w:rPr>
          <w:rFonts w:hint="eastAsia"/>
          <w:b/>
          <w:bCs/>
          <w:kern w:val="0"/>
          <w:sz w:val="21"/>
          <w:szCs w:val="21"/>
          <w:highlight w:val="none"/>
        </w:rPr>
        <w:t>1、签订合同应遵守政府采购法、合同法。</w:t>
      </w:r>
    </w:p>
    <w:p w14:paraId="33557545">
      <w:pPr>
        <w:pageBreakBefore w:val="0"/>
        <w:widowControl/>
        <w:kinsoku/>
        <w:wordWrap w:val="0"/>
        <w:overflowPunct/>
        <w:bidi w:val="0"/>
        <w:spacing w:before="75" w:after="75" w:line="320" w:lineRule="atLeast"/>
        <w:jc w:val="left"/>
        <w:rPr>
          <w:rFonts w:hint="eastAsia" w:ascii="宋体"/>
          <w:kern w:val="0"/>
          <w:sz w:val="21"/>
          <w:szCs w:val="21"/>
          <w:highlight w:val="none"/>
        </w:rPr>
      </w:pPr>
      <w:r>
        <w:rPr>
          <w:rFonts w:hint="eastAsia"/>
          <w:b/>
          <w:bCs/>
          <w:kern w:val="0"/>
          <w:sz w:val="21"/>
          <w:szCs w:val="21"/>
          <w:highlight w:val="none"/>
        </w:rPr>
        <w:t>2、签订合同时，采购人与中标人应结合招标文件第五章规定填列相应内容。招标文件已有规定的，双方均不得变更或调整；招标文件未作规定的，双方可通过友好协商进行约定。</w:t>
      </w:r>
    </w:p>
    <w:p w14:paraId="65BFC555">
      <w:pPr>
        <w:pageBreakBefore w:val="0"/>
        <w:widowControl/>
        <w:kinsoku/>
        <w:wordWrap w:val="0"/>
        <w:overflowPunct/>
        <w:bidi w:val="0"/>
        <w:spacing w:before="75" w:after="75" w:line="320" w:lineRule="atLeast"/>
        <w:jc w:val="left"/>
        <w:rPr>
          <w:rFonts w:hint="eastAsia" w:ascii="宋体"/>
          <w:kern w:val="0"/>
          <w:sz w:val="21"/>
          <w:szCs w:val="21"/>
          <w:highlight w:val="none"/>
        </w:rPr>
      </w:pPr>
      <w:r>
        <w:rPr>
          <w:rFonts w:hint="eastAsia"/>
          <w:b/>
          <w:bCs/>
          <w:kern w:val="0"/>
          <w:sz w:val="21"/>
          <w:szCs w:val="21"/>
          <w:highlight w:val="none"/>
        </w:rPr>
        <w:t>3、国家有关部门对若干合同有规范文本的，可使用相应合同文本。</w:t>
      </w:r>
    </w:p>
    <w:p w14:paraId="661FB311">
      <w:pPr>
        <w:pageBreakBefore w:val="0"/>
        <w:widowControl/>
        <w:kinsoku/>
        <w:wordWrap w:val="0"/>
        <w:overflowPunct/>
        <w:bidi w:val="0"/>
        <w:spacing w:before="75" w:after="75" w:line="320" w:lineRule="atLeast"/>
        <w:jc w:val="left"/>
        <w:rPr>
          <w:rFonts w:hint="eastAsia" w:ascii="宋体"/>
          <w:kern w:val="0"/>
          <w:sz w:val="21"/>
          <w:szCs w:val="21"/>
          <w:highlight w:val="none"/>
        </w:rPr>
      </w:pPr>
    </w:p>
    <w:p w14:paraId="3B40ABFB">
      <w:pPr>
        <w:pageBreakBefore w:val="0"/>
        <w:widowControl/>
        <w:kinsoku/>
        <w:wordWrap w:val="0"/>
        <w:overflowPunct/>
        <w:bidi w:val="0"/>
        <w:spacing w:before="75" w:after="75" w:line="320" w:lineRule="atLeast"/>
        <w:jc w:val="center"/>
        <w:rPr>
          <w:rFonts w:hint="eastAsia" w:ascii="Times New Roman" w:hAnsi="Times New Roman" w:eastAsia="宋体" w:cs="Times New Roman"/>
          <w:b/>
          <w:bCs/>
          <w:kern w:val="0"/>
          <w:sz w:val="21"/>
          <w:szCs w:val="21"/>
          <w:highlight w:val="none"/>
        </w:rPr>
      </w:pPr>
      <w:r>
        <w:rPr>
          <w:rFonts w:hint="eastAsia" w:ascii="Times New Roman" w:hAnsi="Times New Roman" w:eastAsia="宋体" w:cs="Times New Roman"/>
          <w:b/>
          <w:bCs/>
          <w:kern w:val="0"/>
          <w:sz w:val="21"/>
          <w:szCs w:val="21"/>
          <w:highlight w:val="none"/>
          <w:lang w:val="en-US"/>
        </w:rPr>
        <w:t>以甲乙双方实际签订为准</w:t>
      </w:r>
    </w:p>
    <w:p w14:paraId="091254B4">
      <w:pPr>
        <w:pageBreakBefore w:val="0"/>
        <w:kinsoku/>
        <w:wordWrap w:val="0"/>
        <w:overflowPunct/>
        <w:bidi w:val="0"/>
        <w:jc w:val="center"/>
        <w:rPr>
          <w:rFonts w:hint="eastAsia" w:ascii="宋体"/>
          <w:sz w:val="21"/>
          <w:szCs w:val="21"/>
          <w:highlight w:val="none"/>
        </w:rPr>
        <w:sectPr>
          <w:pgSz w:w="11907" w:h="16840"/>
          <w:pgMar w:top="1134" w:right="1418" w:bottom="1134" w:left="1418" w:header="567" w:footer="567" w:gutter="0"/>
          <w:pgNumType w:fmt="decimal"/>
          <w:cols w:space="720" w:num="1"/>
          <w:titlePg/>
          <w:docGrid w:linePitch="312" w:charSpace="0"/>
        </w:sectPr>
      </w:pPr>
    </w:p>
    <w:p w14:paraId="5D55376F">
      <w:pPr>
        <w:keepNext/>
        <w:keepLines/>
        <w:pageBreakBefore w:val="0"/>
        <w:kinsoku/>
        <w:wordWrap w:val="0"/>
        <w:overflowPunct/>
        <w:bidi w:val="0"/>
        <w:spacing w:line="300" w:lineRule="auto"/>
        <w:jc w:val="center"/>
        <w:outlineLvl w:val="0"/>
        <w:rPr>
          <w:rFonts w:hint="eastAsia"/>
          <w:b/>
          <w:bCs/>
          <w:kern w:val="44"/>
          <w:sz w:val="44"/>
          <w:szCs w:val="44"/>
          <w:highlight w:val="none"/>
          <w:lang w:val="en-US" w:eastAsia="zh-CN"/>
        </w:rPr>
      </w:pPr>
      <w:bookmarkStart w:id="408" w:name="_Toc77166519"/>
      <w:bookmarkStart w:id="409" w:name="_Toc30597"/>
      <w:bookmarkStart w:id="410" w:name="_Toc15599"/>
      <w:bookmarkStart w:id="456" w:name="_GoBack"/>
      <w:bookmarkEnd w:id="456"/>
      <w:r>
        <w:rPr>
          <w:rFonts w:hint="eastAsia"/>
          <w:b/>
          <w:bCs/>
          <w:kern w:val="44"/>
          <w:sz w:val="44"/>
          <w:szCs w:val="44"/>
          <w:highlight w:val="none"/>
        </w:rPr>
        <w:t xml:space="preserve">第五章  </w:t>
      </w:r>
      <w:bookmarkEnd w:id="408"/>
      <w:bookmarkEnd w:id="409"/>
      <w:bookmarkEnd w:id="410"/>
      <w:r>
        <w:rPr>
          <w:rFonts w:hint="eastAsia"/>
          <w:b/>
          <w:bCs/>
          <w:kern w:val="44"/>
          <w:sz w:val="44"/>
          <w:szCs w:val="44"/>
          <w:highlight w:val="none"/>
          <w:lang w:val="en-US" w:eastAsia="zh-CN"/>
        </w:rPr>
        <w:t>采购需求</w:t>
      </w:r>
    </w:p>
    <w:p w14:paraId="0E99F950">
      <w:pPr>
        <w:pStyle w:val="27"/>
        <w:widowControl w:val="0"/>
        <w:numPr>
          <w:ilvl w:val="0"/>
          <w:numId w:val="0"/>
        </w:numPr>
        <w:spacing w:line="360" w:lineRule="auto"/>
        <w:jc w:val="both"/>
        <w:rPr>
          <w:rFonts w:hint="default"/>
          <w:b/>
          <w:bCs/>
          <w:kern w:val="44"/>
          <w:sz w:val="28"/>
          <w:szCs w:val="28"/>
          <w:highlight w:val="none"/>
          <w:lang w:val="en-US" w:eastAsia="zh-CN"/>
        </w:rPr>
      </w:pPr>
      <w:r>
        <w:rPr>
          <w:rFonts w:hint="eastAsia"/>
          <w:b/>
          <w:bCs/>
          <w:kern w:val="44"/>
          <w:sz w:val="28"/>
          <w:szCs w:val="28"/>
          <w:highlight w:val="none"/>
          <w:lang w:val="en-US" w:eastAsia="zh-CN"/>
        </w:rPr>
        <w:t>商务条款要求：</w:t>
      </w:r>
    </w:p>
    <w:p w14:paraId="70C2083E">
      <w:pPr>
        <w:spacing w:line="360" w:lineRule="auto"/>
        <w:rPr>
          <w:rFonts w:hint="eastAsia"/>
          <w:sz w:val="32"/>
          <w:szCs w:val="40"/>
          <w:lang w:val="en-US" w:eastAsia="zh-CN"/>
        </w:rPr>
      </w:pPr>
      <w:r>
        <w:rPr>
          <w:rFonts w:hint="eastAsia"/>
          <w:sz w:val="32"/>
          <w:szCs w:val="40"/>
          <w:lang w:val="en-US" w:eastAsia="zh-CN"/>
        </w:rPr>
        <w:t>1.交货期：中标签订合同后30日内完成供货、安装、调试。</w:t>
      </w:r>
    </w:p>
    <w:p w14:paraId="774DE040">
      <w:pPr>
        <w:spacing w:line="360" w:lineRule="auto"/>
        <w:rPr>
          <w:rFonts w:hint="eastAsia"/>
          <w:sz w:val="32"/>
          <w:szCs w:val="40"/>
          <w:lang w:val="en-US" w:eastAsia="zh-CN"/>
        </w:rPr>
      </w:pPr>
      <w:r>
        <w:rPr>
          <w:rFonts w:hint="eastAsia"/>
          <w:sz w:val="32"/>
          <w:szCs w:val="40"/>
          <w:lang w:val="en-US" w:eastAsia="zh-CN"/>
        </w:rPr>
        <w:t>2.交货地点：长春新区指定学校，送货上门服务。</w:t>
      </w:r>
    </w:p>
    <w:p w14:paraId="1E8CB724">
      <w:pPr>
        <w:spacing w:line="360" w:lineRule="auto"/>
        <w:rPr>
          <w:rFonts w:hint="eastAsia"/>
          <w:sz w:val="32"/>
          <w:szCs w:val="40"/>
          <w:lang w:val="en-US" w:eastAsia="zh-CN"/>
        </w:rPr>
      </w:pPr>
      <w:r>
        <w:rPr>
          <w:rFonts w:hint="eastAsia"/>
          <w:sz w:val="32"/>
          <w:szCs w:val="40"/>
          <w:lang w:val="en-US" w:eastAsia="zh-CN"/>
        </w:rPr>
        <w:t>3.质保期：设备自验收之日起3年内为维保期其中第1年为质保期（如设备法定质保期或设备使用说明质保期长于1年，以法定质保期或说明书中质保期为准）。质保维保期所有软硬件服务均免费。</w:t>
      </w:r>
    </w:p>
    <w:p w14:paraId="61668F79">
      <w:pPr>
        <w:spacing w:line="360" w:lineRule="auto"/>
        <w:rPr>
          <w:rFonts w:hint="eastAsia"/>
          <w:sz w:val="32"/>
          <w:szCs w:val="40"/>
          <w:lang w:val="en-US" w:eastAsia="zh-CN"/>
        </w:rPr>
      </w:pPr>
      <w:r>
        <w:rPr>
          <w:rFonts w:hint="eastAsia"/>
          <w:sz w:val="32"/>
          <w:szCs w:val="40"/>
          <w:lang w:val="en-US" w:eastAsia="zh-CN"/>
        </w:rPr>
        <w:t>4.与中标方的付款方式：设备安装、调试完毕经实际使用单位验收合格后向乙方支付合同总价款70%，剩余合同30%金额从验收之日起3年内完成付款。</w:t>
      </w:r>
    </w:p>
    <w:p w14:paraId="07AA215D">
      <w:pPr>
        <w:pStyle w:val="27"/>
        <w:widowControl w:val="0"/>
        <w:numPr>
          <w:ilvl w:val="0"/>
          <w:numId w:val="0"/>
        </w:numPr>
        <w:spacing w:line="360" w:lineRule="auto"/>
        <w:jc w:val="both"/>
        <w:rPr>
          <w:rFonts w:hint="eastAsia"/>
          <w:b/>
          <w:bCs/>
          <w:kern w:val="44"/>
          <w:sz w:val="44"/>
          <w:szCs w:val="44"/>
          <w:highlight w:val="none"/>
          <w:lang w:val="en-US" w:eastAsia="zh-CN"/>
        </w:rPr>
        <w:sectPr>
          <w:headerReference r:id="rId17" w:type="default"/>
          <w:pgSz w:w="11907" w:h="16840"/>
          <w:pgMar w:top="1134" w:right="1418" w:bottom="1134" w:left="1418" w:header="567" w:footer="567" w:gutter="0"/>
          <w:pgNumType w:fmt="decimal"/>
          <w:cols w:space="720" w:num="1"/>
          <w:titlePg/>
          <w:docGrid w:linePitch="312" w:charSpace="0"/>
        </w:sectPr>
      </w:pPr>
    </w:p>
    <w:p w14:paraId="52FE2DFD">
      <w:pPr>
        <w:pStyle w:val="27"/>
        <w:widowControl w:val="0"/>
        <w:numPr>
          <w:ilvl w:val="0"/>
          <w:numId w:val="0"/>
        </w:numPr>
        <w:spacing w:line="360" w:lineRule="auto"/>
        <w:jc w:val="both"/>
        <w:rPr>
          <w:rFonts w:hint="default" w:ascii="Times New Roman" w:hAnsi="Times New Roman" w:cs="Times New Roman"/>
          <w:b/>
          <w:bCs/>
          <w:kern w:val="44"/>
          <w:sz w:val="28"/>
          <w:szCs w:val="28"/>
          <w:highlight w:val="none"/>
          <w:lang w:val="en-US" w:eastAsia="zh-CN"/>
        </w:rPr>
      </w:pPr>
      <w:r>
        <w:rPr>
          <w:rFonts w:hint="eastAsia" w:ascii="Times New Roman" w:hAnsi="Times New Roman" w:cs="Times New Roman"/>
          <w:b/>
          <w:bCs/>
          <w:kern w:val="44"/>
          <w:sz w:val="28"/>
          <w:szCs w:val="28"/>
          <w:highlight w:val="none"/>
          <w:lang w:val="en-US" w:eastAsia="zh-CN"/>
        </w:rPr>
        <w:t>技术参数要求：</w:t>
      </w:r>
    </w:p>
    <w:p w14:paraId="16F4E571"/>
    <w:tbl>
      <w:tblPr>
        <w:tblStyle w:val="21"/>
        <w:tblW w:w="14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21"/>
        <w:gridCol w:w="9994"/>
        <w:gridCol w:w="916"/>
        <w:gridCol w:w="826"/>
      </w:tblGrid>
      <w:tr w14:paraId="7C20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779" w:type="dxa"/>
            <w:vAlign w:val="center"/>
          </w:tcPr>
          <w:p w14:paraId="1DF3973D">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921" w:type="dxa"/>
            <w:shd w:val="clear" w:color="auto" w:fill="auto"/>
            <w:vAlign w:val="center"/>
          </w:tcPr>
          <w:p w14:paraId="273CD8B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9994" w:type="dxa"/>
            <w:shd w:val="clear" w:color="auto" w:fill="auto"/>
            <w:vAlign w:val="center"/>
          </w:tcPr>
          <w:p w14:paraId="645388EC">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参数</w:t>
            </w:r>
          </w:p>
        </w:tc>
        <w:tc>
          <w:tcPr>
            <w:tcW w:w="916" w:type="dxa"/>
            <w:shd w:val="clear" w:color="auto" w:fill="auto"/>
            <w:vAlign w:val="center"/>
          </w:tcPr>
          <w:p w14:paraId="73B8C3C3">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826" w:type="dxa"/>
            <w:shd w:val="clear" w:color="auto" w:fill="auto"/>
            <w:vAlign w:val="center"/>
          </w:tcPr>
          <w:p w14:paraId="123AFD9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67D0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779" w:type="dxa"/>
            <w:vAlign w:val="center"/>
          </w:tcPr>
          <w:p w14:paraId="789A6346">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w:t>
            </w:r>
          </w:p>
        </w:tc>
        <w:tc>
          <w:tcPr>
            <w:tcW w:w="1921" w:type="dxa"/>
            <w:vAlign w:val="center"/>
          </w:tcPr>
          <w:p w14:paraId="55DF7BD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学生电脑</w:t>
            </w:r>
          </w:p>
        </w:tc>
        <w:tc>
          <w:tcPr>
            <w:tcW w:w="9994" w:type="dxa"/>
          </w:tcPr>
          <w:p w14:paraId="799E302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1.处理器：≥Intel 13代 i5</w:t>
            </w:r>
          </w:p>
          <w:p w14:paraId="4A9A7BB2">
            <w:pPr>
              <w:widowControl/>
              <w:spacing w:line="24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2.主板：</w:t>
            </w:r>
            <w:r>
              <w:rPr>
                <w:rFonts w:hint="eastAsia" w:ascii="宋体" w:hAnsi="宋体" w:eastAsia="宋体" w:cs="宋体"/>
                <w:color w:val="000000"/>
                <w:kern w:val="0"/>
                <w:sz w:val="21"/>
                <w:szCs w:val="21"/>
                <w:lang w:val="en-US" w:eastAsia="zh-CN" w:bidi="ar"/>
              </w:rPr>
              <w:t>主板芯片组性能匹配处理器，整机运行稳定可靠</w:t>
            </w:r>
          </w:p>
          <w:p w14:paraId="7B139044">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3.内存：≥16G DDR4，方便扩展</w:t>
            </w:r>
          </w:p>
          <w:p w14:paraId="3892885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4.硬盘：≥512 SSD固态</w:t>
            </w:r>
          </w:p>
          <w:p w14:paraId="6884A94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5.声卡：集成标准声卡</w:t>
            </w:r>
          </w:p>
          <w:p w14:paraId="445FBDF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6.显卡：≥高清集成显卡</w:t>
            </w:r>
          </w:p>
          <w:p w14:paraId="2806D7F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7.网卡：集成千兆以太网卡</w:t>
            </w:r>
          </w:p>
          <w:p w14:paraId="2998CE0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8.接口与端口：</w:t>
            </w:r>
            <w:r>
              <w:rPr>
                <w:rFonts w:hint="eastAsia" w:ascii="宋体" w:hAnsi="宋体" w:eastAsia="宋体" w:cs="宋体"/>
                <w:color w:val="000000"/>
                <w:sz w:val="21"/>
                <w:szCs w:val="21"/>
              </w:rPr>
              <w:t>面板：USB≥</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个（</w:t>
            </w:r>
            <w:r>
              <w:rPr>
                <w:rFonts w:hint="eastAsia" w:ascii="宋体" w:hAnsi="宋体" w:eastAsia="宋体" w:cs="宋体"/>
                <w:color w:val="000000"/>
                <w:sz w:val="21"/>
                <w:szCs w:val="21"/>
                <w:lang w:val="en-US" w:eastAsia="zh-CN"/>
              </w:rPr>
              <w:t>其中前面板USB≥3个</w:t>
            </w:r>
            <w:r>
              <w:rPr>
                <w:rFonts w:hint="eastAsia" w:ascii="宋体" w:hAnsi="宋体" w:eastAsia="宋体" w:cs="宋体"/>
                <w:color w:val="000000"/>
                <w:sz w:val="21"/>
                <w:szCs w:val="21"/>
              </w:rPr>
              <w:t>）；TypeC≥1</w:t>
            </w:r>
            <w:r>
              <w:rPr>
                <w:rFonts w:hint="eastAsia" w:ascii="宋体" w:hAnsi="宋体" w:eastAsia="宋体" w:cs="宋体"/>
                <w:color w:val="000000"/>
                <w:sz w:val="21"/>
                <w:szCs w:val="21"/>
                <w:lang w:val="en-US" w:eastAsia="zh-CN"/>
              </w:rPr>
              <w:t>个</w:t>
            </w:r>
            <w:r>
              <w:rPr>
                <w:rFonts w:hint="eastAsia" w:ascii="宋体" w:hAnsi="宋体" w:eastAsia="宋体" w:cs="宋体"/>
                <w:color w:val="000000"/>
                <w:sz w:val="21"/>
                <w:szCs w:val="21"/>
              </w:rPr>
              <w:t>；音频输入≥1个，音频输出≥1个；HDMI输出≥1；VGA输出≥1；RJ45≥1</w:t>
            </w:r>
          </w:p>
          <w:p w14:paraId="3D38F40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.可通过物理按键实现系统一键还原</w:t>
            </w:r>
          </w:p>
          <w:p w14:paraId="4CF5B82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.键鼠：有线USB键盘鼠标</w:t>
            </w:r>
          </w:p>
          <w:p w14:paraId="09A5CE2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.机箱：≤8L</w:t>
            </w:r>
          </w:p>
          <w:p w14:paraId="38E2E49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.电源：原厂标配电源</w:t>
            </w:r>
          </w:p>
          <w:p w14:paraId="7369668C">
            <w:pPr>
              <w:spacing w:line="240" w:lineRule="auto"/>
              <w:rPr>
                <w:rFonts w:hint="eastAsia" w:ascii="宋体" w:hAnsi="宋体" w:eastAsia="宋体" w:cs="宋体"/>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.显示器：不小于23.8"宽屏16:9 LED背光液晶显示器，VGA，HDMI接口 ，分辨率：1920*1080</w:t>
            </w:r>
          </w:p>
        </w:tc>
        <w:tc>
          <w:tcPr>
            <w:tcW w:w="916" w:type="dxa"/>
            <w:vAlign w:val="center"/>
          </w:tcPr>
          <w:p w14:paraId="2D90114E">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826" w:type="dxa"/>
            <w:vAlign w:val="center"/>
          </w:tcPr>
          <w:p w14:paraId="0AF4AE56">
            <w:pPr>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套</w:t>
            </w:r>
          </w:p>
        </w:tc>
      </w:tr>
      <w:tr w14:paraId="4B9F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vAlign w:val="center"/>
          </w:tcPr>
          <w:p w14:paraId="5252C91B">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w:t>
            </w:r>
          </w:p>
        </w:tc>
        <w:tc>
          <w:tcPr>
            <w:tcW w:w="1921" w:type="dxa"/>
            <w:vAlign w:val="center"/>
          </w:tcPr>
          <w:p w14:paraId="4CF9FF8D">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教师电脑</w:t>
            </w:r>
          </w:p>
        </w:tc>
        <w:tc>
          <w:tcPr>
            <w:tcW w:w="9994" w:type="dxa"/>
          </w:tcPr>
          <w:p w14:paraId="2DCDAFE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1.处理器：≥Intel 13代 i5，主频≥2.4GHz，≥10核16线程，三级缓存≥24MB</w:t>
            </w:r>
          </w:p>
          <w:p w14:paraId="29F48E5F">
            <w:pPr>
              <w:widowControl/>
              <w:spacing w:line="24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2.主板：</w:t>
            </w:r>
            <w:r>
              <w:rPr>
                <w:rFonts w:hint="eastAsia" w:ascii="宋体" w:hAnsi="宋体" w:eastAsia="宋体" w:cs="宋体"/>
                <w:color w:val="000000"/>
                <w:kern w:val="0"/>
                <w:sz w:val="21"/>
                <w:szCs w:val="21"/>
                <w:lang w:val="en-US" w:eastAsia="zh-CN" w:bidi="ar"/>
              </w:rPr>
              <w:t>主板芯片组性能匹配处理器，整机运行稳定可靠</w:t>
            </w:r>
          </w:p>
          <w:p w14:paraId="5D5DE96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3.内存：≥16G DDR4，方便扩展</w:t>
            </w:r>
          </w:p>
          <w:p w14:paraId="76D0622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4.硬盘：≥512 SSD硬盘，≥1T机械硬盘</w:t>
            </w:r>
          </w:p>
          <w:p w14:paraId="3353039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5.声卡：集成标准声卡</w:t>
            </w:r>
          </w:p>
          <w:p w14:paraId="12BD3DA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6.显卡：≥高清集成显卡</w:t>
            </w:r>
          </w:p>
          <w:p w14:paraId="00F1FC7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7.网卡：集成千兆以太网卡</w:t>
            </w:r>
          </w:p>
          <w:p w14:paraId="5E6E424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8.支持拓展9.5mm标准光驱（DVD刻录光驱）</w:t>
            </w:r>
          </w:p>
          <w:p w14:paraId="44D4ECB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9.接口与端口：</w:t>
            </w:r>
            <w:r>
              <w:rPr>
                <w:rFonts w:hint="eastAsia" w:ascii="宋体" w:hAnsi="宋体" w:eastAsia="宋体" w:cs="宋体"/>
                <w:color w:val="000000"/>
                <w:sz w:val="21"/>
                <w:szCs w:val="21"/>
              </w:rPr>
              <w:t>面板：USB≥</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个（</w:t>
            </w:r>
            <w:r>
              <w:rPr>
                <w:rFonts w:hint="eastAsia" w:ascii="宋体" w:hAnsi="宋体" w:eastAsia="宋体" w:cs="宋体"/>
                <w:color w:val="000000"/>
                <w:sz w:val="21"/>
                <w:szCs w:val="21"/>
                <w:lang w:val="en-US" w:eastAsia="zh-CN"/>
              </w:rPr>
              <w:t>其中前面板USB≥3个</w:t>
            </w:r>
            <w:r>
              <w:rPr>
                <w:rFonts w:hint="eastAsia" w:ascii="宋体" w:hAnsi="宋体" w:eastAsia="宋体" w:cs="宋体"/>
                <w:color w:val="000000"/>
                <w:sz w:val="21"/>
                <w:szCs w:val="21"/>
              </w:rPr>
              <w:t>）；TypeC≥1</w:t>
            </w:r>
            <w:r>
              <w:rPr>
                <w:rFonts w:hint="eastAsia" w:ascii="宋体" w:hAnsi="宋体" w:eastAsia="宋体" w:cs="宋体"/>
                <w:color w:val="000000"/>
                <w:sz w:val="21"/>
                <w:szCs w:val="21"/>
                <w:lang w:val="en-US" w:eastAsia="zh-CN"/>
              </w:rPr>
              <w:t>个</w:t>
            </w:r>
            <w:r>
              <w:rPr>
                <w:rFonts w:hint="eastAsia" w:ascii="宋体" w:hAnsi="宋体" w:eastAsia="宋体" w:cs="宋体"/>
                <w:color w:val="000000"/>
                <w:sz w:val="21"/>
                <w:szCs w:val="21"/>
              </w:rPr>
              <w:t>；音频输入≥1个，音频输出≥1个；HDMI输出≥1；VGA输出≥1；RJ45≥1</w:t>
            </w:r>
          </w:p>
          <w:p w14:paraId="585D1DF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.可通过物理按键实现系统一键还原</w:t>
            </w:r>
          </w:p>
          <w:p w14:paraId="0753FE9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.键鼠：有线USB键盘鼠标</w:t>
            </w:r>
          </w:p>
          <w:p w14:paraId="3C5B1A4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.机箱：≤8L</w:t>
            </w:r>
          </w:p>
          <w:p w14:paraId="0E0D23A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.电源：原厂标配电源</w:t>
            </w:r>
          </w:p>
          <w:p w14:paraId="291DF7DE">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.显示器：不小于23.8"宽屏16:9 LED背光液晶显示器，VGA，HDMI接口 ，分辨率：1920*1080</w:t>
            </w:r>
          </w:p>
        </w:tc>
        <w:tc>
          <w:tcPr>
            <w:tcW w:w="916" w:type="dxa"/>
            <w:vAlign w:val="center"/>
          </w:tcPr>
          <w:p w14:paraId="7DBAC195">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826" w:type="dxa"/>
            <w:vAlign w:val="center"/>
          </w:tcPr>
          <w:p w14:paraId="00A16B57">
            <w:pPr>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套</w:t>
            </w:r>
          </w:p>
        </w:tc>
      </w:tr>
      <w:tr w14:paraId="7CF7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shd w:val="clear" w:color="auto" w:fill="auto"/>
            <w:vAlign w:val="center"/>
          </w:tcPr>
          <w:p w14:paraId="46AF123B">
            <w:pPr>
              <w:numPr>
                <w:ilvl w:val="0"/>
                <w:numId w:val="0"/>
              </w:numPr>
              <w:spacing w:line="240" w:lineRule="auto"/>
              <w:ind w:left="425" w:leftChars="0" w:hanging="425" w:firstLineChars="0"/>
              <w:jc w:val="center"/>
              <w:rPr>
                <w:rFonts w:hint="eastAsia" w:ascii="宋体" w:hAnsi="宋体" w:eastAsia="宋体" w:cs="宋体"/>
                <w:sz w:val="21"/>
                <w:szCs w:val="21"/>
                <w:highlight w:val="yellow"/>
              </w:rPr>
            </w:pPr>
            <w:r>
              <w:rPr>
                <w:rFonts w:hint="default" w:ascii="宋体" w:hAnsi="宋体" w:eastAsia="宋体" w:cs="宋体"/>
                <w:kern w:val="2"/>
                <w:sz w:val="21"/>
                <w:szCs w:val="21"/>
                <w:lang w:val="en-US" w:eastAsia="zh-CN" w:bidi="ar-SA"/>
              </w:rPr>
              <w:t>3</w:t>
            </w:r>
          </w:p>
        </w:tc>
        <w:tc>
          <w:tcPr>
            <w:tcW w:w="1921" w:type="dxa"/>
            <w:shd w:val="clear" w:color="auto" w:fill="auto"/>
            <w:vAlign w:val="center"/>
          </w:tcPr>
          <w:p w14:paraId="455B3F65">
            <w:pPr>
              <w:spacing w:line="240" w:lineRule="auto"/>
              <w:jc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耳麦</w:t>
            </w:r>
          </w:p>
        </w:tc>
        <w:tc>
          <w:tcPr>
            <w:tcW w:w="9994" w:type="dxa"/>
            <w:shd w:val="clear" w:color="auto" w:fill="auto"/>
          </w:tcPr>
          <w:p w14:paraId="589BD6FD">
            <w:pPr>
              <w:spacing w:line="240" w:lineRule="auto"/>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头戴式耳麦，通话功能，插头接口3.5mm</w:t>
            </w:r>
          </w:p>
        </w:tc>
        <w:tc>
          <w:tcPr>
            <w:tcW w:w="916" w:type="dxa"/>
            <w:shd w:val="clear" w:color="auto" w:fill="auto"/>
            <w:vAlign w:val="center"/>
          </w:tcPr>
          <w:p w14:paraId="6D9384D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204</w:t>
            </w:r>
          </w:p>
        </w:tc>
        <w:tc>
          <w:tcPr>
            <w:tcW w:w="826" w:type="dxa"/>
            <w:shd w:val="clear" w:color="auto" w:fill="auto"/>
            <w:vAlign w:val="center"/>
          </w:tcPr>
          <w:p w14:paraId="4F5B4F1E">
            <w:pPr>
              <w:spacing w:line="240"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个</w:t>
            </w:r>
          </w:p>
        </w:tc>
      </w:tr>
      <w:tr w14:paraId="5EAE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79" w:type="dxa"/>
            <w:vAlign w:val="center"/>
          </w:tcPr>
          <w:p w14:paraId="2FE87C89">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4</w:t>
            </w:r>
          </w:p>
        </w:tc>
        <w:tc>
          <w:tcPr>
            <w:tcW w:w="1921" w:type="dxa"/>
            <w:vAlign w:val="center"/>
          </w:tcPr>
          <w:p w14:paraId="04FE649F">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电子教室管理软件</w:t>
            </w:r>
          </w:p>
        </w:tc>
        <w:tc>
          <w:tcPr>
            <w:tcW w:w="9994" w:type="dxa"/>
          </w:tcPr>
          <w:p w14:paraId="2E66DAD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（一）电脑助手</w:t>
            </w:r>
          </w:p>
          <w:p w14:paraId="2A9DA88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1.至少支持账号/密码和手机微信扫码两种登录方式。</w:t>
            </w:r>
          </w:p>
          <w:p w14:paraId="18409AC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.支持查看当前设备的硬件信息（包括 CPU、主板、显卡、硬盘、显示器、网卡、声卡）和系统信息（包括操作系统、系统激活状态、连接 ID、SN 、MAC 地址、内外网 IP）。</w:t>
            </w:r>
          </w:p>
          <w:p w14:paraId="017EA1A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.支持查看当前设备的内存、CPU、硬盘、系统盘、网速的实时占用状态等信息。</w:t>
            </w:r>
          </w:p>
          <w:p w14:paraId="720C69F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.支持把发送端设备的屏幕同步到班班通设备，传屏成功后支持在班班通设备反向触控发送端设备。</w:t>
            </w:r>
          </w:p>
          <w:p w14:paraId="6149406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.支持一次发送多个文件；支持发送图片、视频、文档等类型的文件。</w:t>
            </w:r>
          </w:p>
          <w:p w14:paraId="5239A75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.支持从不同的文件夹拖动或选择文件至发送区；支持查看待发送的文件列表，文件选择错误时支持移除。</w:t>
            </w:r>
          </w:p>
          <w:p w14:paraId="08D54CE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.支持拖动文件至助手栏的快传进行文件发送；</w:t>
            </w:r>
          </w:p>
          <w:p w14:paraId="79F34E3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.支持一次发送文件给多个接收端设备，接收端设备离线时文件支 持暂存云端，等接收端设备在线后进行自动下载。</w:t>
            </w:r>
          </w:p>
          <w:p w14:paraId="060DA00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.支持用户主动添加网址，添加的网站会呈现在助手栏中，点击即可在终端应用软件打开。</w:t>
            </w:r>
          </w:p>
          <w:p w14:paraId="53C1F28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.支持在接收端设备上创建自己独立的文件接收夹，可个性化定义文件的名称与图标颜色；接收到新文件时，有提示新文件。</w:t>
            </w:r>
          </w:p>
          <w:p w14:paraId="528317A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.支持接收端设备展示当前已接收的文件列表，包括文件名称、接收时间、接收状态等信息；对已下载的文件可直接打开，未下载或下载失败的文件可手动下载；支持查看单个文件下载进度与总进度。</w:t>
            </w:r>
          </w:p>
          <w:p w14:paraId="0A2EB13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.支持接收端设备在线状态下自动接收终端应用软件发送的文件。</w:t>
            </w:r>
          </w:p>
          <w:p w14:paraId="3C506AA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.支持自动清理超过 14 天的文件。</w:t>
            </w:r>
          </w:p>
          <w:p w14:paraId="7417ADC7">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.支持用户选择文件存储的路径在任意盘符，修改盘符的过程中支持用户对原盘符的文件进行迁移还是删除。</w:t>
            </w:r>
          </w:p>
          <w:p w14:paraId="4B729ED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14:paraId="07442ED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.用户可在资料夹中把多个文件发送至接收端软件中，发送的文件不限格式，接收端软件自动下载该文件。</w:t>
            </w:r>
          </w:p>
          <w:p w14:paraId="7D878120">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（二）电子教室管理软件</w:t>
            </w:r>
          </w:p>
          <w:p w14:paraId="5271A35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1.至少支持账号/密码和手机微信扫码两种登录方式。</w:t>
            </w:r>
          </w:p>
          <w:p w14:paraId="6C94C847">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2.可实现实时监控学生机画面、以及进行统一的教学管理，文件共享和回收。</w:t>
            </w:r>
          </w:p>
          <w:p w14:paraId="22D42D0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3.学校超级管理员可以添加教师和管理员的角色，添加之后管理员能够绑定设备和进行正常的授课工作，教师只能在终端应用软件进行授课操作。</w:t>
            </w:r>
          </w:p>
          <w:p w14:paraId="40D11CD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4.支持老师自定义上传、存储文件内容。格式有：ppt、pptx、word、pdf;bmp、png、jpg、jpeg、gif;mp3、wav、ogg、aac、mp4。</w:t>
            </w:r>
          </w:p>
          <w:p w14:paraId="314D65F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5.不需要借助任何外接设备，支持将教师机的画面以及声音广播给全班学生。</w:t>
            </w:r>
          </w:p>
          <w:p w14:paraId="014E5FA0">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6.教师在屏幕广播状态下，提供授课小工具，包括提供可自由调整笔迹颜色及笔触粗细的画笔、黑板、橡皮擦、以及支持撤销和加页码，最多支持增加页数到10页。</w:t>
            </w:r>
          </w:p>
          <w:p w14:paraId="2A4F527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.支持老师将指定学生的屏幕画面广播给其他所有学生，同时老师也能看到该指定学生的屏幕图像。</w:t>
            </w:r>
          </w:p>
          <w:p w14:paraId="401B35A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.支持教师发起</w:t>
            </w:r>
            <w:r>
              <w:rPr>
                <w:rFonts w:hint="eastAsia" w:ascii="宋体" w:hAnsi="宋体" w:eastAsia="宋体" w:cs="宋体"/>
                <w:color w:val="000000"/>
                <w:kern w:val="0"/>
                <w:sz w:val="21"/>
                <w:szCs w:val="21"/>
                <w:lang w:val="en-US" w:eastAsia="zh-CN" w:bidi="ar"/>
              </w:rPr>
              <w:t>多</w:t>
            </w:r>
            <w:r>
              <w:rPr>
                <w:rFonts w:hint="eastAsia" w:ascii="宋体" w:hAnsi="宋体" w:eastAsia="宋体" w:cs="宋体"/>
                <w:color w:val="000000"/>
                <w:kern w:val="0"/>
                <w:sz w:val="21"/>
                <w:szCs w:val="21"/>
                <w:lang w:bidi="ar"/>
              </w:rPr>
              <w:t>种课堂活动。</w:t>
            </w:r>
          </w:p>
          <w:p w14:paraId="6EE56D9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.支持学生在完成教师下发的课堂活动时，查看自己的排名、耗时以及答题情况。</w:t>
            </w:r>
          </w:p>
          <w:p w14:paraId="72AAA06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.支持在管理后台录入学生名单后，教师选择授课班级，学生在开课后输入个人姓名即可完成班级点名签到。</w:t>
            </w:r>
          </w:p>
          <w:p w14:paraId="16D8B28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.切换课堂当课堂通知大于或等于2条时，支持用户手动切换查看。</w:t>
            </w:r>
          </w:p>
          <w:p w14:paraId="12461C3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.教学白板课件同步：支持同步教学白板软件的课件内容，支持按照大小、更新时间进行排序，支持按照按照文件类型进行筛选。</w:t>
            </w:r>
          </w:p>
          <w:p w14:paraId="26B654A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.支持上传“本地文件”到终端应用软件的教师云空间。</w:t>
            </w:r>
          </w:p>
          <w:p w14:paraId="3BD9AA1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.支持教师把云空间的文件批量共享给指定的多个授课班级，资料被删除后文件仍可重新下载。支持教师把已共享的资料进行取消共享。</w:t>
            </w:r>
          </w:p>
          <w:p w14:paraId="285EE2A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.当作业空间存在多个班级的时候，支持显示当前正在授课班级。</w:t>
            </w:r>
          </w:p>
          <w:p w14:paraId="5B2A50F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.回收作业过程中，支持自动统计已提交和未提交的学生名单。</w:t>
            </w:r>
          </w:p>
          <w:p w14:paraId="017149A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.显示上传和下载的文件历史记录。</w:t>
            </w:r>
          </w:p>
          <w:p w14:paraId="72238CC4">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.支持教师直接把“我的文件”内容共享给班级学生。</w:t>
            </w:r>
          </w:p>
          <w:p w14:paraId="58DC3A2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19</w:t>
            </w:r>
            <w:r>
              <w:rPr>
                <w:rFonts w:hint="eastAsia" w:ascii="宋体" w:hAnsi="宋体" w:eastAsia="宋体" w:cs="宋体"/>
                <w:color w:val="000000"/>
                <w:kern w:val="0"/>
                <w:sz w:val="21"/>
                <w:szCs w:val="21"/>
                <w:lang w:bidi="ar"/>
              </w:rPr>
              <w:t>.教师可以选定学生执行黑屏操作。</w:t>
            </w:r>
          </w:p>
          <w:p w14:paraId="13AF043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.支持教师授课时开启离线黑屏。</w:t>
            </w:r>
          </w:p>
          <w:p w14:paraId="3C409D7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.开始授课后，若学生设备离线，支持自动在教师端显示离线的设备总量以及对应离线的设备IP</w:t>
            </w:r>
          </w:p>
          <w:p w14:paraId="15E6045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.通过设置应用程序白名单，可防止学生在教学过程中使用跟课程无关的应用程序。</w:t>
            </w:r>
          </w:p>
          <w:p w14:paraId="3441988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.开启授课后自动获取授课学生设备安装的应用环境，教师可以直接禁用学生设备的应用。</w:t>
            </w:r>
          </w:p>
          <w:p w14:paraId="538671B3">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.支持显示最近一节课的违规使用应用程序的名称、违规操作人、设备IP，以及支持教师禁用和取消禁用学生使用违规应用程序。</w:t>
            </w:r>
          </w:p>
          <w:p w14:paraId="67C4D25E">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highlight w:val="none"/>
                <w:lang w:bidi="ar"/>
              </w:rPr>
              <w:t>26.</w:t>
            </w:r>
            <w:r>
              <w:rPr>
                <w:rFonts w:hint="eastAsia" w:ascii="宋体" w:hAnsi="宋体" w:eastAsia="宋体" w:cs="宋体"/>
                <w:color w:val="000000"/>
                <w:kern w:val="0"/>
                <w:sz w:val="21"/>
                <w:szCs w:val="21"/>
                <w:highlight w:val="none"/>
                <w:lang w:val="en-US" w:eastAsia="zh-CN" w:bidi="ar"/>
              </w:rPr>
              <w:t>学生端和教师端软件具备良好兼容性</w:t>
            </w:r>
            <w:r>
              <w:rPr>
                <w:rFonts w:hint="eastAsia" w:ascii="宋体" w:hAnsi="宋体" w:eastAsia="宋体" w:cs="宋体"/>
                <w:color w:val="000000"/>
                <w:kern w:val="0"/>
                <w:sz w:val="21"/>
                <w:szCs w:val="21"/>
                <w:highlight w:val="none"/>
                <w:lang w:bidi="ar"/>
              </w:rPr>
              <w:t>。</w:t>
            </w:r>
          </w:p>
        </w:tc>
        <w:tc>
          <w:tcPr>
            <w:tcW w:w="916" w:type="dxa"/>
            <w:vAlign w:val="center"/>
          </w:tcPr>
          <w:p w14:paraId="04C74109">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6B16A46C">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14:paraId="69EE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70EB78AD">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5</w:t>
            </w:r>
          </w:p>
        </w:tc>
        <w:tc>
          <w:tcPr>
            <w:tcW w:w="1921" w:type="dxa"/>
            <w:vAlign w:val="center"/>
          </w:tcPr>
          <w:p w14:paraId="148165CF">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学生桌</w:t>
            </w:r>
          </w:p>
        </w:tc>
        <w:tc>
          <w:tcPr>
            <w:tcW w:w="9994" w:type="dxa"/>
          </w:tcPr>
          <w:p w14:paraId="432B6B79">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1.双人桌采用人体工程学原理设计，外观简约大方；</w:t>
            </w:r>
          </w:p>
          <w:p w14:paraId="73C6E06A">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2.框架：外框采用优质6063铝合金型材，单侧整体厚度</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
              </w:rPr>
              <w:t>62MM，结构简单稳固，安装维护方便，可以实现快速拆装；外观简约时尚，人体工程学原理设计；圆润外角。</w:t>
            </w:r>
          </w:p>
          <w:p w14:paraId="2F9C2C15">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 整体考试桌铝合金，板材，环保耐用</w:t>
            </w:r>
          </w:p>
          <w:p w14:paraId="1553F8EC">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4.屏风桌面屏风可以自由拆卸</w:t>
            </w:r>
          </w:p>
          <w:p w14:paraId="7F8ACA14">
            <w:pPr>
              <w:spacing w:line="240" w:lineRule="auto"/>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5.桌体屏风基础高度850mm，屏风板高度350mm,桌屏固定后高度1200mm，常规尺寸为1600*600*850</w:t>
            </w:r>
            <w:r>
              <w:rPr>
                <w:rFonts w:hint="eastAsia" w:ascii="宋体" w:hAnsi="宋体" w:eastAsia="宋体" w:cs="宋体"/>
                <w:kern w:val="0"/>
                <w:sz w:val="21"/>
                <w:szCs w:val="21"/>
                <w:lang w:eastAsia="zh-CN" w:bidi="ar"/>
              </w:rPr>
              <w:t>。</w:t>
            </w:r>
          </w:p>
          <w:p w14:paraId="669A85CF">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6.整体机构稳定</w:t>
            </w:r>
          </w:p>
          <w:p w14:paraId="510C3E0D">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7屏风采用铝合金包边，桌面下方设维修门</w:t>
            </w:r>
          </w:p>
        </w:tc>
        <w:tc>
          <w:tcPr>
            <w:tcW w:w="916" w:type="dxa"/>
            <w:vAlign w:val="center"/>
          </w:tcPr>
          <w:p w14:paraId="5DB5491F">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826" w:type="dxa"/>
            <w:vAlign w:val="center"/>
          </w:tcPr>
          <w:p w14:paraId="0EC30048">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个</w:t>
            </w:r>
          </w:p>
        </w:tc>
      </w:tr>
      <w:tr w14:paraId="0C3C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0058DEDE">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6</w:t>
            </w:r>
          </w:p>
        </w:tc>
        <w:tc>
          <w:tcPr>
            <w:tcW w:w="1921" w:type="dxa"/>
            <w:vAlign w:val="center"/>
          </w:tcPr>
          <w:p w14:paraId="6C6AA5C4">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学生椅</w:t>
            </w:r>
          </w:p>
        </w:tc>
        <w:tc>
          <w:tcPr>
            <w:tcW w:w="9994" w:type="dxa"/>
          </w:tcPr>
          <w:p w14:paraId="5266361B">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1.椅座：</w:t>
            </w:r>
            <w:r>
              <w:rPr>
                <w:rFonts w:hint="eastAsia" w:ascii="宋体" w:hAnsi="宋体" w:eastAsia="宋体" w:cs="宋体"/>
                <w:kern w:val="0"/>
                <w:sz w:val="21"/>
                <w:szCs w:val="21"/>
                <w:lang w:val="en-US" w:eastAsia="zh-CN" w:bidi="ar"/>
              </w:rPr>
              <w:t>采用优质全新聚丙烯</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PP</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工程塑料，添加玻璃纤维等增强材料</w:t>
            </w:r>
            <w:r>
              <w:rPr>
                <w:rFonts w:hint="eastAsia" w:ascii="宋体" w:hAnsi="宋体" w:eastAsia="宋体" w:cs="宋体"/>
                <w:kern w:val="0"/>
                <w:sz w:val="21"/>
                <w:szCs w:val="21"/>
                <w:lang w:bidi="ar"/>
              </w:rPr>
              <w:t xml:space="preserve">  </w:t>
            </w:r>
          </w:p>
          <w:p w14:paraId="3636933C">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2.颜色：抗紫外线UV级；防掉色   </w:t>
            </w:r>
          </w:p>
          <w:p w14:paraId="66BB2E13">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3.一体注塑成型</w:t>
            </w:r>
          </w:p>
        </w:tc>
        <w:tc>
          <w:tcPr>
            <w:tcW w:w="916" w:type="dxa"/>
            <w:vAlign w:val="center"/>
          </w:tcPr>
          <w:p w14:paraId="35E38178">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826" w:type="dxa"/>
            <w:vAlign w:val="center"/>
          </w:tcPr>
          <w:p w14:paraId="73EAA804">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个</w:t>
            </w:r>
          </w:p>
        </w:tc>
      </w:tr>
      <w:tr w14:paraId="46B4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vAlign w:val="center"/>
          </w:tcPr>
          <w:p w14:paraId="0A6C1A4D">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7</w:t>
            </w:r>
          </w:p>
        </w:tc>
        <w:tc>
          <w:tcPr>
            <w:tcW w:w="1921" w:type="dxa"/>
            <w:vAlign w:val="center"/>
          </w:tcPr>
          <w:p w14:paraId="7039C374">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教师桌</w:t>
            </w:r>
          </w:p>
        </w:tc>
        <w:tc>
          <w:tcPr>
            <w:tcW w:w="9994" w:type="dxa"/>
          </w:tcPr>
          <w:p w14:paraId="730C1DEB">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1、规格：1800*600*750mm.</w:t>
            </w:r>
          </w:p>
          <w:p w14:paraId="32E4A60D">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2.框架：外框采用优质6063铝合金型材，可以实现快速拆装。</w:t>
            </w:r>
          </w:p>
          <w:p w14:paraId="08C306EF">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 整体桌铝合金，板材，环保耐用</w:t>
            </w:r>
          </w:p>
          <w:p w14:paraId="3CEDB9DE">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4、结构：25mm厚桌面，左右侧各带一抽一门柜，键盘托。</w:t>
            </w:r>
          </w:p>
          <w:p w14:paraId="07005896">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5、整体机构稳定。</w:t>
            </w:r>
          </w:p>
        </w:tc>
        <w:tc>
          <w:tcPr>
            <w:tcW w:w="916" w:type="dxa"/>
            <w:vAlign w:val="center"/>
          </w:tcPr>
          <w:p w14:paraId="33532B4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18B08396">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个</w:t>
            </w:r>
          </w:p>
        </w:tc>
      </w:tr>
      <w:tr w14:paraId="3678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2208F7D8">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8</w:t>
            </w:r>
          </w:p>
        </w:tc>
        <w:tc>
          <w:tcPr>
            <w:tcW w:w="1921" w:type="dxa"/>
            <w:vAlign w:val="center"/>
          </w:tcPr>
          <w:p w14:paraId="4D18D15D">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教师椅</w:t>
            </w:r>
          </w:p>
        </w:tc>
        <w:tc>
          <w:tcPr>
            <w:tcW w:w="9994" w:type="dxa"/>
          </w:tcPr>
          <w:p w14:paraId="4C24C9F5">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头枕:可上下前后调节2D头枕+原生PP材网布:耐磨、透气性好、柔软舒适高密度网布</w:t>
            </w:r>
          </w:p>
          <w:p w14:paraId="3A64886E">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靠背:原牛PP材质拉力</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
              </w:rPr>
              <w:t>130公斤</w:t>
            </w:r>
          </w:p>
          <w:p w14:paraId="3DD2C84A">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坐垫:原生人板+高密度高回弹6公分原生海绵+全包PP底壳扶手:原生PP材质拉力100公斤底盘:加厚防爆</w:t>
            </w:r>
          </w:p>
          <w:p w14:paraId="61E0D486">
            <w:pPr>
              <w:spacing w:line="240"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工爪:</w:t>
            </w:r>
            <w:r>
              <w:rPr>
                <w:rFonts w:hint="eastAsia" w:ascii="宋体" w:hAnsi="宋体" w:eastAsia="宋体" w:cs="宋体"/>
                <w:kern w:val="0"/>
                <w:sz w:val="21"/>
                <w:szCs w:val="21"/>
                <w:lang w:val="en-US" w:eastAsia="zh-CN" w:bidi="ar"/>
              </w:rPr>
              <w:t>采用优质尼龙或铝合金材质，结构稳定，满足平稳使用要求</w:t>
            </w:r>
          </w:p>
          <w:p w14:paraId="0945F4FF">
            <w:pPr>
              <w:spacing w:line="24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脚轮:SGs测试</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
              </w:rPr>
              <w:t>60</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
              </w:rPr>
              <w:t>尼龙万向轮外包PU</w:t>
            </w:r>
          </w:p>
        </w:tc>
        <w:tc>
          <w:tcPr>
            <w:tcW w:w="916" w:type="dxa"/>
            <w:vAlign w:val="center"/>
          </w:tcPr>
          <w:p w14:paraId="5BD485B8">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031ACEB2">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个</w:t>
            </w:r>
          </w:p>
        </w:tc>
      </w:tr>
      <w:tr w14:paraId="595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3CDE9376">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9</w:t>
            </w:r>
          </w:p>
        </w:tc>
        <w:tc>
          <w:tcPr>
            <w:tcW w:w="1921" w:type="dxa"/>
            <w:vAlign w:val="center"/>
          </w:tcPr>
          <w:p w14:paraId="41CBDD0D">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踏台</w:t>
            </w:r>
          </w:p>
        </w:tc>
        <w:tc>
          <w:tcPr>
            <w:tcW w:w="9994" w:type="dxa"/>
          </w:tcPr>
          <w:p w14:paraId="44EC04A1">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1.尺寸</w:t>
            </w:r>
            <w:r>
              <w:rPr>
                <w:rFonts w:hint="eastAsia" w:ascii="宋体" w:hAnsi="宋体" w:eastAsia="宋体" w:cs="宋体"/>
                <w:kern w:val="0"/>
                <w:sz w:val="21"/>
                <w:szCs w:val="21"/>
                <w:lang w:bidi="ar"/>
              </w:rPr>
              <w:t xml:space="preserve">：4200*1000*200mm </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±50㎜</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，分段</w:t>
            </w:r>
            <w:r>
              <w:rPr>
                <w:rFonts w:hint="eastAsia" w:ascii="宋体" w:hAnsi="宋体" w:eastAsia="宋体" w:cs="宋体"/>
                <w:color w:val="000000"/>
                <w:kern w:val="0"/>
                <w:sz w:val="21"/>
                <w:szCs w:val="21"/>
                <w:lang w:bidi="ar"/>
              </w:rPr>
              <w:t>拼装。</w:t>
            </w:r>
          </w:p>
          <w:p w14:paraId="2D7A6437">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台面、侧面、地笼板:采用E0级18mm厚三氯氰胺防潮双贴面刨花板，侧面和地笼材料和台面材料相同，金属条封边。2H吸水厚度膨胀率≤8%，含水率≤6%，内结合强度≥0.4MPa，密度大于等于0.8g/cm³，甲醛释放限量≤0.06mg/m³；表面耐香烟灼烧烧、耐干热、耐污染腐蚀、耐龟裂、耐水蒸气均应该达到≥4级；</w:t>
            </w:r>
          </w:p>
          <w:p w14:paraId="4B634FA5">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3.各项技术指标达到国家标准;甲醛含量达到国家E0级标准，无毒无害。</w:t>
            </w:r>
          </w:p>
        </w:tc>
        <w:tc>
          <w:tcPr>
            <w:tcW w:w="916" w:type="dxa"/>
            <w:vAlign w:val="center"/>
          </w:tcPr>
          <w:p w14:paraId="3BF35997">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01C0B7DF">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个</w:t>
            </w:r>
          </w:p>
        </w:tc>
      </w:tr>
      <w:tr w14:paraId="15D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79" w:type="dxa"/>
            <w:vAlign w:val="center"/>
          </w:tcPr>
          <w:p w14:paraId="03E48068">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10</w:t>
            </w:r>
          </w:p>
        </w:tc>
        <w:tc>
          <w:tcPr>
            <w:tcW w:w="1921" w:type="dxa"/>
            <w:vAlign w:val="center"/>
          </w:tcPr>
          <w:p w14:paraId="701ED099">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智慧黑板</w:t>
            </w:r>
          </w:p>
        </w:tc>
        <w:tc>
          <w:tcPr>
            <w:tcW w:w="9994" w:type="dxa"/>
          </w:tcPr>
          <w:p w14:paraId="69356DF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一、整机部分</w:t>
            </w:r>
          </w:p>
          <w:p w14:paraId="41C8D4F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1.智能交互黑板采用无推拉式结构，采用三拼接平面一体化设计，主副屏过渡平滑，中间无单独边框阻隔。</w:t>
            </w:r>
          </w:p>
          <w:p w14:paraId="509F6DC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2.智能交互黑板整机长度≥4200mm，高度≥1200mm，采用超高清86英寸LED液晶显示屏，显示比例16:9，分辨率3840×2160。</w:t>
            </w:r>
          </w:p>
          <w:p w14:paraId="0F429DB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3.智能交互黑板主屏支持普通粉笔直接书写，两侧副屏可支持普通粉笔、液体粉笔等进行板书书写。副屏支持磁吸附功能，可以满足带有磁吸的板擦等教具进行吸附在副屏上。</w:t>
            </w:r>
          </w:p>
          <w:p w14:paraId="09AA5BF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4.智能交互黑板输入接口具备2路HDMI、1路RS232、1路USB接口；输出接口具备1路音频输出、1路触控USB输出；输入接口具备3路USB接口（包含1路Type-C、2路USB）。</w:t>
            </w:r>
          </w:p>
          <w:p w14:paraId="4B58783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5.智能交互黑板嵌入式系统版本不低于Android 13，内存≥2GB，存储空间≥8GB。</w:t>
            </w:r>
          </w:p>
          <w:p w14:paraId="7B92404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6.智能交互黑板采用电容触控方式，支持Windows系统中进行40点或以上触控，支持Android系统中进行40点或以上触控。</w:t>
            </w:r>
          </w:p>
          <w:p w14:paraId="34B8FF1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7.支持文件传输应用，支持通过扫码、wifi直联方式与手机进行握手连接，实现文件传输功能。</w:t>
            </w:r>
          </w:p>
          <w:p w14:paraId="40A30B06">
            <w:pPr>
              <w:widowControl/>
              <w:spacing w:line="240" w:lineRule="auto"/>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8.智能交互黑板内置2.2声道扬声器，高音扬声器</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2个</w:t>
            </w:r>
            <w:r>
              <w:rPr>
                <w:rFonts w:hint="eastAsia" w:ascii="宋体" w:hAnsi="宋体" w:eastAsia="宋体" w:cs="宋体"/>
                <w:color w:val="000000"/>
                <w:kern w:val="0"/>
                <w:sz w:val="21"/>
                <w:szCs w:val="21"/>
                <w:lang w:val="en-US" w:eastAsia="zh-CN" w:bidi="ar"/>
              </w:rPr>
              <w:t>10W</w:t>
            </w:r>
            <w:r>
              <w:rPr>
                <w:rFonts w:hint="eastAsia" w:ascii="宋体" w:hAnsi="宋体" w:eastAsia="宋体" w:cs="宋体"/>
                <w:color w:val="000000"/>
                <w:kern w:val="0"/>
                <w:sz w:val="21"/>
                <w:szCs w:val="21"/>
                <w:lang w:bidi="ar"/>
              </w:rPr>
              <w:t>，低音扬声器</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2个</w:t>
            </w:r>
            <w:r>
              <w:rPr>
                <w:rFonts w:hint="eastAsia" w:ascii="宋体" w:hAnsi="宋体" w:eastAsia="宋体" w:cs="宋体"/>
                <w:color w:val="000000"/>
                <w:kern w:val="0"/>
                <w:sz w:val="21"/>
                <w:szCs w:val="21"/>
                <w:lang w:val="en-US" w:eastAsia="zh-CN" w:bidi="ar"/>
              </w:rPr>
              <w:t>20W</w:t>
            </w:r>
            <w:r>
              <w:rPr>
                <w:rFonts w:hint="eastAsia" w:ascii="宋体" w:hAnsi="宋体" w:eastAsia="宋体" w:cs="宋体"/>
                <w:color w:val="000000"/>
                <w:kern w:val="0"/>
                <w:sz w:val="21"/>
                <w:szCs w:val="21"/>
                <w:lang w:eastAsia="zh-CN" w:bidi="ar"/>
              </w:rPr>
              <w:t>。</w:t>
            </w:r>
          </w:p>
          <w:p w14:paraId="41286F6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9.智能交互黑板内置非独立外扩展的8阵列麦克风，拾音角度≥180°，可用于对教室环境音频进行采集，拾音距离≥12m。</w:t>
            </w:r>
          </w:p>
          <w:p w14:paraId="6062F54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.全通道支持纸质护眼模式，可实现画面纹理的实时调整；支持纸质纹理：牛皮纸、素描纸、宣纸、水彩纸、水纹纸；支持透明度调节；支持色温调节。</w:t>
            </w:r>
          </w:p>
          <w:p w14:paraId="2A3DB304">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 xml:space="preserve">.支持蓝牙Bluetooth </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5.4标准。</w:t>
            </w:r>
          </w:p>
          <w:p w14:paraId="62B379EF">
            <w:pPr>
              <w:widowControl/>
              <w:spacing w:line="24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支持多种投屏方式，只能手机与整机无需在同一局域网内也可快速连接。</w:t>
            </w:r>
          </w:p>
          <w:p w14:paraId="1A59A4C3">
            <w:pPr>
              <w:widowControl/>
              <w:spacing w:line="240" w:lineRule="auto"/>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.内置双WiFi6无线网卡，在Android和Windows系统下，可实现Wi-Fi无线上网连接、AP无线热点发射</w:t>
            </w:r>
            <w:r>
              <w:rPr>
                <w:rFonts w:hint="eastAsia" w:ascii="宋体" w:hAnsi="宋体" w:eastAsia="宋体" w:cs="宋体"/>
                <w:color w:val="000000"/>
                <w:kern w:val="0"/>
                <w:sz w:val="21"/>
                <w:szCs w:val="21"/>
                <w:lang w:eastAsia="zh-CN" w:bidi="ar"/>
              </w:rPr>
              <w:t>。</w:t>
            </w:r>
          </w:p>
          <w:p w14:paraId="7C1285A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14</w:t>
            </w:r>
            <w:r>
              <w:rPr>
                <w:rFonts w:hint="eastAsia" w:ascii="宋体" w:hAnsi="宋体" w:eastAsia="宋体" w:cs="宋体"/>
                <w:color w:val="000000"/>
                <w:kern w:val="0"/>
                <w:sz w:val="21"/>
                <w:szCs w:val="21"/>
                <w:lang w:bidi="ar"/>
              </w:rPr>
              <w:t>.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2FB92387">
            <w:pPr>
              <w:widowControl/>
              <w:spacing w:line="240" w:lineRule="auto"/>
              <w:jc w:val="left"/>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15</w:t>
            </w:r>
            <w:r>
              <w:rPr>
                <w:rFonts w:hint="eastAsia" w:ascii="宋体" w:hAnsi="宋体" w:eastAsia="宋体" w:cs="宋体"/>
                <w:color w:val="000000"/>
                <w:kern w:val="0"/>
                <w:sz w:val="21"/>
                <w:szCs w:val="21"/>
                <w:lang w:bidi="ar"/>
              </w:rPr>
              <w:t>.整机内置</w:t>
            </w:r>
            <w:r>
              <w:rPr>
                <w:rFonts w:hint="eastAsia" w:ascii="宋体" w:hAnsi="宋体" w:eastAsia="宋体" w:cs="宋体"/>
                <w:color w:val="000000"/>
                <w:kern w:val="0"/>
                <w:sz w:val="21"/>
                <w:szCs w:val="21"/>
                <w:lang w:val="en-US" w:eastAsia="zh-CN" w:bidi="ar"/>
              </w:rPr>
              <w:t>≥1个高清摄像头，支持广角拍摄。</w:t>
            </w:r>
          </w:p>
          <w:p w14:paraId="6C94ACC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16</w:t>
            </w:r>
            <w:r>
              <w:rPr>
                <w:rFonts w:hint="eastAsia" w:ascii="宋体" w:hAnsi="宋体" w:eastAsia="宋体" w:cs="宋体"/>
                <w:color w:val="000000"/>
                <w:kern w:val="0"/>
                <w:sz w:val="21"/>
                <w:szCs w:val="21"/>
                <w:lang w:bidi="ar"/>
              </w:rPr>
              <w:t>.整机摄像头支持人脸识别、清点人数、随机抽人；识别所有学生，显示标记，同时显示标记</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0人。</w:t>
            </w:r>
          </w:p>
          <w:p w14:paraId="34A6D2C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二、内置电脑</w:t>
            </w:r>
          </w:p>
          <w:p w14:paraId="7EF0A2B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1.处理器≥ Intel Core i5。</w:t>
            </w:r>
          </w:p>
          <w:p w14:paraId="709FF7F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2.内存≥8GB DDR4内存或以上配置。</w:t>
            </w:r>
          </w:p>
          <w:p w14:paraId="43F8875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3.硬盘：≥256GB  SSD固态硬盘。</w:t>
            </w:r>
          </w:p>
          <w:p w14:paraId="306CC88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三、内置教学管理软件：</w:t>
            </w:r>
          </w:p>
          <w:p w14:paraId="5855DE8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（一）多媒体课件制作展示软件：</w:t>
            </w:r>
          </w:p>
          <w:p w14:paraId="7146A1B4">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1.内置教学白板软件，具有备课及授课模式，可自由切换编辑。</w:t>
            </w:r>
          </w:p>
          <w:p w14:paraId="3DB66D3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2.支持教师通过账号登录、扫码登录、U盘识别登录多种方式登录白板软件。</w:t>
            </w:r>
          </w:p>
          <w:p w14:paraId="1A89273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3.互动教学课件支持定向精准分享：分享者可将互动课件、课件组精准推送至指定接收方账号云空间，接收方可在云空间接收并打开分享课件；</w:t>
            </w:r>
          </w:p>
          <w:p w14:paraId="1AB1EDA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4.为使用方全体教师配备个人账号，形成一体的信息化教学账号体系；根据教师账号信息将教师云空间匹配至对应学校、学科校本资源库。支持通过数字账号、微信二维码、硬件密钥方式登录教师个人账号。</w:t>
            </w:r>
          </w:p>
          <w:p w14:paraId="36F5F70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5.支持将互动课件导出为pptx、pdf、H5或web链接，在多终端（包含windows、Macos、iOS、安卓）二次编辑</w:t>
            </w:r>
          </w:p>
          <w:p w14:paraId="1511C01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6.具有互动式教学课件资源，包含学科教育各学段各地区教材版本</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120个。具有互动式教学课件资源，包含学科教育各学段教材版本全部教学章节、专题教育多个主题教育、特殊教育 3 大分类</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120000 份的互动课件。按照下载量、课件质量、相关性会每天动态更新课件列表，提供按章节、主题筛选和关键词搜索，支持模糊搜索。</w:t>
            </w:r>
          </w:p>
          <w:p w14:paraId="2DCF95B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.云教案内容无需人为保存即可同步至云空间，支持已链接方式进行定向式分享和开放式分享。接收者可直接在桌面浏览器、微信内打开预览，可将云教案转存至个人云空间。云教案支持导出为PDF格式。</w:t>
            </w:r>
          </w:p>
          <w:p w14:paraId="4568A23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.提供教案模板，方便老师撰写教案，预置模板包含表格式、提纲式、集备式、多课时式、单元设计式等不少于7个。支持校本模板，管理员在教研管理后台设置校本模板后，老师可在云教案模板调用。</w:t>
            </w:r>
          </w:p>
          <w:p w14:paraId="11F9CA7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.云教案与云课件可一对多关联绑定，产生绑定后，在课件页和教案页均支持在同一面板打开关联的云课件或云教案预览，便于老师备课时相互对照。</w:t>
            </w:r>
          </w:p>
          <w:p w14:paraId="6253FE00">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.具有课堂活动智能填写功能，支持选词填空、判断对错和趣味选择三大课堂活动。输入文本后可以一键解析，自动将文本内容结构化填充至题干和正确选项，完成课堂活动的制作。</w:t>
            </w:r>
          </w:p>
          <w:p w14:paraId="0A247CA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.支持多种格式的试题批量上传，包含.doc、.docx、.png、.jpeg、.jpg等类型，并可自动转换为电子试题，便于老师优质试题的收集使用和作业布置。</w:t>
            </w:r>
          </w:p>
          <w:p w14:paraId="34CFB8F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.支持集体备课和电子化听评课。</w:t>
            </w:r>
          </w:p>
          <w:p w14:paraId="1FF887F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.支持软件联网自动静默升级，无需用户手动更新。</w:t>
            </w:r>
          </w:p>
          <w:p w14:paraId="1C85089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（二）设备管理软件</w:t>
            </w:r>
          </w:p>
          <w:p w14:paraId="36A6637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 后台控制端采用B/S架构设计，可在Windows、Linux、Android、IOS等多种不同的操作系统上通过网页浏览器登陆进行操作，可控制在局域网或互联网内的一体机或黑板终端设备。</w:t>
            </w:r>
          </w:p>
          <w:p w14:paraId="284390D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 可在桌面查看设备基本信息，如：尺寸、分辨率、系统、CPU、安卓版本等信息，方便授课老师管理设备。</w:t>
            </w:r>
          </w:p>
          <w:p w14:paraId="43179D0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 在控制端网页可实时监控已连接的一体机或黑板，可远程查看开关机状态、使用状态评估、整机温度、以及系统内存、硬盘空间等设备信息。</w:t>
            </w:r>
          </w:p>
          <w:p w14:paraId="7BF0267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 在控制端网页可实时查看已连接并处于开机状态下的一体机或黑板桌面，同时可在控制端远程操作桌面内容。</w:t>
            </w:r>
          </w:p>
          <w:p w14:paraId="4700153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 可远程对选定的一体机或黑板即时发布走马灯文字信息和屏幕常驻信息，可设置播放次数。</w:t>
            </w:r>
          </w:p>
          <w:p w14:paraId="693AE087">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 支持老师远程推送音频、视频等文件到受控端，方便用户快速发布文件。</w:t>
            </w:r>
          </w:p>
          <w:p w14:paraId="12C49D6C">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 控制端可根据设备使用情况，生成多个数据报表，包括开机次数、使用人数累计、活跃人数、软件使用次数、学科使用率等，方便管理员检查设备使用情况。</w:t>
            </w:r>
          </w:p>
        </w:tc>
        <w:tc>
          <w:tcPr>
            <w:tcW w:w="916" w:type="dxa"/>
            <w:vAlign w:val="center"/>
          </w:tcPr>
          <w:p w14:paraId="1BD7EDD0">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45CAF32B">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14:paraId="527B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3CE5CBD5">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11</w:t>
            </w:r>
          </w:p>
        </w:tc>
        <w:tc>
          <w:tcPr>
            <w:tcW w:w="1921" w:type="dxa"/>
            <w:vAlign w:val="center"/>
          </w:tcPr>
          <w:p w14:paraId="56C9869D">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视频展台</w:t>
            </w:r>
          </w:p>
        </w:tc>
        <w:tc>
          <w:tcPr>
            <w:tcW w:w="9994" w:type="dxa"/>
          </w:tcPr>
          <w:p w14:paraId="0C3E25E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1.壁挂式安装。</w:t>
            </w:r>
          </w:p>
          <w:p w14:paraId="473FF15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2.无锐角无利边设计，有效防止师生碰伤、划伤。</w:t>
            </w:r>
          </w:p>
          <w:p w14:paraId="7B1A972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3.采用叠式托板，展开后托板尺寸≥A4面积，托板可收起。</w:t>
            </w:r>
          </w:p>
          <w:p w14:paraId="4626B43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4.采用USB接口，单根USB线实现供电、高清数据传输需求。</w:t>
            </w:r>
          </w:p>
          <w:p w14:paraId="55DCD9E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5.采用800W像素自动对焦摄像头，可拍摄A4画幅。</w:t>
            </w:r>
          </w:p>
          <w:p w14:paraId="14A1568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6.展台按键采用触摸按键，可实现一键启动展台画面、画面放大、画面缩小、画面旋转、拍照截图等功能，同时也支持在一体机或电脑上进行同样的操作。</w:t>
            </w:r>
          </w:p>
          <w:p w14:paraId="0C81556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7.摄像头部分进行外壳防护等级试验，防护等级达到IP4X级别。</w:t>
            </w:r>
          </w:p>
          <w:p w14:paraId="58B73560">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8.支持展台画面实时批注，预设多种笔划粗细及颜色供选择，且支持对展台画面联同批注内容进行同步缩放、移动。</w:t>
            </w:r>
          </w:p>
          <w:p w14:paraId="07878A9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9.老师可在一体机或电脑上选择延时拍照功能。</w:t>
            </w:r>
          </w:p>
          <w:p w14:paraId="75DD10E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10.可选择图像、文本或动态三种情景模式，适应不同示内容。</w:t>
            </w:r>
          </w:p>
          <w:p w14:paraId="3CDE81C1">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11.支持故障自动检测，</w:t>
            </w:r>
            <w:r>
              <w:rPr>
                <w:rFonts w:hint="eastAsia" w:ascii="宋体" w:hAnsi="宋体" w:eastAsia="宋体" w:cs="宋体"/>
                <w:color w:val="000000"/>
                <w:kern w:val="0"/>
                <w:sz w:val="21"/>
                <w:szCs w:val="21"/>
                <w:lang w:val="en-US" w:eastAsia="zh-CN" w:bidi="ar"/>
              </w:rPr>
              <w:t>可通过软件提示设备连接状态</w:t>
            </w:r>
            <w:r>
              <w:rPr>
                <w:rFonts w:hint="eastAsia" w:ascii="宋体" w:hAnsi="宋体" w:eastAsia="宋体" w:cs="宋体"/>
                <w:color w:val="000000"/>
                <w:kern w:val="0"/>
                <w:sz w:val="21"/>
                <w:szCs w:val="21"/>
                <w:lang w:bidi="ar"/>
              </w:rPr>
              <w:t>。</w:t>
            </w:r>
          </w:p>
        </w:tc>
        <w:tc>
          <w:tcPr>
            <w:tcW w:w="916" w:type="dxa"/>
            <w:vAlign w:val="center"/>
          </w:tcPr>
          <w:p w14:paraId="3F248B20">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77FA256F">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r>
      <w:tr w14:paraId="693E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779" w:type="dxa"/>
            <w:vAlign w:val="center"/>
          </w:tcPr>
          <w:p w14:paraId="578369F6">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12</w:t>
            </w:r>
          </w:p>
        </w:tc>
        <w:tc>
          <w:tcPr>
            <w:tcW w:w="1921" w:type="dxa"/>
            <w:vAlign w:val="center"/>
          </w:tcPr>
          <w:p w14:paraId="6784DC6E">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有源音箱</w:t>
            </w:r>
          </w:p>
        </w:tc>
        <w:tc>
          <w:tcPr>
            <w:tcW w:w="9994" w:type="dxa"/>
          </w:tcPr>
          <w:p w14:paraId="6F094E8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1.采用功放与有源音箱一体化设计，内置麦克风无线接收模块，帮助教师实现多媒体扩音以及本地扩声功能。</w:t>
            </w:r>
          </w:p>
          <w:p w14:paraId="5316D12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2.输出额定功率≥ 2x15W。</w:t>
            </w:r>
          </w:p>
          <w:p w14:paraId="2D62E13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3.音箱灵敏度≥85dB，1W/1M。</w:t>
            </w:r>
          </w:p>
          <w:p w14:paraId="4567EF1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4.信噪比≥80dB@额定功率、A计权。</w:t>
            </w:r>
          </w:p>
          <w:p w14:paraId="3F4B86C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5.全频喇叭单元尺寸≥5英寸。</w:t>
            </w:r>
          </w:p>
          <w:p w14:paraId="4F7ED9E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6.THD+N≤1%。</w:t>
            </w:r>
          </w:p>
          <w:p w14:paraId="50799F8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7.声频响110Hz-16kHz。</w:t>
            </w:r>
          </w:p>
          <w:p w14:paraId="64E9AB2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8.距离音箱10米处声压级≥75dB。</w:t>
            </w:r>
          </w:p>
          <w:p w14:paraId="7357B7F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9.具备≥1路电源开关、1路LINE IN、1路USB 接口。USB接口可外接U盘设备对音箱固件进行升级。</w:t>
            </w:r>
          </w:p>
          <w:p w14:paraId="0739F69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10.支持无线麦克风扩音接收，</w:t>
            </w:r>
            <w:r>
              <w:rPr>
                <w:rFonts w:hint="eastAsia" w:ascii="宋体" w:hAnsi="宋体" w:eastAsia="宋体" w:cs="宋体"/>
                <w:color w:val="000000"/>
                <w:kern w:val="0"/>
                <w:sz w:val="21"/>
                <w:szCs w:val="21"/>
                <w:lang w:val="en-US" w:eastAsia="zh-CN" w:bidi="ar"/>
              </w:rPr>
              <w:t>具备良好的抗干扰能力，确保语音清晰稳定</w:t>
            </w:r>
            <w:r>
              <w:rPr>
                <w:rFonts w:hint="eastAsia" w:ascii="宋体" w:hAnsi="宋体" w:eastAsia="宋体" w:cs="宋体"/>
                <w:color w:val="000000"/>
                <w:kern w:val="0"/>
                <w:sz w:val="21"/>
                <w:szCs w:val="21"/>
                <w:lang w:bidi="ar"/>
              </w:rPr>
              <w:t>。</w:t>
            </w:r>
          </w:p>
          <w:p w14:paraId="55B5F9F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color w:val="000000"/>
                <w:kern w:val="0"/>
                <w:sz w:val="21"/>
                <w:szCs w:val="21"/>
                <w:lang w:val="en-US" w:eastAsia="zh-CN" w:bidi="ar"/>
              </w:rPr>
              <w:t>支持麦克风与音箱快速配对连接，具备良好的防串频功能，有效避免相邻教室信号干扰</w:t>
            </w:r>
            <w:r>
              <w:rPr>
                <w:rFonts w:hint="eastAsia" w:ascii="宋体" w:hAnsi="宋体" w:eastAsia="宋体" w:cs="宋体"/>
                <w:color w:val="000000"/>
                <w:kern w:val="0"/>
                <w:sz w:val="21"/>
                <w:szCs w:val="21"/>
                <w:lang w:bidi="ar"/>
              </w:rPr>
              <w:t>。</w:t>
            </w:r>
          </w:p>
          <w:p w14:paraId="41433CE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12.配置独立音频数字信号处理芯片，支持啸叫抑制功能。</w:t>
            </w:r>
          </w:p>
          <w:p w14:paraId="4B84C21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13.支持蓝牙无线接收，可分享移动设备上的音频。支持密码模式。</w:t>
            </w:r>
          </w:p>
          <w:p w14:paraId="3F16A11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14.支持</w:t>
            </w:r>
            <w:r>
              <w:rPr>
                <w:rFonts w:hint="eastAsia" w:ascii="宋体" w:hAnsi="宋体" w:eastAsia="宋体" w:cs="宋体"/>
                <w:color w:val="000000"/>
                <w:kern w:val="0"/>
                <w:sz w:val="21"/>
                <w:szCs w:val="21"/>
                <w:lang w:val="en-US" w:eastAsia="zh-CN" w:bidi="ar"/>
              </w:rPr>
              <w:t>智能</w:t>
            </w:r>
            <w:r>
              <w:rPr>
                <w:rFonts w:hint="eastAsia" w:ascii="宋体" w:hAnsi="宋体" w:eastAsia="宋体" w:cs="宋体"/>
                <w:color w:val="000000"/>
                <w:kern w:val="0"/>
                <w:sz w:val="21"/>
                <w:szCs w:val="21"/>
                <w:lang w:bidi="ar"/>
              </w:rPr>
              <w:t>手机通过蓝牙无线连接音箱，实现控制有源音箱的音量、设置蓝牙名称、设置蓝牙密码等功能。</w:t>
            </w:r>
          </w:p>
          <w:p w14:paraId="622F5DDA">
            <w:pPr>
              <w:widowControl/>
              <w:spacing w:line="240" w:lineRule="auto"/>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15.支持</w:t>
            </w:r>
            <w:r>
              <w:rPr>
                <w:rFonts w:hint="eastAsia" w:ascii="宋体" w:hAnsi="宋体" w:eastAsia="宋体" w:cs="宋体"/>
                <w:color w:val="000000"/>
                <w:kern w:val="0"/>
                <w:sz w:val="21"/>
                <w:szCs w:val="21"/>
                <w:lang w:val="en-US" w:eastAsia="zh-CN" w:bidi="ar"/>
              </w:rPr>
              <w:t>通过外部中控设备或蓝牙</w:t>
            </w:r>
            <w:r>
              <w:rPr>
                <w:rFonts w:hint="eastAsia" w:ascii="宋体" w:hAnsi="宋体" w:eastAsia="宋体" w:cs="宋体"/>
                <w:color w:val="000000"/>
                <w:kern w:val="0"/>
                <w:sz w:val="21"/>
                <w:szCs w:val="21"/>
                <w:lang w:bidi="ar"/>
              </w:rPr>
              <w:t>连接音箱，实现控制有源音箱的音量的功能</w:t>
            </w:r>
            <w:r>
              <w:rPr>
                <w:rFonts w:hint="eastAsia" w:ascii="宋体" w:hAnsi="宋体" w:eastAsia="宋体" w:cs="宋体"/>
                <w:color w:val="000000"/>
                <w:kern w:val="0"/>
                <w:sz w:val="21"/>
                <w:szCs w:val="21"/>
                <w:lang w:eastAsia="zh-CN" w:bidi="ar"/>
              </w:rPr>
              <w:t>。</w:t>
            </w:r>
          </w:p>
          <w:p w14:paraId="4E305441">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16.为保证兼容性及稳定性，一体化有源音箱需与</w:t>
            </w:r>
            <w:r>
              <w:rPr>
                <w:rFonts w:hint="eastAsia" w:ascii="宋体" w:hAnsi="宋体" w:eastAsia="宋体" w:cs="宋体"/>
                <w:color w:val="000000"/>
                <w:kern w:val="0"/>
                <w:sz w:val="21"/>
                <w:szCs w:val="21"/>
                <w:lang w:val="en-US" w:eastAsia="zh-CN" w:bidi="ar"/>
              </w:rPr>
              <w:t>无线麦克风通信协议兼容稳定配对</w:t>
            </w:r>
            <w:r>
              <w:rPr>
                <w:rFonts w:hint="eastAsia" w:ascii="宋体" w:hAnsi="宋体" w:eastAsia="宋体" w:cs="宋体"/>
                <w:color w:val="000000"/>
                <w:kern w:val="0"/>
                <w:sz w:val="21"/>
                <w:szCs w:val="21"/>
                <w:lang w:bidi="ar"/>
              </w:rPr>
              <w:t>。</w:t>
            </w:r>
          </w:p>
        </w:tc>
        <w:tc>
          <w:tcPr>
            <w:tcW w:w="916" w:type="dxa"/>
            <w:vAlign w:val="center"/>
          </w:tcPr>
          <w:p w14:paraId="2F1D1635">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09E9CBDE">
            <w:pPr>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对</w:t>
            </w:r>
          </w:p>
        </w:tc>
      </w:tr>
      <w:tr w14:paraId="17C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28EF76AD">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13</w:t>
            </w:r>
          </w:p>
        </w:tc>
        <w:tc>
          <w:tcPr>
            <w:tcW w:w="1921" w:type="dxa"/>
            <w:vAlign w:val="center"/>
          </w:tcPr>
          <w:p w14:paraId="05A88093">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无线麦克风</w:t>
            </w:r>
          </w:p>
        </w:tc>
        <w:tc>
          <w:tcPr>
            <w:tcW w:w="9994" w:type="dxa"/>
          </w:tcPr>
          <w:p w14:paraId="2C5943F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1.无线麦克风集音频发射处理器、天线、电池、拾音麦克风于一体，配合一体化有源音箱，无需任何外接辅助设备即可实现本地扩声功能。</w:t>
            </w:r>
          </w:p>
          <w:p w14:paraId="77906BC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2.采样率≥48KHz，16bit；扩音增益≥15dB；声频响100Hz-16kHz，底噪≤100uVrms，声信噪比≥60dB；配合一体化有源音箱，扩音延时≤35ms。</w:t>
            </w:r>
          </w:p>
          <w:p w14:paraId="7A82F14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采用无线射频传输方式</w:t>
            </w:r>
            <w:r>
              <w:rPr>
                <w:rFonts w:hint="eastAsia" w:ascii="宋体" w:hAnsi="宋体" w:eastAsia="宋体" w:cs="宋体"/>
                <w:color w:val="000000"/>
                <w:kern w:val="0"/>
                <w:sz w:val="21"/>
                <w:szCs w:val="21"/>
                <w:lang w:bidi="ar"/>
              </w:rPr>
              <w:t>。</w:t>
            </w:r>
          </w:p>
          <w:p w14:paraId="0C7012AF">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具备多信道切换能力或抗干扰机制，有效避免相邻教室信号干扰</w:t>
            </w:r>
            <w:r>
              <w:rPr>
                <w:rFonts w:hint="eastAsia" w:ascii="宋体" w:hAnsi="宋体" w:eastAsia="宋体" w:cs="宋体"/>
                <w:color w:val="000000"/>
                <w:kern w:val="0"/>
                <w:sz w:val="21"/>
                <w:szCs w:val="21"/>
                <w:lang w:bidi="ar"/>
              </w:rPr>
              <w:t>。</w:t>
            </w:r>
          </w:p>
          <w:p w14:paraId="428972D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5.电续航时间≥5小时，充电10分钟满足一节课（45分钟/一节课）授课时间。</w:t>
            </w:r>
          </w:p>
          <w:p w14:paraId="2E0806A3">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eastAsia="宋体" w:cs="宋体"/>
                <w:color w:val="000000"/>
                <w:kern w:val="0"/>
                <w:sz w:val="21"/>
                <w:szCs w:val="21"/>
                <w:lang w:val="en-US" w:eastAsia="zh-CN" w:bidi="ar"/>
              </w:rPr>
              <w:t>支持与配套音箱快速配对连接，具备良好的防串频功能，有效避免相邻教室信号干扰</w:t>
            </w:r>
            <w:r>
              <w:rPr>
                <w:rFonts w:hint="eastAsia" w:ascii="宋体" w:hAnsi="宋体" w:eastAsia="宋体" w:cs="宋体"/>
                <w:color w:val="000000"/>
                <w:kern w:val="0"/>
                <w:sz w:val="21"/>
                <w:szCs w:val="21"/>
                <w:lang w:bidi="ar"/>
              </w:rPr>
              <w:t>。</w:t>
            </w:r>
          </w:p>
          <w:p w14:paraId="04F3753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7.支持两个无线麦克风同时配对一个一体化有源音箱使用，实现两个麦克风混音输出进行扩音。</w:t>
            </w:r>
          </w:p>
          <w:p w14:paraId="4A76882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8.具备Type-c外置麦克风接口，与充电接口复用。</w:t>
            </w:r>
          </w:p>
          <w:p w14:paraId="6E659EA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9.空旷无干扰的环境，无线传输有效距离≥15 米。</w:t>
            </w:r>
          </w:p>
          <w:p w14:paraId="4B841547">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10.一体化领夹设计。</w:t>
            </w:r>
          </w:p>
          <w:p w14:paraId="25313004">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11.外壳防火等级≥V1。</w:t>
            </w:r>
          </w:p>
          <w:p w14:paraId="6B0BE084">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12.为保证兼容性及稳定性，无线麦克风需与一体化有源音箱为同一品牌厂家。</w:t>
            </w:r>
          </w:p>
        </w:tc>
        <w:tc>
          <w:tcPr>
            <w:tcW w:w="916" w:type="dxa"/>
            <w:vAlign w:val="center"/>
          </w:tcPr>
          <w:p w14:paraId="41B12AB4">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826" w:type="dxa"/>
            <w:vAlign w:val="center"/>
          </w:tcPr>
          <w:p w14:paraId="44C013E2">
            <w:pPr>
              <w:spacing w:line="24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套</w:t>
            </w:r>
          </w:p>
        </w:tc>
      </w:tr>
      <w:tr w14:paraId="7B1B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9" w:type="dxa"/>
            <w:vAlign w:val="center"/>
          </w:tcPr>
          <w:p w14:paraId="5D63552A">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14</w:t>
            </w:r>
          </w:p>
        </w:tc>
        <w:tc>
          <w:tcPr>
            <w:tcW w:w="1921" w:type="dxa"/>
            <w:vAlign w:val="center"/>
          </w:tcPr>
          <w:p w14:paraId="46C71A1A">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智能笔</w:t>
            </w:r>
          </w:p>
        </w:tc>
        <w:tc>
          <w:tcPr>
            <w:tcW w:w="9994" w:type="dxa"/>
          </w:tcPr>
          <w:p w14:paraId="5F413C39">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1.外观：笔身造型采用圆润一体化笔型设计，表面采用手感漆工艺便于握持；</w:t>
            </w:r>
          </w:p>
          <w:p w14:paraId="733192C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2.笔身配置</w:t>
            </w:r>
            <w:r>
              <w:rPr>
                <w:rFonts w:hint="eastAsia" w:ascii="宋体" w:hAnsi="宋体" w:eastAsia="宋体" w:cs="宋体"/>
                <w:color w:val="000000"/>
                <w:kern w:val="0"/>
                <w:sz w:val="21"/>
                <w:szCs w:val="21"/>
                <w:lang w:val="en-US" w:eastAsia="zh-CN" w:bidi="ar"/>
              </w:rPr>
              <w:t>多</w:t>
            </w:r>
            <w:r>
              <w:rPr>
                <w:rFonts w:hint="eastAsia" w:ascii="宋体" w:hAnsi="宋体" w:eastAsia="宋体" w:cs="宋体"/>
                <w:color w:val="000000"/>
                <w:kern w:val="0"/>
                <w:sz w:val="21"/>
                <w:szCs w:val="21"/>
                <w:lang w:bidi="ar"/>
              </w:rPr>
              <w:t>个按键，具备上下翻页，智能语音，远程聚光灯/放大，书写颜色切换，</w:t>
            </w:r>
          </w:p>
          <w:p w14:paraId="5806883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3.笔头：</w:t>
            </w:r>
            <w:r>
              <w:rPr>
                <w:rFonts w:hint="eastAsia" w:ascii="宋体" w:hAnsi="宋体" w:eastAsia="宋体" w:cs="宋体"/>
                <w:color w:val="000000"/>
                <w:kern w:val="0"/>
                <w:sz w:val="21"/>
                <w:szCs w:val="21"/>
                <w:lang w:val="en-US" w:eastAsia="zh-CN" w:bidi="ar"/>
              </w:rPr>
              <w:t>笔尖精细，触控灵敏</w:t>
            </w:r>
            <w:r>
              <w:rPr>
                <w:rFonts w:hint="eastAsia" w:ascii="宋体" w:hAnsi="宋体" w:eastAsia="宋体" w:cs="宋体"/>
                <w:color w:val="000000"/>
                <w:kern w:val="0"/>
                <w:sz w:val="21"/>
                <w:szCs w:val="21"/>
                <w:lang w:bidi="ar"/>
              </w:rPr>
              <w:t>；同时支持电容，红外触控设备书写，书写最小精度2mm；</w:t>
            </w:r>
          </w:p>
          <w:p w14:paraId="0DA4F7A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4.笔头：连续书写距离不小于7km；</w:t>
            </w:r>
          </w:p>
          <w:p w14:paraId="0CBCBE2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5.翻页按键：可实现白板软件/ppt/pdf等文档上下翻页；</w:t>
            </w:r>
          </w:p>
          <w:p w14:paraId="69FEBEE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.语音：内置麦克风，支持按键唤醒语音识别功能；</w:t>
            </w:r>
          </w:p>
          <w:p w14:paraId="6CEF5E2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.语音：可进行语音转写输入，支持语音控制屏幕黑屏、亮屏，音量大小调整，返回桌面，截屏，关机等操作。</w:t>
            </w:r>
          </w:p>
          <w:p w14:paraId="35FC69D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.语音：支持白板软件内，通过语音控制：切换书写、擦除、选择模式，最小化返回桌面，打开板中板，清空书写批注等操作；</w:t>
            </w:r>
          </w:p>
          <w:p w14:paraId="2F745AC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.批注：支持按键调起批注功能，可通过按键实现批注颜色切换，长按按键可实现橡皮擦功能。</w:t>
            </w:r>
          </w:p>
          <w:p w14:paraId="1DCC6F8C">
            <w:pPr>
              <w:widowControl/>
              <w:spacing w:line="24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.无线：为保障用户在不同场景使用智能笔，支持无线dongle及蓝牙两种连接方式</w:t>
            </w:r>
            <w:r>
              <w:rPr>
                <w:rFonts w:hint="eastAsia" w:ascii="宋体" w:hAnsi="宋体" w:eastAsia="宋体" w:cs="宋体"/>
                <w:color w:val="000000"/>
                <w:kern w:val="0"/>
                <w:sz w:val="21"/>
                <w:szCs w:val="21"/>
                <w:lang w:val="en-US" w:eastAsia="zh-CN" w:bidi="ar"/>
              </w:rPr>
              <w:t>.</w:t>
            </w:r>
          </w:p>
          <w:p w14:paraId="46E0181D">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.无线：无线dongle&amp;蓝牙连接距离≥12m，上下翻页/语音控制/远程批注实现距离≥12m，覆盖标准教室；</w:t>
            </w:r>
          </w:p>
          <w:p w14:paraId="1E09EA9A">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.充电：内置锂电池，支持type-c充电，待机时间≥60h,连续书写时间≥8h，从无电到满电的充电时长≤1小时；</w:t>
            </w:r>
          </w:p>
          <w:p w14:paraId="4619AFEC">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.自动休眠：支持智能休眠节电，当设备&gt;5min无人操作时，设备自动进入休眠节电模式；</w:t>
            </w:r>
          </w:p>
        </w:tc>
        <w:tc>
          <w:tcPr>
            <w:tcW w:w="916" w:type="dxa"/>
            <w:vAlign w:val="center"/>
          </w:tcPr>
          <w:p w14:paraId="627EC015">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826" w:type="dxa"/>
            <w:vAlign w:val="center"/>
          </w:tcPr>
          <w:p w14:paraId="339BCD2E">
            <w:pPr>
              <w:spacing w:line="24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套</w:t>
            </w:r>
          </w:p>
        </w:tc>
      </w:tr>
      <w:tr w14:paraId="4201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5E572C15">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15</w:t>
            </w:r>
          </w:p>
        </w:tc>
        <w:tc>
          <w:tcPr>
            <w:tcW w:w="1921" w:type="dxa"/>
            <w:vAlign w:val="center"/>
          </w:tcPr>
          <w:p w14:paraId="51430E0D">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24交换机</w:t>
            </w:r>
          </w:p>
        </w:tc>
        <w:tc>
          <w:tcPr>
            <w:tcW w:w="9994" w:type="dxa"/>
          </w:tcPr>
          <w:p w14:paraId="147EDC32">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24个10/100/1000M自适应电口，4个1G SFP光口</w:t>
            </w:r>
          </w:p>
        </w:tc>
        <w:tc>
          <w:tcPr>
            <w:tcW w:w="916" w:type="dxa"/>
            <w:vAlign w:val="center"/>
          </w:tcPr>
          <w:p w14:paraId="61D22AF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26" w:type="dxa"/>
            <w:vAlign w:val="center"/>
          </w:tcPr>
          <w:p w14:paraId="56C7973B">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14:paraId="56CD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4FABB3E5">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16</w:t>
            </w:r>
          </w:p>
        </w:tc>
        <w:tc>
          <w:tcPr>
            <w:tcW w:w="1921" w:type="dxa"/>
            <w:vAlign w:val="center"/>
          </w:tcPr>
          <w:p w14:paraId="09213D46">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空调</w:t>
            </w:r>
          </w:p>
        </w:tc>
        <w:tc>
          <w:tcPr>
            <w:tcW w:w="9994" w:type="dxa"/>
          </w:tcPr>
          <w:p w14:paraId="5B385B2E">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匹空调</w:t>
            </w:r>
          </w:p>
        </w:tc>
        <w:tc>
          <w:tcPr>
            <w:tcW w:w="916" w:type="dxa"/>
            <w:vAlign w:val="center"/>
          </w:tcPr>
          <w:p w14:paraId="1C0EC8C2">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7E38742B">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14:paraId="40C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9" w:type="dxa"/>
            <w:vAlign w:val="center"/>
          </w:tcPr>
          <w:p w14:paraId="27305A74">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17</w:t>
            </w:r>
          </w:p>
        </w:tc>
        <w:tc>
          <w:tcPr>
            <w:tcW w:w="1921" w:type="dxa"/>
            <w:vAlign w:val="center"/>
          </w:tcPr>
          <w:p w14:paraId="050AE212">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UPS电源</w:t>
            </w:r>
          </w:p>
        </w:tc>
        <w:tc>
          <w:tcPr>
            <w:tcW w:w="9994" w:type="dxa"/>
          </w:tcPr>
          <w:p w14:paraId="0D8F7C6C">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1.输入220V</w:t>
            </w:r>
          </w:p>
          <w:p w14:paraId="54A4F155">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2.输出220V</w:t>
            </w:r>
          </w:p>
          <w:p w14:paraId="56CB2943">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3.容量：8000W</w:t>
            </w:r>
          </w:p>
        </w:tc>
        <w:tc>
          <w:tcPr>
            <w:tcW w:w="916" w:type="dxa"/>
            <w:vAlign w:val="center"/>
          </w:tcPr>
          <w:p w14:paraId="4AFAD1F2">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13550C41">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14:paraId="54FA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3509C139">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18</w:t>
            </w:r>
          </w:p>
        </w:tc>
        <w:tc>
          <w:tcPr>
            <w:tcW w:w="1921" w:type="dxa"/>
            <w:vAlign w:val="center"/>
          </w:tcPr>
          <w:p w14:paraId="52467D6D">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蓄电池</w:t>
            </w:r>
          </w:p>
        </w:tc>
        <w:tc>
          <w:tcPr>
            <w:tcW w:w="9994" w:type="dxa"/>
          </w:tcPr>
          <w:p w14:paraId="754690A4">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延时1小时</w:t>
            </w:r>
          </w:p>
        </w:tc>
        <w:tc>
          <w:tcPr>
            <w:tcW w:w="916" w:type="dxa"/>
            <w:vAlign w:val="center"/>
          </w:tcPr>
          <w:p w14:paraId="2F27DFD0">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826" w:type="dxa"/>
            <w:vAlign w:val="center"/>
          </w:tcPr>
          <w:p w14:paraId="27C1E856">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块</w:t>
            </w:r>
          </w:p>
        </w:tc>
      </w:tr>
      <w:tr w14:paraId="2006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3781278B">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19</w:t>
            </w:r>
          </w:p>
        </w:tc>
        <w:tc>
          <w:tcPr>
            <w:tcW w:w="1921" w:type="dxa"/>
            <w:vAlign w:val="center"/>
          </w:tcPr>
          <w:p w14:paraId="70D6C6D3">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电池柜</w:t>
            </w:r>
          </w:p>
        </w:tc>
        <w:tc>
          <w:tcPr>
            <w:tcW w:w="9994" w:type="dxa"/>
          </w:tcPr>
          <w:p w14:paraId="7A9689DB">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500*800*1210mm长宽高</w:t>
            </w:r>
          </w:p>
        </w:tc>
        <w:tc>
          <w:tcPr>
            <w:tcW w:w="916" w:type="dxa"/>
            <w:vAlign w:val="center"/>
          </w:tcPr>
          <w:p w14:paraId="7C33847A">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5F6E2824">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套</w:t>
            </w:r>
          </w:p>
        </w:tc>
      </w:tr>
      <w:tr w14:paraId="2615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413D5DB2">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20</w:t>
            </w:r>
          </w:p>
        </w:tc>
        <w:tc>
          <w:tcPr>
            <w:tcW w:w="1921" w:type="dxa"/>
            <w:vAlign w:val="center"/>
          </w:tcPr>
          <w:p w14:paraId="6A404CF4">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机柜</w:t>
            </w:r>
          </w:p>
        </w:tc>
        <w:tc>
          <w:tcPr>
            <w:tcW w:w="9994" w:type="dxa"/>
          </w:tcPr>
          <w:p w14:paraId="3FD51DEF">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600*600*1200，前后网门</w:t>
            </w:r>
          </w:p>
        </w:tc>
        <w:tc>
          <w:tcPr>
            <w:tcW w:w="916" w:type="dxa"/>
            <w:vAlign w:val="center"/>
          </w:tcPr>
          <w:p w14:paraId="6DEA25E0">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6" w:type="dxa"/>
            <w:vAlign w:val="center"/>
          </w:tcPr>
          <w:p w14:paraId="4ABBEA3A">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r>
      <w:tr w14:paraId="296B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79" w:type="dxa"/>
            <w:vAlign w:val="center"/>
          </w:tcPr>
          <w:p w14:paraId="2267285B">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21</w:t>
            </w:r>
          </w:p>
        </w:tc>
        <w:tc>
          <w:tcPr>
            <w:tcW w:w="1921" w:type="dxa"/>
            <w:vAlign w:val="center"/>
          </w:tcPr>
          <w:p w14:paraId="6A83EA5F">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超五类网线</w:t>
            </w:r>
          </w:p>
        </w:tc>
        <w:tc>
          <w:tcPr>
            <w:tcW w:w="9994" w:type="dxa"/>
          </w:tcPr>
          <w:p w14:paraId="61C32B02">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超五类非屏蔽网线</w:t>
            </w:r>
          </w:p>
        </w:tc>
        <w:tc>
          <w:tcPr>
            <w:tcW w:w="916" w:type="dxa"/>
            <w:vAlign w:val="center"/>
          </w:tcPr>
          <w:p w14:paraId="1755C62B">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826" w:type="dxa"/>
            <w:vAlign w:val="center"/>
          </w:tcPr>
          <w:p w14:paraId="50A01C50">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箱</w:t>
            </w:r>
          </w:p>
        </w:tc>
      </w:tr>
      <w:tr w14:paraId="578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0A18E10F">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22</w:t>
            </w:r>
          </w:p>
        </w:tc>
        <w:tc>
          <w:tcPr>
            <w:tcW w:w="1921" w:type="dxa"/>
            <w:vAlign w:val="center"/>
          </w:tcPr>
          <w:p w14:paraId="777EAC07">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水晶头</w:t>
            </w:r>
          </w:p>
        </w:tc>
        <w:tc>
          <w:tcPr>
            <w:tcW w:w="9994" w:type="dxa"/>
          </w:tcPr>
          <w:p w14:paraId="519A6F7E">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超五类非屏蔽水晶头</w:t>
            </w:r>
          </w:p>
        </w:tc>
        <w:tc>
          <w:tcPr>
            <w:tcW w:w="916" w:type="dxa"/>
            <w:vAlign w:val="center"/>
          </w:tcPr>
          <w:p w14:paraId="2CB424CB">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826" w:type="dxa"/>
            <w:vAlign w:val="center"/>
          </w:tcPr>
          <w:p w14:paraId="15F4486E">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盒</w:t>
            </w:r>
          </w:p>
        </w:tc>
      </w:tr>
      <w:tr w14:paraId="3A9E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 w:type="dxa"/>
            <w:vAlign w:val="center"/>
          </w:tcPr>
          <w:p w14:paraId="18BFE8B0">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23</w:t>
            </w:r>
          </w:p>
        </w:tc>
        <w:tc>
          <w:tcPr>
            <w:tcW w:w="1921" w:type="dxa"/>
            <w:vAlign w:val="center"/>
          </w:tcPr>
          <w:p w14:paraId="154E6D19">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辅料</w:t>
            </w:r>
          </w:p>
        </w:tc>
        <w:tc>
          <w:tcPr>
            <w:tcW w:w="9994" w:type="dxa"/>
          </w:tcPr>
          <w:p w14:paraId="7CBC24A8">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3*2.5电源线，3*10电源线，100*50桥架，空开箱，5KG二氧化碳灭火器*6，插排，空开，JDG管等满足现场使用。</w:t>
            </w:r>
          </w:p>
        </w:tc>
        <w:tc>
          <w:tcPr>
            <w:tcW w:w="916" w:type="dxa"/>
            <w:vAlign w:val="center"/>
          </w:tcPr>
          <w:p w14:paraId="58D7334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26" w:type="dxa"/>
            <w:vAlign w:val="center"/>
          </w:tcPr>
          <w:p w14:paraId="52D7C499">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批</w:t>
            </w:r>
          </w:p>
        </w:tc>
      </w:tr>
      <w:tr w14:paraId="41B7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5AA085F2">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24</w:t>
            </w:r>
          </w:p>
        </w:tc>
        <w:tc>
          <w:tcPr>
            <w:tcW w:w="1921" w:type="dxa"/>
            <w:vAlign w:val="center"/>
          </w:tcPr>
          <w:p w14:paraId="0468BED6">
            <w:pPr>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静电地板</w:t>
            </w:r>
          </w:p>
        </w:tc>
        <w:tc>
          <w:tcPr>
            <w:tcW w:w="9994" w:type="dxa"/>
          </w:tcPr>
          <w:p w14:paraId="4D79250A">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1.全钢防静电地板，尺寸600×600×40mm，四周导电胶条封边，边角圆角防磕碰，钢板镀锌防锈，内部高强度填充基材。</w:t>
            </w:r>
          </w:p>
          <w:p w14:paraId="71077B04">
            <w:pPr>
              <w:keepNext w:val="0"/>
              <w:keepLines w:val="0"/>
              <w:widowControl/>
              <w:suppressLineNumbers w:val="0"/>
              <w:spacing w:line="240" w:lineRule="auto"/>
              <w:jc w:val="left"/>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2.集中荷载≥3000N，均布荷载≥12000N/㎡，3000N加载挠度≤2mm，承重稳定、不易变形，适配桌椅、电脑设备长期使用</w:t>
            </w:r>
            <w:r>
              <w:rPr>
                <w:rFonts w:hint="eastAsia" w:ascii="宋体" w:hAnsi="宋体" w:eastAsia="宋体" w:cs="宋体"/>
                <w:sz w:val="21"/>
                <w:szCs w:val="21"/>
                <w:lang w:eastAsia="zh-CN"/>
              </w:rPr>
              <w:t>。</w:t>
            </w:r>
          </w:p>
          <w:p w14:paraId="22CA5F9A">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3.</w:t>
            </w:r>
            <w:r>
              <w:rPr>
                <w:rFonts w:hint="eastAsia" w:ascii="宋体" w:hAnsi="宋体" w:eastAsia="宋体" w:cs="宋体"/>
                <w:color w:val="000000"/>
                <w:kern w:val="0"/>
                <w:sz w:val="21"/>
                <w:szCs w:val="21"/>
                <w:lang w:val="en-US" w:eastAsia="zh-CN" w:bidi="ar"/>
              </w:rPr>
              <w:t>面板防火等级A级，填充材料B1级及以上；甲醛释放量达E1级环保标准，无异味、无毒无害，适配校园室内环境。</w:t>
            </w:r>
          </w:p>
          <w:p w14:paraId="308A3871">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4.系统/表面电阻：1.0×10⁶～1.0×10⁹Ω；静电衰减时间≤0.5s；系统接地电阻≤1Ω，符合国标防静电耗散标准。</w:t>
            </w:r>
          </w:p>
        </w:tc>
        <w:tc>
          <w:tcPr>
            <w:tcW w:w="916" w:type="dxa"/>
            <w:vAlign w:val="center"/>
          </w:tcPr>
          <w:p w14:paraId="13F7A95C">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826" w:type="dxa"/>
            <w:vAlign w:val="center"/>
          </w:tcPr>
          <w:p w14:paraId="4F6E9CEF">
            <w:pPr>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14:paraId="75E2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79" w:type="dxa"/>
            <w:vAlign w:val="center"/>
          </w:tcPr>
          <w:p w14:paraId="7EFE907A">
            <w:pPr>
              <w:numPr>
                <w:ilvl w:val="0"/>
                <w:numId w:val="0"/>
              </w:numPr>
              <w:spacing w:line="240" w:lineRule="auto"/>
              <w:ind w:left="425" w:leftChars="0" w:hanging="425" w:firstLineChars="0"/>
              <w:jc w:val="center"/>
              <w:rPr>
                <w:rFonts w:hint="eastAsia" w:ascii="宋体" w:hAnsi="宋体" w:eastAsia="宋体" w:cs="宋体"/>
                <w:sz w:val="21"/>
                <w:szCs w:val="21"/>
              </w:rPr>
            </w:pPr>
            <w:r>
              <w:rPr>
                <w:rFonts w:hint="default" w:ascii="宋体" w:hAnsi="宋体" w:eastAsia="宋体" w:cs="宋体"/>
                <w:kern w:val="2"/>
                <w:sz w:val="21"/>
                <w:szCs w:val="21"/>
                <w:lang w:val="en-US" w:eastAsia="zh-CN" w:bidi="ar-SA"/>
              </w:rPr>
              <w:t>25</w:t>
            </w:r>
          </w:p>
        </w:tc>
        <w:tc>
          <w:tcPr>
            <w:tcW w:w="1921" w:type="dxa"/>
            <w:vAlign w:val="center"/>
          </w:tcPr>
          <w:p w14:paraId="5B3F8A40">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辅材</w:t>
            </w:r>
          </w:p>
        </w:tc>
        <w:tc>
          <w:tcPr>
            <w:tcW w:w="9994" w:type="dxa"/>
          </w:tcPr>
          <w:p w14:paraId="2FA7A453">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膨胀螺栓、扎带、标签纸、桥架配件等</w:t>
            </w:r>
          </w:p>
        </w:tc>
        <w:tc>
          <w:tcPr>
            <w:tcW w:w="916" w:type="dxa"/>
            <w:vAlign w:val="center"/>
          </w:tcPr>
          <w:p w14:paraId="4D57CD4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26" w:type="dxa"/>
            <w:vAlign w:val="center"/>
          </w:tcPr>
          <w:p w14:paraId="3C6B27C9">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r>
      <w:tr w14:paraId="75EA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79" w:type="dxa"/>
            <w:vAlign w:val="center"/>
          </w:tcPr>
          <w:p w14:paraId="7F332457">
            <w:pPr>
              <w:numPr>
                <w:ilvl w:val="0"/>
                <w:numId w:val="0"/>
              </w:numPr>
              <w:spacing w:line="240" w:lineRule="auto"/>
              <w:ind w:leftChars="0"/>
              <w:jc w:val="center"/>
              <w:rPr>
                <w:rFonts w:hint="eastAsia" w:ascii="宋体" w:hAnsi="宋体" w:eastAsia="宋体" w:cs="宋体"/>
                <w:sz w:val="21"/>
                <w:szCs w:val="21"/>
              </w:rPr>
            </w:pPr>
          </w:p>
        </w:tc>
        <w:tc>
          <w:tcPr>
            <w:tcW w:w="1921" w:type="dxa"/>
            <w:vAlign w:val="center"/>
          </w:tcPr>
          <w:p w14:paraId="680621DA">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施工</w:t>
            </w:r>
          </w:p>
        </w:tc>
        <w:tc>
          <w:tcPr>
            <w:tcW w:w="9994" w:type="dxa"/>
          </w:tcPr>
          <w:p w14:paraId="4E4D98F6">
            <w:pPr>
              <w:spacing w:line="240" w:lineRule="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搬运、设备安装、设备间隔断、静电地板修复等</w:t>
            </w:r>
          </w:p>
        </w:tc>
        <w:tc>
          <w:tcPr>
            <w:tcW w:w="916" w:type="dxa"/>
            <w:vAlign w:val="center"/>
          </w:tcPr>
          <w:p w14:paraId="11F1FD5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26" w:type="dxa"/>
            <w:vAlign w:val="center"/>
          </w:tcPr>
          <w:p w14:paraId="0B91DD7D">
            <w:pPr>
              <w:spacing w:line="24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w:t>
            </w:r>
          </w:p>
        </w:tc>
      </w:tr>
    </w:tbl>
    <w:p w14:paraId="46CE85F5">
      <w:pPr>
        <w:pStyle w:val="50"/>
        <w:spacing w:before="156" w:after="156"/>
        <w:ind w:left="480" w:firstLine="0"/>
        <w:rPr>
          <w:highlight w:val="none"/>
        </w:rPr>
      </w:pPr>
      <w:r>
        <w:rPr>
          <w:rFonts w:hint="eastAsia"/>
          <w:highlight w:val="none"/>
        </w:rPr>
        <w:t>注：</w:t>
      </w:r>
    </w:p>
    <w:p w14:paraId="7BF5ECC7">
      <w:pPr>
        <w:pStyle w:val="50"/>
        <w:numPr>
          <w:ilvl w:val="0"/>
          <w:numId w:val="5"/>
        </w:numPr>
        <w:spacing w:before="156" w:after="156"/>
      </w:pPr>
      <w:r>
        <w:rPr>
          <w:rFonts w:hint="eastAsia"/>
        </w:rPr>
        <w:t>本项目所有参数必须全部满足，任何负偏离都可能导致废标。</w:t>
      </w:r>
    </w:p>
    <w:p w14:paraId="24899A43">
      <w:pPr>
        <w:pStyle w:val="50"/>
        <w:numPr>
          <w:ilvl w:val="0"/>
          <w:numId w:val="5"/>
        </w:numPr>
        <w:spacing w:before="156" w:after="156"/>
      </w:pPr>
      <w:r>
        <w:t>本项目质保期：</w:t>
      </w:r>
      <w:r>
        <w:rPr>
          <w:rFonts w:hint="eastAsia"/>
        </w:rPr>
        <w:t>1年。</w:t>
      </w:r>
    </w:p>
    <w:p w14:paraId="4DEFBB81">
      <w:pPr>
        <w:pStyle w:val="50"/>
        <w:numPr>
          <w:ilvl w:val="0"/>
          <w:numId w:val="5"/>
        </w:numPr>
        <w:spacing w:before="156" w:after="156"/>
      </w:pPr>
      <w:r>
        <w:rPr>
          <w:rFonts w:hint="eastAsia"/>
        </w:rPr>
        <w:t>本项目</w:t>
      </w:r>
      <w:r>
        <w:t>核心产品：</w:t>
      </w:r>
      <w:r>
        <w:rPr>
          <w:rFonts w:hint="eastAsia"/>
        </w:rPr>
        <w:t>学生</w:t>
      </w:r>
      <w:r>
        <w:t>电脑及教师电脑</w:t>
      </w:r>
      <w:r>
        <w:rPr>
          <w:rFonts w:hint="eastAsia"/>
        </w:rPr>
        <w:t>。</w:t>
      </w:r>
    </w:p>
    <w:p w14:paraId="00F9226D">
      <w:pPr>
        <w:pStyle w:val="50"/>
        <w:numPr>
          <w:ilvl w:val="0"/>
          <w:numId w:val="5"/>
        </w:numPr>
        <w:spacing w:before="156" w:after="156"/>
      </w:pPr>
      <w:r>
        <w:rPr>
          <w:rFonts w:hint="eastAsia"/>
        </w:rPr>
        <w:t>投标人</w:t>
      </w:r>
      <w:r>
        <w:t>的投标总价应包含</w:t>
      </w:r>
      <w:r>
        <w:rPr>
          <w:rFonts w:hint="eastAsia"/>
        </w:rPr>
        <w:t>本项目所有</w:t>
      </w:r>
      <w:r>
        <w:t>设备能够满足使用要求的全部材料、施工、辅材的价格，</w:t>
      </w:r>
      <w:r>
        <w:rPr>
          <w:rFonts w:hint="eastAsia"/>
        </w:rPr>
        <w:t>投标人</w:t>
      </w:r>
      <w:r>
        <w:t>不</w:t>
      </w:r>
      <w:r>
        <w:rPr>
          <w:rFonts w:hint="eastAsia"/>
        </w:rPr>
        <w:t>得</w:t>
      </w:r>
      <w:r>
        <w:t>以任何理由要求招标人增加预算。</w:t>
      </w:r>
    </w:p>
    <w:p w14:paraId="70AA6BEA">
      <w:pPr>
        <w:pStyle w:val="50"/>
        <w:numPr>
          <w:ilvl w:val="0"/>
          <w:numId w:val="5"/>
        </w:numPr>
        <w:spacing w:before="156" w:after="156"/>
      </w:pPr>
      <w:r>
        <w:rPr>
          <w:rFonts w:hint="eastAsia"/>
        </w:rPr>
        <w:t>本项目</w:t>
      </w:r>
      <w:r>
        <w:t>设备需安装到多个地点，</w:t>
      </w:r>
      <w:r>
        <w:rPr>
          <w:rFonts w:hint="eastAsia"/>
        </w:rPr>
        <w:t>需要中标</w:t>
      </w:r>
      <w:r>
        <w:t>供应商将货物送到指定地点，并安装调试完毕。</w:t>
      </w:r>
    </w:p>
    <w:p w14:paraId="54FAD250">
      <w:pPr>
        <w:pStyle w:val="50"/>
        <w:numPr>
          <w:ilvl w:val="0"/>
          <w:numId w:val="5"/>
        </w:numPr>
        <w:spacing w:before="156" w:after="156"/>
      </w:pPr>
      <w:r>
        <w:rPr>
          <w:rFonts w:hint="eastAsia"/>
        </w:rPr>
        <w:t>投标人</w:t>
      </w:r>
      <w:r>
        <w:t>必须如实提交响应参数，</w:t>
      </w:r>
      <w:r>
        <w:rPr>
          <w:rFonts w:hint="eastAsia"/>
        </w:rPr>
        <w:t>如供应商提供虚假参数，成交的供应商采购人有权拒绝与其签署合同，并追究其法律责任，未成交供应商视为其虚假响应，并</w:t>
      </w:r>
      <w:bookmarkStart w:id="411" w:name="OLE_LINK1"/>
      <w:bookmarkStart w:id="412" w:name="OLE_LINK2"/>
      <w:r>
        <w:rPr>
          <w:rFonts w:hint="eastAsia"/>
        </w:rPr>
        <w:t>将此虚假响应情况报送主管部门处理</w:t>
      </w:r>
      <w:bookmarkEnd w:id="411"/>
      <w:bookmarkEnd w:id="412"/>
      <w:r>
        <w:rPr>
          <w:rFonts w:hint="eastAsia"/>
        </w:rPr>
        <w:t>。</w:t>
      </w:r>
    </w:p>
    <w:p w14:paraId="3563386E">
      <w:pPr>
        <w:pStyle w:val="50"/>
        <w:numPr>
          <w:ilvl w:val="0"/>
          <w:numId w:val="5"/>
        </w:numPr>
        <w:spacing w:before="156" w:after="156"/>
      </w:pPr>
      <w:r>
        <w:rPr>
          <w:rFonts w:hint="eastAsia"/>
        </w:rPr>
        <w:t>投标</w:t>
      </w:r>
      <w:r>
        <w:t>结束后</w:t>
      </w:r>
      <w:r>
        <w:rPr>
          <w:rFonts w:hint="eastAsia"/>
        </w:rPr>
        <w:t>，</w:t>
      </w:r>
      <w:r>
        <w:t>招标人有权</w:t>
      </w:r>
      <w:r>
        <w:rPr>
          <w:rFonts w:hint="eastAsia"/>
        </w:rPr>
        <w:t>要求</w:t>
      </w:r>
      <w:r>
        <w:t>中标候选人提供全部或部分产品的样品进行</w:t>
      </w:r>
      <w:r>
        <w:rPr>
          <w:rFonts w:hint="eastAsia"/>
        </w:rPr>
        <w:t>检测</w:t>
      </w:r>
      <w:r>
        <w:t>或测试，</w:t>
      </w:r>
      <w:r>
        <w:rPr>
          <w:rFonts w:hint="eastAsia"/>
        </w:rPr>
        <w:t>若</w:t>
      </w:r>
      <w:r>
        <w:t>所提供的样品与投标参数不一致，</w:t>
      </w:r>
      <w:bookmarkStart w:id="413" w:name="OLE_LINK3"/>
      <w:bookmarkStart w:id="414" w:name="OLE_LINK4"/>
      <w:r>
        <w:t>将取消</w:t>
      </w:r>
      <w:r>
        <w:rPr>
          <w:rFonts w:hint="eastAsia"/>
        </w:rPr>
        <w:t>其</w:t>
      </w:r>
      <w:r>
        <w:t>中标候选人</w:t>
      </w:r>
      <w:r>
        <w:rPr>
          <w:rFonts w:hint="eastAsia"/>
        </w:rPr>
        <w:t>资格并将此虚假响应情况报送主管部门，</w:t>
      </w:r>
      <w:r>
        <w:t>涉及法律责任的追究其法律责任。同时中标候选人顺延。</w:t>
      </w:r>
      <w:bookmarkEnd w:id="413"/>
      <w:bookmarkEnd w:id="414"/>
    </w:p>
    <w:p w14:paraId="3A78A6FB">
      <w:pPr>
        <w:pStyle w:val="50"/>
        <w:numPr>
          <w:ilvl w:val="0"/>
          <w:numId w:val="5"/>
        </w:numPr>
        <w:spacing w:before="156" w:after="156"/>
      </w:pPr>
      <w:r>
        <w:rPr>
          <w:rFonts w:hint="eastAsia"/>
        </w:rPr>
        <w:t>投标</w:t>
      </w:r>
      <w:r>
        <w:t>结束后，招标人有权要求中标候选人证明</w:t>
      </w:r>
      <w:r>
        <w:rPr>
          <w:rFonts w:hint="eastAsia"/>
        </w:rPr>
        <w:t>其</w:t>
      </w:r>
      <w:r>
        <w:t>投标文件所列</w:t>
      </w:r>
      <w:r>
        <w:rPr>
          <w:rFonts w:hint="eastAsia"/>
        </w:rPr>
        <w:t>检测报告等</w:t>
      </w:r>
      <w:r>
        <w:t>证明材料</w:t>
      </w:r>
      <w:r>
        <w:rPr>
          <w:rFonts w:hint="eastAsia"/>
        </w:rPr>
        <w:t>的</w:t>
      </w:r>
      <w:r>
        <w:t>真实性</w:t>
      </w:r>
      <w:r>
        <w:rPr>
          <w:rFonts w:hint="eastAsia"/>
        </w:rPr>
        <w:t>，</w:t>
      </w:r>
      <w:r>
        <w:t>如</w:t>
      </w:r>
      <w:r>
        <w:rPr>
          <w:rFonts w:hint="eastAsia"/>
        </w:rPr>
        <w:t>投标人</w:t>
      </w:r>
      <w:r>
        <w:t>不能按招标人要求提供</w:t>
      </w:r>
      <w:r>
        <w:rPr>
          <w:rFonts w:hint="eastAsia"/>
        </w:rPr>
        <w:t>相关</w:t>
      </w:r>
      <w:r>
        <w:t>证据，将取消</w:t>
      </w:r>
      <w:r>
        <w:rPr>
          <w:rFonts w:hint="eastAsia"/>
        </w:rPr>
        <w:t>其</w:t>
      </w:r>
      <w:r>
        <w:t>中标候选人</w:t>
      </w:r>
      <w:r>
        <w:rPr>
          <w:rFonts w:hint="eastAsia"/>
        </w:rPr>
        <w:t>资格并将此虚假响应情况报送主管部门，</w:t>
      </w:r>
      <w:r>
        <w:t>涉及法律责任的追究其法律责任。同时中标候选人顺延。</w:t>
      </w:r>
    </w:p>
    <w:p w14:paraId="41AACEEA"/>
    <w:p w14:paraId="5672B751">
      <w:pPr>
        <w:rPr>
          <w:rFonts w:hint="eastAsia" w:ascii="宋体" w:hAnsi="宋体" w:eastAsia="宋体" w:cs="宋体"/>
          <w:sz w:val="32"/>
          <w:szCs w:val="32"/>
          <w:highlight w:val="yellow"/>
        </w:rPr>
      </w:pPr>
    </w:p>
    <w:p w14:paraId="0D0EAF04">
      <w:pPr>
        <w:pStyle w:val="27"/>
        <w:numPr>
          <w:ilvl w:val="0"/>
          <w:numId w:val="0"/>
        </w:numPr>
        <w:rPr>
          <w:highlight w:val="yellow"/>
        </w:rPr>
      </w:pPr>
    </w:p>
    <w:p w14:paraId="24253BDF">
      <w:pPr>
        <w:pageBreakBefore w:val="0"/>
        <w:kinsoku/>
        <w:wordWrap w:val="0"/>
        <w:overflowPunct/>
        <w:bidi w:val="0"/>
        <w:jc w:val="center"/>
        <w:rPr>
          <w:rFonts w:hint="eastAsia" w:ascii="宋体"/>
          <w:highlight w:val="yellow"/>
        </w:rPr>
        <w:sectPr>
          <w:pgSz w:w="16840" w:h="11907" w:orient="landscape"/>
          <w:pgMar w:top="1418" w:right="1134" w:bottom="1418" w:left="1134" w:header="567" w:footer="567" w:gutter="0"/>
          <w:pgNumType w:fmt="decimal"/>
          <w:cols w:space="720" w:num="1"/>
          <w:titlePg/>
          <w:docGrid w:linePitch="312" w:charSpace="0"/>
        </w:sectPr>
      </w:pPr>
    </w:p>
    <w:bookmarkEnd w:id="404"/>
    <w:bookmarkEnd w:id="405"/>
    <w:bookmarkEnd w:id="406"/>
    <w:bookmarkEnd w:id="407"/>
    <w:p w14:paraId="407A7858">
      <w:pPr>
        <w:pageBreakBefore w:val="0"/>
        <w:kinsoku/>
        <w:wordWrap w:val="0"/>
        <w:overflowPunct/>
        <w:bidi w:val="0"/>
        <w:jc w:val="center"/>
        <w:outlineLvl w:val="0"/>
        <w:rPr>
          <w:rFonts w:hint="eastAsia"/>
          <w:highlight w:val="none"/>
        </w:rPr>
      </w:pPr>
      <w:bookmarkStart w:id="415" w:name="_Toc247085872"/>
      <w:bookmarkStart w:id="416" w:name="_Toc152042575"/>
      <w:bookmarkStart w:id="417" w:name="_Toc468267479"/>
      <w:bookmarkStart w:id="418" w:name="_Toc152045786"/>
      <w:bookmarkStart w:id="419" w:name="_Toc20598"/>
      <w:bookmarkStart w:id="420" w:name="_Toc246997097"/>
      <w:bookmarkStart w:id="421" w:name="_Toc179632806"/>
      <w:bookmarkStart w:id="422" w:name="_Toc5666"/>
      <w:bookmarkStart w:id="423" w:name="_Toc77166520"/>
      <w:bookmarkStart w:id="424" w:name="_Toc144974855"/>
      <w:bookmarkStart w:id="425" w:name="_Toc246996354"/>
      <w:r>
        <w:rPr>
          <w:rFonts w:hint="eastAsia"/>
          <w:b/>
          <w:bCs/>
          <w:kern w:val="44"/>
          <w:sz w:val="44"/>
          <w:szCs w:val="44"/>
          <w:highlight w:val="none"/>
        </w:rPr>
        <w:t>第六章 投标文件格式</w:t>
      </w:r>
      <w:bookmarkEnd w:id="415"/>
      <w:bookmarkEnd w:id="416"/>
      <w:bookmarkEnd w:id="417"/>
      <w:bookmarkEnd w:id="418"/>
      <w:bookmarkEnd w:id="419"/>
      <w:bookmarkEnd w:id="420"/>
      <w:bookmarkEnd w:id="421"/>
      <w:bookmarkEnd w:id="422"/>
      <w:bookmarkEnd w:id="423"/>
      <w:bookmarkEnd w:id="424"/>
      <w:bookmarkEnd w:id="425"/>
    </w:p>
    <w:p w14:paraId="774DCD13">
      <w:pPr>
        <w:pageBreakBefore w:val="0"/>
        <w:kinsoku/>
        <w:wordWrap w:val="0"/>
        <w:overflowPunct/>
        <w:bidi w:val="0"/>
        <w:spacing w:line="300" w:lineRule="auto"/>
        <w:rPr>
          <w:rFonts w:hint="eastAsia"/>
          <w:highlight w:val="none"/>
        </w:rPr>
      </w:pPr>
    </w:p>
    <w:p w14:paraId="278BE390">
      <w:pPr>
        <w:pageBreakBefore w:val="0"/>
        <w:kinsoku/>
        <w:wordWrap w:val="0"/>
        <w:overflowPunct/>
        <w:bidi w:val="0"/>
        <w:spacing w:line="300" w:lineRule="auto"/>
        <w:rPr>
          <w:rFonts w:eastAsia="黑体"/>
          <w:sz w:val="20"/>
          <w:szCs w:val="20"/>
          <w:highlight w:val="none"/>
        </w:rPr>
      </w:pPr>
    </w:p>
    <w:p w14:paraId="537CFF0A">
      <w:pPr>
        <w:pageBreakBefore w:val="0"/>
        <w:kinsoku/>
        <w:wordWrap w:val="0"/>
        <w:overflowPunct/>
        <w:bidi w:val="0"/>
        <w:spacing w:after="120" w:line="700" w:lineRule="exact"/>
        <w:ind w:firstLine="1248" w:firstLineChars="444"/>
        <w:outlineLvl w:val="0"/>
        <w:rPr>
          <w:rFonts w:hint="eastAsia" w:ascii="宋体"/>
          <w:b/>
          <w:sz w:val="36"/>
          <w:szCs w:val="36"/>
          <w:highlight w:val="none"/>
        </w:rPr>
      </w:pPr>
      <w:r>
        <w:rPr>
          <w:rFonts w:hint="eastAsia" w:ascii="宋体"/>
          <w:b/>
          <w:sz w:val="28"/>
          <w:szCs w:val="28"/>
          <w:highlight w:val="none"/>
          <w:u w:val="single"/>
        </w:rPr>
        <w:t xml:space="preserve">                </w:t>
      </w:r>
      <w:bookmarkStart w:id="426" w:name="_Toc12915"/>
      <w:bookmarkStart w:id="427" w:name="_Toc936"/>
      <w:r>
        <w:rPr>
          <w:rFonts w:hint="eastAsia" w:ascii="宋体"/>
          <w:b/>
          <w:sz w:val="28"/>
          <w:szCs w:val="28"/>
          <w:highlight w:val="none"/>
          <w:u w:val="single"/>
        </w:rPr>
        <w:t>(招标项目名称)</w:t>
      </w:r>
      <w:bookmarkEnd w:id="426"/>
      <w:bookmarkEnd w:id="427"/>
      <w:r>
        <w:rPr>
          <w:rFonts w:hint="eastAsia" w:ascii="宋体"/>
          <w:b/>
          <w:sz w:val="28"/>
          <w:szCs w:val="28"/>
          <w:highlight w:val="none"/>
          <w:u w:val="single"/>
        </w:rPr>
        <w:t xml:space="preserve">               </w:t>
      </w:r>
    </w:p>
    <w:p w14:paraId="453A9F31">
      <w:pPr>
        <w:pageBreakBefore w:val="0"/>
        <w:kinsoku/>
        <w:wordWrap w:val="0"/>
        <w:overflowPunct/>
        <w:bidi w:val="0"/>
        <w:spacing w:after="120" w:line="700" w:lineRule="exact"/>
        <w:jc w:val="center"/>
        <w:rPr>
          <w:rFonts w:hint="eastAsia" w:ascii="宋体"/>
          <w:szCs w:val="21"/>
          <w:highlight w:val="none"/>
        </w:rPr>
      </w:pPr>
    </w:p>
    <w:p w14:paraId="37D5106A">
      <w:pPr>
        <w:pageBreakBefore w:val="0"/>
        <w:kinsoku/>
        <w:wordWrap w:val="0"/>
        <w:overflowPunct/>
        <w:bidi w:val="0"/>
        <w:spacing w:after="120" w:line="700" w:lineRule="exact"/>
        <w:jc w:val="center"/>
        <w:rPr>
          <w:rFonts w:hint="eastAsia" w:ascii="宋体"/>
          <w:szCs w:val="21"/>
          <w:highlight w:val="none"/>
        </w:rPr>
      </w:pPr>
    </w:p>
    <w:p w14:paraId="7E111056">
      <w:pPr>
        <w:pageBreakBefore w:val="0"/>
        <w:kinsoku/>
        <w:wordWrap w:val="0"/>
        <w:overflowPunct/>
        <w:bidi w:val="0"/>
        <w:spacing w:after="120" w:line="700" w:lineRule="exact"/>
        <w:jc w:val="center"/>
        <w:outlineLvl w:val="0"/>
        <w:rPr>
          <w:rFonts w:hint="eastAsia" w:ascii="宋体"/>
          <w:b/>
          <w:sz w:val="44"/>
          <w:szCs w:val="44"/>
          <w:highlight w:val="none"/>
        </w:rPr>
      </w:pPr>
      <w:bookmarkStart w:id="428" w:name="_Toc2233"/>
      <w:bookmarkStart w:id="429" w:name="_Toc17063"/>
      <w:r>
        <w:rPr>
          <w:rFonts w:hint="eastAsia" w:ascii="宋体"/>
          <w:b/>
          <w:sz w:val="44"/>
          <w:szCs w:val="44"/>
          <w:highlight w:val="none"/>
        </w:rPr>
        <w:t>投标文件</w:t>
      </w:r>
      <w:bookmarkEnd w:id="428"/>
      <w:bookmarkEnd w:id="429"/>
    </w:p>
    <w:p w14:paraId="65F7589A">
      <w:pPr>
        <w:pageBreakBefore w:val="0"/>
        <w:kinsoku/>
        <w:wordWrap w:val="0"/>
        <w:overflowPunct/>
        <w:bidi w:val="0"/>
        <w:spacing w:after="120" w:line="440" w:lineRule="exact"/>
        <w:ind w:firstLine="3360" w:firstLineChars="1400"/>
        <w:rPr>
          <w:rFonts w:hint="eastAsia" w:ascii="宋体"/>
          <w:sz w:val="24"/>
          <w:highlight w:val="none"/>
        </w:rPr>
      </w:pPr>
    </w:p>
    <w:p w14:paraId="0ED9C792">
      <w:pPr>
        <w:pageBreakBefore w:val="0"/>
        <w:kinsoku/>
        <w:wordWrap w:val="0"/>
        <w:overflowPunct/>
        <w:bidi w:val="0"/>
        <w:spacing w:after="120" w:line="440" w:lineRule="exact"/>
        <w:ind w:firstLine="3360" w:firstLineChars="1400"/>
        <w:rPr>
          <w:rFonts w:hint="eastAsia" w:ascii="宋体"/>
          <w:sz w:val="24"/>
          <w:highlight w:val="none"/>
        </w:rPr>
      </w:pPr>
      <w:r>
        <w:rPr>
          <w:rFonts w:hint="eastAsia" w:ascii="宋体"/>
          <w:sz w:val="24"/>
          <w:highlight w:val="none"/>
        </w:rPr>
        <w:t>招标项目编号：</w:t>
      </w:r>
    </w:p>
    <w:p w14:paraId="6E5444B9">
      <w:pPr>
        <w:pageBreakBefore w:val="0"/>
        <w:kinsoku/>
        <w:wordWrap w:val="0"/>
        <w:overflowPunct/>
        <w:bidi w:val="0"/>
        <w:spacing w:after="120" w:line="440" w:lineRule="exact"/>
        <w:jc w:val="center"/>
        <w:rPr>
          <w:rFonts w:hint="eastAsia" w:ascii="宋体"/>
          <w:szCs w:val="21"/>
          <w:highlight w:val="none"/>
        </w:rPr>
      </w:pPr>
    </w:p>
    <w:p w14:paraId="34C7F3A4">
      <w:pPr>
        <w:pageBreakBefore w:val="0"/>
        <w:kinsoku/>
        <w:wordWrap w:val="0"/>
        <w:overflowPunct/>
        <w:bidi w:val="0"/>
        <w:spacing w:after="120" w:line="440" w:lineRule="exact"/>
        <w:jc w:val="center"/>
        <w:rPr>
          <w:rFonts w:hint="eastAsia" w:ascii="宋体"/>
          <w:szCs w:val="21"/>
          <w:highlight w:val="none"/>
        </w:rPr>
      </w:pPr>
    </w:p>
    <w:p w14:paraId="1561626B">
      <w:pPr>
        <w:pageBreakBefore w:val="0"/>
        <w:kinsoku/>
        <w:wordWrap w:val="0"/>
        <w:overflowPunct/>
        <w:bidi w:val="0"/>
        <w:spacing w:line="440" w:lineRule="exact"/>
        <w:ind w:firstLine="562"/>
        <w:rPr>
          <w:rFonts w:hint="eastAsia" w:ascii="宋体"/>
          <w:b/>
          <w:szCs w:val="21"/>
          <w:highlight w:val="none"/>
        </w:rPr>
      </w:pPr>
    </w:p>
    <w:p w14:paraId="71228AFD">
      <w:pPr>
        <w:pageBreakBefore w:val="0"/>
        <w:kinsoku/>
        <w:wordWrap w:val="0"/>
        <w:overflowPunct/>
        <w:bidi w:val="0"/>
        <w:spacing w:line="440" w:lineRule="exact"/>
        <w:jc w:val="center"/>
        <w:rPr>
          <w:rFonts w:hint="eastAsia" w:ascii="宋体"/>
          <w:szCs w:val="21"/>
          <w:highlight w:val="none"/>
        </w:rPr>
      </w:pPr>
    </w:p>
    <w:p w14:paraId="1A18EF34">
      <w:pPr>
        <w:pageBreakBefore w:val="0"/>
        <w:kinsoku/>
        <w:wordWrap w:val="0"/>
        <w:overflowPunct/>
        <w:bidi w:val="0"/>
        <w:spacing w:line="440" w:lineRule="exact"/>
        <w:jc w:val="center"/>
        <w:rPr>
          <w:rFonts w:hint="eastAsia" w:ascii="宋体"/>
          <w:szCs w:val="21"/>
          <w:highlight w:val="none"/>
        </w:rPr>
      </w:pPr>
    </w:p>
    <w:p w14:paraId="44BD422E">
      <w:pPr>
        <w:pageBreakBefore w:val="0"/>
        <w:kinsoku/>
        <w:wordWrap w:val="0"/>
        <w:overflowPunct/>
        <w:bidi w:val="0"/>
        <w:spacing w:line="440" w:lineRule="exact"/>
        <w:jc w:val="center"/>
        <w:rPr>
          <w:rFonts w:hint="eastAsia" w:ascii="宋体"/>
          <w:szCs w:val="21"/>
          <w:highlight w:val="none"/>
        </w:rPr>
      </w:pPr>
    </w:p>
    <w:p w14:paraId="641E45C4">
      <w:pPr>
        <w:pageBreakBefore w:val="0"/>
        <w:kinsoku/>
        <w:wordWrap w:val="0"/>
        <w:overflowPunct/>
        <w:bidi w:val="0"/>
        <w:spacing w:line="440" w:lineRule="exact"/>
        <w:jc w:val="center"/>
        <w:rPr>
          <w:rFonts w:hint="eastAsia" w:ascii="宋体"/>
          <w:szCs w:val="21"/>
          <w:highlight w:val="none"/>
        </w:rPr>
      </w:pPr>
    </w:p>
    <w:p w14:paraId="0806165D">
      <w:pPr>
        <w:pageBreakBefore w:val="0"/>
        <w:kinsoku/>
        <w:wordWrap w:val="0"/>
        <w:overflowPunct/>
        <w:bidi w:val="0"/>
        <w:spacing w:line="440" w:lineRule="exact"/>
        <w:ind w:firstLine="957" w:firstLineChars="342"/>
        <w:rPr>
          <w:rFonts w:hint="eastAsia" w:ascii="宋体"/>
          <w:sz w:val="28"/>
          <w:szCs w:val="28"/>
          <w:highlight w:val="none"/>
        </w:rPr>
      </w:pPr>
      <w:r>
        <w:rPr>
          <w:rFonts w:hint="eastAsia" w:ascii="宋体"/>
          <w:sz w:val="28"/>
          <w:szCs w:val="28"/>
          <w:highlight w:val="none"/>
        </w:rPr>
        <w:t>投标人名称：</w:t>
      </w:r>
      <w:r>
        <w:rPr>
          <w:rFonts w:hint="eastAsia" w:ascii="宋体"/>
          <w:sz w:val="28"/>
          <w:szCs w:val="28"/>
          <w:highlight w:val="none"/>
          <w:u w:val="single"/>
        </w:rPr>
        <w:t xml:space="preserve">                             </w:t>
      </w:r>
      <w:r>
        <w:rPr>
          <w:rFonts w:hint="eastAsia" w:ascii="宋体"/>
          <w:sz w:val="28"/>
          <w:szCs w:val="28"/>
          <w:highlight w:val="none"/>
        </w:rPr>
        <w:t>(盖章)</w:t>
      </w:r>
    </w:p>
    <w:p w14:paraId="04BA0E42">
      <w:pPr>
        <w:pageBreakBefore w:val="0"/>
        <w:kinsoku/>
        <w:wordWrap w:val="0"/>
        <w:overflowPunct/>
        <w:bidi w:val="0"/>
        <w:spacing w:line="440" w:lineRule="exact"/>
        <w:ind w:firstLine="957" w:firstLineChars="342"/>
        <w:rPr>
          <w:rFonts w:hint="eastAsia" w:ascii="宋体"/>
          <w:sz w:val="28"/>
          <w:szCs w:val="28"/>
          <w:highlight w:val="none"/>
          <w:u w:val="single"/>
        </w:rPr>
      </w:pPr>
    </w:p>
    <w:p w14:paraId="311E8159">
      <w:pPr>
        <w:pageBreakBefore w:val="0"/>
        <w:kinsoku/>
        <w:wordWrap w:val="0"/>
        <w:overflowPunct/>
        <w:bidi w:val="0"/>
        <w:spacing w:line="440" w:lineRule="exact"/>
        <w:ind w:firstLine="957" w:firstLineChars="342"/>
        <w:rPr>
          <w:rFonts w:hint="eastAsia" w:ascii="宋体"/>
          <w:sz w:val="28"/>
          <w:szCs w:val="28"/>
          <w:highlight w:val="none"/>
          <w:u w:val="single"/>
        </w:rPr>
      </w:pPr>
    </w:p>
    <w:p w14:paraId="1B3C268B">
      <w:pPr>
        <w:pageBreakBefore w:val="0"/>
        <w:kinsoku/>
        <w:wordWrap w:val="0"/>
        <w:overflowPunct/>
        <w:bidi w:val="0"/>
        <w:spacing w:line="440" w:lineRule="exact"/>
        <w:rPr>
          <w:rFonts w:hint="eastAsia" w:ascii="宋体"/>
          <w:sz w:val="28"/>
          <w:szCs w:val="28"/>
          <w:highlight w:val="none"/>
          <w:u w:val="single"/>
        </w:rPr>
      </w:pPr>
      <w:r>
        <w:rPr>
          <w:rFonts w:hint="eastAsia" w:ascii="宋体"/>
          <w:sz w:val="28"/>
          <w:szCs w:val="28"/>
          <w:highlight w:val="none"/>
        </w:rPr>
        <w:t>法定代表人或其授权委托代理人：</w:t>
      </w:r>
      <w:r>
        <w:rPr>
          <w:rFonts w:hint="eastAsia" w:ascii="宋体"/>
          <w:sz w:val="28"/>
          <w:szCs w:val="28"/>
          <w:highlight w:val="none"/>
          <w:u w:val="single"/>
        </w:rPr>
        <w:t xml:space="preserve">                   </w:t>
      </w:r>
      <w:r>
        <w:rPr>
          <w:rFonts w:hint="eastAsia" w:ascii="宋体"/>
          <w:sz w:val="28"/>
          <w:szCs w:val="28"/>
          <w:highlight w:val="none"/>
        </w:rPr>
        <w:t>(签字或盖章)</w:t>
      </w:r>
    </w:p>
    <w:p w14:paraId="2432F2D7">
      <w:pPr>
        <w:pageBreakBefore w:val="0"/>
        <w:kinsoku/>
        <w:wordWrap w:val="0"/>
        <w:overflowPunct/>
        <w:bidi w:val="0"/>
        <w:spacing w:line="440" w:lineRule="exact"/>
        <w:ind w:left="1078" w:firstLine="1026" w:firstLineChars="342"/>
        <w:rPr>
          <w:rFonts w:hint="eastAsia" w:ascii="宋体"/>
          <w:sz w:val="30"/>
          <w:szCs w:val="30"/>
          <w:highlight w:val="none"/>
          <w:u w:val="single"/>
        </w:rPr>
      </w:pPr>
    </w:p>
    <w:p w14:paraId="44DD1E0B">
      <w:pPr>
        <w:pageBreakBefore w:val="0"/>
        <w:kinsoku/>
        <w:wordWrap w:val="0"/>
        <w:overflowPunct/>
        <w:bidi w:val="0"/>
        <w:spacing w:line="440" w:lineRule="exact"/>
        <w:rPr>
          <w:rFonts w:hint="eastAsia" w:ascii="宋体"/>
          <w:sz w:val="30"/>
          <w:szCs w:val="30"/>
          <w:highlight w:val="none"/>
        </w:rPr>
      </w:pPr>
    </w:p>
    <w:p w14:paraId="3BDA9620">
      <w:pPr>
        <w:pageBreakBefore w:val="0"/>
        <w:kinsoku/>
        <w:wordWrap w:val="0"/>
        <w:overflowPunct/>
        <w:bidi w:val="0"/>
        <w:spacing w:line="440" w:lineRule="exact"/>
        <w:rPr>
          <w:rFonts w:hint="eastAsia" w:ascii="宋体"/>
          <w:sz w:val="30"/>
          <w:szCs w:val="30"/>
          <w:highlight w:val="none"/>
        </w:rPr>
      </w:pPr>
    </w:p>
    <w:p w14:paraId="7809C166">
      <w:pPr>
        <w:pageBreakBefore w:val="0"/>
        <w:kinsoku/>
        <w:wordWrap w:val="0"/>
        <w:overflowPunct/>
        <w:bidi w:val="0"/>
        <w:spacing w:line="440" w:lineRule="exact"/>
        <w:jc w:val="center"/>
        <w:outlineLvl w:val="0"/>
        <w:rPr>
          <w:rFonts w:hint="eastAsia" w:ascii="宋体"/>
          <w:sz w:val="28"/>
          <w:szCs w:val="28"/>
          <w:highlight w:val="none"/>
        </w:rPr>
      </w:pPr>
      <w:bookmarkStart w:id="430" w:name="_Toc22058"/>
      <w:r>
        <w:rPr>
          <w:rFonts w:hint="eastAsia" w:ascii="宋体"/>
          <w:sz w:val="28"/>
          <w:szCs w:val="28"/>
          <w:highlight w:val="none"/>
        </w:rPr>
        <w:t>年    月    日</w:t>
      </w:r>
      <w:bookmarkEnd w:id="430"/>
    </w:p>
    <w:p w14:paraId="5BB204E3">
      <w:pPr>
        <w:pageBreakBefore w:val="0"/>
        <w:kinsoku/>
        <w:wordWrap w:val="0"/>
        <w:overflowPunct/>
        <w:bidi w:val="0"/>
        <w:spacing w:line="440" w:lineRule="exact"/>
        <w:jc w:val="center"/>
        <w:rPr>
          <w:rFonts w:hint="eastAsia" w:ascii="宋体"/>
          <w:sz w:val="24"/>
          <w:highlight w:val="none"/>
        </w:rPr>
      </w:pPr>
      <w:r>
        <w:rPr>
          <w:rFonts w:hint="eastAsia" w:ascii="宋体"/>
          <w:sz w:val="24"/>
          <w:highlight w:val="none"/>
        </w:rPr>
        <w:br w:type="page"/>
      </w:r>
    </w:p>
    <w:p w14:paraId="523054C0">
      <w:pPr>
        <w:pageBreakBefore w:val="0"/>
        <w:kinsoku/>
        <w:wordWrap w:val="0"/>
        <w:overflowPunct/>
        <w:bidi w:val="0"/>
        <w:spacing w:line="440" w:lineRule="exact"/>
        <w:jc w:val="center"/>
        <w:outlineLvl w:val="0"/>
        <w:rPr>
          <w:rFonts w:hint="eastAsia" w:ascii="宋体"/>
          <w:b/>
          <w:sz w:val="36"/>
          <w:szCs w:val="36"/>
          <w:highlight w:val="none"/>
        </w:rPr>
      </w:pPr>
      <w:bookmarkStart w:id="431" w:name="_Toc13458"/>
      <w:r>
        <w:rPr>
          <w:rFonts w:hint="eastAsia" w:ascii="宋体"/>
          <w:b/>
          <w:sz w:val="36"/>
          <w:szCs w:val="36"/>
          <w:highlight w:val="none"/>
        </w:rPr>
        <w:t>目   录</w:t>
      </w:r>
      <w:bookmarkEnd w:id="431"/>
    </w:p>
    <w:p w14:paraId="7F4CC8A8">
      <w:pPr>
        <w:pageBreakBefore w:val="0"/>
        <w:kinsoku/>
        <w:wordWrap w:val="0"/>
        <w:overflowPunct/>
        <w:bidi w:val="0"/>
        <w:spacing w:line="200" w:lineRule="exact"/>
        <w:jc w:val="center"/>
        <w:rPr>
          <w:rFonts w:hint="eastAsia" w:ascii="宋体"/>
          <w:szCs w:val="21"/>
          <w:highlight w:val="none"/>
        </w:rPr>
      </w:pPr>
    </w:p>
    <w:p w14:paraId="62E96E64">
      <w:pPr>
        <w:pageBreakBefore w:val="0"/>
        <w:kinsoku/>
        <w:wordWrap w:val="0"/>
        <w:overflowPunct/>
        <w:autoSpaceDE w:val="0"/>
        <w:autoSpaceDN w:val="0"/>
        <w:bidi w:val="0"/>
        <w:adjustRightInd w:val="0"/>
        <w:snapToGrid w:val="0"/>
        <w:spacing w:line="360" w:lineRule="auto"/>
        <w:jc w:val="center"/>
        <w:rPr>
          <w:rFonts w:hint="eastAsia" w:ascii="宋体" w:eastAsia="宋体" w:cs="宋体-18030"/>
          <w:b/>
          <w:bCs/>
          <w:kern w:val="0"/>
          <w:sz w:val="24"/>
          <w:szCs w:val="24"/>
          <w:highlight w:val="none"/>
          <w:lang w:eastAsia="zh-CN"/>
        </w:rPr>
      </w:pPr>
      <w:r>
        <w:rPr>
          <w:rFonts w:hint="eastAsia" w:ascii="宋体" w:cs="宋体-18030"/>
          <w:b/>
          <w:bCs/>
          <w:kern w:val="0"/>
          <w:sz w:val="24"/>
          <w:szCs w:val="24"/>
          <w:highlight w:val="none"/>
          <w:lang w:eastAsia="zh-CN"/>
        </w:rPr>
        <w:t>（</w:t>
      </w:r>
      <w:r>
        <w:rPr>
          <w:rFonts w:hint="eastAsia" w:ascii="宋体" w:cs="宋体-18030"/>
          <w:b/>
          <w:bCs/>
          <w:kern w:val="0"/>
          <w:sz w:val="24"/>
          <w:szCs w:val="24"/>
          <w:highlight w:val="none"/>
          <w:lang w:val="en-US" w:eastAsia="zh-CN"/>
        </w:rPr>
        <w:t>自行完善</w:t>
      </w:r>
      <w:r>
        <w:rPr>
          <w:rFonts w:hint="eastAsia" w:ascii="宋体" w:cs="宋体-18030"/>
          <w:b/>
          <w:bCs/>
          <w:kern w:val="0"/>
          <w:sz w:val="24"/>
          <w:szCs w:val="24"/>
          <w:highlight w:val="none"/>
          <w:lang w:eastAsia="zh-CN"/>
        </w:rPr>
        <w:t>）</w:t>
      </w:r>
    </w:p>
    <w:p w14:paraId="24299DB9">
      <w:pPr>
        <w:spacing w:line="360" w:lineRule="auto"/>
        <w:rPr>
          <w:rFonts w:hint="eastAsia"/>
          <w:sz w:val="24"/>
          <w:szCs w:val="32"/>
        </w:rPr>
      </w:pPr>
      <w:r>
        <w:rPr>
          <w:rFonts w:hint="eastAsia"/>
          <w:sz w:val="24"/>
          <w:szCs w:val="32"/>
        </w:rPr>
        <w:t>一、投标函及投标函附录</w:t>
      </w:r>
    </w:p>
    <w:p w14:paraId="0B317FC0">
      <w:pPr>
        <w:spacing w:line="360" w:lineRule="auto"/>
        <w:rPr>
          <w:rFonts w:hint="eastAsia"/>
          <w:sz w:val="24"/>
          <w:szCs w:val="32"/>
        </w:rPr>
      </w:pPr>
      <w:r>
        <w:rPr>
          <w:rFonts w:hint="eastAsia"/>
          <w:sz w:val="24"/>
          <w:szCs w:val="32"/>
        </w:rPr>
        <w:t>二、法定代表人身份证明和授权委托书</w:t>
      </w:r>
    </w:p>
    <w:p w14:paraId="22920A07">
      <w:pPr>
        <w:spacing w:line="360" w:lineRule="auto"/>
        <w:rPr>
          <w:rFonts w:hint="eastAsia"/>
          <w:sz w:val="24"/>
          <w:szCs w:val="32"/>
        </w:rPr>
      </w:pPr>
      <w:r>
        <w:rPr>
          <w:rFonts w:hint="eastAsia"/>
          <w:sz w:val="24"/>
          <w:szCs w:val="32"/>
        </w:rPr>
        <w:t>三、开标一览表</w:t>
      </w:r>
    </w:p>
    <w:p w14:paraId="4CBE9568">
      <w:pPr>
        <w:spacing w:line="360" w:lineRule="auto"/>
        <w:rPr>
          <w:rFonts w:hint="eastAsia"/>
          <w:sz w:val="24"/>
          <w:szCs w:val="32"/>
        </w:rPr>
      </w:pPr>
      <w:r>
        <w:rPr>
          <w:rFonts w:hint="eastAsia"/>
          <w:sz w:val="24"/>
          <w:szCs w:val="32"/>
        </w:rPr>
        <w:t>四、报价明细表</w:t>
      </w:r>
    </w:p>
    <w:p w14:paraId="4EB1D09B">
      <w:pPr>
        <w:spacing w:line="360" w:lineRule="auto"/>
        <w:rPr>
          <w:rFonts w:hint="eastAsia"/>
          <w:sz w:val="24"/>
          <w:szCs w:val="32"/>
        </w:rPr>
      </w:pPr>
      <w:r>
        <w:rPr>
          <w:rFonts w:hint="eastAsia"/>
          <w:sz w:val="24"/>
          <w:szCs w:val="32"/>
        </w:rPr>
        <w:t>五、投标保证金</w:t>
      </w:r>
    </w:p>
    <w:p w14:paraId="007AFCBD">
      <w:pPr>
        <w:spacing w:line="360" w:lineRule="auto"/>
        <w:rPr>
          <w:rFonts w:hint="eastAsia"/>
          <w:sz w:val="24"/>
          <w:szCs w:val="32"/>
        </w:rPr>
      </w:pPr>
      <w:r>
        <w:rPr>
          <w:rFonts w:hint="eastAsia"/>
          <w:sz w:val="24"/>
          <w:szCs w:val="32"/>
        </w:rPr>
        <w:t>六、资格条件承诺函</w:t>
      </w:r>
    </w:p>
    <w:p w14:paraId="795BCF14">
      <w:pPr>
        <w:spacing w:line="360" w:lineRule="auto"/>
        <w:rPr>
          <w:rFonts w:hint="eastAsia"/>
          <w:sz w:val="24"/>
          <w:szCs w:val="32"/>
        </w:rPr>
      </w:pPr>
      <w:r>
        <w:rPr>
          <w:rFonts w:hint="eastAsia"/>
          <w:sz w:val="24"/>
          <w:szCs w:val="32"/>
        </w:rPr>
        <w:t>七、资格审查资料</w:t>
      </w:r>
    </w:p>
    <w:p w14:paraId="448C9FAF">
      <w:pPr>
        <w:spacing w:line="360" w:lineRule="auto"/>
        <w:rPr>
          <w:rFonts w:hint="eastAsia"/>
          <w:sz w:val="24"/>
          <w:szCs w:val="32"/>
        </w:rPr>
      </w:pPr>
      <w:r>
        <w:rPr>
          <w:rFonts w:hint="eastAsia"/>
          <w:sz w:val="24"/>
          <w:szCs w:val="32"/>
        </w:rPr>
        <w:t>八、商务条款偏离表</w:t>
      </w:r>
    </w:p>
    <w:p w14:paraId="2CFE6A3B">
      <w:pPr>
        <w:spacing w:line="360" w:lineRule="auto"/>
        <w:rPr>
          <w:rFonts w:hint="eastAsia"/>
          <w:sz w:val="24"/>
          <w:szCs w:val="32"/>
        </w:rPr>
      </w:pPr>
      <w:r>
        <w:rPr>
          <w:rFonts w:hint="eastAsia"/>
          <w:sz w:val="24"/>
          <w:szCs w:val="32"/>
        </w:rPr>
        <w:t>九、技术条款偏离表</w:t>
      </w:r>
    </w:p>
    <w:p w14:paraId="7B342B2E">
      <w:pPr>
        <w:spacing w:line="360" w:lineRule="auto"/>
        <w:rPr>
          <w:rFonts w:hint="eastAsia"/>
          <w:sz w:val="24"/>
          <w:szCs w:val="32"/>
        </w:rPr>
      </w:pPr>
      <w:r>
        <w:rPr>
          <w:rFonts w:hint="eastAsia"/>
          <w:sz w:val="24"/>
          <w:szCs w:val="32"/>
        </w:rPr>
        <w:t>十、其他资料</w:t>
      </w:r>
    </w:p>
    <w:p w14:paraId="3D7FBD54">
      <w:pPr>
        <w:spacing w:line="360" w:lineRule="auto"/>
        <w:rPr>
          <w:rFonts w:hint="eastAsia"/>
          <w:sz w:val="24"/>
          <w:szCs w:val="32"/>
        </w:rPr>
      </w:pPr>
      <w:r>
        <w:rPr>
          <w:rFonts w:hint="eastAsia"/>
          <w:sz w:val="24"/>
          <w:szCs w:val="32"/>
        </w:rPr>
        <w:t>十一、服务方案</w:t>
      </w:r>
    </w:p>
    <w:p w14:paraId="6C950211">
      <w:pPr>
        <w:pageBreakBefore w:val="0"/>
        <w:kinsoku/>
        <w:wordWrap w:val="0"/>
        <w:overflowPunct/>
        <w:bidi w:val="0"/>
        <w:spacing w:line="440" w:lineRule="exact"/>
        <w:ind w:firstLine="420" w:firstLineChars="200"/>
        <w:rPr>
          <w:rFonts w:hint="eastAsia" w:ascii="宋体"/>
          <w:szCs w:val="21"/>
          <w:highlight w:val="none"/>
        </w:rPr>
      </w:pPr>
    </w:p>
    <w:p w14:paraId="0FDED5D1">
      <w:pPr>
        <w:pageBreakBefore w:val="0"/>
        <w:kinsoku/>
        <w:wordWrap w:val="0"/>
        <w:overflowPunct/>
        <w:bidi w:val="0"/>
        <w:spacing w:line="440" w:lineRule="exact"/>
        <w:ind w:firstLine="420" w:firstLineChars="200"/>
        <w:rPr>
          <w:rFonts w:hint="eastAsia" w:ascii="宋体"/>
          <w:szCs w:val="21"/>
          <w:highlight w:val="none"/>
        </w:rPr>
      </w:pPr>
    </w:p>
    <w:p w14:paraId="0E3B66C1">
      <w:pPr>
        <w:pageBreakBefore w:val="0"/>
        <w:kinsoku/>
        <w:wordWrap w:val="0"/>
        <w:overflowPunct/>
        <w:bidi w:val="0"/>
        <w:spacing w:line="440" w:lineRule="exact"/>
        <w:ind w:firstLine="420" w:firstLineChars="200"/>
        <w:rPr>
          <w:rFonts w:hint="eastAsia" w:ascii="宋体"/>
          <w:szCs w:val="21"/>
          <w:highlight w:val="none"/>
        </w:rPr>
      </w:pPr>
    </w:p>
    <w:p w14:paraId="68FC6171">
      <w:pPr>
        <w:pageBreakBefore w:val="0"/>
        <w:kinsoku/>
        <w:wordWrap w:val="0"/>
        <w:overflowPunct/>
        <w:bidi w:val="0"/>
        <w:spacing w:line="440" w:lineRule="exact"/>
        <w:ind w:firstLine="420" w:firstLineChars="200"/>
        <w:rPr>
          <w:rFonts w:hint="eastAsia" w:ascii="宋体"/>
          <w:szCs w:val="21"/>
          <w:highlight w:val="none"/>
        </w:rPr>
      </w:pPr>
    </w:p>
    <w:p w14:paraId="45D6EE25">
      <w:pPr>
        <w:pageBreakBefore w:val="0"/>
        <w:kinsoku/>
        <w:wordWrap w:val="0"/>
        <w:overflowPunct/>
        <w:bidi w:val="0"/>
        <w:spacing w:line="440" w:lineRule="exact"/>
        <w:ind w:firstLine="420" w:firstLineChars="200"/>
        <w:rPr>
          <w:rFonts w:hint="eastAsia" w:ascii="宋体"/>
          <w:szCs w:val="21"/>
          <w:highlight w:val="none"/>
        </w:rPr>
      </w:pPr>
    </w:p>
    <w:p w14:paraId="57DC160F">
      <w:pPr>
        <w:pageBreakBefore w:val="0"/>
        <w:kinsoku/>
        <w:wordWrap w:val="0"/>
        <w:overflowPunct/>
        <w:bidi w:val="0"/>
        <w:spacing w:line="440" w:lineRule="exact"/>
        <w:ind w:firstLine="420" w:firstLineChars="200"/>
        <w:rPr>
          <w:rFonts w:hint="eastAsia" w:ascii="宋体"/>
          <w:szCs w:val="21"/>
          <w:highlight w:val="none"/>
        </w:rPr>
      </w:pPr>
    </w:p>
    <w:p w14:paraId="6C292C97">
      <w:pPr>
        <w:pageBreakBefore w:val="0"/>
        <w:kinsoku/>
        <w:wordWrap w:val="0"/>
        <w:overflowPunct/>
        <w:bidi w:val="0"/>
        <w:spacing w:line="440" w:lineRule="exact"/>
        <w:ind w:firstLine="420" w:firstLineChars="200"/>
        <w:rPr>
          <w:rFonts w:hint="eastAsia" w:ascii="宋体"/>
          <w:szCs w:val="21"/>
          <w:highlight w:val="none"/>
        </w:rPr>
      </w:pPr>
    </w:p>
    <w:p w14:paraId="54E1319C">
      <w:pPr>
        <w:pageBreakBefore w:val="0"/>
        <w:kinsoku/>
        <w:wordWrap w:val="0"/>
        <w:overflowPunct/>
        <w:bidi w:val="0"/>
        <w:spacing w:line="440" w:lineRule="exact"/>
        <w:ind w:firstLine="420" w:firstLineChars="200"/>
        <w:rPr>
          <w:rFonts w:hint="eastAsia" w:ascii="宋体"/>
          <w:szCs w:val="21"/>
          <w:highlight w:val="none"/>
        </w:rPr>
      </w:pPr>
    </w:p>
    <w:p w14:paraId="677C89E0">
      <w:pPr>
        <w:pageBreakBefore w:val="0"/>
        <w:kinsoku/>
        <w:wordWrap w:val="0"/>
        <w:overflowPunct/>
        <w:bidi w:val="0"/>
        <w:spacing w:line="440" w:lineRule="exact"/>
        <w:ind w:firstLine="420" w:firstLineChars="200"/>
        <w:rPr>
          <w:rFonts w:hint="eastAsia" w:ascii="宋体"/>
          <w:szCs w:val="21"/>
          <w:highlight w:val="none"/>
        </w:rPr>
      </w:pPr>
    </w:p>
    <w:p w14:paraId="60CAB5BA">
      <w:pPr>
        <w:pageBreakBefore w:val="0"/>
        <w:kinsoku/>
        <w:wordWrap w:val="0"/>
        <w:overflowPunct/>
        <w:bidi w:val="0"/>
        <w:spacing w:line="440" w:lineRule="exact"/>
        <w:ind w:firstLine="420" w:firstLineChars="200"/>
        <w:rPr>
          <w:rFonts w:hint="eastAsia" w:ascii="宋体"/>
          <w:szCs w:val="21"/>
          <w:highlight w:val="none"/>
        </w:rPr>
      </w:pPr>
    </w:p>
    <w:p w14:paraId="330CC78A">
      <w:pPr>
        <w:pageBreakBefore w:val="0"/>
        <w:kinsoku/>
        <w:wordWrap w:val="0"/>
        <w:overflowPunct/>
        <w:bidi w:val="0"/>
        <w:spacing w:line="440" w:lineRule="exact"/>
        <w:ind w:firstLine="420" w:firstLineChars="200"/>
        <w:rPr>
          <w:rFonts w:hint="eastAsia" w:ascii="宋体"/>
          <w:szCs w:val="21"/>
          <w:highlight w:val="none"/>
        </w:rPr>
      </w:pPr>
    </w:p>
    <w:p w14:paraId="3278EAF8">
      <w:pPr>
        <w:pageBreakBefore w:val="0"/>
        <w:kinsoku/>
        <w:wordWrap w:val="0"/>
        <w:overflowPunct/>
        <w:autoSpaceDE w:val="0"/>
        <w:autoSpaceDN w:val="0"/>
        <w:bidi w:val="0"/>
        <w:adjustRightInd w:val="0"/>
        <w:spacing w:line="500" w:lineRule="exact"/>
        <w:jc w:val="center"/>
        <w:outlineLvl w:val="0"/>
        <w:rPr>
          <w:rFonts w:hint="eastAsia" w:ascii="宋体" w:cs="宋体-18030"/>
          <w:b/>
          <w:kern w:val="0"/>
          <w:sz w:val="36"/>
          <w:szCs w:val="36"/>
          <w:highlight w:val="none"/>
        </w:rPr>
      </w:pPr>
      <w:r>
        <w:rPr>
          <w:rFonts w:hint="eastAsia" w:ascii="宋体" w:cs="宋体-18030"/>
          <w:kern w:val="0"/>
          <w:sz w:val="24"/>
          <w:highlight w:val="none"/>
        </w:rPr>
        <w:br w:type="page"/>
      </w:r>
      <w:bookmarkStart w:id="432" w:name="_Toc28472"/>
      <w:bookmarkStart w:id="433" w:name="_Toc2336"/>
      <w:r>
        <w:rPr>
          <w:rFonts w:hint="eastAsia" w:ascii="宋体" w:cs="宋体-18030"/>
          <w:b/>
          <w:kern w:val="0"/>
          <w:sz w:val="36"/>
          <w:szCs w:val="36"/>
          <w:highlight w:val="none"/>
        </w:rPr>
        <w:t>一、投标函及投标函附录</w:t>
      </w:r>
      <w:bookmarkEnd w:id="432"/>
      <w:bookmarkEnd w:id="433"/>
    </w:p>
    <w:p w14:paraId="282DEEAA">
      <w:pPr>
        <w:pageBreakBefore w:val="0"/>
        <w:kinsoku/>
        <w:wordWrap w:val="0"/>
        <w:overflowPunct/>
        <w:autoSpaceDE w:val="0"/>
        <w:autoSpaceDN w:val="0"/>
        <w:bidi w:val="0"/>
        <w:adjustRightInd w:val="0"/>
        <w:spacing w:line="500" w:lineRule="exact"/>
        <w:jc w:val="center"/>
        <w:rPr>
          <w:rFonts w:hint="eastAsia" w:ascii="宋体" w:cs="宋体-18030"/>
          <w:kern w:val="0"/>
          <w:sz w:val="28"/>
          <w:szCs w:val="28"/>
          <w:highlight w:val="none"/>
        </w:rPr>
      </w:pPr>
      <w:r>
        <w:rPr>
          <w:rFonts w:hint="eastAsia" w:ascii="宋体" w:cs="宋体-18030"/>
          <w:kern w:val="0"/>
          <w:sz w:val="28"/>
          <w:szCs w:val="28"/>
          <w:highlight w:val="none"/>
        </w:rPr>
        <w:t>（一）投标函</w:t>
      </w:r>
    </w:p>
    <w:p w14:paraId="3E098255">
      <w:pPr>
        <w:pageBreakBefore w:val="0"/>
        <w:kinsoku/>
        <w:wordWrap w:val="0"/>
        <w:overflowPunct/>
        <w:autoSpaceDE w:val="0"/>
        <w:autoSpaceDN w:val="0"/>
        <w:bidi w:val="0"/>
        <w:adjustRightInd w:val="0"/>
        <w:spacing w:line="500" w:lineRule="exact"/>
        <w:jc w:val="left"/>
        <w:rPr>
          <w:rFonts w:hint="eastAsia" w:ascii="宋体" w:cs="宋体-18030"/>
          <w:kern w:val="0"/>
          <w:szCs w:val="21"/>
          <w:highlight w:val="none"/>
          <w:u w:val="single"/>
        </w:rPr>
      </w:pPr>
    </w:p>
    <w:p w14:paraId="1E6DDC72">
      <w:pPr>
        <w:pageBreakBefore w:val="0"/>
        <w:kinsoku/>
        <w:wordWrap w:val="0"/>
        <w:overflowPunct/>
        <w:autoSpaceDE w:val="0"/>
        <w:autoSpaceDN w:val="0"/>
        <w:bidi w:val="0"/>
        <w:adjustRightInd w:val="0"/>
        <w:spacing w:line="500" w:lineRule="exact"/>
        <w:jc w:val="left"/>
        <w:rPr>
          <w:rFonts w:hint="eastAsia" w:ascii="宋体" w:cs="宋体-18030"/>
          <w:kern w:val="0"/>
          <w:szCs w:val="21"/>
          <w:highlight w:val="none"/>
        </w:rPr>
      </w:pPr>
      <w:r>
        <w:rPr>
          <w:rFonts w:hint="eastAsia" w:ascii="宋体" w:cs="宋体-18030"/>
          <w:kern w:val="0"/>
          <w:szCs w:val="21"/>
          <w:highlight w:val="none"/>
          <w:u w:val="single"/>
        </w:rPr>
        <w:t xml:space="preserve">                    </w:t>
      </w:r>
      <w:r>
        <w:rPr>
          <w:rFonts w:hint="eastAsia" w:ascii="宋体" w:cs="宋体-18030"/>
          <w:kern w:val="0"/>
          <w:szCs w:val="21"/>
          <w:highlight w:val="none"/>
        </w:rPr>
        <w:t>(采购人名称)：</w:t>
      </w:r>
    </w:p>
    <w:p w14:paraId="418D6C64">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1.我方已仔细研究了</w:t>
      </w:r>
      <w:r>
        <w:rPr>
          <w:rFonts w:hint="eastAsia" w:ascii="宋体" w:cs="宋体-18030"/>
          <w:kern w:val="0"/>
          <w:szCs w:val="21"/>
          <w:highlight w:val="none"/>
          <w:u w:val="single"/>
        </w:rPr>
        <w:t xml:space="preserve">    (项目名称)　                      　</w:t>
      </w:r>
      <w:r>
        <w:rPr>
          <w:rFonts w:hint="eastAsia" w:ascii="宋体" w:cs="宋体-18030"/>
          <w:kern w:val="0"/>
          <w:szCs w:val="21"/>
          <w:highlight w:val="none"/>
        </w:rPr>
        <w:t>招标文件的全部内容，投标报价：</w:t>
      </w:r>
      <w:r>
        <w:rPr>
          <w:rFonts w:hint="eastAsia" w:ascii="宋体" w:cs="宋体-18030"/>
          <w:kern w:val="0"/>
          <w:szCs w:val="21"/>
          <w:highlight w:val="none"/>
          <w:u w:val="single"/>
        </w:rPr>
        <w:t xml:space="preserve">            </w:t>
      </w:r>
      <w:r>
        <w:rPr>
          <w:rFonts w:hint="eastAsia" w:ascii="宋体" w:cs="宋体-18030"/>
          <w:kern w:val="0"/>
          <w:szCs w:val="21"/>
          <w:highlight w:val="none"/>
        </w:rPr>
        <w:t xml:space="preserve"> ,交货期：</w:t>
      </w:r>
      <w:r>
        <w:rPr>
          <w:rFonts w:hint="eastAsia" w:ascii="宋体" w:cs="宋体"/>
          <w:bCs/>
          <w:szCs w:val="21"/>
          <w:highlight w:val="none"/>
          <w:u w:val="single"/>
          <w:lang w:val="zh-CN"/>
        </w:rPr>
        <w:t xml:space="preserve">              </w:t>
      </w:r>
      <w:r>
        <w:rPr>
          <w:rFonts w:hint="eastAsia" w:ascii="宋体" w:cs="宋体-18030"/>
          <w:kern w:val="0"/>
          <w:szCs w:val="21"/>
          <w:highlight w:val="none"/>
        </w:rPr>
        <w:t>，质量标准：</w:t>
      </w:r>
      <w:r>
        <w:rPr>
          <w:rFonts w:hint="eastAsia" w:ascii="宋体" w:cs="宋体-18030"/>
          <w:kern w:val="0"/>
          <w:szCs w:val="21"/>
          <w:highlight w:val="none"/>
          <w:u w:val="single"/>
        </w:rPr>
        <w:t xml:space="preserve">            </w:t>
      </w:r>
      <w:r>
        <w:rPr>
          <w:rFonts w:hint="eastAsia" w:ascii="宋体" w:cs="宋体-18030"/>
          <w:kern w:val="0"/>
          <w:szCs w:val="21"/>
          <w:highlight w:val="none"/>
        </w:rPr>
        <w:t>，并按合同约定实施和完成承包上述招标项目。</w:t>
      </w:r>
    </w:p>
    <w:p w14:paraId="173BE9B5">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2.我方承诺在投标有效期</w:t>
      </w:r>
      <w:r>
        <w:rPr>
          <w:rFonts w:hint="eastAsia" w:ascii="宋体" w:cs="宋体-18030"/>
          <w:kern w:val="0"/>
          <w:szCs w:val="21"/>
          <w:highlight w:val="none"/>
          <w:u w:val="single"/>
        </w:rPr>
        <w:t>90</w:t>
      </w:r>
      <w:r>
        <w:rPr>
          <w:rFonts w:hint="eastAsia" w:ascii="宋体" w:cs="宋体-18030"/>
          <w:kern w:val="0"/>
          <w:szCs w:val="21"/>
          <w:highlight w:val="none"/>
        </w:rPr>
        <w:t>天内不修改、撤销投标文件。</w:t>
      </w:r>
    </w:p>
    <w:p w14:paraId="25FDAADB">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3.随同本投标函提交投标保证金一份，金额为人民币(大写)</w:t>
      </w:r>
      <w:r>
        <w:rPr>
          <w:rFonts w:hint="eastAsia" w:ascii="宋体" w:cs="宋体-18030"/>
          <w:kern w:val="0"/>
          <w:szCs w:val="21"/>
          <w:highlight w:val="none"/>
          <w:u w:val="single"/>
        </w:rPr>
        <w:t xml:space="preserve">        </w:t>
      </w:r>
      <w:r>
        <w:rPr>
          <w:rFonts w:hint="eastAsia" w:ascii="宋体" w:cs="宋体-18030"/>
          <w:kern w:val="0"/>
          <w:szCs w:val="21"/>
          <w:highlight w:val="none"/>
        </w:rPr>
        <w:t>元(¥</w:t>
      </w:r>
      <w:r>
        <w:rPr>
          <w:rFonts w:hint="eastAsia" w:ascii="宋体" w:cs="宋体-18030"/>
          <w:kern w:val="0"/>
          <w:szCs w:val="21"/>
          <w:highlight w:val="none"/>
          <w:u w:val="single"/>
        </w:rPr>
        <w:t xml:space="preserve">       </w:t>
      </w:r>
      <w:r>
        <w:rPr>
          <w:rFonts w:hint="eastAsia" w:ascii="宋体" w:cs="宋体-18030"/>
          <w:kern w:val="0"/>
          <w:szCs w:val="21"/>
          <w:highlight w:val="none"/>
        </w:rPr>
        <w:t>)。</w:t>
      </w:r>
    </w:p>
    <w:p w14:paraId="6E24A918">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4.如我方中标：</w:t>
      </w:r>
    </w:p>
    <w:p w14:paraId="3A3D7255">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(1)我方承诺在收到中标通知书后，在中标通知书规定的期限内与你方签订合同，并遵守合同中关于权利和义务的约定；</w:t>
      </w:r>
    </w:p>
    <w:p w14:paraId="341DB024">
      <w:pPr>
        <w:pageBreakBefore w:val="0"/>
        <w:kinsoku/>
        <w:wordWrap w:val="0"/>
        <w:overflowPunct/>
        <w:autoSpaceDE w:val="0"/>
        <w:autoSpaceDN w:val="0"/>
        <w:bidi w:val="0"/>
        <w:adjustRightInd w:val="0"/>
        <w:spacing w:line="500" w:lineRule="exact"/>
        <w:ind w:firstLine="380" w:firstLineChars="200"/>
        <w:jc w:val="left"/>
        <w:rPr>
          <w:rFonts w:hint="eastAsia" w:ascii="宋体" w:cs="宋体-18030"/>
          <w:kern w:val="0"/>
          <w:szCs w:val="21"/>
          <w:highlight w:val="none"/>
        </w:rPr>
      </w:pPr>
      <w:r>
        <w:rPr>
          <w:rFonts w:hint="eastAsia" w:ascii="宋体" w:cs="宋体-18030"/>
          <w:spacing w:val="-10"/>
          <w:kern w:val="0"/>
          <w:szCs w:val="21"/>
          <w:highlight w:val="none"/>
        </w:rPr>
        <w:t xml:space="preserve"> (2)</w:t>
      </w:r>
      <w:r>
        <w:rPr>
          <w:rFonts w:hint="eastAsia" w:ascii="宋体" w:cs="宋体-18030"/>
          <w:kern w:val="0"/>
          <w:szCs w:val="21"/>
          <w:highlight w:val="none"/>
        </w:rPr>
        <w:t>我方承诺按照招标文件中规定的服务内容及要求在合同约定的期限内，完成并移交全部合同内容。</w:t>
      </w:r>
    </w:p>
    <w:p w14:paraId="3E74FFED">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5.我方在此声明，所递交的投标文件及有关资料内容完整、真实和准确。</w:t>
      </w:r>
    </w:p>
    <w:p w14:paraId="04A1FA96">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6．</w:t>
      </w:r>
      <w:r>
        <w:rPr>
          <w:rFonts w:hint="eastAsia" w:ascii="宋体" w:cs="宋体-18030"/>
          <w:kern w:val="0"/>
          <w:szCs w:val="21"/>
          <w:highlight w:val="none"/>
          <w:u w:val="single"/>
        </w:rPr>
        <w:t xml:space="preserve">                                </w:t>
      </w:r>
      <w:r>
        <w:rPr>
          <w:rFonts w:hint="eastAsia" w:ascii="宋体" w:cs="宋体-18030"/>
          <w:kern w:val="0"/>
          <w:szCs w:val="21"/>
          <w:highlight w:val="none"/>
        </w:rPr>
        <w:t>(其他补充说明)。</w:t>
      </w:r>
    </w:p>
    <w:p w14:paraId="0A0237DE">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p>
    <w:p w14:paraId="23EE1F32">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投 标 人：</w:t>
      </w:r>
      <w:r>
        <w:rPr>
          <w:rFonts w:hint="eastAsia" w:ascii="宋体" w:cs="宋体-18030"/>
          <w:kern w:val="0"/>
          <w:szCs w:val="21"/>
          <w:highlight w:val="none"/>
          <w:u w:val="single"/>
        </w:rPr>
        <w:t xml:space="preserve">                                </w:t>
      </w:r>
      <w:r>
        <w:rPr>
          <w:rFonts w:hint="eastAsia" w:ascii="宋体" w:cs="宋体-18030"/>
          <w:kern w:val="0"/>
          <w:szCs w:val="21"/>
          <w:highlight w:val="none"/>
        </w:rPr>
        <w:t>(盖单位章)</w:t>
      </w:r>
    </w:p>
    <w:p w14:paraId="55FF3500">
      <w:pPr>
        <w:pageBreakBefore w:val="0"/>
        <w:kinsoku/>
        <w:wordWrap w:val="0"/>
        <w:overflowPunct/>
        <w:autoSpaceDE w:val="0"/>
        <w:autoSpaceDN w:val="0"/>
        <w:bidi w:val="0"/>
        <w:adjustRightInd w:val="0"/>
        <w:spacing w:line="4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法定代表人或其授权委托代理人：</w:t>
      </w:r>
      <w:r>
        <w:rPr>
          <w:rFonts w:hint="eastAsia" w:ascii="宋体" w:cs="宋体-18030"/>
          <w:kern w:val="0"/>
          <w:szCs w:val="21"/>
          <w:highlight w:val="none"/>
          <w:u w:val="single"/>
        </w:rPr>
        <w:t xml:space="preserve">               </w:t>
      </w:r>
      <w:r>
        <w:rPr>
          <w:rFonts w:hint="eastAsia" w:ascii="宋体" w:cs="宋体-18030"/>
          <w:kern w:val="0"/>
          <w:szCs w:val="21"/>
          <w:highlight w:val="none"/>
        </w:rPr>
        <w:t>(签字</w:t>
      </w:r>
      <w:r>
        <w:rPr>
          <w:rFonts w:hint="eastAsia" w:ascii="宋体" w:cs="宋体-18030"/>
          <w:kern w:val="0"/>
          <w:szCs w:val="21"/>
          <w:highlight w:val="none"/>
          <w:lang w:val="en-US" w:eastAsia="zh-CN"/>
        </w:rPr>
        <w:t>和盖章</w:t>
      </w:r>
      <w:r>
        <w:rPr>
          <w:rFonts w:hint="eastAsia" w:ascii="宋体" w:cs="宋体-18030"/>
          <w:kern w:val="0"/>
          <w:szCs w:val="21"/>
          <w:highlight w:val="none"/>
        </w:rPr>
        <w:t>)</w:t>
      </w:r>
    </w:p>
    <w:p w14:paraId="47BDAC8E">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地    址：</w:t>
      </w:r>
      <w:r>
        <w:rPr>
          <w:rFonts w:hint="eastAsia" w:ascii="宋体" w:cs="宋体-18030"/>
          <w:kern w:val="0"/>
          <w:szCs w:val="21"/>
          <w:highlight w:val="none"/>
          <w:u w:val="single"/>
        </w:rPr>
        <w:t xml:space="preserve">                                        </w:t>
      </w:r>
    </w:p>
    <w:p w14:paraId="295734F2">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网    址：</w:t>
      </w:r>
      <w:r>
        <w:rPr>
          <w:rFonts w:hint="eastAsia" w:ascii="宋体" w:cs="宋体-18030"/>
          <w:kern w:val="0"/>
          <w:szCs w:val="21"/>
          <w:highlight w:val="none"/>
          <w:u w:val="single"/>
        </w:rPr>
        <w:t xml:space="preserve">                                        </w:t>
      </w:r>
    </w:p>
    <w:p w14:paraId="748474A1">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电    话：</w:t>
      </w:r>
      <w:r>
        <w:rPr>
          <w:rFonts w:hint="eastAsia" w:ascii="宋体" w:cs="宋体-18030"/>
          <w:kern w:val="0"/>
          <w:szCs w:val="21"/>
          <w:highlight w:val="none"/>
          <w:u w:val="single"/>
        </w:rPr>
        <w:t xml:space="preserve">                                        </w:t>
      </w:r>
    </w:p>
    <w:p w14:paraId="27A26DCF">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传    真：</w:t>
      </w:r>
      <w:r>
        <w:rPr>
          <w:rFonts w:hint="eastAsia" w:ascii="宋体" w:cs="宋体-18030"/>
          <w:kern w:val="0"/>
          <w:szCs w:val="21"/>
          <w:highlight w:val="none"/>
          <w:u w:val="single"/>
        </w:rPr>
        <w:t xml:space="preserve">                                        </w:t>
      </w:r>
    </w:p>
    <w:p w14:paraId="6BA3FDA8">
      <w:pPr>
        <w:pageBreakBefore w:val="0"/>
        <w:kinsoku/>
        <w:wordWrap w:val="0"/>
        <w:overflowPunct/>
        <w:autoSpaceDE w:val="0"/>
        <w:autoSpaceDN w:val="0"/>
        <w:bidi w:val="0"/>
        <w:adjustRightInd w:val="0"/>
        <w:spacing w:line="5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邮政编码：</w:t>
      </w:r>
      <w:r>
        <w:rPr>
          <w:rFonts w:hint="eastAsia" w:ascii="宋体" w:cs="宋体-18030"/>
          <w:kern w:val="0"/>
          <w:szCs w:val="21"/>
          <w:highlight w:val="none"/>
          <w:u w:val="single"/>
        </w:rPr>
        <w:t xml:space="preserve">                                        </w:t>
      </w:r>
    </w:p>
    <w:p w14:paraId="61508ADE">
      <w:pPr>
        <w:pageBreakBefore w:val="0"/>
        <w:kinsoku/>
        <w:wordWrap w:val="0"/>
        <w:overflowPunct/>
        <w:bidi w:val="0"/>
        <w:spacing w:line="500" w:lineRule="exact"/>
        <w:jc w:val="right"/>
        <w:rPr>
          <w:rFonts w:hint="eastAsia" w:ascii="宋体" w:cs="宋体-18030"/>
          <w:kern w:val="0"/>
          <w:szCs w:val="21"/>
          <w:highlight w:val="none"/>
        </w:rPr>
      </w:pPr>
      <w:r>
        <w:rPr>
          <w:rFonts w:hint="eastAsia" w:ascii="宋体" w:cs="宋体-18030"/>
          <w:kern w:val="0"/>
          <w:szCs w:val="21"/>
          <w:highlight w:val="none"/>
          <w:u w:val="single"/>
        </w:rPr>
        <w:t xml:space="preserve">        </w:t>
      </w:r>
      <w:r>
        <w:rPr>
          <w:rFonts w:hint="eastAsia" w:ascii="宋体" w:cs="宋体-18030"/>
          <w:kern w:val="0"/>
          <w:szCs w:val="21"/>
          <w:highlight w:val="none"/>
        </w:rPr>
        <w:t>年</w:t>
      </w:r>
      <w:r>
        <w:rPr>
          <w:rFonts w:hint="eastAsia" w:ascii="宋体" w:cs="宋体-18030"/>
          <w:kern w:val="0"/>
          <w:szCs w:val="21"/>
          <w:highlight w:val="none"/>
          <w:u w:val="single"/>
        </w:rPr>
        <w:t xml:space="preserve">     </w:t>
      </w:r>
      <w:r>
        <w:rPr>
          <w:rFonts w:hint="eastAsia" w:ascii="宋体" w:cs="宋体-18030"/>
          <w:kern w:val="0"/>
          <w:szCs w:val="21"/>
          <w:highlight w:val="none"/>
        </w:rPr>
        <w:t>月</w:t>
      </w:r>
      <w:r>
        <w:rPr>
          <w:rFonts w:hint="eastAsia" w:ascii="宋体" w:cs="宋体-18030"/>
          <w:kern w:val="0"/>
          <w:szCs w:val="21"/>
          <w:highlight w:val="none"/>
          <w:u w:val="single"/>
        </w:rPr>
        <w:t xml:space="preserve">     </w:t>
      </w:r>
      <w:r>
        <w:rPr>
          <w:rFonts w:hint="eastAsia" w:ascii="宋体" w:cs="宋体-18030"/>
          <w:kern w:val="0"/>
          <w:szCs w:val="21"/>
          <w:highlight w:val="none"/>
        </w:rPr>
        <w:t>日</w:t>
      </w:r>
    </w:p>
    <w:p w14:paraId="48506032">
      <w:pPr>
        <w:pageBreakBefore w:val="0"/>
        <w:kinsoku/>
        <w:wordWrap w:val="0"/>
        <w:overflowPunct/>
        <w:autoSpaceDE w:val="0"/>
        <w:autoSpaceDN w:val="0"/>
        <w:bidi w:val="0"/>
        <w:adjustRightInd w:val="0"/>
        <w:spacing w:line="500" w:lineRule="exact"/>
        <w:jc w:val="center"/>
        <w:rPr>
          <w:rFonts w:hint="eastAsia" w:ascii="宋体"/>
          <w:sz w:val="28"/>
          <w:szCs w:val="28"/>
          <w:highlight w:val="none"/>
        </w:rPr>
      </w:pPr>
      <w:r>
        <w:rPr>
          <w:rFonts w:hint="eastAsia" w:ascii="宋体" w:cs="宋体-18030"/>
          <w:kern w:val="0"/>
          <w:szCs w:val="21"/>
          <w:highlight w:val="none"/>
        </w:rPr>
        <w:br w:type="page"/>
      </w:r>
      <w:bookmarkStart w:id="434" w:name="_Toc363457205"/>
      <w:bookmarkStart w:id="435" w:name="_Toc179632810"/>
      <w:bookmarkStart w:id="436" w:name="_Toc246996358"/>
      <w:bookmarkStart w:id="437" w:name="_Toc247085876"/>
      <w:bookmarkStart w:id="438" w:name="_Toc152045790"/>
      <w:bookmarkStart w:id="439" w:name="_Toc152042579"/>
      <w:bookmarkStart w:id="440" w:name="_Toc246997101"/>
      <w:bookmarkStart w:id="441" w:name="_Toc144974859"/>
      <w:r>
        <w:rPr>
          <w:rFonts w:hint="eastAsia" w:ascii="宋体" w:cs="宋体-18030"/>
          <w:kern w:val="0"/>
          <w:sz w:val="28"/>
          <w:szCs w:val="28"/>
          <w:highlight w:val="none"/>
        </w:rPr>
        <w:t>（二）投标函附录</w:t>
      </w:r>
      <w:bookmarkEnd w:id="434"/>
      <w:bookmarkEnd w:id="435"/>
      <w:bookmarkEnd w:id="436"/>
      <w:bookmarkEnd w:id="437"/>
      <w:bookmarkEnd w:id="438"/>
      <w:bookmarkEnd w:id="439"/>
      <w:bookmarkEnd w:id="440"/>
      <w:bookmarkEnd w:id="441"/>
    </w:p>
    <w:p w14:paraId="6B4ED3B6">
      <w:pPr>
        <w:pageBreakBefore w:val="0"/>
        <w:kinsoku/>
        <w:wordWrap w:val="0"/>
        <w:overflowPunct/>
        <w:bidi w:val="0"/>
        <w:spacing w:line="440" w:lineRule="exact"/>
        <w:rPr>
          <w:rFonts w:hint="eastAsia" w:ascii="宋体"/>
          <w:sz w:val="20"/>
          <w:szCs w:val="20"/>
          <w:highlight w:val="none"/>
        </w:rPr>
      </w:pPr>
    </w:p>
    <w:tbl>
      <w:tblPr>
        <w:tblStyle w:val="20"/>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137"/>
        <w:gridCol w:w="4321"/>
        <w:gridCol w:w="1885"/>
      </w:tblGrid>
      <w:tr w14:paraId="5FB0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8" w:type="dxa"/>
            <w:noWrap w:val="0"/>
            <w:vAlign w:val="center"/>
          </w:tcPr>
          <w:p w14:paraId="64213416">
            <w:pPr>
              <w:pageBreakBefore w:val="0"/>
              <w:kinsoku/>
              <w:wordWrap w:val="0"/>
              <w:overflowPunct/>
              <w:bidi w:val="0"/>
              <w:spacing w:line="0" w:lineRule="atLeast"/>
              <w:jc w:val="center"/>
              <w:rPr>
                <w:rFonts w:hint="eastAsia" w:ascii="宋体"/>
                <w:b/>
                <w:szCs w:val="21"/>
                <w:highlight w:val="none"/>
              </w:rPr>
            </w:pPr>
            <w:r>
              <w:rPr>
                <w:rFonts w:hint="eastAsia" w:ascii="宋体"/>
                <w:b/>
                <w:szCs w:val="21"/>
                <w:highlight w:val="none"/>
              </w:rPr>
              <w:t>序号</w:t>
            </w:r>
          </w:p>
        </w:tc>
        <w:tc>
          <w:tcPr>
            <w:tcW w:w="2137" w:type="dxa"/>
            <w:noWrap w:val="0"/>
            <w:vAlign w:val="center"/>
          </w:tcPr>
          <w:p w14:paraId="54A81670">
            <w:pPr>
              <w:pageBreakBefore w:val="0"/>
              <w:kinsoku/>
              <w:wordWrap w:val="0"/>
              <w:overflowPunct/>
              <w:bidi w:val="0"/>
              <w:spacing w:line="0" w:lineRule="atLeast"/>
              <w:jc w:val="center"/>
              <w:rPr>
                <w:rFonts w:hint="eastAsia" w:ascii="宋体"/>
                <w:b/>
                <w:szCs w:val="21"/>
                <w:highlight w:val="none"/>
              </w:rPr>
            </w:pPr>
            <w:r>
              <w:rPr>
                <w:rFonts w:hint="eastAsia" w:ascii="宋体"/>
                <w:b/>
                <w:szCs w:val="21"/>
                <w:highlight w:val="none"/>
              </w:rPr>
              <w:t>条款名称</w:t>
            </w:r>
          </w:p>
        </w:tc>
        <w:tc>
          <w:tcPr>
            <w:tcW w:w="4321" w:type="dxa"/>
            <w:noWrap w:val="0"/>
            <w:vAlign w:val="center"/>
          </w:tcPr>
          <w:p w14:paraId="182F909E">
            <w:pPr>
              <w:pageBreakBefore w:val="0"/>
              <w:kinsoku/>
              <w:wordWrap w:val="0"/>
              <w:overflowPunct/>
              <w:bidi w:val="0"/>
              <w:spacing w:line="0" w:lineRule="atLeast"/>
              <w:jc w:val="center"/>
              <w:rPr>
                <w:rFonts w:hint="eastAsia" w:ascii="宋体"/>
                <w:b/>
                <w:szCs w:val="21"/>
                <w:highlight w:val="none"/>
              </w:rPr>
            </w:pPr>
            <w:r>
              <w:rPr>
                <w:rFonts w:hint="eastAsia" w:ascii="宋体"/>
                <w:b/>
                <w:szCs w:val="21"/>
                <w:highlight w:val="none"/>
              </w:rPr>
              <w:t>约定内容</w:t>
            </w:r>
          </w:p>
        </w:tc>
        <w:tc>
          <w:tcPr>
            <w:tcW w:w="1885" w:type="dxa"/>
            <w:noWrap w:val="0"/>
            <w:vAlign w:val="center"/>
          </w:tcPr>
          <w:p w14:paraId="0A7BB265">
            <w:pPr>
              <w:pageBreakBefore w:val="0"/>
              <w:kinsoku/>
              <w:wordWrap w:val="0"/>
              <w:overflowPunct/>
              <w:bidi w:val="0"/>
              <w:spacing w:line="0" w:lineRule="atLeast"/>
              <w:jc w:val="center"/>
              <w:rPr>
                <w:rFonts w:hint="eastAsia" w:ascii="宋体"/>
                <w:b/>
                <w:szCs w:val="21"/>
                <w:highlight w:val="none"/>
              </w:rPr>
            </w:pPr>
            <w:r>
              <w:rPr>
                <w:rFonts w:hint="eastAsia" w:ascii="宋体"/>
                <w:b/>
                <w:highlight w:val="none"/>
              </w:rPr>
              <w:t>是否响应</w:t>
            </w:r>
          </w:p>
        </w:tc>
      </w:tr>
      <w:tr w14:paraId="5EEC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697D11A6">
            <w:pPr>
              <w:pageBreakBefore w:val="0"/>
              <w:kinsoku/>
              <w:wordWrap w:val="0"/>
              <w:overflowPunct/>
              <w:bidi w:val="0"/>
              <w:spacing w:line="440" w:lineRule="exact"/>
              <w:jc w:val="center"/>
              <w:rPr>
                <w:rFonts w:hint="eastAsia" w:ascii="宋体"/>
                <w:szCs w:val="21"/>
                <w:highlight w:val="none"/>
              </w:rPr>
            </w:pPr>
            <w:r>
              <w:rPr>
                <w:rFonts w:hint="eastAsia" w:ascii="宋体"/>
                <w:szCs w:val="21"/>
                <w:highlight w:val="none"/>
              </w:rPr>
              <w:t>1</w:t>
            </w:r>
          </w:p>
        </w:tc>
        <w:tc>
          <w:tcPr>
            <w:tcW w:w="2137" w:type="dxa"/>
            <w:noWrap w:val="0"/>
            <w:vAlign w:val="center"/>
          </w:tcPr>
          <w:p w14:paraId="2844AFF7">
            <w:pPr>
              <w:pageBreakBefore w:val="0"/>
              <w:kinsoku/>
              <w:wordWrap w:val="0"/>
              <w:overflowPunct/>
              <w:bidi w:val="0"/>
              <w:spacing w:line="440" w:lineRule="exact"/>
              <w:jc w:val="center"/>
              <w:rPr>
                <w:rFonts w:hint="eastAsia" w:ascii="宋体"/>
                <w:szCs w:val="21"/>
                <w:highlight w:val="none"/>
              </w:rPr>
            </w:pPr>
            <w:r>
              <w:rPr>
                <w:rFonts w:hint="eastAsia" w:ascii="宋体"/>
                <w:szCs w:val="21"/>
                <w:highlight w:val="none"/>
              </w:rPr>
              <w:t>合同履行期限</w:t>
            </w:r>
          </w:p>
        </w:tc>
        <w:tc>
          <w:tcPr>
            <w:tcW w:w="4321" w:type="dxa"/>
            <w:noWrap w:val="0"/>
            <w:vAlign w:val="center"/>
          </w:tcPr>
          <w:p w14:paraId="6EE9F87D">
            <w:pPr>
              <w:pageBreakBefore w:val="0"/>
              <w:kinsoku/>
              <w:wordWrap w:val="0"/>
              <w:overflowPunct/>
              <w:autoSpaceDE w:val="0"/>
              <w:autoSpaceDN w:val="0"/>
              <w:bidi w:val="0"/>
              <w:adjustRightInd w:val="0"/>
              <w:spacing w:line="380" w:lineRule="exact"/>
              <w:jc w:val="left"/>
              <w:rPr>
                <w:rFonts w:hint="eastAsia" w:ascii="宋体" w:eastAsia="宋体" w:cs="宋体"/>
                <w:szCs w:val="18"/>
                <w:highlight w:val="none"/>
                <w:lang w:eastAsia="zh-CN"/>
              </w:rPr>
            </w:pPr>
            <w:r>
              <w:rPr>
                <w:rFonts w:hint="eastAsia" w:ascii="宋体" w:cs="宋体"/>
                <w:bCs/>
                <w:szCs w:val="21"/>
                <w:highlight w:val="none"/>
                <w:lang w:eastAsia="zh-CN"/>
              </w:rPr>
              <w:t>接到供货指令后30日内完成供货、安装、调试</w:t>
            </w:r>
          </w:p>
        </w:tc>
        <w:tc>
          <w:tcPr>
            <w:tcW w:w="1885" w:type="dxa"/>
            <w:noWrap w:val="0"/>
            <w:vAlign w:val="center"/>
          </w:tcPr>
          <w:p w14:paraId="0AAB2D93">
            <w:pPr>
              <w:pageBreakBefore w:val="0"/>
              <w:kinsoku/>
              <w:wordWrap w:val="0"/>
              <w:overflowPunct/>
              <w:bidi w:val="0"/>
              <w:spacing w:line="440" w:lineRule="exact"/>
              <w:jc w:val="center"/>
              <w:rPr>
                <w:rFonts w:hint="eastAsia" w:ascii="宋体"/>
                <w:szCs w:val="21"/>
                <w:highlight w:val="none"/>
              </w:rPr>
            </w:pPr>
          </w:p>
        </w:tc>
      </w:tr>
      <w:tr w14:paraId="0B38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70432E9E">
            <w:pPr>
              <w:pageBreakBefore w:val="0"/>
              <w:kinsoku/>
              <w:wordWrap w:val="0"/>
              <w:overflowPunct/>
              <w:bidi w:val="0"/>
              <w:spacing w:line="440" w:lineRule="exact"/>
              <w:jc w:val="center"/>
              <w:rPr>
                <w:rFonts w:hint="eastAsia" w:ascii="宋体"/>
                <w:szCs w:val="21"/>
                <w:highlight w:val="none"/>
              </w:rPr>
            </w:pPr>
            <w:r>
              <w:rPr>
                <w:rFonts w:hint="eastAsia" w:ascii="宋体"/>
                <w:szCs w:val="21"/>
                <w:highlight w:val="none"/>
              </w:rPr>
              <w:t>2</w:t>
            </w:r>
          </w:p>
        </w:tc>
        <w:tc>
          <w:tcPr>
            <w:tcW w:w="2137" w:type="dxa"/>
            <w:noWrap w:val="0"/>
            <w:vAlign w:val="center"/>
          </w:tcPr>
          <w:p w14:paraId="68E90A7F">
            <w:pPr>
              <w:pageBreakBefore w:val="0"/>
              <w:kinsoku/>
              <w:wordWrap w:val="0"/>
              <w:overflowPunct/>
              <w:autoSpaceDE w:val="0"/>
              <w:autoSpaceDN w:val="0"/>
              <w:bidi w:val="0"/>
              <w:adjustRightInd w:val="0"/>
              <w:spacing w:line="240" w:lineRule="exact"/>
              <w:jc w:val="center"/>
              <w:rPr>
                <w:rFonts w:hint="eastAsia" w:ascii="宋体" w:cs="仿宋_GB2312"/>
                <w:kern w:val="0"/>
                <w:szCs w:val="21"/>
                <w:highlight w:val="none"/>
              </w:rPr>
            </w:pPr>
            <w:r>
              <w:rPr>
                <w:rFonts w:hint="eastAsia" w:ascii="宋体" w:cs="仿宋_GB2312"/>
                <w:kern w:val="0"/>
                <w:szCs w:val="21"/>
                <w:highlight w:val="none"/>
              </w:rPr>
              <w:t>投标有效期</w:t>
            </w:r>
          </w:p>
        </w:tc>
        <w:tc>
          <w:tcPr>
            <w:tcW w:w="4321" w:type="dxa"/>
            <w:noWrap w:val="0"/>
            <w:vAlign w:val="center"/>
          </w:tcPr>
          <w:p w14:paraId="2F83F518">
            <w:pPr>
              <w:pageBreakBefore w:val="0"/>
              <w:kinsoku/>
              <w:wordWrap w:val="0"/>
              <w:overflowPunct/>
              <w:autoSpaceDE w:val="0"/>
              <w:autoSpaceDN w:val="0"/>
              <w:bidi w:val="0"/>
              <w:adjustRightInd w:val="0"/>
              <w:spacing w:line="240" w:lineRule="exact"/>
              <w:rPr>
                <w:rFonts w:hint="eastAsia" w:ascii="宋体" w:cs="仿宋_GB2312"/>
                <w:kern w:val="0"/>
                <w:szCs w:val="21"/>
                <w:highlight w:val="none"/>
              </w:rPr>
            </w:pPr>
            <w:r>
              <w:rPr>
                <w:rFonts w:hint="eastAsia" w:ascii="宋体" w:cs="仿宋_GB2312"/>
                <w:kern w:val="0"/>
                <w:szCs w:val="21"/>
                <w:highlight w:val="none"/>
              </w:rPr>
              <w:t>90天</w:t>
            </w:r>
          </w:p>
        </w:tc>
        <w:tc>
          <w:tcPr>
            <w:tcW w:w="1885" w:type="dxa"/>
            <w:noWrap w:val="0"/>
            <w:vAlign w:val="center"/>
          </w:tcPr>
          <w:p w14:paraId="06362068">
            <w:pPr>
              <w:pageBreakBefore w:val="0"/>
              <w:kinsoku/>
              <w:wordWrap w:val="0"/>
              <w:overflowPunct/>
              <w:bidi w:val="0"/>
              <w:spacing w:line="440" w:lineRule="exact"/>
              <w:jc w:val="center"/>
              <w:rPr>
                <w:rFonts w:hint="eastAsia" w:ascii="宋体"/>
                <w:szCs w:val="21"/>
                <w:highlight w:val="none"/>
              </w:rPr>
            </w:pPr>
          </w:p>
        </w:tc>
      </w:tr>
      <w:tr w14:paraId="71A1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09A41AA6">
            <w:pPr>
              <w:pageBreakBefore w:val="0"/>
              <w:kinsoku/>
              <w:wordWrap w:val="0"/>
              <w:overflowPunct/>
              <w:bidi w:val="0"/>
              <w:spacing w:line="440" w:lineRule="exact"/>
              <w:jc w:val="center"/>
              <w:rPr>
                <w:rFonts w:hint="eastAsia" w:ascii="宋体"/>
                <w:szCs w:val="21"/>
                <w:highlight w:val="none"/>
              </w:rPr>
            </w:pPr>
            <w:r>
              <w:rPr>
                <w:rFonts w:hint="eastAsia" w:ascii="宋体"/>
                <w:szCs w:val="21"/>
                <w:highlight w:val="none"/>
              </w:rPr>
              <w:t>3</w:t>
            </w:r>
          </w:p>
        </w:tc>
        <w:tc>
          <w:tcPr>
            <w:tcW w:w="2137" w:type="dxa"/>
            <w:noWrap w:val="0"/>
            <w:vAlign w:val="center"/>
          </w:tcPr>
          <w:p w14:paraId="5EACB4E8">
            <w:pPr>
              <w:pageBreakBefore w:val="0"/>
              <w:kinsoku/>
              <w:wordWrap w:val="0"/>
              <w:overflowPunct/>
              <w:autoSpaceDE w:val="0"/>
              <w:autoSpaceDN w:val="0"/>
              <w:bidi w:val="0"/>
              <w:adjustRightInd w:val="0"/>
              <w:spacing w:line="240" w:lineRule="exact"/>
              <w:jc w:val="center"/>
              <w:rPr>
                <w:rFonts w:hint="eastAsia" w:ascii="宋体" w:cs="仿宋_GB2312"/>
                <w:kern w:val="0"/>
                <w:szCs w:val="21"/>
                <w:highlight w:val="none"/>
              </w:rPr>
            </w:pPr>
            <w:r>
              <w:rPr>
                <w:rFonts w:hint="eastAsia" w:ascii="宋体"/>
                <w:highlight w:val="none"/>
              </w:rPr>
              <w:t>货物需求及技术要求</w:t>
            </w:r>
          </w:p>
        </w:tc>
        <w:tc>
          <w:tcPr>
            <w:tcW w:w="4321" w:type="dxa"/>
            <w:noWrap w:val="0"/>
            <w:vAlign w:val="center"/>
          </w:tcPr>
          <w:p w14:paraId="191020E4">
            <w:pPr>
              <w:pageBreakBefore w:val="0"/>
              <w:kinsoku/>
              <w:wordWrap w:val="0"/>
              <w:overflowPunct/>
              <w:autoSpaceDE w:val="0"/>
              <w:autoSpaceDN w:val="0"/>
              <w:bidi w:val="0"/>
              <w:adjustRightInd w:val="0"/>
              <w:spacing w:line="240" w:lineRule="exact"/>
              <w:rPr>
                <w:rFonts w:hint="eastAsia" w:ascii="宋体" w:cs="仿宋_GB2312"/>
                <w:kern w:val="0"/>
                <w:szCs w:val="21"/>
                <w:highlight w:val="none"/>
              </w:rPr>
            </w:pPr>
            <w:r>
              <w:rPr>
                <w:rFonts w:hint="eastAsia" w:ascii="宋体" w:cs="宋体"/>
                <w:bCs/>
                <w:szCs w:val="21"/>
                <w:highlight w:val="none"/>
                <w:lang w:val="zh-CN"/>
              </w:rPr>
              <w:t>符合第五章规定</w:t>
            </w:r>
          </w:p>
        </w:tc>
        <w:tc>
          <w:tcPr>
            <w:tcW w:w="1885" w:type="dxa"/>
            <w:noWrap w:val="0"/>
            <w:vAlign w:val="center"/>
          </w:tcPr>
          <w:p w14:paraId="41B5B4F7">
            <w:pPr>
              <w:pageBreakBefore w:val="0"/>
              <w:kinsoku/>
              <w:wordWrap w:val="0"/>
              <w:overflowPunct/>
              <w:bidi w:val="0"/>
              <w:spacing w:line="440" w:lineRule="exact"/>
              <w:jc w:val="center"/>
              <w:rPr>
                <w:rFonts w:hint="eastAsia" w:ascii="宋体"/>
                <w:szCs w:val="21"/>
                <w:highlight w:val="none"/>
              </w:rPr>
            </w:pPr>
          </w:p>
        </w:tc>
      </w:tr>
      <w:tr w14:paraId="2BA6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1BF78A8B">
            <w:pPr>
              <w:pageBreakBefore w:val="0"/>
              <w:kinsoku/>
              <w:wordWrap w:val="0"/>
              <w:overflowPunct/>
              <w:bidi w:val="0"/>
              <w:spacing w:line="440" w:lineRule="exact"/>
              <w:jc w:val="center"/>
              <w:rPr>
                <w:rFonts w:hint="default" w:ascii="宋体" w:eastAsia="宋体"/>
                <w:szCs w:val="21"/>
                <w:highlight w:val="none"/>
                <w:lang w:val="en-US" w:eastAsia="zh-CN"/>
              </w:rPr>
            </w:pPr>
            <w:r>
              <w:rPr>
                <w:rFonts w:hint="eastAsia" w:ascii="宋体"/>
                <w:szCs w:val="21"/>
                <w:highlight w:val="none"/>
                <w:lang w:val="en-US" w:eastAsia="zh-CN"/>
              </w:rPr>
              <w:t>...</w:t>
            </w:r>
          </w:p>
        </w:tc>
        <w:tc>
          <w:tcPr>
            <w:tcW w:w="2137" w:type="dxa"/>
            <w:noWrap w:val="0"/>
            <w:vAlign w:val="center"/>
          </w:tcPr>
          <w:p w14:paraId="5F16DEF8">
            <w:pPr>
              <w:pageBreakBefore w:val="0"/>
              <w:kinsoku/>
              <w:wordWrap w:val="0"/>
              <w:overflowPunct/>
              <w:autoSpaceDE w:val="0"/>
              <w:autoSpaceDN w:val="0"/>
              <w:bidi w:val="0"/>
              <w:adjustRightInd w:val="0"/>
              <w:spacing w:line="240" w:lineRule="exact"/>
              <w:jc w:val="center"/>
              <w:rPr>
                <w:rFonts w:hint="default" w:ascii="宋体" w:eastAsia="宋体"/>
                <w:highlight w:val="none"/>
                <w:lang w:val="en-US" w:eastAsia="zh-CN"/>
              </w:rPr>
            </w:pPr>
            <w:r>
              <w:rPr>
                <w:rFonts w:hint="eastAsia" w:ascii="宋体"/>
                <w:highlight w:val="none"/>
                <w:lang w:val="en-US" w:eastAsia="zh-CN"/>
              </w:rPr>
              <w:t>...</w:t>
            </w:r>
          </w:p>
        </w:tc>
        <w:tc>
          <w:tcPr>
            <w:tcW w:w="4321" w:type="dxa"/>
            <w:noWrap w:val="0"/>
            <w:vAlign w:val="center"/>
          </w:tcPr>
          <w:p w14:paraId="2A92042B">
            <w:pPr>
              <w:pageBreakBefore w:val="0"/>
              <w:kinsoku/>
              <w:wordWrap w:val="0"/>
              <w:overflowPunct/>
              <w:autoSpaceDE w:val="0"/>
              <w:autoSpaceDN w:val="0"/>
              <w:bidi w:val="0"/>
              <w:adjustRightInd w:val="0"/>
              <w:spacing w:line="240" w:lineRule="exact"/>
              <w:rPr>
                <w:rFonts w:hint="default" w:ascii="宋体" w:eastAsia="宋体" w:cs="宋体"/>
                <w:bCs/>
                <w:szCs w:val="21"/>
                <w:highlight w:val="none"/>
                <w:lang w:val="en-US" w:eastAsia="zh-CN"/>
              </w:rPr>
            </w:pPr>
            <w:r>
              <w:rPr>
                <w:rFonts w:hint="eastAsia" w:ascii="宋体" w:cs="宋体"/>
                <w:bCs/>
                <w:szCs w:val="21"/>
                <w:highlight w:val="none"/>
                <w:lang w:val="en-US" w:eastAsia="zh-CN"/>
              </w:rPr>
              <w:t>...</w:t>
            </w:r>
          </w:p>
        </w:tc>
        <w:tc>
          <w:tcPr>
            <w:tcW w:w="1885" w:type="dxa"/>
            <w:noWrap w:val="0"/>
            <w:vAlign w:val="center"/>
          </w:tcPr>
          <w:p w14:paraId="06D379C0">
            <w:pPr>
              <w:pageBreakBefore w:val="0"/>
              <w:kinsoku/>
              <w:wordWrap w:val="0"/>
              <w:overflowPunct/>
              <w:bidi w:val="0"/>
              <w:spacing w:line="440" w:lineRule="exact"/>
              <w:jc w:val="center"/>
              <w:rPr>
                <w:rFonts w:hint="eastAsia" w:ascii="宋体"/>
                <w:szCs w:val="21"/>
                <w:highlight w:val="none"/>
              </w:rPr>
            </w:pPr>
          </w:p>
        </w:tc>
      </w:tr>
    </w:tbl>
    <w:p w14:paraId="633EDFAE">
      <w:pPr>
        <w:pageBreakBefore w:val="0"/>
        <w:kinsoku/>
        <w:wordWrap w:val="0"/>
        <w:overflowPunct/>
        <w:bidi w:val="0"/>
        <w:spacing w:line="500" w:lineRule="exact"/>
        <w:jc w:val="right"/>
        <w:rPr>
          <w:rFonts w:hint="eastAsia" w:ascii="宋体" w:cs="宋体-18030"/>
          <w:kern w:val="0"/>
          <w:szCs w:val="21"/>
          <w:highlight w:val="none"/>
        </w:rPr>
      </w:pPr>
    </w:p>
    <w:p w14:paraId="4DAE352F">
      <w:pPr>
        <w:pageBreakBefore w:val="0"/>
        <w:kinsoku/>
        <w:wordWrap w:val="0"/>
        <w:overflowPunct/>
        <w:autoSpaceDE w:val="0"/>
        <w:autoSpaceDN w:val="0"/>
        <w:bidi w:val="0"/>
        <w:adjustRightInd w:val="0"/>
        <w:spacing w:line="500" w:lineRule="exact"/>
        <w:jc w:val="left"/>
        <w:rPr>
          <w:rFonts w:hint="eastAsia" w:ascii="宋体" w:cs="宋体-18030"/>
          <w:b/>
          <w:szCs w:val="21"/>
          <w:highlight w:val="none"/>
          <w:lang w:val="zh-CN"/>
        </w:rPr>
      </w:pPr>
    </w:p>
    <w:p w14:paraId="652B8574">
      <w:pPr>
        <w:pageBreakBefore w:val="0"/>
        <w:kinsoku/>
        <w:wordWrap w:val="0"/>
        <w:overflowPunct/>
        <w:autoSpaceDE w:val="0"/>
        <w:autoSpaceDN w:val="0"/>
        <w:bidi w:val="0"/>
        <w:adjustRightInd w:val="0"/>
        <w:spacing w:line="500" w:lineRule="exact"/>
        <w:jc w:val="center"/>
        <w:rPr>
          <w:rFonts w:hint="eastAsia" w:ascii="宋体" w:cs="宋体-18030"/>
          <w:kern w:val="0"/>
          <w:szCs w:val="21"/>
          <w:highlight w:val="none"/>
        </w:rPr>
      </w:pPr>
    </w:p>
    <w:p w14:paraId="6EE33ADA">
      <w:pPr>
        <w:pageBreakBefore w:val="0"/>
        <w:kinsoku/>
        <w:wordWrap w:val="0"/>
        <w:overflowPunct/>
        <w:autoSpaceDE w:val="0"/>
        <w:autoSpaceDN w:val="0"/>
        <w:bidi w:val="0"/>
        <w:adjustRightInd w:val="0"/>
        <w:spacing w:line="500" w:lineRule="exact"/>
        <w:jc w:val="center"/>
        <w:rPr>
          <w:rFonts w:hint="eastAsia" w:ascii="宋体" w:cs="宋体-18030"/>
          <w:kern w:val="0"/>
          <w:sz w:val="24"/>
          <w:highlight w:val="none"/>
        </w:rPr>
      </w:pPr>
    </w:p>
    <w:p w14:paraId="6F1D484E">
      <w:pPr>
        <w:pageBreakBefore w:val="0"/>
        <w:kinsoku/>
        <w:wordWrap w:val="0"/>
        <w:overflowPunct/>
        <w:autoSpaceDE w:val="0"/>
        <w:autoSpaceDN w:val="0"/>
        <w:bidi w:val="0"/>
        <w:adjustRightInd w:val="0"/>
        <w:spacing w:line="500" w:lineRule="exact"/>
        <w:jc w:val="center"/>
        <w:rPr>
          <w:rFonts w:hint="eastAsia" w:ascii="宋体" w:cs="宋体-18030"/>
          <w:kern w:val="0"/>
          <w:sz w:val="24"/>
          <w:highlight w:val="none"/>
        </w:rPr>
      </w:pPr>
    </w:p>
    <w:p w14:paraId="25E86A93">
      <w:pPr>
        <w:pageBreakBefore w:val="0"/>
        <w:kinsoku/>
        <w:wordWrap w:val="0"/>
        <w:overflowPunct/>
        <w:autoSpaceDE w:val="0"/>
        <w:autoSpaceDN w:val="0"/>
        <w:bidi w:val="0"/>
        <w:adjustRightInd w:val="0"/>
        <w:spacing w:line="500" w:lineRule="exact"/>
        <w:jc w:val="center"/>
        <w:outlineLvl w:val="0"/>
        <w:rPr>
          <w:rFonts w:hint="eastAsia" w:ascii="宋体" w:cs="宋体-18030"/>
          <w:b/>
          <w:kern w:val="0"/>
          <w:sz w:val="36"/>
          <w:szCs w:val="36"/>
          <w:highlight w:val="none"/>
        </w:rPr>
      </w:pPr>
      <w:r>
        <w:rPr>
          <w:rFonts w:hint="eastAsia" w:ascii="宋体" w:cs="宋体-18030"/>
          <w:kern w:val="0"/>
          <w:sz w:val="24"/>
          <w:highlight w:val="none"/>
        </w:rPr>
        <w:br w:type="page"/>
      </w:r>
      <w:bookmarkStart w:id="442" w:name="_Toc7064"/>
      <w:bookmarkStart w:id="443" w:name="_Toc22132"/>
      <w:r>
        <w:rPr>
          <w:rFonts w:hint="eastAsia" w:ascii="宋体" w:cs="宋体-18030"/>
          <w:b/>
          <w:kern w:val="0"/>
          <w:sz w:val="36"/>
          <w:szCs w:val="36"/>
          <w:highlight w:val="none"/>
        </w:rPr>
        <w:t>二、法定代表人身份证明和授权委托书</w:t>
      </w:r>
      <w:bookmarkEnd w:id="442"/>
      <w:bookmarkEnd w:id="443"/>
    </w:p>
    <w:p w14:paraId="5A4E17A5">
      <w:pPr>
        <w:pageBreakBefore w:val="0"/>
        <w:kinsoku/>
        <w:wordWrap w:val="0"/>
        <w:overflowPunct/>
        <w:autoSpaceDE w:val="0"/>
        <w:autoSpaceDN w:val="0"/>
        <w:bidi w:val="0"/>
        <w:adjustRightInd w:val="0"/>
        <w:spacing w:line="500" w:lineRule="exact"/>
        <w:jc w:val="center"/>
        <w:rPr>
          <w:rFonts w:hint="eastAsia" w:ascii="宋体" w:cs="宋体-18030"/>
          <w:kern w:val="0"/>
          <w:szCs w:val="21"/>
          <w:highlight w:val="none"/>
        </w:rPr>
      </w:pPr>
    </w:p>
    <w:p w14:paraId="2F2C31AE">
      <w:pPr>
        <w:pageBreakBefore w:val="0"/>
        <w:kinsoku/>
        <w:wordWrap w:val="0"/>
        <w:overflowPunct/>
        <w:autoSpaceDE w:val="0"/>
        <w:autoSpaceDN w:val="0"/>
        <w:bidi w:val="0"/>
        <w:adjustRightInd w:val="0"/>
        <w:spacing w:line="500" w:lineRule="exact"/>
        <w:jc w:val="center"/>
        <w:rPr>
          <w:rFonts w:hint="eastAsia" w:ascii="宋体" w:cs="宋体-18030"/>
          <w:kern w:val="0"/>
          <w:sz w:val="28"/>
          <w:szCs w:val="28"/>
          <w:highlight w:val="none"/>
        </w:rPr>
      </w:pPr>
      <w:r>
        <w:rPr>
          <w:rFonts w:hint="eastAsia" w:ascii="宋体" w:cs="宋体-18030"/>
          <w:kern w:val="0"/>
          <w:sz w:val="28"/>
          <w:szCs w:val="28"/>
          <w:highlight w:val="none"/>
        </w:rPr>
        <w:t>(一) 法定代表人身份证明</w:t>
      </w:r>
    </w:p>
    <w:p w14:paraId="3960CCF7">
      <w:pPr>
        <w:pageBreakBefore w:val="0"/>
        <w:kinsoku/>
        <w:wordWrap w:val="0"/>
        <w:overflowPunct/>
        <w:autoSpaceDE w:val="0"/>
        <w:autoSpaceDN w:val="0"/>
        <w:bidi w:val="0"/>
        <w:adjustRightInd w:val="0"/>
        <w:spacing w:line="500" w:lineRule="exact"/>
        <w:ind w:left="718" w:leftChars="342"/>
        <w:jc w:val="left"/>
        <w:rPr>
          <w:rFonts w:hint="eastAsia" w:ascii="宋体" w:cs="宋体-18030"/>
          <w:kern w:val="0"/>
          <w:szCs w:val="21"/>
          <w:highlight w:val="none"/>
        </w:rPr>
      </w:pPr>
    </w:p>
    <w:p w14:paraId="4C475F52">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u w:val="single"/>
        </w:rPr>
      </w:pPr>
      <w:r>
        <w:rPr>
          <w:rFonts w:hint="eastAsia" w:ascii="宋体" w:cs="宋体-18030"/>
          <w:kern w:val="0"/>
          <w:szCs w:val="21"/>
          <w:highlight w:val="none"/>
        </w:rPr>
        <w:t>投标人名称：</w:t>
      </w:r>
      <w:r>
        <w:rPr>
          <w:rFonts w:hint="eastAsia" w:ascii="宋体" w:cs="宋体-18030"/>
          <w:kern w:val="0"/>
          <w:szCs w:val="21"/>
          <w:highlight w:val="none"/>
          <w:u w:val="single"/>
        </w:rPr>
        <w:t xml:space="preserve">                                </w:t>
      </w:r>
    </w:p>
    <w:p w14:paraId="50DCE076">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u w:val="single"/>
        </w:rPr>
      </w:pPr>
      <w:r>
        <w:rPr>
          <w:rFonts w:hint="eastAsia" w:ascii="宋体" w:cs="宋体-18030"/>
          <w:kern w:val="0"/>
          <w:szCs w:val="21"/>
          <w:highlight w:val="none"/>
        </w:rPr>
        <w:t>单位性质：</w:t>
      </w:r>
      <w:r>
        <w:rPr>
          <w:rFonts w:hint="eastAsia" w:ascii="宋体" w:cs="宋体-18030"/>
          <w:kern w:val="0"/>
          <w:szCs w:val="21"/>
          <w:highlight w:val="none"/>
          <w:u w:val="single"/>
        </w:rPr>
        <w:t xml:space="preserve">                                  </w:t>
      </w:r>
    </w:p>
    <w:p w14:paraId="5CF9678A">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u w:val="single"/>
        </w:rPr>
      </w:pPr>
      <w:r>
        <w:rPr>
          <w:rFonts w:hint="eastAsia" w:ascii="宋体" w:cs="宋体-18030"/>
          <w:kern w:val="0"/>
          <w:szCs w:val="21"/>
          <w:highlight w:val="none"/>
        </w:rPr>
        <w:t>地址：</w:t>
      </w:r>
      <w:r>
        <w:rPr>
          <w:rFonts w:hint="eastAsia" w:ascii="宋体" w:cs="宋体-18030"/>
          <w:kern w:val="0"/>
          <w:szCs w:val="21"/>
          <w:highlight w:val="none"/>
          <w:u w:val="single"/>
        </w:rPr>
        <w:t xml:space="preserve">                                      </w:t>
      </w:r>
    </w:p>
    <w:p w14:paraId="1D33CF5D">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rPr>
      </w:pPr>
      <w:r>
        <w:rPr>
          <w:rFonts w:hint="eastAsia" w:ascii="宋体" w:cs="宋体-18030"/>
          <w:kern w:val="0"/>
          <w:szCs w:val="21"/>
          <w:highlight w:val="none"/>
        </w:rPr>
        <w:t>成立时间：</w:t>
      </w:r>
      <w:r>
        <w:rPr>
          <w:rFonts w:hint="eastAsia" w:ascii="宋体" w:cs="宋体-18030"/>
          <w:kern w:val="0"/>
          <w:szCs w:val="21"/>
          <w:highlight w:val="none"/>
          <w:u w:val="single"/>
        </w:rPr>
        <w:t xml:space="preserve">             </w:t>
      </w:r>
      <w:r>
        <w:rPr>
          <w:rFonts w:hint="eastAsia" w:ascii="宋体" w:cs="宋体-18030"/>
          <w:kern w:val="0"/>
          <w:szCs w:val="21"/>
          <w:highlight w:val="none"/>
        </w:rPr>
        <w:t>年</w:t>
      </w:r>
      <w:r>
        <w:rPr>
          <w:rFonts w:hint="eastAsia" w:ascii="宋体" w:cs="宋体-18030"/>
          <w:kern w:val="0"/>
          <w:szCs w:val="21"/>
          <w:highlight w:val="none"/>
          <w:u w:val="single"/>
        </w:rPr>
        <w:t xml:space="preserve">        </w:t>
      </w:r>
      <w:r>
        <w:rPr>
          <w:rFonts w:hint="eastAsia" w:ascii="宋体" w:cs="宋体-18030"/>
          <w:kern w:val="0"/>
          <w:szCs w:val="21"/>
          <w:highlight w:val="none"/>
        </w:rPr>
        <w:t>月</w:t>
      </w:r>
      <w:r>
        <w:rPr>
          <w:rFonts w:hint="eastAsia" w:ascii="宋体" w:cs="宋体-18030"/>
          <w:kern w:val="0"/>
          <w:szCs w:val="21"/>
          <w:highlight w:val="none"/>
          <w:u w:val="single"/>
        </w:rPr>
        <w:t xml:space="preserve">        </w:t>
      </w:r>
      <w:r>
        <w:rPr>
          <w:rFonts w:hint="eastAsia" w:ascii="宋体" w:cs="宋体-18030"/>
          <w:kern w:val="0"/>
          <w:szCs w:val="21"/>
          <w:highlight w:val="none"/>
        </w:rPr>
        <w:t>日</w:t>
      </w:r>
    </w:p>
    <w:p w14:paraId="4BB7C2D5">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u w:val="single"/>
        </w:rPr>
      </w:pPr>
      <w:r>
        <w:rPr>
          <w:rFonts w:hint="eastAsia" w:ascii="宋体" w:cs="宋体-18030"/>
          <w:kern w:val="0"/>
          <w:szCs w:val="21"/>
          <w:highlight w:val="none"/>
        </w:rPr>
        <w:t xml:space="preserve">经营期限： </w:t>
      </w:r>
      <w:r>
        <w:rPr>
          <w:rFonts w:hint="eastAsia" w:ascii="宋体" w:cs="宋体-18030"/>
          <w:kern w:val="0"/>
          <w:szCs w:val="21"/>
          <w:highlight w:val="none"/>
          <w:u w:val="single"/>
        </w:rPr>
        <w:t xml:space="preserve">                                 </w:t>
      </w:r>
    </w:p>
    <w:p w14:paraId="379D654A">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u w:val="single"/>
        </w:rPr>
      </w:pPr>
      <w:r>
        <w:rPr>
          <w:rFonts w:hint="eastAsia" w:ascii="宋体" w:cs="宋体-18030"/>
          <w:kern w:val="0"/>
          <w:szCs w:val="21"/>
          <w:highlight w:val="none"/>
        </w:rPr>
        <w:t>姓名：</w:t>
      </w:r>
      <w:r>
        <w:rPr>
          <w:rFonts w:hint="eastAsia" w:ascii="宋体" w:cs="宋体-18030"/>
          <w:kern w:val="0"/>
          <w:szCs w:val="21"/>
          <w:highlight w:val="none"/>
          <w:u w:val="single"/>
        </w:rPr>
        <w:t xml:space="preserve">        </w:t>
      </w:r>
      <w:r>
        <w:rPr>
          <w:rFonts w:hint="eastAsia" w:ascii="宋体" w:cs="宋体-18030"/>
          <w:kern w:val="0"/>
          <w:szCs w:val="21"/>
          <w:highlight w:val="none"/>
        </w:rPr>
        <w:t>性别：</w:t>
      </w:r>
      <w:r>
        <w:rPr>
          <w:rFonts w:hint="eastAsia" w:ascii="宋体" w:cs="宋体-18030"/>
          <w:kern w:val="0"/>
          <w:szCs w:val="21"/>
          <w:highlight w:val="none"/>
          <w:u w:val="single"/>
        </w:rPr>
        <w:t xml:space="preserve">    </w:t>
      </w:r>
      <w:r>
        <w:rPr>
          <w:rFonts w:hint="eastAsia" w:ascii="宋体" w:cs="宋体-18030"/>
          <w:kern w:val="0"/>
          <w:szCs w:val="21"/>
          <w:highlight w:val="none"/>
        </w:rPr>
        <w:t>年龄：</w:t>
      </w:r>
      <w:r>
        <w:rPr>
          <w:rFonts w:hint="eastAsia" w:ascii="宋体" w:cs="宋体-18030"/>
          <w:kern w:val="0"/>
          <w:szCs w:val="21"/>
          <w:highlight w:val="none"/>
          <w:u w:val="single"/>
        </w:rPr>
        <w:t xml:space="preserve">    </w:t>
      </w:r>
      <w:r>
        <w:rPr>
          <w:rFonts w:hint="eastAsia" w:ascii="宋体" w:cs="宋体-18030"/>
          <w:kern w:val="0"/>
          <w:szCs w:val="21"/>
          <w:highlight w:val="none"/>
        </w:rPr>
        <w:t>职务：</w:t>
      </w:r>
      <w:r>
        <w:rPr>
          <w:rFonts w:hint="eastAsia" w:ascii="宋体" w:cs="宋体-18030"/>
          <w:kern w:val="0"/>
          <w:szCs w:val="21"/>
          <w:highlight w:val="none"/>
          <w:u w:val="single"/>
        </w:rPr>
        <w:t xml:space="preserve">    </w:t>
      </w:r>
    </w:p>
    <w:p w14:paraId="6BE13B78">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rPr>
      </w:pPr>
      <w:r>
        <w:rPr>
          <w:rFonts w:hint="eastAsia" w:ascii="宋体" w:cs="宋体-18030"/>
          <w:kern w:val="0"/>
          <w:szCs w:val="21"/>
          <w:highlight w:val="none"/>
        </w:rPr>
        <w:t>系</w:t>
      </w:r>
      <w:r>
        <w:rPr>
          <w:rFonts w:hint="eastAsia" w:ascii="宋体" w:cs="宋体-18030"/>
          <w:kern w:val="0"/>
          <w:szCs w:val="21"/>
          <w:highlight w:val="none"/>
          <w:u w:val="single"/>
        </w:rPr>
        <w:t xml:space="preserve">       (投标人名称)       </w:t>
      </w:r>
      <w:r>
        <w:rPr>
          <w:rFonts w:hint="eastAsia" w:ascii="宋体" w:cs="宋体-18030"/>
          <w:kern w:val="0"/>
          <w:szCs w:val="21"/>
          <w:highlight w:val="none"/>
        </w:rPr>
        <w:t>的法定代表人。</w:t>
      </w:r>
    </w:p>
    <w:p w14:paraId="338B2810">
      <w:pPr>
        <w:pageBreakBefore w:val="0"/>
        <w:kinsoku/>
        <w:wordWrap w:val="0"/>
        <w:overflowPunct/>
        <w:autoSpaceDE w:val="0"/>
        <w:autoSpaceDN w:val="0"/>
        <w:bidi w:val="0"/>
        <w:adjustRightInd w:val="0"/>
        <w:spacing w:line="600" w:lineRule="exact"/>
        <w:ind w:left="718" w:leftChars="342" w:firstLine="420" w:firstLineChars="200"/>
        <w:jc w:val="left"/>
        <w:rPr>
          <w:rFonts w:hint="eastAsia" w:ascii="宋体" w:cs="宋体-18030"/>
          <w:kern w:val="0"/>
          <w:szCs w:val="21"/>
          <w:highlight w:val="none"/>
        </w:rPr>
      </w:pPr>
      <w:r>
        <w:rPr>
          <w:rFonts w:hint="eastAsia" w:ascii="宋体" w:cs="宋体-18030"/>
          <w:kern w:val="0"/>
          <w:szCs w:val="21"/>
          <w:highlight w:val="none"/>
        </w:rPr>
        <w:t>特此证明。</w:t>
      </w:r>
    </w:p>
    <w:p w14:paraId="334E7CD4">
      <w:pPr>
        <w:pageBreakBefore w:val="0"/>
        <w:kinsoku/>
        <w:wordWrap w:val="0"/>
        <w:overflowPunct/>
        <w:autoSpaceDE w:val="0"/>
        <w:autoSpaceDN w:val="0"/>
        <w:bidi w:val="0"/>
        <w:adjustRightInd w:val="0"/>
        <w:spacing w:line="600" w:lineRule="exact"/>
        <w:ind w:left="718" w:leftChars="342"/>
        <w:jc w:val="left"/>
        <w:rPr>
          <w:rFonts w:hint="eastAsia" w:ascii="宋体" w:cs="宋体-18030"/>
          <w:kern w:val="0"/>
          <w:szCs w:val="21"/>
          <w:highlight w:val="none"/>
        </w:rPr>
      </w:pPr>
    </w:p>
    <w:p w14:paraId="785E5F58">
      <w:pPr>
        <w:pageBreakBefore w:val="0"/>
        <w:kinsoku/>
        <w:wordWrap w:val="0"/>
        <w:overflowPunct/>
        <w:autoSpaceDE w:val="0"/>
        <w:autoSpaceDN w:val="0"/>
        <w:bidi w:val="0"/>
        <w:adjustRightInd w:val="0"/>
        <w:spacing w:line="600" w:lineRule="exact"/>
        <w:ind w:left="718" w:leftChars="342"/>
        <w:jc w:val="right"/>
        <w:rPr>
          <w:rFonts w:hint="eastAsia" w:ascii="宋体" w:cs="宋体-18030"/>
          <w:kern w:val="0"/>
          <w:szCs w:val="21"/>
          <w:highlight w:val="none"/>
        </w:rPr>
      </w:pPr>
    </w:p>
    <w:p w14:paraId="40D17B86">
      <w:pPr>
        <w:pageBreakBefore w:val="0"/>
        <w:kinsoku/>
        <w:wordWrap w:val="0"/>
        <w:overflowPunct/>
        <w:autoSpaceDE w:val="0"/>
        <w:autoSpaceDN w:val="0"/>
        <w:bidi w:val="0"/>
        <w:adjustRightInd w:val="0"/>
        <w:spacing w:line="600" w:lineRule="exact"/>
        <w:ind w:left="718" w:leftChars="342"/>
        <w:jc w:val="right"/>
        <w:rPr>
          <w:rFonts w:hint="eastAsia" w:ascii="宋体" w:cs="宋体-18030"/>
          <w:kern w:val="0"/>
          <w:szCs w:val="21"/>
          <w:highlight w:val="none"/>
        </w:rPr>
      </w:pPr>
      <w:r>
        <w:rPr>
          <w:rFonts w:hint="eastAsia" w:ascii="宋体" w:cs="宋体-18030"/>
          <w:kern w:val="0"/>
          <w:szCs w:val="21"/>
          <w:highlight w:val="none"/>
        </w:rPr>
        <w:t>投标人：</w:t>
      </w:r>
      <w:r>
        <w:rPr>
          <w:rFonts w:hint="eastAsia" w:ascii="宋体" w:cs="宋体-18030"/>
          <w:kern w:val="0"/>
          <w:szCs w:val="21"/>
          <w:highlight w:val="none"/>
          <w:u w:val="single"/>
        </w:rPr>
        <w:t xml:space="preserve">                      </w:t>
      </w:r>
      <w:r>
        <w:rPr>
          <w:rFonts w:hint="eastAsia" w:ascii="宋体" w:cs="宋体-18030"/>
          <w:kern w:val="0"/>
          <w:szCs w:val="21"/>
          <w:highlight w:val="none"/>
        </w:rPr>
        <w:t>(盖单位章)</w:t>
      </w:r>
    </w:p>
    <w:p w14:paraId="221AF1CB">
      <w:pPr>
        <w:pageBreakBefore w:val="0"/>
        <w:kinsoku/>
        <w:wordWrap w:val="0"/>
        <w:overflowPunct/>
        <w:bidi w:val="0"/>
        <w:spacing w:line="600" w:lineRule="exact"/>
        <w:ind w:firstLine="2520" w:firstLineChars="1200"/>
        <w:jc w:val="right"/>
        <w:rPr>
          <w:rFonts w:hint="eastAsia" w:ascii="宋体" w:cs="宋体-18030"/>
          <w:kern w:val="0"/>
          <w:szCs w:val="21"/>
          <w:highlight w:val="none"/>
        </w:rPr>
      </w:pPr>
      <w:r>
        <w:rPr>
          <w:rFonts w:hint="eastAsia" w:ascii="宋体" w:cs="宋体-18030"/>
          <w:kern w:val="0"/>
          <w:szCs w:val="21"/>
          <w:highlight w:val="none"/>
          <w:u w:val="single"/>
        </w:rPr>
        <w:t xml:space="preserve">        </w:t>
      </w:r>
      <w:r>
        <w:rPr>
          <w:rFonts w:hint="eastAsia" w:ascii="宋体" w:cs="宋体-18030"/>
          <w:kern w:val="0"/>
          <w:szCs w:val="21"/>
          <w:highlight w:val="none"/>
        </w:rPr>
        <w:t>年</w:t>
      </w:r>
      <w:r>
        <w:rPr>
          <w:rFonts w:hint="eastAsia" w:ascii="宋体" w:cs="宋体-18030"/>
          <w:kern w:val="0"/>
          <w:szCs w:val="21"/>
          <w:highlight w:val="none"/>
          <w:u w:val="single"/>
        </w:rPr>
        <w:t xml:space="preserve">     </w:t>
      </w:r>
      <w:r>
        <w:rPr>
          <w:rFonts w:hint="eastAsia" w:ascii="宋体" w:cs="宋体-18030"/>
          <w:kern w:val="0"/>
          <w:szCs w:val="21"/>
          <w:highlight w:val="none"/>
        </w:rPr>
        <w:t>月</w:t>
      </w:r>
      <w:r>
        <w:rPr>
          <w:rFonts w:hint="eastAsia" w:ascii="宋体" w:cs="宋体-18030"/>
          <w:kern w:val="0"/>
          <w:szCs w:val="21"/>
          <w:highlight w:val="none"/>
          <w:u w:val="single"/>
        </w:rPr>
        <w:t xml:space="preserve">     </w:t>
      </w:r>
      <w:r>
        <w:rPr>
          <w:rFonts w:hint="eastAsia" w:ascii="宋体" w:cs="宋体-18030"/>
          <w:kern w:val="0"/>
          <w:szCs w:val="21"/>
          <w:highlight w:val="none"/>
        </w:rPr>
        <w:t>日</w:t>
      </w:r>
    </w:p>
    <w:p w14:paraId="3EC86C72">
      <w:pPr>
        <w:pageBreakBefore w:val="0"/>
        <w:kinsoku/>
        <w:wordWrap w:val="0"/>
        <w:overflowPunct/>
        <w:bidi w:val="0"/>
        <w:spacing w:line="500" w:lineRule="exact"/>
        <w:ind w:firstLine="2520" w:firstLineChars="1200"/>
        <w:jc w:val="right"/>
        <w:rPr>
          <w:rFonts w:hint="eastAsia" w:ascii="宋体" w:cs="宋体-18030"/>
          <w:kern w:val="0"/>
          <w:szCs w:val="21"/>
          <w:highlight w:val="none"/>
        </w:rPr>
      </w:pPr>
    </w:p>
    <w:p w14:paraId="2DA7893E">
      <w:pPr>
        <w:pageBreakBefore w:val="0"/>
        <w:kinsoku/>
        <w:wordWrap w:val="0"/>
        <w:overflowPunct/>
        <w:bidi w:val="0"/>
        <w:spacing w:line="500" w:lineRule="exact"/>
        <w:ind w:firstLine="2520" w:firstLineChars="1200"/>
        <w:jc w:val="right"/>
        <w:rPr>
          <w:rFonts w:hint="eastAsia" w:ascii="宋体" w:cs="宋体-18030"/>
          <w:kern w:val="0"/>
          <w:szCs w:val="21"/>
          <w:highlight w:val="none"/>
        </w:rPr>
      </w:pPr>
    </w:p>
    <w:p w14:paraId="633273E7">
      <w:pPr>
        <w:pageBreakBefore w:val="0"/>
        <w:kinsoku/>
        <w:wordWrap w:val="0"/>
        <w:overflowPunct/>
        <w:bidi w:val="0"/>
        <w:spacing w:line="500" w:lineRule="exact"/>
        <w:ind w:firstLine="2520" w:firstLineChars="1200"/>
        <w:jc w:val="right"/>
        <w:rPr>
          <w:rFonts w:hint="eastAsia" w:ascii="宋体" w:cs="宋体-18030"/>
          <w:kern w:val="0"/>
          <w:szCs w:val="21"/>
          <w:highlight w:val="none"/>
        </w:rPr>
      </w:pPr>
    </w:p>
    <w:p w14:paraId="6090810A">
      <w:pPr>
        <w:pageBreakBefore w:val="0"/>
        <w:kinsoku/>
        <w:wordWrap w:val="0"/>
        <w:overflowPunct/>
        <w:bidi w:val="0"/>
        <w:spacing w:line="500" w:lineRule="exact"/>
        <w:ind w:firstLine="2520" w:firstLineChars="1200"/>
        <w:jc w:val="right"/>
        <w:rPr>
          <w:rFonts w:hint="eastAsia" w:ascii="宋体" w:cs="宋体-18030"/>
          <w:kern w:val="0"/>
          <w:szCs w:val="21"/>
          <w:highlight w:val="none"/>
        </w:rPr>
      </w:pPr>
    </w:p>
    <w:p w14:paraId="433CF44B">
      <w:pPr>
        <w:pageBreakBefore w:val="0"/>
        <w:kinsoku/>
        <w:wordWrap w:val="0"/>
        <w:overflowPunct/>
        <w:bidi w:val="0"/>
        <w:spacing w:line="500" w:lineRule="exact"/>
        <w:ind w:firstLine="2520" w:firstLineChars="1200"/>
        <w:jc w:val="right"/>
        <w:rPr>
          <w:rFonts w:hint="eastAsia" w:ascii="宋体" w:cs="宋体-18030"/>
          <w:kern w:val="0"/>
          <w:szCs w:val="21"/>
          <w:highlight w:val="none"/>
        </w:rPr>
      </w:pPr>
    </w:p>
    <w:p w14:paraId="6C4406B5">
      <w:pPr>
        <w:pageBreakBefore w:val="0"/>
        <w:kinsoku/>
        <w:wordWrap w:val="0"/>
        <w:overflowPunct/>
        <w:bidi w:val="0"/>
        <w:spacing w:line="500" w:lineRule="exact"/>
        <w:ind w:firstLine="2520" w:firstLineChars="1200"/>
        <w:jc w:val="right"/>
        <w:rPr>
          <w:rFonts w:hint="eastAsia" w:ascii="宋体" w:cs="宋体-18030"/>
          <w:kern w:val="0"/>
          <w:szCs w:val="21"/>
          <w:highlight w:val="none"/>
        </w:rPr>
      </w:pPr>
    </w:p>
    <w:p w14:paraId="5AAC3065">
      <w:pPr>
        <w:pageBreakBefore w:val="0"/>
        <w:kinsoku/>
        <w:wordWrap w:val="0"/>
        <w:overflowPunct/>
        <w:bidi w:val="0"/>
        <w:spacing w:line="500" w:lineRule="exact"/>
        <w:ind w:right="420"/>
        <w:rPr>
          <w:rFonts w:hint="eastAsia" w:ascii="宋体" w:cs="宋体-18030"/>
          <w:kern w:val="0"/>
          <w:szCs w:val="21"/>
          <w:highlight w:val="none"/>
        </w:rPr>
      </w:pPr>
    </w:p>
    <w:p w14:paraId="68DEA875">
      <w:pPr>
        <w:pageBreakBefore w:val="0"/>
        <w:kinsoku/>
        <w:wordWrap w:val="0"/>
        <w:overflowPunct/>
        <w:bidi w:val="0"/>
        <w:spacing w:line="500" w:lineRule="exact"/>
        <w:ind w:right="420"/>
        <w:rPr>
          <w:rFonts w:hint="eastAsia" w:ascii="宋体" w:cs="宋体-18030"/>
          <w:kern w:val="0"/>
          <w:szCs w:val="21"/>
          <w:highlight w:val="none"/>
        </w:rPr>
      </w:pPr>
    </w:p>
    <w:p w14:paraId="2BA4E5C2">
      <w:pPr>
        <w:pageBreakBefore w:val="0"/>
        <w:kinsoku/>
        <w:wordWrap w:val="0"/>
        <w:overflowPunct/>
        <w:bidi w:val="0"/>
        <w:spacing w:line="500" w:lineRule="exact"/>
        <w:ind w:right="420"/>
        <w:rPr>
          <w:rFonts w:hint="eastAsia" w:ascii="宋体" w:cs="宋体-18030"/>
          <w:kern w:val="0"/>
          <w:szCs w:val="21"/>
          <w:highlight w:val="none"/>
        </w:rPr>
      </w:pPr>
    </w:p>
    <w:p w14:paraId="56715677">
      <w:pPr>
        <w:pageBreakBefore w:val="0"/>
        <w:kinsoku/>
        <w:wordWrap w:val="0"/>
        <w:overflowPunct/>
        <w:autoSpaceDE w:val="0"/>
        <w:autoSpaceDN w:val="0"/>
        <w:bidi w:val="0"/>
        <w:adjustRightInd w:val="0"/>
        <w:spacing w:line="500" w:lineRule="exact"/>
        <w:jc w:val="center"/>
        <w:rPr>
          <w:rFonts w:hint="eastAsia" w:ascii="宋体" w:cs="宋体-18030"/>
          <w:kern w:val="0"/>
          <w:szCs w:val="21"/>
          <w:highlight w:val="none"/>
        </w:rPr>
      </w:pPr>
    </w:p>
    <w:p w14:paraId="087A6056">
      <w:pPr>
        <w:pageBreakBefore w:val="0"/>
        <w:kinsoku/>
        <w:wordWrap w:val="0"/>
        <w:overflowPunct/>
        <w:autoSpaceDE w:val="0"/>
        <w:autoSpaceDN w:val="0"/>
        <w:bidi w:val="0"/>
        <w:adjustRightInd w:val="0"/>
        <w:spacing w:line="500" w:lineRule="exact"/>
        <w:jc w:val="center"/>
        <w:rPr>
          <w:rFonts w:hint="eastAsia" w:ascii="宋体" w:cs="宋体-18030"/>
          <w:kern w:val="0"/>
          <w:sz w:val="28"/>
          <w:szCs w:val="28"/>
          <w:highlight w:val="none"/>
        </w:rPr>
      </w:pPr>
      <w:r>
        <w:rPr>
          <w:rFonts w:hint="eastAsia" w:ascii="宋体" w:cs="宋体-18030"/>
          <w:kern w:val="0"/>
          <w:sz w:val="28"/>
          <w:szCs w:val="28"/>
          <w:highlight w:val="none"/>
        </w:rPr>
        <w:t>(二)授权委托书</w:t>
      </w:r>
    </w:p>
    <w:p w14:paraId="5C89F35C">
      <w:pPr>
        <w:pageBreakBefore w:val="0"/>
        <w:kinsoku/>
        <w:wordWrap w:val="0"/>
        <w:overflowPunct/>
        <w:autoSpaceDE w:val="0"/>
        <w:autoSpaceDN w:val="0"/>
        <w:bidi w:val="0"/>
        <w:adjustRightInd w:val="0"/>
        <w:spacing w:line="500" w:lineRule="exact"/>
        <w:jc w:val="left"/>
        <w:rPr>
          <w:rFonts w:hint="eastAsia" w:ascii="宋体" w:cs="宋体-18030"/>
          <w:kern w:val="0"/>
          <w:szCs w:val="21"/>
          <w:highlight w:val="none"/>
        </w:rPr>
      </w:pPr>
    </w:p>
    <w:p w14:paraId="2A21BF06">
      <w:pPr>
        <w:pageBreakBefore w:val="0"/>
        <w:kinsoku/>
        <w:wordWrap w:val="0"/>
        <w:overflowPunct/>
        <w:autoSpaceDE w:val="0"/>
        <w:autoSpaceDN w:val="0"/>
        <w:bidi w:val="0"/>
        <w:adjustRightInd w:val="0"/>
        <w:spacing w:line="6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本人</w:t>
      </w:r>
      <w:r>
        <w:rPr>
          <w:rFonts w:hint="eastAsia" w:ascii="宋体" w:cs="宋体-18030"/>
          <w:kern w:val="0"/>
          <w:szCs w:val="21"/>
          <w:highlight w:val="none"/>
          <w:u w:val="single"/>
        </w:rPr>
        <w:t xml:space="preserve">  (姓名)   </w:t>
      </w:r>
      <w:r>
        <w:rPr>
          <w:rFonts w:hint="eastAsia" w:ascii="宋体" w:cs="宋体-18030"/>
          <w:kern w:val="0"/>
          <w:szCs w:val="21"/>
          <w:highlight w:val="none"/>
        </w:rPr>
        <w:t>系</w:t>
      </w:r>
      <w:r>
        <w:rPr>
          <w:rFonts w:hint="eastAsia" w:ascii="宋体" w:cs="宋体-18030"/>
          <w:kern w:val="0"/>
          <w:szCs w:val="21"/>
          <w:highlight w:val="none"/>
          <w:u w:val="single"/>
        </w:rPr>
        <w:t xml:space="preserve">    (投标人名称)    </w:t>
      </w:r>
      <w:r>
        <w:rPr>
          <w:rFonts w:hint="eastAsia" w:ascii="宋体" w:cs="宋体-18030"/>
          <w:kern w:val="0"/>
          <w:szCs w:val="21"/>
          <w:highlight w:val="none"/>
        </w:rPr>
        <w:t>的法定代表人，现委托</w:t>
      </w:r>
      <w:r>
        <w:rPr>
          <w:rFonts w:hint="eastAsia" w:ascii="宋体" w:cs="宋体-18030"/>
          <w:kern w:val="0"/>
          <w:szCs w:val="21"/>
          <w:highlight w:val="none"/>
          <w:u w:val="single"/>
        </w:rPr>
        <w:t xml:space="preserve">   (姓名)  </w:t>
      </w:r>
      <w:r>
        <w:rPr>
          <w:rFonts w:hint="eastAsia" w:ascii="宋体" w:cs="宋体-18030"/>
          <w:kern w:val="0"/>
          <w:szCs w:val="21"/>
          <w:highlight w:val="none"/>
        </w:rPr>
        <w:t>为我方代理人。代理人根据授权，以我方名义签署、澄清、说明、补正、递交、撤回、修改</w:t>
      </w:r>
      <w:r>
        <w:rPr>
          <w:rFonts w:hint="eastAsia" w:ascii="宋体" w:cs="宋体-18030"/>
          <w:kern w:val="0"/>
          <w:szCs w:val="21"/>
          <w:highlight w:val="none"/>
          <w:u w:val="single"/>
        </w:rPr>
        <w:t xml:space="preserve">   (项目名称)    </w:t>
      </w:r>
      <w:r>
        <w:rPr>
          <w:rFonts w:hint="eastAsia" w:ascii="宋体" w:cs="宋体-18030"/>
          <w:kern w:val="0"/>
          <w:szCs w:val="21"/>
          <w:highlight w:val="none"/>
        </w:rPr>
        <w:t>投标文件、签订合同和处理有关事宜，其法律后果由我方承担。</w:t>
      </w:r>
    </w:p>
    <w:p w14:paraId="6749EA01">
      <w:pPr>
        <w:pageBreakBefore w:val="0"/>
        <w:kinsoku/>
        <w:wordWrap w:val="0"/>
        <w:overflowPunct/>
        <w:autoSpaceDE w:val="0"/>
        <w:autoSpaceDN w:val="0"/>
        <w:bidi w:val="0"/>
        <w:adjustRightInd w:val="0"/>
        <w:spacing w:line="6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委托期限：</w:t>
      </w:r>
      <w:r>
        <w:rPr>
          <w:rFonts w:hint="eastAsia" w:ascii="宋体" w:cs="宋体-18030"/>
          <w:kern w:val="0"/>
          <w:szCs w:val="21"/>
          <w:highlight w:val="none"/>
          <w:u w:val="single"/>
        </w:rPr>
        <w:t xml:space="preserve">        　　　　　　　　　　　　　　　</w:t>
      </w:r>
      <w:r>
        <w:rPr>
          <w:rFonts w:hint="eastAsia" w:ascii="宋体" w:cs="宋体-18030"/>
          <w:kern w:val="0"/>
          <w:szCs w:val="21"/>
          <w:highlight w:val="none"/>
        </w:rPr>
        <w:t>。</w:t>
      </w:r>
    </w:p>
    <w:p w14:paraId="5E40A14C">
      <w:pPr>
        <w:pageBreakBefore w:val="0"/>
        <w:kinsoku/>
        <w:wordWrap w:val="0"/>
        <w:overflowPunct/>
        <w:autoSpaceDE w:val="0"/>
        <w:autoSpaceDN w:val="0"/>
        <w:bidi w:val="0"/>
        <w:adjustRightInd w:val="0"/>
        <w:spacing w:line="6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代理人无转委托权。</w:t>
      </w:r>
    </w:p>
    <w:p w14:paraId="50C5D2D3">
      <w:pPr>
        <w:pageBreakBefore w:val="0"/>
        <w:kinsoku/>
        <w:wordWrap w:val="0"/>
        <w:overflowPunct/>
        <w:bidi w:val="0"/>
        <w:spacing w:line="600" w:lineRule="exact"/>
        <w:ind w:firstLine="420" w:firstLineChars="200"/>
        <w:jc w:val="left"/>
        <w:rPr>
          <w:rFonts w:hint="eastAsia" w:ascii="宋体" w:cs="宋体-18030"/>
          <w:kern w:val="0"/>
          <w:szCs w:val="21"/>
          <w:highlight w:val="none"/>
        </w:rPr>
      </w:pPr>
      <w:r>
        <w:rPr>
          <w:rFonts w:hint="eastAsia" w:ascii="宋体" w:cs="宋体-18030"/>
          <w:kern w:val="0"/>
          <w:szCs w:val="21"/>
          <w:highlight w:val="none"/>
        </w:rPr>
        <w:t>附：法定代表人身份证明；被授权人身份证明。</w:t>
      </w:r>
    </w:p>
    <w:p w14:paraId="4B37CA71">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p>
    <w:p w14:paraId="4AC2C497">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p>
    <w:p w14:paraId="3BC5F35D">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p>
    <w:p w14:paraId="055E28FE">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p>
    <w:p w14:paraId="66795D55">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r>
        <w:rPr>
          <w:rFonts w:hint="eastAsia" w:ascii="宋体" w:cs="宋体-18030"/>
          <w:kern w:val="0"/>
          <w:szCs w:val="21"/>
          <w:highlight w:val="none"/>
        </w:rPr>
        <w:t>投  标  人：</w:t>
      </w:r>
      <w:r>
        <w:rPr>
          <w:rFonts w:hint="eastAsia" w:ascii="宋体" w:cs="宋体-18030"/>
          <w:kern w:val="0"/>
          <w:szCs w:val="21"/>
          <w:highlight w:val="none"/>
          <w:u w:val="single"/>
        </w:rPr>
        <w:t xml:space="preserve">                            </w:t>
      </w:r>
      <w:r>
        <w:rPr>
          <w:rFonts w:hint="eastAsia" w:ascii="宋体" w:cs="宋体-18030"/>
          <w:kern w:val="0"/>
          <w:szCs w:val="21"/>
          <w:highlight w:val="none"/>
        </w:rPr>
        <w:t>(盖单位章)</w:t>
      </w:r>
    </w:p>
    <w:p w14:paraId="6BBC9F38">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r>
        <w:rPr>
          <w:rFonts w:hint="eastAsia" w:ascii="宋体" w:cs="宋体-18030"/>
          <w:kern w:val="0"/>
          <w:szCs w:val="21"/>
          <w:highlight w:val="none"/>
        </w:rPr>
        <w:t>法定代表人：</w:t>
      </w:r>
      <w:r>
        <w:rPr>
          <w:rFonts w:hint="eastAsia" w:ascii="宋体" w:cs="宋体-18030"/>
          <w:kern w:val="0"/>
          <w:szCs w:val="21"/>
          <w:highlight w:val="none"/>
          <w:u w:val="single"/>
        </w:rPr>
        <w:t xml:space="preserve">                            </w:t>
      </w:r>
      <w:r>
        <w:rPr>
          <w:rFonts w:hint="eastAsia" w:ascii="宋体" w:cs="宋体-18030"/>
          <w:kern w:val="0"/>
          <w:szCs w:val="21"/>
          <w:highlight w:val="none"/>
        </w:rPr>
        <w:t>(签字)</w:t>
      </w:r>
    </w:p>
    <w:p w14:paraId="06683E96">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u w:val="single"/>
        </w:rPr>
      </w:pPr>
      <w:r>
        <w:rPr>
          <w:rFonts w:hint="eastAsia" w:ascii="宋体" w:cs="宋体-18030"/>
          <w:kern w:val="0"/>
          <w:szCs w:val="21"/>
          <w:highlight w:val="none"/>
        </w:rPr>
        <w:t>身份证号码：</w:t>
      </w:r>
      <w:r>
        <w:rPr>
          <w:rFonts w:hint="eastAsia" w:ascii="宋体" w:cs="宋体-18030"/>
          <w:kern w:val="0"/>
          <w:szCs w:val="21"/>
          <w:highlight w:val="none"/>
          <w:u w:val="single"/>
        </w:rPr>
        <w:t xml:space="preserve">                                </w:t>
      </w:r>
    </w:p>
    <w:p w14:paraId="656BEE79">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r>
        <w:rPr>
          <w:rFonts w:hint="eastAsia" w:ascii="宋体" w:cs="宋体-18030"/>
          <w:kern w:val="0"/>
          <w:szCs w:val="21"/>
          <w:highlight w:val="none"/>
        </w:rPr>
        <w:t>委托代理人：</w:t>
      </w:r>
      <w:r>
        <w:rPr>
          <w:rFonts w:hint="eastAsia" w:ascii="宋体" w:cs="宋体-18030"/>
          <w:kern w:val="0"/>
          <w:szCs w:val="21"/>
          <w:highlight w:val="none"/>
          <w:u w:val="single"/>
        </w:rPr>
        <w:t xml:space="preserve">                                </w:t>
      </w:r>
      <w:r>
        <w:rPr>
          <w:rFonts w:hint="eastAsia" w:ascii="宋体" w:cs="宋体-18030"/>
          <w:kern w:val="0"/>
          <w:szCs w:val="21"/>
          <w:highlight w:val="none"/>
        </w:rPr>
        <w:t>(签字)</w:t>
      </w:r>
    </w:p>
    <w:p w14:paraId="16A0EDAD">
      <w:pPr>
        <w:pageBreakBefore w:val="0"/>
        <w:kinsoku/>
        <w:wordWrap w:val="0"/>
        <w:overflowPunct/>
        <w:autoSpaceDE w:val="0"/>
        <w:autoSpaceDN w:val="0"/>
        <w:bidi w:val="0"/>
        <w:adjustRightInd w:val="0"/>
        <w:spacing w:line="600" w:lineRule="exact"/>
        <w:ind w:left="540" w:leftChars="257"/>
        <w:jc w:val="left"/>
        <w:rPr>
          <w:rFonts w:hint="eastAsia" w:ascii="宋体" w:cs="宋体-18030"/>
          <w:kern w:val="0"/>
          <w:szCs w:val="21"/>
          <w:highlight w:val="none"/>
        </w:rPr>
      </w:pPr>
      <w:r>
        <w:rPr>
          <w:rFonts w:hint="eastAsia" w:ascii="宋体" w:cs="宋体-18030"/>
          <w:kern w:val="0"/>
          <w:szCs w:val="21"/>
          <w:highlight w:val="none"/>
        </w:rPr>
        <w:t>身份证号码：</w:t>
      </w:r>
      <w:r>
        <w:rPr>
          <w:rFonts w:hint="eastAsia" w:ascii="宋体" w:cs="宋体-18030"/>
          <w:kern w:val="0"/>
          <w:szCs w:val="21"/>
          <w:highlight w:val="none"/>
          <w:u w:val="single"/>
        </w:rPr>
        <w:t xml:space="preserve">                                </w:t>
      </w:r>
    </w:p>
    <w:p w14:paraId="5CB18321">
      <w:pPr>
        <w:pageBreakBefore w:val="0"/>
        <w:kinsoku/>
        <w:wordWrap w:val="0"/>
        <w:overflowPunct/>
        <w:bidi w:val="0"/>
        <w:spacing w:line="600" w:lineRule="exact"/>
        <w:ind w:firstLine="1890" w:firstLineChars="900"/>
        <w:jc w:val="right"/>
        <w:rPr>
          <w:rFonts w:hint="eastAsia" w:ascii="宋体" w:cs="宋体-18030"/>
          <w:kern w:val="0"/>
          <w:szCs w:val="21"/>
          <w:highlight w:val="none"/>
          <w:u w:val="single"/>
        </w:rPr>
      </w:pPr>
    </w:p>
    <w:p w14:paraId="61302972">
      <w:pPr>
        <w:pageBreakBefore w:val="0"/>
        <w:kinsoku/>
        <w:wordWrap w:val="0"/>
        <w:overflowPunct/>
        <w:bidi w:val="0"/>
        <w:spacing w:line="600" w:lineRule="exact"/>
        <w:ind w:firstLine="1890" w:firstLineChars="900"/>
        <w:jc w:val="right"/>
        <w:rPr>
          <w:rFonts w:hint="eastAsia" w:ascii="宋体" w:cs="宋体-18030"/>
          <w:kern w:val="0"/>
          <w:sz w:val="24"/>
          <w:highlight w:val="none"/>
        </w:rPr>
      </w:pPr>
      <w:r>
        <w:rPr>
          <w:rFonts w:hint="eastAsia" w:ascii="宋体" w:cs="宋体-18030"/>
          <w:kern w:val="0"/>
          <w:szCs w:val="21"/>
          <w:highlight w:val="none"/>
          <w:u w:val="single"/>
        </w:rPr>
        <w:t xml:space="preserve">           </w:t>
      </w:r>
      <w:r>
        <w:rPr>
          <w:rFonts w:hint="eastAsia" w:ascii="宋体" w:cs="宋体-18030"/>
          <w:kern w:val="0"/>
          <w:szCs w:val="21"/>
          <w:highlight w:val="none"/>
        </w:rPr>
        <w:t>年</w:t>
      </w:r>
      <w:r>
        <w:rPr>
          <w:rFonts w:hint="eastAsia" w:ascii="宋体" w:cs="宋体-18030"/>
          <w:kern w:val="0"/>
          <w:szCs w:val="21"/>
          <w:highlight w:val="none"/>
          <w:u w:val="single"/>
        </w:rPr>
        <w:t xml:space="preserve">     </w:t>
      </w:r>
      <w:r>
        <w:rPr>
          <w:rFonts w:hint="eastAsia" w:ascii="宋体" w:cs="宋体-18030"/>
          <w:kern w:val="0"/>
          <w:szCs w:val="21"/>
          <w:highlight w:val="none"/>
        </w:rPr>
        <w:t>月</w:t>
      </w:r>
      <w:r>
        <w:rPr>
          <w:rFonts w:hint="eastAsia" w:ascii="宋体" w:cs="宋体-18030"/>
          <w:kern w:val="0"/>
          <w:szCs w:val="21"/>
          <w:highlight w:val="none"/>
          <w:u w:val="single"/>
        </w:rPr>
        <w:t xml:space="preserve">     </w:t>
      </w:r>
      <w:r>
        <w:rPr>
          <w:rFonts w:hint="eastAsia" w:ascii="宋体" w:cs="宋体-18030"/>
          <w:kern w:val="0"/>
          <w:szCs w:val="21"/>
          <w:highlight w:val="none"/>
        </w:rPr>
        <w:t>日</w:t>
      </w:r>
    </w:p>
    <w:p w14:paraId="0DBE3F27">
      <w:pPr>
        <w:pageBreakBefore w:val="0"/>
        <w:kinsoku/>
        <w:wordWrap w:val="0"/>
        <w:overflowPunct/>
        <w:bidi w:val="0"/>
        <w:spacing w:line="500" w:lineRule="exact"/>
        <w:ind w:left="540" w:leftChars="257" w:firstLine="1680" w:firstLineChars="800"/>
        <w:jc w:val="left"/>
        <w:rPr>
          <w:rFonts w:hint="eastAsia" w:ascii="宋体" w:cs="宋体-18030"/>
          <w:kern w:val="0"/>
          <w:szCs w:val="21"/>
          <w:highlight w:val="none"/>
        </w:rPr>
      </w:pPr>
    </w:p>
    <w:p w14:paraId="4695DEE3">
      <w:pPr>
        <w:pageBreakBefore w:val="0"/>
        <w:kinsoku/>
        <w:wordWrap w:val="0"/>
        <w:overflowPunct/>
        <w:bidi w:val="0"/>
        <w:spacing w:line="500" w:lineRule="exact"/>
        <w:ind w:left="540" w:leftChars="257" w:firstLine="1680" w:firstLineChars="800"/>
        <w:jc w:val="left"/>
        <w:rPr>
          <w:rFonts w:hint="eastAsia" w:ascii="宋体" w:cs="宋体-18030"/>
          <w:kern w:val="0"/>
          <w:szCs w:val="21"/>
          <w:highlight w:val="none"/>
        </w:rPr>
      </w:pPr>
    </w:p>
    <w:p w14:paraId="406CCFF3">
      <w:pPr>
        <w:pageBreakBefore w:val="0"/>
        <w:kinsoku/>
        <w:wordWrap w:val="0"/>
        <w:overflowPunct/>
        <w:autoSpaceDE w:val="0"/>
        <w:autoSpaceDN w:val="0"/>
        <w:bidi w:val="0"/>
        <w:adjustRightInd w:val="0"/>
        <w:spacing w:line="500" w:lineRule="exact"/>
        <w:jc w:val="center"/>
        <w:rPr>
          <w:rFonts w:hint="eastAsia" w:ascii="宋体" w:cs="宋体-18030"/>
          <w:szCs w:val="21"/>
          <w:highlight w:val="none"/>
          <w:lang w:val="zh-CN"/>
        </w:rPr>
      </w:pPr>
    </w:p>
    <w:p w14:paraId="4C204536">
      <w:pPr>
        <w:pageBreakBefore w:val="0"/>
        <w:kinsoku/>
        <w:wordWrap w:val="0"/>
        <w:overflowPunct/>
        <w:autoSpaceDE w:val="0"/>
        <w:autoSpaceDN w:val="0"/>
        <w:bidi w:val="0"/>
        <w:adjustRightInd w:val="0"/>
        <w:spacing w:line="500" w:lineRule="exact"/>
        <w:jc w:val="center"/>
        <w:rPr>
          <w:rFonts w:hint="eastAsia" w:ascii="宋体" w:cs="宋体-18030"/>
          <w:szCs w:val="21"/>
          <w:highlight w:val="none"/>
          <w:lang w:val="zh-CN"/>
        </w:rPr>
      </w:pPr>
    </w:p>
    <w:p w14:paraId="53C0C216">
      <w:pPr>
        <w:pageBreakBefore w:val="0"/>
        <w:kinsoku/>
        <w:wordWrap w:val="0"/>
        <w:overflowPunct/>
        <w:autoSpaceDE w:val="0"/>
        <w:autoSpaceDN w:val="0"/>
        <w:bidi w:val="0"/>
        <w:adjustRightInd w:val="0"/>
        <w:spacing w:line="500" w:lineRule="exact"/>
        <w:jc w:val="center"/>
        <w:rPr>
          <w:rFonts w:hint="eastAsia" w:ascii="宋体" w:cs="宋体-18030"/>
          <w:szCs w:val="21"/>
          <w:highlight w:val="none"/>
          <w:lang w:val="zh-CN"/>
        </w:rPr>
        <w:sectPr>
          <w:pgSz w:w="11907" w:h="16840"/>
          <w:pgMar w:top="1134" w:right="1418" w:bottom="1134" w:left="1418" w:header="567" w:footer="567" w:gutter="0"/>
          <w:pgNumType w:fmt="decimal"/>
          <w:cols w:space="720" w:num="1"/>
          <w:titlePg/>
          <w:docGrid w:linePitch="312" w:charSpace="0"/>
        </w:sectPr>
      </w:pPr>
    </w:p>
    <w:p w14:paraId="3EB02E64">
      <w:pPr>
        <w:pageBreakBefore w:val="0"/>
        <w:kinsoku/>
        <w:wordWrap w:val="0"/>
        <w:overflowPunct/>
        <w:autoSpaceDE w:val="0"/>
        <w:autoSpaceDN w:val="0"/>
        <w:bidi w:val="0"/>
        <w:adjustRightInd w:val="0"/>
        <w:spacing w:line="500" w:lineRule="exact"/>
        <w:jc w:val="center"/>
        <w:outlineLvl w:val="0"/>
        <w:rPr>
          <w:rFonts w:hint="eastAsia" w:ascii="宋体" w:cs="宋体-18030"/>
          <w:b/>
          <w:sz w:val="36"/>
          <w:szCs w:val="36"/>
          <w:highlight w:val="none"/>
          <w:lang w:val="zh-CN"/>
        </w:rPr>
      </w:pPr>
      <w:bookmarkStart w:id="444" w:name="_Toc10156"/>
      <w:bookmarkStart w:id="445" w:name="_Toc14930"/>
      <w:r>
        <w:rPr>
          <w:rFonts w:hint="eastAsia" w:ascii="宋体" w:cs="宋体-18030"/>
          <w:b/>
          <w:sz w:val="36"/>
          <w:szCs w:val="36"/>
          <w:highlight w:val="none"/>
          <w:lang w:val="zh-CN"/>
        </w:rPr>
        <w:t>三、开标一览表</w:t>
      </w:r>
      <w:bookmarkEnd w:id="444"/>
      <w:bookmarkEnd w:id="445"/>
    </w:p>
    <w:p w14:paraId="68B84973">
      <w:pPr>
        <w:pageBreakBefore w:val="0"/>
        <w:kinsoku/>
        <w:wordWrap w:val="0"/>
        <w:overflowPunct/>
        <w:autoSpaceDE w:val="0"/>
        <w:autoSpaceDN w:val="0"/>
        <w:bidi w:val="0"/>
        <w:adjustRightInd w:val="0"/>
        <w:spacing w:line="400" w:lineRule="exact"/>
        <w:jc w:val="left"/>
        <w:rPr>
          <w:rFonts w:hint="eastAsia" w:ascii="宋体" w:cs="黑体"/>
          <w:b/>
          <w:kern w:val="0"/>
          <w:szCs w:val="21"/>
          <w:highlight w:val="none"/>
          <w:shd w:val="clear" w:color="auto" w:fill="FFFFFF"/>
        </w:rPr>
      </w:pPr>
    </w:p>
    <w:p w14:paraId="6F301F29">
      <w:pPr>
        <w:wordWrap w:val="0"/>
        <w:overflowPunct/>
        <w:bidi w:val="0"/>
        <w:spacing w:line="360" w:lineRule="auto"/>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 目 名 称 ：</w:t>
      </w:r>
    </w:p>
    <w:p w14:paraId="636DA45B">
      <w:pPr>
        <w:wordWrap w:val="0"/>
        <w:overflowPunct/>
        <w:bidi w:val="0"/>
        <w:spacing w:line="360" w:lineRule="auto"/>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 目 编 号：</w:t>
      </w:r>
    </w:p>
    <w:p w14:paraId="75A3ACFE">
      <w:pPr>
        <w:wordWrap w:val="0"/>
        <w:overflowPunct/>
        <w:bidi w:val="0"/>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开标</w:t>
      </w:r>
      <w:r>
        <w:rPr>
          <w:rFonts w:hint="eastAsia" w:ascii="宋体" w:hAnsi="宋体" w:eastAsia="宋体" w:cs="宋体"/>
          <w:sz w:val="21"/>
          <w:szCs w:val="21"/>
          <w:highlight w:val="none"/>
        </w:rPr>
        <w:t>时间：   年  月  日</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960"/>
        <w:gridCol w:w="1946"/>
        <w:gridCol w:w="1948"/>
        <w:gridCol w:w="1949"/>
      </w:tblGrid>
      <w:tr w14:paraId="4B6D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exact"/>
          <w:jc w:val="center"/>
        </w:trPr>
        <w:tc>
          <w:tcPr>
            <w:tcW w:w="1082" w:type="pct"/>
            <w:noWrap w:val="0"/>
            <w:vAlign w:val="center"/>
          </w:tcPr>
          <w:p w14:paraId="4F6AE6E4">
            <w:pPr>
              <w:wordWrap w:val="0"/>
              <w:overflowPunct/>
              <w:bidi w:val="0"/>
              <w:spacing w:line="24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lang w:val="en-US" w:eastAsia="zh-CN"/>
              </w:rPr>
              <w:t>名称</w:t>
            </w:r>
          </w:p>
        </w:tc>
        <w:tc>
          <w:tcPr>
            <w:tcW w:w="984" w:type="pct"/>
            <w:tcBorders>
              <w:right w:val="single" w:color="auto" w:sz="4" w:space="0"/>
            </w:tcBorders>
            <w:noWrap w:val="0"/>
            <w:vAlign w:val="center"/>
          </w:tcPr>
          <w:p w14:paraId="7C4AB0CE">
            <w:pPr>
              <w:wordWrap w:val="0"/>
              <w:overflowPunct/>
              <w:bidi w:val="0"/>
              <w:spacing w:line="240" w:lineRule="auto"/>
              <w:jc w:val="center"/>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投标总价</w:t>
            </w:r>
          </w:p>
          <w:p w14:paraId="53BE468D">
            <w:pPr>
              <w:wordWrap w:val="0"/>
              <w:overflowPunct/>
              <w:bidi w:val="0"/>
              <w:spacing w:line="240" w:lineRule="auto"/>
              <w:jc w:val="center"/>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元</w:t>
            </w:r>
            <w:r>
              <w:rPr>
                <w:rFonts w:hint="eastAsia" w:ascii="宋体" w:hAnsi="宋体" w:eastAsia="宋体" w:cs="宋体"/>
                <w:sz w:val="21"/>
                <w:szCs w:val="21"/>
                <w:highlight w:val="none"/>
                <w:lang w:eastAsia="zh-CN"/>
              </w:rPr>
              <w:t>)</w:t>
            </w:r>
          </w:p>
        </w:tc>
        <w:tc>
          <w:tcPr>
            <w:tcW w:w="977" w:type="pct"/>
            <w:tcBorders>
              <w:right w:val="single" w:color="auto" w:sz="4" w:space="0"/>
            </w:tcBorders>
            <w:noWrap w:val="0"/>
            <w:vAlign w:val="center"/>
          </w:tcPr>
          <w:p w14:paraId="08F16B8E">
            <w:pPr>
              <w:wordWrap w:val="0"/>
              <w:overflowPunct/>
              <w:bidi w:val="0"/>
              <w:spacing w:line="240" w:lineRule="auto"/>
              <w:jc w:val="center"/>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合同履行期限</w:t>
            </w:r>
          </w:p>
        </w:tc>
        <w:tc>
          <w:tcPr>
            <w:tcW w:w="978" w:type="pct"/>
            <w:tcBorders>
              <w:right w:val="single" w:color="auto" w:sz="4" w:space="0"/>
            </w:tcBorders>
            <w:noWrap w:val="0"/>
            <w:vAlign w:val="center"/>
          </w:tcPr>
          <w:p w14:paraId="365B120D">
            <w:pPr>
              <w:wordWrap w:val="0"/>
              <w:overflowPunct/>
              <w:bidi w:val="0"/>
              <w:spacing w:line="240" w:lineRule="auto"/>
              <w:jc w:val="center"/>
              <w:outlineLvl w:val="9"/>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质量标准</w:t>
            </w:r>
          </w:p>
        </w:tc>
        <w:tc>
          <w:tcPr>
            <w:tcW w:w="978" w:type="pct"/>
            <w:tcBorders>
              <w:right w:val="single" w:color="auto" w:sz="4" w:space="0"/>
            </w:tcBorders>
            <w:noWrap w:val="0"/>
            <w:vAlign w:val="center"/>
          </w:tcPr>
          <w:p w14:paraId="242C608D">
            <w:pPr>
              <w:wordWrap w:val="0"/>
              <w:overflowPunct/>
              <w:bidi w:val="0"/>
              <w:spacing w:line="240" w:lineRule="auto"/>
              <w:jc w:val="center"/>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备注</w:t>
            </w:r>
          </w:p>
        </w:tc>
      </w:tr>
      <w:tr w14:paraId="7018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exact"/>
          <w:jc w:val="center"/>
        </w:trPr>
        <w:tc>
          <w:tcPr>
            <w:tcW w:w="1082" w:type="pct"/>
            <w:noWrap w:val="0"/>
            <w:vAlign w:val="center"/>
          </w:tcPr>
          <w:p w14:paraId="4591ED3E">
            <w:pPr>
              <w:wordWrap w:val="0"/>
              <w:overflowPunct/>
              <w:bidi w:val="0"/>
              <w:spacing w:line="360" w:lineRule="auto"/>
              <w:outlineLvl w:val="9"/>
              <w:rPr>
                <w:rFonts w:hint="eastAsia" w:ascii="宋体" w:hAnsi="宋体" w:eastAsia="宋体" w:cs="宋体"/>
                <w:sz w:val="21"/>
                <w:szCs w:val="21"/>
                <w:highlight w:val="none"/>
              </w:rPr>
            </w:pPr>
          </w:p>
        </w:tc>
        <w:tc>
          <w:tcPr>
            <w:tcW w:w="984" w:type="pct"/>
            <w:tcBorders>
              <w:right w:val="single" w:color="auto" w:sz="4" w:space="0"/>
            </w:tcBorders>
            <w:noWrap w:val="0"/>
            <w:vAlign w:val="center"/>
          </w:tcPr>
          <w:p w14:paraId="232AB3A7">
            <w:pPr>
              <w:wordWrap w:val="0"/>
              <w:overflowPunct/>
              <w:bidi w:val="0"/>
              <w:spacing w:line="360" w:lineRule="auto"/>
              <w:jc w:val="center"/>
              <w:outlineLvl w:val="9"/>
              <w:rPr>
                <w:rFonts w:hint="eastAsia" w:ascii="宋体" w:hAnsi="宋体" w:eastAsia="宋体" w:cs="宋体"/>
                <w:sz w:val="21"/>
                <w:szCs w:val="21"/>
                <w:highlight w:val="none"/>
              </w:rPr>
            </w:pPr>
          </w:p>
        </w:tc>
        <w:tc>
          <w:tcPr>
            <w:tcW w:w="977" w:type="pct"/>
            <w:tcBorders>
              <w:bottom w:val="single" w:color="auto" w:sz="4" w:space="0"/>
              <w:right w:val="single" w:color="auto" w:sz="4" w:space="0"/>
            </w:tcBorders>
            <w:noWrap w:val="0"/>
            <w:vAlign w:val="center"/>
          </w:tcPr>
          <w:p w14:paraId="60EC789C">
            <w:pPr>
              <w:wordWrap w:val="0"/>
              <w:overflowPunct/>
              <w:bidi w:val="0"/>
              <w:spacing w:line="360" w:lineRule="auto"/>
              <w:jc w:val="center"/>
              <w:outlineLvl w:val="9"/>
              <w:rPr>
                <w:rFonts w:hint="eastAsia" w:ascii="宋体" w:hAnsi="宋体" w:eastAsia="宋体" w:cs="宋体"/>
                <w:sz w:val="21"/>
                <w:szCs w:val="21"/>
                <w:highlight w:val="none"/>
              </w:rPr>
            </w:pPr>
          </w:p>
        </w:tc>
        <w:tc>
          <w:tcPr>
            <w:tcW w:w="978" w:type="pct"/>
            <w:tcBorders>
              <w:bottom w:val="single" w:color="auto" w:sz="4" w:space="0"/>
              <w:right w:val="single" w:color="auto" w:sz="4" w:space="0"/>
            </w:tcBorders>
            <w:noWrap w:val="0"/>
            <w:vAlign w:val="center"/>
          </w:tcPr>
          <w:p w14:paraId="4290C949">
            <w:pPr>
              <w:wordWrap w:val="0"/>
              <w:overflowPunct/>
              <w:bidi w:val="0"/>
              <w:spacing w:line="360" w:lineRule="auto"/>
              <w:jc w:val="center"/>
              <w:outlineLvl w:val="9"/>
              <w:rPr>
                <w:rFonts w:hint="eastAsia" w:ascii="宋体" w:hAnsi="宋体" w:eastAsia="宋体" w:cs="宋体"/>
                <w:sz w:val="21"/>
                <w:szCs w:val="21"/>
                <w:highlight w:val="none"/>
              </w:rPr>
            </w:pPr>
          </w:p>
        </w:tc>
        <w:tc>
          <w:tcPr>
            <w:tcW w:w="978" w:type="pct"/>
            <w:tcBorders>
              <w:bottom w:val="single" w:color="auto" w:sz="4" w:space="0"/>
              <w:right w:val="single" w:color="auto" w:sz="4" w:space="0"/>
            </w:tcBorders>
            <w:noWrap w:val="0"/>
            <w:vAlign w:val="center"/>
          </w:tcPr>
          <w:p w14:paraId="573DEFA0">
            <w:pPr>
              <w:wordWrap w:val="0"/>
              <w:overflowPunct/>
              <w:bidi w:val="0"/>
              <w:spacing w:line="360" w:lineRule="auto"/>
              <w:jc w:val="center"/>
              <w:outlineLvl w:val="9"/>
              <w:rPr>
                <w:rFonts w:hint="eastAsia" w:ascii="宋体" w:hAnsi="宋体" w:eastAsia="宋体" w:cs="宋体"/>
                <w:sz w:val="21"/>
                <w:szCs w:val="21"/>
                <w:highlight w:val="none"/>
              </w:rPr>
            </w:pPr>
          </w:p>
        </w:tc>
      </w:tr>
    </w:tbl>
    <w:p w14:paraId="540C17F9">
      <w:pPr>
        <w:wordWrap w:val="0"/>
        <w:overflowPunct/>
        <w:bidi w:val="0"/>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备注：1、此表可以自行调整表格宽度。</w:t>
      </w:r>
    </w:p>
    <w:p w14:paraId="4C40ACEE">
      <w:pPr>
        <w:wordWrap w:val="0"/>
        <w:overflowPunct/>
        <w:bidi w:val="0"/>
        <w:spacing w:line="360" w:lineRule="auto"/>
        <w:ind w:firstLine="644" w:firstLineChars="307"/>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报价保留两位小数</w:t>
      </w:r>
      <w:r>
        <w:rPr>
          <w:rFonts w:hint="eastAsia" w:ascii="宋体" w:hAnsi="宋体" w:eastAsia="宋体" w:cs="宋体"/>
          <w:sz w:val="21"/>
          <w:szCs w:val="21"/>
          <w:highlight w:val="none"/>
        </w:rPr>
        <w:t>。</w:t>
      </w:r>
    </w:p>
    <w:p w14:paraId="3189AB13">
      <w:pPr>
        <w:wordWrap w:val="0"/>
        <w:overflowPunct/>
        <w:bidi w:val="0"/>
        <w:spacing w:line="360" w:lineRule="auto"/>
        <w:ind w:firstLine="644" w:firstLineChars="307"/>
        <w:jc w:val="left"/>
        <w:outlineLvl w:val="9"/>
        <w:rPr>
          <w:rFonts w:hint="eastAsia" w:ascii="宋体" w:hAnsi="宋体" w:eastAsia="宋体" w:cs="宋体"/>
          <w:sz w:val="21"/>
          <w:szCs w:val="21"/>
          <w:highlight w:val="none"/>
        </w:rPr>
      </w:pPr>
    </w:p>
    <w:p w14:paraId="22FC4C5C">
      <w:pPr>
        <w:wordWrap w:val="0"/>
        <w:overflowPunct/>
        <w:bidi w:val="0"/>
        <w:spacing w:line="360" w:lineRule="auto"/>
        <w:ind w:firstLine="644" w:firstLineChars="307"/>
        <w:jc w:val="left"/>
        <w:outlineLvl w:val="9"/>
        <w:rPr>
          <w:rFonts w:hint="eastAsia" w:ascii="宋体" w:hAnsi="宋体" w:eastAsia="宋体" w:cs="宋体"/>
          <w:sz w:val="21"/>
          <w:szCs w:val="21"/>
          <w:highlight w:val="none"/>
        </w:rPr>
      </w:pPr>
    </w:p>
    <w:p w14:paraId="19D57A8A">
      <w:pPr>
        <w:wordWrap w:val="0"/>
        <w:overflowPunct/>
        <w:bidi w:val="0"/>
        <w:spacing w:line="360" w:lineRule="auto"/>
        <w:ind w:firstLine="420" w:firstLineChars="200"/>
        <w:outlineLvl w:val="9"/>
        <w:rPr>
          <w:rFonts w:hint="eastAsia" w:ascii="宋体" w:hAnsi="宋体" w:eastAsia="宋体" w:cs="宋体"/>
          <w:sz w:val="21"/>
          <w:szCs w:val="21"/>
          <w:highlight w:val="none"/>
        </w:rPr>
      </w:pPr>
    </w:p>
    <w:p w14:paraId="5F1B1772">
      <w:pPr>
        <w:wordWrap w:val="0"/>
        <w:overflowPunct/>
        <w:bidi w:val="0"/>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授权代表签字：</w:t>
      </w:r>
      <w:r>
        <w:rPr>
          <w:rFonts w:hint="eastAsia" w:ascii="宋体" w:hAnsi="宋体" w:eastAsia="宋体" w:cs="宋体"/>
          <w:sz w:val="21"/>
          <w:szCs w:val="21"/>
          <w:highlight w:val="none"/>
          <w:u w:val="single"/>
        </w:rPr>
        <w:t>　　　　　　　　　　　　</w:t>
      </w:r>
    </w:p>
    <w:p w14:paraId="4B54CED1">
      <w:pPr>
        <w:wordWrap w:val="0"/>
        <w:overflowPunct/>
        <w:bidi w:val="0"/>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盖章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w:t>
      </w:r>
    </w:p>
    <w:p w14:paraId="0C87951C">
      <w:pPr>
        <w:wordWrap w:val="0"/>
        <w:overflowPunct/>
        <w:bidi w:val="0"/>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日       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6434B95">
      <w:pPr>
        <w:wordWrap w:val="0"/>
        <w:overflowPunct/>
        <w:bidi w:val="0"/>
        <w:spacing w:line="360" w:lineRule="auto"/>
        <w:ind w:firstLine="480" w:firstLineChars="200"/>
        <w:outlineLvl w:val="9"/>
        <w:rPr>
          <w:rFonts w:hint="eastAsia" w:ascii="宋体" w:hAnsi="宋体" w:eastAsia="宋体" w:cs="宋体"/>
          <w:sz w:val="24"/>
          <w:szCs w:val="24"/>
          <w:highlight w:val="none"/>
          <w:u w:val="single"/>
        </w:rPr>
      </w:pPr>
    </w:p>
    <w:p w14:paraId="2FDAF84C">
      <w:pPr>
        <w:wordWrap w:val="0"/>
        <w:overflowPunct/>
        <w:bidi w:val="0"/>
        <w:spacing w:line="360" w:lineRule="auto"/>
        <w:ind w:firstLine="480" w:firstLineChars="200"/>
        <w:outlineLvl w:val="9"/>
        <w:rPr>
          <w:rFonts w:hint="eastAsia" w:ascii="宋体" w:hAnsi="宋体" w:eastAsia="宋体" w:cs="宋体"/>
          <w:sz w:val="24"/>
          <w:szCs w:val="24"/>
          <w:highlight w:val="none"/>
          <w:u w:val="single"/>
        </w:rPr>
      </w:pPr>
    </w:p>
    <w:p w14:paraId="12361280">
      <w:pPr>
        <w:pageBreakBefore w:val="0"/>
        <w:kinsoku/>
        <w:wordWrap w:val="0"/>
        <w:overflowPunct/>
        <w:autoSpaceDE w:val="0"/>
        <w:autoSpaceDN w:val="0"/>
        <w:bidi w:val="0"/>
        <w:adjustRightInd w:val="0"/>
        <w:spacing w:line="500" w:lineRule="exact"/>
        <w:jc w:val="center"/>
        <w:rPr>
          <w:rFonts w:hint="eastAsia" w:ascii="宋体" w:cs="宋体-18030"/>
          <w:sz w:val="24"/>
          <w:highlight w:val="none"/>
          <w:lang w:val="zh-CN"/>
        </w:rPr>
      </w:pPr>
    </w:p>
    <w:p w14:paraId="6A243EFF">
      <w:pPr>
        <w:pageBreakBefore w:val="0"/>
        <w:kinsoku/>
        <w:wordWrap w:val="0"/>
        <w:overflowPunct/>
        <w:autoSpaceDE w:val="0"/>
        <w:autoSpaceDN w:val="0"/>
        <w:bidi w:val="0"/>
        <w:adjustRightInd w:val="0"/>
        <w:spacing w:line="500" w:lineRule="exact"/>
        <w:jc w:val="center"/>
        <w:outlineLvl w:val="0"/>
        <w:rPr>
          <w:rFonts w:hint="default" w:ascii="宋体" w:hAnsi="Times New Roman" w:eastAsia="宋体" w:cs="宋体-18030"/>
          <w:b/>
          <w:sz w:val="36"/>
          <w:szCs w:val="36"/>
          <w:highlight w:val="none"/>
          <w:lang w:val="en-US" w:eastAsia="zh-CN"/>
        </w:rPr>
      </w:pPr>
      <w:r>
        <w:rPr>
          <w:rFonts w:hint="eastAsia" w:ascii="宋体" w:cs="宋体-18030"/>
          <w:sz w:val="24"/>
          <w:highlight w:val="none"/>
          <w:lang w:val="zh-CN"/>
        </w:rPr>
        <w:br w:type="page"/>
      </w:r>
      <w:bookmarkStart w:id="446" w:name="_Toc7490"/>
      <w:bookmarkStart w:id="447" w:name="_Toc17622"/>
      <w:r>
        <w:rPr>
          <w:rFonts w:hint="eastAsia" w:ascii="宋体" w:hAnsi="Times New Roman" w:eastAsia="宋体" w:cs="宋体-18030"/>
          <w:b/>
          <w:sz w:val="36"/>
          <w:szCs w:val="36"/>
          <w:highlight w:val="none"/>
          <w:lang w:val="en-US" w:eastAsia="zh-CN"/>
        </w:rPr>
        <w:t>四、报价明细表</w:t>
      </w:r>
    </w:p>
    <w:p w14:paraId="77D3EA86">
      <w:pPr>
        <w:spacing w:line="360" w:lineRule="auto"/>
        <w:ind w:left="192"/>
        <w:rPr>
          <w:rFonts w:ascii="宋体" w:hAnsi="宋体" w:cs="宋体"/>
          <w:color w:val="auto"/>
          <w:sz w:val="23"/>
          <w:szCs w:val="23"/>
          <w:highlight w:val="none"/>
        </w:rPr>
      </w:pPr>
    </w:p>
    <w:p w14:paraId="3FB39046">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项目名称：</w:t>
      </w:r>
    </w:p>
    <w:p w14:paraId="5BD60884">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投标人名称（加盖投标人公章）：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rPr>
        <w:t xml:space="preserve">         </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lang w:val="zh-CN"/>
        </w:rPr>
        <w:t>年</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lang w:val="zh-CN"/>
        </w:rPr>
        <w:t>月</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lang w:val="zh-CN"/>
        </w:rPr>
        <w:t>日</w:t>
      </w:r>
    </w:p>
    <w:p w14:paraId="4E67C25F">
      <w:pPr>
        <w:pStyle w:val="19"/>
        <w:ind w:left="400" w:firstLine="400"/>
        <w:rPr>
          <w:rFonts w:hint="eastAsia" w:ascii="宋体" w:hAnsi="宋体" w:cs="宋体"/>
          <w:color w:val="auto"/>
          <w:highlight w:val="none"/>
          <w:lang w:val="zh-CN"/>
        </w:rPr>
      </w:pPr>
    </w:p>
    <w:tbl>
      <w:tblPr>
        <w:tblStyle w:val="20"/>
        <w:tblW w:w="9773" w:type="dxa"/>
        <w:jc w:val="center"/>
        <w:tblLayout w:type="fixed"/>
        <w:tblCellMar>
          <w:top w:w="0" w:type="dxa"/>
          <w:left w:w="108" w:type="dxa"/>
          <w:bottom w:w="0" w:type="dxa"/>
          <w:right w:w="108" w:type="dxa"/>
        </w:tblCellMar>
      </w:tblPr>
      <w:tblGrid>
        <w:gridCol w:w="888"/>
        <w:gridCol w:w="888"/>
        <w:gridCol w:w="888"/>
        <w:gridCol w:w="888"/>
        <w:gridCol w:w="888"/>
        <w:gridCol w:w="888"/>
        <w:gridCol w:w="888"/>
        <w:gridCol w:w="888"/>
        <w:gridCol w:w="888"/>
        <w:gridCol w:w="888"/>
        <w:gridCol w:w="893"/>
      </w:tblGrid>
      <w:tr w14:paraId="0A56D9FA">
        <w:tblPrEx>
          <w:tblCellMar>
            <w:top w:w="0" w:type="dxa"/>
            <w:left w:w="108" w:type="dxa"/>
            <w:bottom w:w="0" w:type="dxa"/>
            <w:right w:w="108" w:type="dxa"/>
          </w:tblCellMar>
        </w:tblPrEx>
        <w:trPr>
          <w:trHeight w:val="1292" w:hRule="atLeast"/>
          <w:jc w:val="center"/>
        </w:trPr>
        <w:tc>
          <w:tcPr>
            <w:tcW w:w="888" w:type="dxa"/>
            <w:tcBorders>
              <w:top w:val="single" w:color="auto" w:sz="6" w:space="0"/>
              <w:left w:val="single" w:color="auto" w:sz="6" w:space="0"/>
              <w:bottom w:val="single" w:color="auto" w:sz="6" w:space="0"/>
              <w:right w:val="single" w:color="auto" w:sz="6" w:space="0"/>
            </w:tcBorders>
            <w:noWrap w:val="0"/>
            <w:vAlign w:val="center"/>
          </w:tcPr>
          <w:p w14:paraId="6A00A0EA">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序号</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6E743DBC">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w:t>
            </w:r>
          </w:p>
          <w:p w14:paraId="677B9DA3">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名称</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62EE76ED">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品牌</w:t>
            </w:r>
          </w:p>
          <w:p w14:paraId="08D64280">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型号</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6E033972">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原产地及制造商</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6762F239">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eastAsia="zh-CN"/>
              </w:rPr>
              <w:t>制造商</w:t>
            </w:r>
            <w:r>
              <w:rPr>
                <w:rFonts w:hint="eastAsia" w:ascii="宋体" w:hAnsi="宋体" w:cs="宋体"/>
                <w:color w:val="auto"/>
                <w:sz w:val="21"/>
                <w:szCs w:val="21"/>
                <w:highlight w:val="none"/>
                <w:lang w:val="en-US" w:eastAsia="zh-CN"/>
              </w:rPr>
              <w:t>中小</w:t>
            </w:r>
            <w:r>
              <w:rPr>
                <w:rFonts w:hint="eastAsia" w:ascii="宋体" w:hAnsi="宋体" w:cs="宋体"/>
                <w:color w:val="auto"/>
                <w:sz w:val="21"/>
                <w:szCs w:val="21"/>
                <w:highlight w:val="none"/>
                <w:lang w:val="zh-CN" w:eastAsia="zh-CN"/>
              </w:rPr>
              <w:t>企业类型</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6DD1BEB0">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eastAsia="zh-CN"/>
              </w:rPr>
              <w:t>技术参数</w:t>
            </w:r>
            <w:r>
              <w:rPr>
                <w:rFonts w:hint="eastAsia" w:ascii="宋体" w:hAnsi="宋体" w:cs="宋体"/>
                <w:color w:val="auto"/>
                <w:sz w:val="21"/>
                <w:szCs w:val="21"/>
                <w:highlight w:val="none"/>
                <w:lang w:val="zh-CN"/>
              </w:rPr>
              <w:t>(投标)</w:t>
            </w:r>
          </w:p>
        </w:tc>
        <w:tc>
          <w:tcPr>
            <w:tcW w:w="888" w:type="dxa"/>
            <w:tcBorders>
              <w:top w:val="single" w:color="auto" w:sz="6" w:space="0"/>
              <w:left w:val="single" w:color="auto" w:sz="6" w:space="0"/>
              <w:bottom w:val="single" w:color="auto" w:sz="6" w:space="0"/>
              <w:right w:val="single" w:color="auto" w:sz="4" w:space="0"/>
            </w:tcBorders>
            <w:noWrap w:val="0"/>
            <w:vAlign w:val="center"/>
          </w:tcPr>
          <w:p w14:paraId="069CD49F">
            <w:pPr>
              <w:jc w:val="center"/>
              <w:rPr>
                <w:rFonts w:hint="eastAsia" w:ascii="宋体" w:hAnsi="宋体" w:cs="宋体"/>
                <w:color w:val="auto"/>
                <w:kern w:val="2"/>
                <w:sz w:val="21"/>
                <w:szCs w:val="21"/>
                <w:highlight w:val="none"/>
                <w:lang w:val="zh-CN" w:eastAsia="zh-CN" w:bidi="ar-SA"/>
              </w:rPr>
            </w:pPr>
            <w:r>
              <w:rPr>
                <w:rFonts w:hint="eastAsia" w:ascii="宋体" w:hAnsi="宋体" w:cs="宋体"/>
                <w:color w:val="auto"/>
                <w:sz w:val="21"/>
                <w:szCs w:val="21"/>
                <w:highlight w:val="none"/>
                <w:lang w:val="zh-CN"/>
              </w:rPr>
              <w:t>数量</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49FD1B59">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数量</w:t>
            </w:r>
          </w:p>
          <w:p w14:paraId="7472C196">
            <w:pPr>
              <w:jc w:val="center"/>
              <w:rPr>
                <w:rFonts w:hint="eastAsia" w:ascii="宋体" w:hAnsi="宋体" w:cs="宋体"/>
                <w:color w:val="auto"/>
                <w:kern w:val="2"/>
                <w:sz w:val="21"/>
                <w:szCs w:val="21"/>
                <w:highlight w:val="none"/>
                <w:lang w:val="zh-CN" w:eastAsia="zh-CN" w:bidi="ar-SA"/>
              </w:rPr>
            </w:pPr>
            <w:r>
              <w:rPr>
                <w:rFonts w:hint="eastAsia" w:ascii="宋体" w:hAnsi="宋体" w:cs="宋体"/>
                <w:color w:val="auto"/>
                <w:sz w:val="21"/>
                <w:szCs w:val="21"/>
                <w:highlight w:val="none"/>
                <w:lang w:val="zh-CN"/>
              </w:rPr>
              <w:t>单位</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7D85F2F7">
            <w:pPr>
              <w:jc w:val="center"/>
              <w:rPr>
                <w:rFonts w:hint="eastAsia" w:ascii="宋体" w:hAnsi="宋体" w:cs="宋体"/>
                <w:color w:val="auto"/>
                <w:kern w:val="2"/>
                <w:sz w:val="21"/>
                <w:szCs w:val="21"/>
                <w:highlight w:val="none"/>
                <w:lang w:val="zh-CN" w:eastAsia="zh-CN" w:bidi="ar-SA"/>
              </w:rPr>
            </w:pPr>
            <w:r>
              <w:rPr>
                <w:rFonts w:hint="eastAsia" w:ascii="宋体" w:hAnsi="宋体" w:cs="宋体"/>
                <w:color w:val="auto"/>
                <w:sz w:val="21"/>
                <w:szCs w:val="21"/>
                <w:highlight w:val="none"/>
                <w:lang w:val="zh-CN"/>
              </w:rPr>
              <w:t>单价（元）</w:t>
            </w:r>
          </w:p>
        </w:tc>
        <w:tc>
          <w:tcPr>
            <w:tcW w:w="888" w:type="dxa"/>
            <w:tcBorders>
              <w:top w:val="single" w:color="auto" w:sz="6" w:space="0"/>
              <w:left w:val="single" w:color="auto" w:sz="6" w:space="0"/>
              <w:bottom w:val="single" w:color="auto" w:sz="6" w:space="0"/>
              <w:right w:val="single" w:color="auto" w:sz="6" w:space="0"/>
            </w:tcBorders>
            <w:noWrap w:val="0"/>
            <w:vAlign w:val="center"/>
          </w:tcPr>
          <w:p w14:paraId="485CA481">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合计（元）</w:t>
            </w:r>
          </w:p>
        </w:tc>
        <w:tc>
          <w:tcPr>
            <w:tcW w:w="893" w:type="dxa"/>
            <w:tcBorders>
              <w:top w:val="single" w:color="auto" w:sz="6" w:space="0"/>
              <w:left w:val="single" w:color="auto" w:sz="6" w:space="0"/>
              <w:bottom w:val="single" w:color="auto" w:sz="6" w:space="0"/>
              <w:right w:val="single" w:color="auto" w:sz="6" w:space="0"/>
            </w:tcBorders>
            <w:noWrap w:val="0"/>
            <w:vAlign w:val="center"/>
          </w:tcPr>
          <w:p w14:paraId="580E27E4">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D124406">
        <w:tblPrEx>
          <w:tblCellMar>
            <w:top w:w="0" w:type="dxa"/>
            <w:left w:w="108" w:type="dxa"/>
            <w:bottom w:w="0" w:type="dxa"/>
            <w:right w:w="108" w:type="dxa"/>
          </w:tblCellMar>
        </w:tblPrEx>
        <w:trPr>
          <w:trHeight w:val="758" w:hRule="atLeast"/>
          <w:jc w:val="center"/>
        </w:trPr>
        <w:tc>
          <w:tcPr>
            <w:tcW w:w="888" w:type="dxa"/>
            <w:tcBorders>
              <w:top w:val="single" w:color="auto" w:sz="6" w:space="0"/>
              <w:left w:val="single" w:color="auto" w:sz="6" w:space="0"/>
              <w:bottom w:val="single" w:color="auto" w:sz="6" w:space="0"/>
              <w:right w:val="single" w:color="auto" w:sz="6" w:space="0"/>
            </w:tcBorders>
            <w:noWrap w:val="0"/>
            <w:vAlign w:val="center"/>
          </w:tcPr>
          <w:p w14:paraId="72399AB1">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7BD5CACD">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530674BA">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75751564">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5A2CF6F3">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2C674FD3">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4" w:space="0"/>
            </w:tcBorders>
            <w:noWrap w:val="0"/>
            <w:vAlign w:val="center"/>
          </w:tcPr>
          <w:p w14:paraId="7D6B73CC">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3F453E03">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1B854F20">
            <w:pPr>
              <w:jc w:val="center"/>
              <w:rPr>
                <w:rFonts w:hint="eastAsia" w:ascii="宋体" w:hAnsi="宋体" w:cs="宋体"/>
                <w:color w:val="auto"/>
                <w:sz w:val="21"/>
                <w:szCs w:val="21"/>
                <w:highlight w:val="none"/>
                <w:lang w:val="zh-CN"/>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52177312">
            <w:pPr>
              <w:jc w:val="center"/>
              <w:rPr>
                <w:rFonts w:hint="eastAsia" w:ascii="宋体" w:hAnsi="宋体" w:cs="宋体"/>
                <w:color w:val="auto"/>
                <w:sz w:val="21"/>
                <w:szCs w:val="21"/>
                <w:highlight w:val="none"/>
                <w:lang w:val="zh-CN"/>
              </w:rPr>
            </w:pPr>
          </w:p>
        </w:tc>
        <w:tc>
          <w:tcPr>
            <w:tcW w:w="893" w:type="dxa"/>
            <w:tcBorders>
              <w:top w:val="single" w:color="auto" w:sz="6" w:space="0"/>
              <w:left w:val="single" w:color="auto" w:sz="6" w:space="0"/>
              <w:bottom w:val="single" w:color="auto" w:sz="6" w:space="0"/>
              <w:right w:val="single" w:color="auto" w:sz="6" w:space="0"/>
            </w:tcBorders>
            <w:noWrap w:val="0"/>
            <w:vAlign w:val="center"/>
          </w:tcPr>
          <w:p w14:paraId="0CCB9256">
            <w:pPr>
              <w:jc w:val="center"/>
              <w:rPr>
                <w:rFonts w:hint="eastAsia" w:ascii="宋体" w:hAnsi="宋体" w:cs="宋体"/>
                <w:color w:val="auto"/>
                <w:sz w:val="21"/>
                <w:szCs w:val="21"/>
                <w:highlight w:val="none"/>
                <w:lang w:val="zh-CN"/>
              </w:rPr>
            </w:pPr>
          </w:p>
        </w:tc>
      </w:tr>
      <w:tr w14:paraId="6E0DC908">
        <w:tblPrEx>
          <w:tblCellMar>
            <w:top w:w="0" w:type="dxa"/>
            <w:left w:w="108" w:type="dxa"/>
            <w:bottom w:w="0" w:type="dxa"/>
            <w:right w:w="108" w:type="dxa"/>
          </w:tblCellMar>
        </w:tblPrEx>
        <w:trPr>
          <w:trHeight w:val="671" w:hRule="atLeast"/>
          <w:jc w:val="center"/>
        </w:trPr>
        <w:tc>
          <w:tcPr>
            <w:tcW w:w="888" w:type="dxa"/>
            <w:tcBorders>
              <w:top w:val="single" w:color="auto" w:sz="6" w:space="0"/>
              <w:left w:val="single" w:color="auto" w:sz="6" w:space="0"/>
              <w:bottom w:val="single" w:color="auto" w:sz="6" w:space="0"/>
              <w:right w:val="single" w:color="auto" w:sz="6" w:space="0"/>
            </w:tcBorders>
            <w:noWrap w:val="0"/>
            <w:vAlign w:val="center"/>
          </w:tcPr>
          <w:p w14:paraId="4716615A">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0DCC9352">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4FBDAC50">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666A4DE4">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0E6ABAF4">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382457ED">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4" w:space="0"/>
            </w:tcBorders>
            <w:noWrap w:val="0"/>
            <w:vAlign w:val="center"/>
          </w:tcPr>
          <w:p w14:paraId="1202B27C">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513C3CB4">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6B7E7576">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2B892154">
            <w:pPr>
              <w:jc w:val="center"/>
              <w:rPr>
                <w:rFonts w:hint="eastAsia" w:ascii="宋体" w:hAnsi="宋体" w:cs="宋体"/>
                <w:color w:val="auto"/>
                <w:sz w:val="21"/>
                <w:szCs w:val="21"/>
                <w:highlight w:val="none"/>
              </w:rPr>
            </w:pPr>
          </w:p>
        </w:tc>
        <w:tc>
          <w:tcPr>
            <w:tcW w:w="893" w:type="dxa"/>
            <w:tcBorders>
              <w:top w:val="single" w:color="auto" w:sz="6" w:space="0"/>
              <w:left w:val="single" w:color="auto" w:sz="6" w:space="0"/>
              <w:bottom w:val="single" w:color="auto" w:sz="6" w:space="0"/>
              <w:right w:val="single" w:color="auto" w:sz="6" w:space="0"/>
            </w:tcBorders>
            <w:noWrap w:val="0"/>
            <w:vAlign w:val="center"/>
          </w:tcPr>
          <w:p w14:paraId="2EC3C52A">
            <w:pPr>
              <w:jc w:val="center"/>
              <w:rPr>
                <w:rFonts w:hint="eastAsia" w:ascii="宋体" w:hAnsi="宋体" w:cs="宋体"/>
                <w:color w:val="auto"/>
                <w:sz w:val="21"/>
                <w:szCs w:val="21"/>
                <w:highlight w:val="none"/>
              </w:rPr>
            </w:pPr>
          </w:p>
        </w:tc>
      </w:tr>
      <w:tr w14:paraId="6BFFE92A">
        <w:tblPrEx>
          <w:tblCellMar>
            <w:top w:w="0" w:type="dxa"/>
            <w:left w:w="108" w:type="dxa"/>
            <w:bottom w:w="0" w:type="dxa"/>
            <w:right w:w="108" w:type="dxa"/>
          </w:tblCellMar>
        </w:tblPrEx>
        <w:trPr>
          <w:trHeight w:val="671" w:hRule="atLeast"/>
          <w:jc w:val="center"/>
        </w:trPr>
        <w:tc>
          <w:tcPr>
            <w:tcW w:w="888" w:type="dxa"/>
            <w:tcBorders>
              <w:top w:val="single" w:color="auto" w:sz="6" w:space="0"/>
              <w:left w:val="single" w:color="auto" w:sz="6" w:space="0"/>
              <w:bottom w:val="single" w:color="auto" w:sz="6" w:space="0"/>
              <w:right w:val="single" w:color="auto" w:sz="6" w:space="0"/>
            </w:tcBorders>
            <w:noWrap w:val="0"/>
            <w:vAlign w:val="center"/>
          </w:tcPr>
          <w:p w14:paraId="35892589">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1F64EA40">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2CFAD721">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17FFE8BB">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76947B3B">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4D678AF1">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4" w:space="0"/>
            </w:tcBorders>
            <w:noWrap w:val="0"/>
            <w:vAlign w:val="center"/>
          </w:tcPr>
          <w:p w14:paraId="18786159">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02DAEFB7">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0E2DF809">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3D7743A2">
            <w:pPr>
              <w:jc w:val="center"/>
              <w:rPr>
                <w:rFonts w:hint="eastAsia" w:ascii="宋体" w:hAnsi="宋体" w:cs="宋体"/>
                <w:color w:val="auto"/>
                <w:sz w:val="21"/>
                <w:szCs w:val="21"/>
                <w:highlight w:val="none"/>
              </w:rPr>
            </w:pPr>
          </w:p>
        </w:tc>
        <w:tc>
          <w:tcPr>
            <w:tcW w:w="893" w:type="dxa"/>
            <w:tcBorders>
              <w:top w:val="single" w:color="auto" w:sz="6" w:space="0"/>
              <w:left w:val="single" w:color="auto" w:sz="6" w:space="0"/>
              <w:bottom w:val="single" w:color="auto" w:sz="6" w:space="0"/>
              <w:right w:val="single" w:color="auto" w:sz="6" w:space="0"/>
            </w:tcBorders>
            <w:noWrap w:val="0"/>
            <w:vAlign w:val="center"/>
          </w:tcPr>
          <w:p w14:paraId="68E99446">
            <w:pPr>
              <w:jc w:val="center"/>
              <w:rPr>
                <w:rFonts w:hint="eastAsia" w:ascii="宋体" w:hAnsi="宋体" w:cs="宋体"/>
                <w:color w:val="auto"/>
                <w:sz w:val="21"/>
                <w:szCs w:val="21"/>
                <w:highlight w:val="none"/>
              </w:rPr>
            </w:pPr>
          </w:p>
        </w:tc>
      </w:tr>
      <w:tr w14:paraId="1778015E">
        <w:tblPrEx>
          <w:tblCellMar>
            <w:top w:w="0" w:type="dxa"/>
            <w:left w:w="108" w:type="dxa"/>
            <w:bottom w:w="0" w:type="dxa"/>
            <w:right w:w="108" w:type="dxa"/>
          </w:tblCellMar>
        </w:tblPrEx>
        <w:trPr>
          <w:trHeight w:val="671" w:hRule="atLeast"/>
          <w:jc w:val="center"/>
        </w:trPr>
        <w:tc>
          <w:tcPr>
            <w:tcW w:w="888" w:type="dxa"/>
            <w:tcBorders>
              <w:top w:val="single" w:color="auto" w:sz="6" w:space="0"/>
              <w:left w:val="single" w:color="auto" w:sz="6" w:space="0"/>
              <w:bottom w:val="single" w:color="auto" w:sz="6" w:space="0"/>
              <w:right w:val="single" w:color="auto" w:sz="6" w:space="0"/>
            </w:tcBorders>
            <w:noWrap w:val="0"/>
            <w:vAlign w:val="center"/>
          </w:tcPr>
          <w:p w14:paraId="3CF4DE14">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6296332A">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291D5ABF">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27712FDB">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76F36CF6">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463C7599">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4" w:space="0"/>
            </w:tcBorders>
            <w:noWrap w:val="0"/>
            <w:vAlign w:val="center"/>
          </w:tcPr>
          <w:p w14:paraId="3FD6C953">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72036E6C">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362832D7">
            <w:pPr>
              <w:jc w:val="center"/>
              <w:rPr>
                <w:rFonts w:hint="eastAsia" w:ascii="宋体" w:hAnsi="宋体" w:cs="宋体"/>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center"/>
          </w:tcPr>
          <w:p w14:paraId="2446D352">
            <w:pPr>
              <w:jc w:val="center"/>
              <w:rPr>
                <w:rFonts w:hint="eastAsia" w:ascii="宋体" w:hAnsi="宋体" w:cs="宋体"/>
                <w:color w:val="auto"/>
                <w:sz w:val="21"/>
                <w:szCs w:val="21"/>
                <w:highlight w:val="none"/>
              </w:rPr>
            </w:pPr>
          </w:p>
        </w:tc>
        <w:tc>
          <w:tcPr>
            <w:tcW w:w="893" w:type="dxa"/>
            <w:tcBorders>
              <w:top w:val="single" w:color="auto" w:sz="6" w:space="0"/>
              <w:left w:val="single" w:color="auto" w:sz="6" w:space="0"/>
              <w:bottom w:val="single" w:color="auto" w:sz="6" w:space="0"/>
              <w:right w:val="single" w:color="auto" w:sz="6" w:space="0"/>
            </w:tcBorders>
            <w:noWrap w:val="0"/>
            <w:vAlign w:val="center"/>
          </w:tcPr>
          <w:p w14:paraId="744A2B86">
            <w:pPr>
              <w:jc w:val="center"/>
              <w:rPr>
                <w:rFonts w:hint="eastAsia" w:ascii="宋体" w:hAnsi="宋体" w:cs="宋体"/>
                <w:color w:val="auto"/>
                <w:sz w:val="21"/>
                <w:szCs w:val="21"/>
                <w:highlight w:val="none"/>
              </w:rPr>
            </w:pPr>
          </w:p>
        </w:tc>
      </w:tr>
      <w:tr w14:paraId="14375D71">
        <w:tblPrEx>
          <w:tblCellMar>
            <w:top w:w="0" w:type="dxa"/>
            <w:left w:w="108" w:type="dxa"/>
            <w:bottom w:w="0" w:type="dxa"/>
            <w:right w:w="108" w:type="dxa"/>
          </w:tblCellMar>
        </w:tblPrEx>
        <w:trPr>
          <w:trHeight w:val="726" w:hRule="atLeast"/>
          <w:jc w:val="center"/>
        </w:trPr>
        <w:tc>
          <w:tcPr>
            <w:tcW w:w="1776" w:type="dxa"/>
            <w:gridSpan w:val="2"/>
            <w:tcBorders>
              <w:top w:val="single" w:color="auto" w:sz="6" w:space="0"/>
              <w:left w:val="single" w:color="auto" w:sz="6" w:space="0"/>
              <w:bottom w:val="single" w:color="auto" w:sz="6" w:space="0"/>
              <w:right w:val="single" w:color="auto" w:sz="6" w:space="0"/>
            </w:tcBorders>
            <w:noWrap w:val="0"/>
            <w:vAlign w:val="center"/>
          </w:tcPr>
          <w:p w14:paraId="65E3E5E1">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投标总价</w:t>
            </w:r>
          </w:p>
        </w:tc>
        <w:tc>
          <w:tcPr>
            <w:tcW w:w="7997" w:type="dxa"/>
            <w:gridSpan w:val="9"/>
            <w:tcBorders>
              <w:top w:val="single" w:color="auto" w:sz="6" w:space="0"/>
              <w:left w:val="single" w:color="auto" w:sz="6" w:space="0"/>
              <w:bottom w:val="single" w:color="auto" w:sz="6" w:space="0"/>
              <w:right w:val="single" w:color="auto" w:sz="6" w:space="0"/>
            </w:tcBorders>
            <w:noWrap w:val="0"/>
            <w:vAlign w:val="center"/>
          </w:tcPr>
          <w:p w14:paraId="7DA37F41">
            <w:pPr>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人民币（大写）：                    小写：</w:t>
            </w:r>
          </w:p>
        </w:tc>
      </w:tr>
    </w:tbl>
    <w:p w14:paraId="1A893D56">
      <w:pPr>
        <w:pStyle w:val="27"/>
        <w:pageBreakBefore w:val="0"/>
        <w:numPr>
          <w:ilvl w:val="0"/>
          <w:numId w:val="0"/>
        </w:numPr>
        <w:kinsoku/>
        <w:wordWrap w:val="0"/>
        <w:overflowPunct/>
        <w:bidi w:val="0"/>
        <w:rPr>
          <w:rFonts w:hint="eastAsia" w:hAnsi="宋体" w:eastAsia="宋体"/>
          <w:szCs w:val="24"/>
          <w:highlight w:val="none"/>
          <w:lang w:val="en-US" w:eastAsia="zh-CN"/>
        </w:rPr>
      </w:pPr>
    </w:p>
    <w:p w14:paraId="50BEDA6D">
      <w:pPr>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注：</w:t>
      </w:r>
    </w:p>
    <w:p w14:paraId="30675401">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1.与完成本项目有关的各种费用均应包含在总报价中。</w:t>
      </w:r>
    </w:p>
    <w:p w14:paraId="4C07C754">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2.可按照服务内容的不同增删表格，表中各项必须如实详细完整填写，凡未按要求填写的，均按无效投标处理。</w:t>
      </w:r>
    </w:p>
    <w:p w14:paraId="12351CEF">
      <w:pPr>
        <w:pStyle w:val="1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b/>
          <w:bCs/>
          <w:color w:val="auto"/>
          <w:sz w:val="21"/>
          <w:szCs w:val="21"/>
          <w:highlight w:val="none"/>
          <w:lang w:val="en-US" w:eastAsia="zh-CN" w:bidi="ar-SA"/>
        </w:rPr>
        <w:t>涉及节能、环境标志等产品价格扣除及强制认证产品在备注中标注</w:t>
      </w:r>
      <w:r>
        <w:rPr>
          <w:rFonts w:hint="eastAsia" w:ascii="宋体" w:hAnsi="宋体" w:cs="宋体"/>
          <w:b/>
          <w:bCs/>
          <w:color w:val="auto"/>
          <w:sz w:val="21"/>
          <w:szCs w:val="21"/>
          <w:highlight w:val="none"/>
          <w:lang w:val="en-US" w:eastAsia="zh-CN" w:bidi="ar-SA"/>
        </w:rPr>
        <w:t>并提供</w:t>
      </w:r>
      <w:r>
        <w:rPr>
          <w:rFonts w:hint="eastAsia" w:ascii="宋体" w:hAnsi="宋体" w:eastAsia="宋体" w:cs="宋体"/>
          <w:b/>
          <w:bCs/>
          <w:color w:val="auto"/>
          <w:sz w:val="21"/>
          <w:szCs w:val="21"/>
          <w:highlight w:val="none"/>
          <w:lang w:val="en-US" w:eastAsia="zh-CN" w:bidi="ar-SA"/>
        </w:rPr>
        <w:t>。</w:t>
      </w:r>
    </w:p>
    <w:p w14:paraId="200AD87C">
      <w:pPr>
        <w:pageBreakBefore w:val="0"/>
        <w:kinsoku/>
        <w:wordWrap w:val="0"/>
        <w:overflowPunct/>
        <w:bidi w:val="0"/>
        <w:spacing w:before="156" w:beforeLines="50" w:after="156" w:afterLines="50"/>
        <w:rPr>
          <w:rFonts w:hint="eastAsia" w:ascii="宋体"/>
          <w:kern w:val="0"/>
          <w:szCs w:val="21"/>
          <w:highlight w:val="none"/>
        </w:rPr>
      </w:pPr>
    </w:p>
    <w:p w14:paraId="310AB6D2">
      <w:pPr>
        <w:pageBreakBefore w:val="0"/>
        <w:kinsoku/>
        <w:wordWrap w:val="0"/>
        <w:overflowPunct/>
        <w:bidi w:val="0"/>
        <w:spacing w:before="156" w:beforeLines="50" w:after="156" w:afterLines="50"/>
        <w:rPr>
          <w:rFonts w:hint="eastAsia" w:ascii="宋体"/>
          <w:kern w:val="0"/>
          <w:szCs w:val="21"/>
          <w:highlight w:val="none"/>
        </w:rPr>
      </w:pPr>
    </w:p>
    <w:p w14:paraId="39744272">
      <w:pPr>
        <w:rPr>
          <w:rFonts w:hint="eastAsia" w:ascii="宋体" w:cs="宋体-18030"/>
          <w:sz w:val="24"/>
          <w:highlight w:val="none"/>
          <w:lang w:val="zh-CN"/>
        </w:rPr>
      </w:pPr>
      <w:r>
        <w:rPr>
          <w:rFonts w:hint="eastAsia" w:ascii="宋体" w:cs="宋体-18030"/>
          <w:sz w:val="24"/>
          <w:highlight w:val="none"/>
          <w:lang w:val="zh-CN"/>
        </w:rPr>
        <w:br w:type="page"/>
      </w:r>
    </w:p>
    <w:p w14:paraId="7722B53E">
      <w:pPr>
        <w:pageBreakBefore w:val="0"/>
        <w:kinsoku/>
        <w:wordWrap w:val="0"/>
        <w:overflowPunct/>
        <w:autoSpaceDE w:val="0"/>
        <w:autoSpaceDN w:val="0"/>
        <w:bidi w:val="0"/>
        <w:adjustRightInd w:val="0"/>
        <w:spacing w:line="500" w:lineRule="exact"/>
        <w:jc w:val="center"/>
        <w:outlineLvl w:val="0"/>
        <w:rPr>
          <w:rFonts w:hint="eastAsia" w:ascii="宋体" w:cs="宋体-18030"/>
          <w:b/>
          <w:sz w:val="36"/>
          <w:szCs w:val="36"/>
          <w:highlight w:val="none"/>
          <w:lang w:val="zh-CN"/>
        </w:rPr>
      </w:pPr>
      <w:r>
        <w:rPr>
          <w:rFonts w:hint="eastAsia" w:ascii="宋体" w:cs="宋体-18030"/>
          <w:b/>
          <w:sz w:val="36"/>
          <w:szCs w:val="36"/>
          <w:highlight w:val="none"/>
          <w:lang w:val="en-US" w:eastAsia="zh-CN"/>
        </w:rPr>
        <w:t>五</w:t>
      </w:r>
      <w:r>
        <w:rPr>
          <w:rFonts w:hint="eastAsia" w:ascii="宋体" w:cs="宋体-18030"/>
          <w:b/>
          <w:sz w:val="36"/>
          <w:szCs w:val="36"/>
          <w:highlight w:val="none"/>
          <w:lang w:val="zh-CN"/>
        </w:rPr>
        <w:t>、投标保证金</w:t>
      </w:r>
      <w:bookmarkEnd w:id="446"/>
      <w:bookmarkEnd w:id="447"/>
    </w:p>
    <w:p w14:paraId="464AE83C">
      <w:pPr>
        <w:pageBreakBefore w:val="0"/>
        <w:kinsoku/>
        <w:wordWrap w:val="0"/>
        <w:overflowPunct/>
        <w:bidi w:val="0"/>
        <w:rPr>
          <w:rFonts w:hint="eastAsia" w:ascii="宋体"/>
          <w:b/>
          <w:bCs/>
          <w:sz w:val="24"/>
          <w:szCs w:val="32"/>
          <w:highlight w:val="none"/>
        </w:rPr>
      </w:pPr>
    </w:p>
    <w:p w14:paraId="195C10F5">
      <w:pPr>
        <w:pageBreakBefore w:val="0"/>
        <w:kinsoku/>
        <w:wordWrap w:val="0"/>
        <w:overflowPunct/>
        <w:autoSpaceDE w:val="0"/>
        <w:autoSpaceDN w:val="0"/>
        <w:bidi w:val="0"/>
        <w:adjustRightInd w:val="0"/>
        <w:spacing w:line="500" w:lineRule="exact"/>
        <w:jc w:val="center"/>
        <w:rPr>
          <w:rFonts w:hint="eastAsia" w:ascii="宋体" w:eastAsia="宋体" w:cs="宋体-18030"/>
          <w:sz w:val="18"/>
          <w:szCs w:val="18"/>
          <w:highlight w:val="none"/>
          <w:lang w:val="en-US" w:eastAsia="zh-CN"/>
        </w:rPr>
      </w:pPr>
    </w:p>
    <w:p w14:paraId="0FAE420C">
      <w:pPr>
        <w:rPr>
          <w:rFonts w:hint="eastAsia" w:ascii="宋体" w:cs="宋体-18030"/>
          <w:sz w:val="24"/>
          <w:highlight w:val="none"/>
          <w:lang w:val="zh-CN"/>
        </w:rPr>
      </w:pPr>
      <w:r>
        <w:rPr>
          <w:rFonts w:hint="eastAsia" w:ascii="宋体" w:cs="宋体-18030"/>
          <w:sz w:val="24"/>
          <w:highlight w:val="none"/>
          <w:lang w:val="zh-CN"/>
        </w:rPr>
        <w:br w:type="page"/>
      </w:r>
    </w:p>
    <w:p w14:paraId="4056E2BD">
      <w:pPr>
        <w:pageBreakBefore w:val="0"/>
        <w:kinsoku/>
        <w:wordWrap w:val="0"/>
        <w:overflowPunct/>
        <w:autoSpaceDE w:val="0"/>
        <w:autoSpaceDN w:val="0"/>
        <w:bidi w:val="0"/>
        <w:adjustRightInd w:val="0"/>
        <w:spacing w:line="500" w:lineRule="exact"/>
        <w:jc w:val="center"/>
        <w:outlineLvl w:val="0"/>
        <w:rPr>
          <w:rFonts w:hint="eastAsia" w:ascii="宋体" w:cs="宋体-18030"/>
          <w:b/>
          <w:sz w:val="36"/>
          <w:szCs w:val="36"/>
          <w:highlight w:val="none"/>
          <w:lang w:val="zh-CN"/>
        </w:rPr>
      </w:pPr>
      <w:r>
        <w:rPr>
          <w:rFonts w:hint="eastAsia" w:ascii="宋体" w:cs="宋体-18030"/>
          <w:b/>
          <w:sz w:val="36"/>
          <w:szCs w:val="36"/>
          <w:highlight w:val="none"/>
          <w:lang w:val="en-US" w:eastAsia="zh-CN"/>
        </w:rPr>
        <w:t>六</w:t>
      </w:r>
      <w:r>
        <w:rPr>
          <w:rFonts w:hint="eastAsia" w:ascii="宋体" w:cs="宋体-18030"/>
          <w:b/>
          <w:sz w:val="36"/>
          <w:szCs w:val="36"/>
          <w:highlight w:val="none"/>
          <w:lang w:val="zh-CN"/>
        </w:rPr>
        <w:t>、资格条件承诺函</w:t>
      </w:r>
    </w:p>
    <w:p w14:paraId="1FD7A5E9">
      <w:pPr>
        <w:spacing w:line="48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致：（采购人、采购代理机构）</w:t>
      </w:r>
    </w:p>
    <w:p w14:paraId="2226AF8F">
      <w:pPr>
        <w:spacing w:line="48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我单位（公司）</w:t>
      </w:r>
      <w:r>
        <w:rPr>
          <w:rFonts w:hint="eastAsia" w:ascii="宋体" w:hAnsi="宋体" w:eastAsia="宋体" w:cs="宋体"/>
          <w:color w:val="auto"/>
          <w:sz w:val="21"/>
          <w:szCs w:val="21"/>
          <w:highlight w:val="none"/>
          <w:u w:val="single"/>
        </w:rPr>
        <w:t>参与（采购项目名称    项目编号）采购项目的政府采购活动，现承诺如下：</w:t>
      </w:r>
    </w:p>
    <w:p w14:paraId="76A2BA1A">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1.具有良好的商业信誉和健全的财务会计制度；</w:t>
      </w:r>
    </w:p>
    <w:p w14:paraId="412CFD83">
      <w:pPr>
        <w:spacing w:line="48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2.具有依法缴纳税收的良好记录；</w:t>
      </w:r>
    </w:p>
    <w:p w14:paraId="7F9EEAB3">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3.具有依法缴纳社会保障金的良好记录；</w:t>
      </w:r>
    </w:p>
    <w:p w14:paraId="6BD4842C">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我方在采购项目评审（评标）环节结束后，随时接受采购人，采购代理机构的检查验证，配合提供相关证明资料，证明符合《中华人民共和国政府采购法》规定的供应商基本资格条件。</w:t>
      </w:r>
    </w:p>
    <w:p w14:paraId="2CE403E1">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我单位（公司）对上述承诺的真实性负责，如有虚假，将依法承担相应责任。</w:t>
      </w:r>
    </w:p>
    <w:p w14:paraId="4FA90F5C">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2BED059">
      <w:pPr>
        <w:spacing w:line="480" w:lineRule="auto"/>
        <w:rPr>
          <w:rFonts w:hint="eastAsia" w:ascii="宋体" w:hAnsi="宋体" w:eastAsia="宋体" w:cs="宋体"/>
          <w:color w:val="auto"/>
          <w:sz w:val="21"/>
          <w:szCs w:val="21"/>
          <w:highlight w:val="none"/>
        </w:rPr>
      </w:pPr>
    </w:p>
    <w:p w14:paraId="31124A5A">
      <w:pPr>
        <w:spacing w:line="480" w:lineRule="auto"/>
        <w:rPr>
          <w:rFonts w:hint="eastAsia" w:ascii="宋体" w:hAnsi="宋体" w:eastAsia="宋体" w:cs="宋体"/>
          <w:color w:val="auto"/>
          <w:sz w:val="21"/>
          <w:szCs w:val="21"/>
          <w:highlight w:val="none"/>
        </w:rPr>
      </w:pPr>
    </w:p>
    <w:p w14:paraId="28602E90">
      <w:pPr>
        <w:spacing w:line="480" w:lineRule="auto"/>
        <w:rPr>
          <w:rFonts w:hint="eastAsia" w:ascii="宋体" w:hAnsi="宋体" w:eastAsia="宋体" w:cs="宋体"/>
          <w:color w:val="auto"/>
          <w:sz w:val="21"/>
          <w:szCs w:val="21"/>
          <w:highlight w:val="none"/>
        </w:rPr>
      </w:pPr>
    </w:p>
    <w:p w14:paraId="534AF44E">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lang w:val="zh-CN"/>
        </w:rPr>
        <w:t>供应商全称</w:t>
      </w:r>
      <w:r>
        <w:rPr>
          <w:rFonts w:hint="eastAsia" w:ascii="宋体" w:hAnsi="宋体" w:eastAsia="宋体" w:cs="黑体"/>
          <w:b w:val="0"/>
          <w:bCs w:val="0"/>
          <w:color w:val="auto"/>
          <w:sz w:val="21"/>
          <w:szCs w:val="21"/>
          <w:highlight w:val="none"/>
          <w:lang w:val="zh-CN"/>
        </w:rPr>
        <w:t>（加盖供应商公章）</w:t>
      </w:r>
      <w:r>
        <w:rPr>
          <w:rFonts w:hint="eastAsia" w:ascii="宋体" w:hAnsi="宋体" w:eastAsia="宋体" w:cs="宋体"/>
          <w:b w:val="0"/>
          <w:bCs w:val="0"/>
          <w:color w:val="auto"/>
          <w:sz w:val="21"/>
          <w:szCs w:val="21"/>
          <w:highlight w:val="none"/>
        </w:rPr>
        <w:t>：</w:t>
      </w:r>
    </w:p>
    <w:p w14:paraId="6D8C4CE9">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授权人（法定代表人）</w:t>
      </w:r>
      <w:r>
        <w:rPr>
          <w:rFonts w:hint="eastAsia" w:ascii="宋体" w:hAnsi="宋体" w:eastAsia="宋体" w:cs="宋体"/>
          <w:color w:val="auto"/>
          <w:sz w:val="21"/>
          <w:szCs w:val="21"/>
          <w:highlight w:val="none"/>
        </w:rPr>
        <w:t>签字：</w:t>
      </w:r>
    </w:p>
    <w:p w14:paraId="3960D7BF">
      <w:pPr>
        <w:pageBreakBefore w:val="0"/>
        <w:kinsoku/>
        <w:wordWrap w:val="0"/>
        <w:overflowPunct/>
        <w:autoSpaceDE w:val="0"/>
        <w:autoSpaceDN w:val="0"/>
        <w:bidi w:val="0"/>
        <w:adjustRightInd w:val="0"/>
        <w:spacing w:line="500" w:lineRule="exact"/>
        <w:jc w:val="center"/>
        <w:outlineLvl w:val="0"/>
        <w:rPr>
          <w:rFonts w:hint="eastAsia"/>
          <w:b/>
          <w:bCs/>
          <w:sz w:val="36"/>
          <w:szCs w:val="36"/>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cs="宋体-18030"/>
          <w:sz w:val="24"/>
          <w:highlight w:val="none"/>
          <w:lang w:val="zh-CN"/>
        </w:rPr>
        <w:br w:type="page"/>
      </w:r>
      <w:bookmarkStart w:id="448" w:name="_Toc18106"/>
      <w:bookmarkStart w:id="449" w:name="_Toc30171"/>
      <w:r>
        <w:rPr>
          <w:rFonts w:hint="eastAsia" w:ascii="宋体" w:cs="宋体-18030"/>
          <w:b/>
          <w:sz w:val="36"/>
          <w:szCs w:val="36"/>
          <w:highlight w:val="none"/>
          <w:lang w:val="en-US" w:eastAsia="zh-CN"/>
        </w:rPr>
        <w:t>七</w:t>
      </w:r>
      <w:r>
        <w:rPr>
          <w:rFonts w:hint="eastAsia" w:ascii="宋体" w:cs="宋体-18030"/>
          <w:b/>
          <w:sz w:val="36"/>
          <w:szCs w:val="36"/>
          <w:highlight w:val="none"/>
          <w:lang w:val="zh-CN"/>
        </w:rPr>
        <w:t>、</w:t>
      </w:r>
      <w:bookmarkStart w:id="450" w:name="_Toc373772564"/>
      <w:bookmarkStart w:id="451" w:name="_Toc372556120"/>
      <w:r>
        <w:rPr>
          <w:rFonts w:hint="eastAsia"/>
          <w:b/>
          <w:bCs/>
          <w:sz w:val="36"/>
          <w:szCs w:val="36"/>
          <w:highlight w:val="none"/>
        </w:rPr>
        <w:t>资格审查资料</w:t>
      </w:r>
      <w:bookmarkEnd w:id="448"/>
      <w:bookmarkEnd w:id="449"/>
      <w:bookmarkEnd w:id="450"/>
      <w:bookmarkEnd w:id="451"/>
    </w:p>
    <w:p w14:paraId="49A16969">
      <w:pPr>
        <w:pageBreakBefore w:val="0"/>
        <w:kinsoku/>
        <w:wordWrap w:val="0"/>
        <w:overflowPunct/>
        <w:bidi w:val="0"/>
        <w:spacing w:line="360" w:lineRule="auto"/>
        <w:ind w:left="1124" w:hanging="1124" w:hangingChars="400"/>
        <w:jc w:val="center"/>
        <w:rPr>
          <w:rFonts w:hint="eastAsia" w:ascii="宋体"/>
          <w:b/>
          <w:bCs/>
          <w:kern w:val="0"/>
          <w:sz w:val="28"/>
          <w:szCs w:val="28"/>
          <w:highlight w:val="none"/>
        </w:rPr>
      </w:pPr>
      <w:r>
        <w:rPr>
          <w:rFonts w:hint="eastAsia" w:ascii="宋体"/>
          <w:b/>
          <w:bCs/>
          <w:kern w:val="0"/>
          <w:sz w:val="28"/>
          <w:szCs w:val="28"/>
          <w:highlight w:val="none"/>
        </w:rPr>
        <w:t>(一)投标人基本情况表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930"/>
        <w:gridCol w:w="2777"/>
        <w:gridCol w:w="1133"/>
        <w:gridCol w:w="2533"/>
      </w:tblGrid>
      <w:tr w14:paraId="6F5D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08BCFF8B">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供应商名称</w:t>
            </w:r>
          </w:p>
        </w:tc>
        <w:tc>
          <w:tcPr>
            <w:tcW w:w="7373" w:type="dxa"/>
            <w:gridSpan w:val="4"/>
            <w:noWrap w:val="0"/>
            <w:vAlign w:val="center"/>
          </w:tcPr>
          <w:p w14:paraId="57B410F0">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r>
      <w:tr w14:paraId="5EFA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1786" w:type="dxa"/>
            <w:noWrap w:val="0"/>
            <w:vAlign w:val="center"/>
          </w:tcPr>
          <w:p w14:paraId="4C4C8938">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注册地址</w:t>
            </w:r>
          </w:p>
        </w:tc>
        <w:tc>
          <w:tcPr>
            <w:tcW w:w="3707" w:type="dxa"/>
            <w:gridSpan w:val="2"/>
            <w:noWrap w:val="0"/>
            <w:vAlign w:val="center"/>
          </w:tcPr>
          <w:p w14:paraId="7BAE538D">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c>
          <w:tcPr>
            <w:tcW w:w="1133" w:type="dxa"/>
            <w:noWrap w:val="0"/>
            <w:vAlign w:val="center"/>
          </w:tcPr>
          <w:p w14:paraId="453FDDB1">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w:t>
            </w:r>
          </w:p>
        </w:tc>
        <w:tc>
          <w:tcPr>
            <w:tcW w:w="2533" w:type="dxa"/>
            <w:noWrap w:val="0"/>
            <w:vAlign w:val="center"/>
          </w:tcPr>
          <w:p w14:paraId="55E2A185">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r>
      <w:tr w14:paraId="402A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1786" w:type="dxa"/>
            <w:vMerge w:val="restart"/>
            <w:noWrap w:val="0"/>
            <w:vAlign w:val="center"/>
          </w:tcPr>
          <w:p w14:paraId="3EEBD333">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p>
        </w:tc>
        <w:tc>
          <w:tcPr>
            <w:tcW w:w="930" w:type="dxa"/>
            <w:noWrap w:val="0"/>
            <w:vAlign w:val="center"/>
          </w:tcPr>
          <w:p w14:paraId="18E8A271">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w:t>
            </w:r>
          </w:p>
        </w:tc>
        <w:tc>
          <w:tcPr>
            <w:tcW w:w="2777" w:type="dxa"/>
            <w:noWrap w:val="0"/>
            <w:vAlign w:val="center"/>
          </w:tcPr>
          <w:p w14:paraId="393C98F2">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c>
          <w:tcPr>
            <w:tcW w:w="1133" w:type="dxa"/>
            <w:noWrap w:val="0"/>
            <w:vAlign w:val="center"/>
          </w:tcPr>
          <w:p w14:paraId="6890CDBE">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电话</w:t>
            </w:r>
          </w:p>
        </w:tc>
        <w:tc>
          <w:tcPr>
            <w:tcW w:w="2533" w:type="dxa"/>
            <w:noWrap w:val="0"/>
            <w:vAlign w:val="center"/>
          </w:tcPr>
          <w:p w14:paraId="6BF2570B">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r>
      <w:tr w14:paraId="5381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vMerge w:val="continue"/>
            <w:noWrap w:val="0"/>
            <w:vAlign w:val="center"/>
          </w:tcPr>
          <w:p w14:paraId="68894CB4">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c>
          <w:tcPr>
            <w:tcW w:w="930" w:type="dxa"/>
            <w:noWrap w:val="0"/>
            <w:vAlign w:val="center"/>
          </w:tcPr>
          <w:p w14:paraId="7D3AAB2B">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传真</w:t>
            </w:r>
          </w:p>
        </w:tc>
        <w:tc>
          <w:tcPr>
            <w:tcW w:w="2777" w:type="dxa"/>
            <w:noWrap w:val="0"/>
            <w:vAlign w:val="center"/>
          </w:tcPr>
          <w:p w14:paraId="2E8E9D86">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c>
          <w:tcPr>
            <w:tcW w:w="1133" w:type="dxa"/>
            <w:noWrap w:val="0"/>
            <w:vAlign w:val="center"/>
          </w:tcPr>
          <w:p w14:paraId="6C84E74C">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网址</w:t>
            </w:r>
          </w:p>
        </w:tc>
        <w:tc>
          <w:tcPr>
            <w:tcW w:w="2533" w:type="dxa"/>
            <w:noWrap w:val="0"/>
            <w:vAlign w:val="center"/>
          </w:tcPr>
          <w:p w14:paraId="5711CBA7">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r>
      <w:tr w14:paraId="5242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7B8F101C">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w:t>
            </w:r>
          </w:p>
        </w:tc>
        <w:tc>
          <w:tcPr>
            <w:tcW w:w="930" w:type="dxa"/>
            <w:noWrap w:val="0"/>
            <w:vAlign w:val="center"/>
          </w:tcPr>
          <w:p w14:paraId="2E758CF7">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姓名</w:t>
            </w:r>
          </w:p>
        </w:tc>
        <w:tc>
          <w:tcPr>
            <w:tcW w:w="2777" w:type="dxa"/>
            <w:noWrap w:val="0"/>
            <w:vAlign w:val="center"/>
          </w:tcPr>
          <w:p w14:paraId="543E71B5">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c>
          <w:tcPr>
            <w:tcW w:w="1133" w:type="dxa"/>
            <w:noWrap w:val="0"/>
            <w:vAlign w:val="center"/>
          </w:tcPr>
          <w:p w14:paraId="550432A8">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电话</w:t>
            </w:r>
          </w:p>
        </w:tc>
        <w:tc>
          <w:tcPr>
            <w:tcW w:w="2533" w:type="dxa"/>
            <w:noWrap w:val="0"/>
            <w:vAlign w:val="center"/>
          </w:tcPr>
          <w:p w14:paraId="25FEB113">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r>
      <w:tr w14:paraId="170A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1E2C7C28">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技术负责人</w:t>
            </w:r>
          </w:p>
        </w:tc>
        <w:tc>
          <w:tcPr>
            <w:tcW w:w="930" w:type="dxa"/>
            <w:noWrap w:val="0"/>
            <w:vAlign w:val="center"/>
          </w:tcPr>
          <w:p w14:paraId="79BDEB26">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姓名</w:t>
            </w:r>
          </w:p>
        </w:tc>
        <w:tc>
          <w:tcPr>
            <w:tcW w:w="2777" w:type="dxa"/>
            <w:noWrap w:val="0"/>
            <w:vAlign w:val="center"/>
          </w:tcPr>
          <w:p w14:paraId="2E9373DF">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c>
          <w:tcPr>
            <w:tcW w:w="1133" w:type="dxa"/>
            <w:noWrap w:val="0"/>
            <w:vAlign w:val="center"/>
          </w:tcPr>
          <w:p w14:paraId="3DBF3F70">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电话</w:t>
            </w:r>
          </w:p>
        </w:tc>
        <w:tc>
          <w:tcPr>
            <w:tcW w:w="2533" w:type="dxa"/>
            <w:noWrap w:val="0"/>
            <w:vAlign w:val="center"/>
          </w:tcPr>
          <w:p w14:paraId="49C6CC29">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p>
        </w:tc>
      </w:tr>
      <w:tr w14:paraId="406C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130B8E8F">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成立时间</w:t>
            </w:r>
          </w:p>
        </w:tc>
        <w:tc>
          <w:tcPr>
            <w:tcW w:w="7373" w:type="dxa"/>
            <w:gridSpan w:val="4"/>
            <w:noWrap w:val="0"/>
            <w:vAlign w:val="center"/>
          </w:tcPr>
          <w:p w14:paraId="53C0CC7D">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0B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1E0F2C4F">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员工总人数：</w:t>
            </w:r>
          </w:p>
        </w:tc>
        <w:tc>
          <w:tcPr>
            <w:tcW w:w="7373" w:type="dxa"/>
            <w:gridSpan w:val="4"/>
            <w:noWrap w:val="0"/>
            <w:vAlign w:val="center"/>
          </w:tcPr>
          <w:p w14:paraId="17D773F0">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2702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2E10F615">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营业执照号</w:t>
            </w:r>
          </w:p>
        </w:tc>
        <w:tc>
          <w:tcPr>
            <w:tcW w:w="7373" w:type="dxa"/>
            <w:gridSpan w:val="4"/>
            <w:noWrap w:val="0"/>
            <w:vAlign w:val="center"/>
          </w:tcPr>
          <w:p w14:paraId="34D6193C">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405A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63FDB900">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注册资金</w:t>
            </w:r>
          </w:p>
        </w:tc>
        <w:tc>
          <w:tcPr>
            <w:tcW w:w="7373" w:type="dxa"/>
            <w:gridSpan w:val="4"/>
            <w:noWrap w:val="0"/>
            <w:vAlign w:val="center"/>
          </w:tcPr>
          <w:p w14:paraId="17F87490">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1D80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0C3E2DA4">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p>
        </w:tc>
        <w:tc>
          <w:tcPr>
            <w:tcW w:w="7373" w:type="dxa"/>
            <w:gridSpan w:val="4"/>
            <w:noWrap w:val="0"/>
            <w:vAlign w:val="center"/>
          </w:tcPr>
          <w:p w14:paraId="10AB0BE7">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726D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786" w:type="dxa"/>
            <w:noWrap w:val="0"/>
            <w:vAlign w:val="center"/>
          </w:tcPr>
          <w:p w14:paraId="7BE010DF">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账号</w:t>
            </w:r>
          </w:p>
        </w:tc>
        <w:tc>
          <w:tcPr>
            <w:tcW w:w="7373" w:type="dxa"/>
            <w:gridSpan w:val="4"/>
            <w:noWrap w:val="0"/>
            <w:vAlign w:val="center"/>
          </w:tcPr>
          <w:p w14:paraId="3588B012">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3A55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4" w:hRule="atLeast"/>
          <w:jc w:val="center"/>
        </w:trPr>
        <w:tc>
          <w:tcPr>
            <w:tcW w:w="1786" w:type="dxa"/>
            <w:noWrap w:val="0"/>
            <w:vAlign w:val="center"/>
          </w:tcPr>
          <w:p w14:paraId="0161A31E">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经营范围</w:t>
            </w:r>
          </w:p>
        </w:tc>
        <w:tc>
          <w:tcPr>
            <w:tcW w:w="7373" w:type="dxa"/>
            <w:gridSpan w:val="4"/>
            <w:noWrap w:val="0"/>
            <w:vAlign w:val="center"/>
          </w:tcPr>
          <w:p w14:paraId="6D03690B">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r w14:paraId="2F9D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786" w:type="dxa"/>
            <w:noWrap w:val="0"/>
            <w:vAlign w:val="center"/>
          </w:tcPr>
          <w:p w14:paraId="24BB2FE6">
            <w:pPr>
              <w:wordWrap w:val="0"/>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tc>
        <w:tc>
          <w:tcPr>
            <w:tcW w:w="7373" w:type="dxa"/>
            <w:gridSpan w:val="4"/>
            <w:noWrap w:val="0"/>
            <w:vAlign w:val="center"/>
          </w:tcPr>
          <w:p w14:paraId="7BA36218">
            <w:pPr>
              <w:wordWrap w:val="0"/>
              <w:autoSpaceDE w:val="0"/>
              <w:autoSpaceDN w:val="0"/>
              <w:adjustRightInd w:val="0"/>
              <w:spacing w:line="360" w:lineRule="auto"/>
              <w:rPr>
                <w:rFonts w:hint="eastAsia" w:ascii="宋体" w:hAnsi="宋体" w:eastAsia="宋体" w:cs="宋体"/>
                <w:color w:val="auto"/>
                <w:sz w:val="21"/>
                <w:szCs w:val="21"/>
                <w:highlight w:val="none"/>
                <w:lang w:val="zh-CN"/>
              </w:rPr>
            </w:pPr>
          </w:p>
        </w:tc>
      </w:tr>
    </w:tbl>
    <w:p w14:paraId="2E199687">
      <w:pPr>
        <w:pageBreakBefore w:val="0"/>
        <w:kinsoku/>
        <w:wordWrap w:val="0"/>
        <w:overflowPunct/>
        <w:bidi w:val="0"/>
        <w:spacing w:before="156" w:beforeLines="50" w:after="156" w:afterLines="50"/>
        <w:rPr>
          <w:rFonts w:hint="eastAsia" w:ascii="宋体"/>
          <w:b/>
          <w:bCs/>
          <w:kern w:val="0"/>
          <w:sz w:val="21"/>
          <w:szCs w:val="21"/>
          <w:highlight w:val="none"/>
        </w:rPr>
      </w:pPr>
      <w:r>
        <w:rPr>
          <w:rFonts w:hint="eastAsia" w:ascii="宋体"/>
          <w:b/>
          <w:bCs/>
          <w:kern w:val="0"/>
          <w:sz w:val="21"/>
          <w:szCs w:val="21"/>
          <w:highlight w:val="none"/>
        </w:rPr>
        <w:t>注：</w:t>
      </w:r>
      <w:r>
        <w:rPr>
          <w:rFonts w:hint="eastAsia" w:ascii="宋体"/>
          <w:b/>
          <w:bCs/>
          <w:kern w:val="0"/>
          <w:sz w:val="21"/>
          <w:szCs w:val="21"/>
          <w:highlight w:val="none"/>
          <w:lang w:val="en-US" w:eastAsia="zh-CN"/>
        </w:rPr>
        <w:t>后附营业执照等供应商认为有必要的资格证明文件</w:t>
      </w:r>
      <w:r>
        <w:rPr>
          <w:rFonts w:hint="eastAsia" w:ascii="宋体"/>
          <w:b/>
          <w:bCs/>
          <w:kern w:val="0"/>
          <w:sz w:val="21"/>
          <w:szCs w:val="21"/>
          <w:highlight w:val="none"/>
        </w:rPr>
        <w:t>。</w:t>
      </w:r>
    </w:p>
    <w:p w14:paraId="2F691782">
      <w:pPr>
        <w:pageBreakBefore w:val="0"/>
        <w:kinsoku/>
        <w:wordWrap w:val="0"/>
        <w:overflowPunct/>
        <w:bidi w:val="0"/>
        <w:spacing w:before="156" w:beforeLines="50" w:after="156" w:afterLines="50"/>
        <w:rPr>
          <w:rFonts w:hint="eastAsia" w:ascii="宋体"/>
          <w:kern w:val="0"/>
          <w:szCs w:val="21"/>
          <w:highlight w:val="none"/>
        </w:rPr>
      </w:pPr>
      <w:r>
        <w:rPr>
          <w:rFonts w:hint="eastAsia" w:ascii="宋体"/>
          <w:kern w:val="0"/>
          <w:szCs w:val="21"/>
          <w:highlight w:val="none"/>
        </w:rPr>
        <w:br w:type="page"/>
      </w:r>
    </w:p>
    <w:p w14:paraId="2F669D46">
      <w:pPr>
        <w:pageBreakBefore w:val="0"/>
        <w:kinsoku/>
        <w:wordWrap w:val="0"/>
        <w:overflowPunct/>
        <w:bidi w:val="0"/>
        <w:spacing w:line="360" w:lineRule="auto"/>
        <w:ind w:left="1124" w:hanging="1124" w:hangingChars="400"/>
        <w:jc w:val="center"/>
        <w:rPr>
          <w:rFonts w:hint="eastAsia" w:ascii="宋体" w:hAnsi="Times New Roman" w:eastAsia="宋体" w:cs="Times New Roman"/>
          <w:b/>
          <w:bCs/>
          <w:kern w:val="0"/>
          <w:sz w:val="28"/>
          <w:szCs w:val="28"/>
          <w:highlight w:val="none"/>
          <w:lang w:val="zh-CN"/>
        </w:rPr>
      </w:pPr>
      <w:r>
        <w:rPr>
          <w:rFonts w:hint="eastAsia" w:ascii="宋体" w:hAnsi="Times New Roman" w:eastAsia="宋体" w:cs="Times New Roman"/>
          <w:b/>
          <w:bCs/>
          <w:kern w:val="0"/>
          <w:sz w:val="28"/>
          <w:szCs w:val="28"/>
          <w:highlight w:val="none"/>
          <w:lang w:val="zh-CN"/>
        </w:rPr>
        <w:t>（</w:t>
      </w:r>
      <w:r>
        <w:rPr>
          <w:rFonts w:hint="eastAsia" w:ascii="宋体" w:hAnsi="Times New Roman" w:eastAsia="宋体" w:cs="Times New Roman"/>
          <w:b/>
          <w:bCs/>
          <w:kern w:val="0"/>
          <w:sz w:val="28"/>
          <w:szCs w:val="28"/>
          <w:highlight w:val="none"/>
          <w:lang w:val="en-US" w:eastAsia="zh-CN"/>
        </w:rPr>
        <w:t>二</w:t>
      </w:r>
      <w:r>
        <w:rPr>
          <w:rFonts w:hint="eastAsia" w:ascii="宋体" w:hAnsi="Times New Roman" w:eastAsia="宋体" w:cs="Times New Roman"/>
          <w:b/>
          <w:bCs/>
          <w:kern w:val="0"/>
          <w:sz w:val="28"/>
          <w:szCs w:val="28"/>
          <w:highlight w:val="none"/>
          <w:lang w:val="zh-CN"/>
        </w:rPr>
        <w:t>）项目负责人及人员配备情况一览表</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3666A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noWrap w:val="0"/>
            <w:vAlign w:val="center"/>
          </w:tcPr>
          <w:p w14:paraId="6E21A79B">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序号</w:t>
            </w:r>
          </w:p>
        </w:tc>
        <w:tc>
          <w:tcPr>
            <w:tcW w:w="1051" w:type="dxa"/>
            <w:noWrap w:val="0"/>
            <w:vAlign w:val="center"/>
          </w:tcPr>
          <w:p w14:paraId="626B2FC1">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姓名</w:t>
            </w:r>
          </w:p>
        </w:tc>
        <w:tc>
          <w:tcPr>
            <w:tcW w:w="669" w:type="dxa"/>
            <w:noWrap w:val="0"/>
            <w:vAlign w:val="center"/>
          </w:tcPr>
          <w:p w14:paraId="3C1ECBEB">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性别</w:t>
            </w:r>
          </w:p>
        </w:tc>
        <w:tc>
          <w:tcPr>
            <w:tcW w:w="855" w:type="dxa"/>
            <w:noWrap w:val="0"/>
            <w:vAlign w:val="center"/>
          </w:tcPr>
          <w:p w14:paraId="7C09DF3B">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年龄</w:t>
            </w:r>
          </w:p>
        </w:tc>
        <w:tc>
          <w:tcPr>
            <w:tcW w:w="705" w:type="dxa"/>
            <w:noWrap w:val="0"/>
            <w:vAlign w:val="center"/>
          </w:tcPr>
          <w:p w14:paraId="4F3EE226">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学历</w:t>
            </w:r>
          </w:p>
        </w:tc>
        <w:tc>
          <w:tcPr>
            <w:tcW w:w="1200" w:type="dxa"/>
            <w:noWrap w:val="0"/>
            <w:vAlign w:val="center"/>
          </w:tcPr>
          <w:p w14:paraId="18B7A093">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职称/资格</w:t>
            </w:r>
          </w:p>
        </w:tc>
        <w:tc>
          <w:tcPr>
            <w:tcW w:w="784" w:type="dxa"/>
            <w:noWrap w:val="0"/>
            <w:vAlign w:val="center"/>
          </w:tcPr>
          <w:p w14:paraId="669F105C">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专业</w:t>
            </w:r>
          </w:p>
        </w:tc>
        <w:tc>
          <w:tcPr>
            <w:tcW w:w="870" w:type="dxa"/>
            <w:noWrap w:val="0"/>
            <w:vAlign w:val="center"/>
          </w:tcPr>
          <w:p w14:paraId="46B88CE1">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经验</w:t>
            </w:r>
          </w:p>
          <w:p w14:paraId="20E017E6">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年限</w:t>
            </w:r>
          </w:p>
        </w:tc>
        <w:tc>
          <w:tcPr>
            <w:tcW w:w="1389" w:type="dxa"/>
            <w:noWrap w:val="0"/>
            <w:vAlign w:val="center"/>
          </w:tcPr>
          <w:p w14:paraId="4F665BB2">
            <w:pPr>
              <w:autoSpaceDE w:val="0"/>
              <w:autoSpaceDN w:val="0"/>
              <w:adjustRightInd w:val="0"/>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在本项目中担任职务</w:t>
            </w:r>
          </w:p>
        </w:tc>
      </w:tr>
      <w:tr w14:paraId="0F764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noWrap w:val="0"/>
            <w:vAlign w:val="center"/>
          </w:tcPr>
          <w:p w14:paraId="3E70372D">
            <w:pPr>
              <w:pStyle w:val="4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51" w:type="dxa"/>
            <w:noWrap w:val="0"/>
            <w:vAlign w:val="center"/>
          </w:tcPr>
          <w:p w14:paraId="37E293A2">
            <w:pPr>
              <w:pStyle w:val="42"/>
              <w:rPr>
                <w:rFonts w:hint="eastAsia" w:ascii="宋体" w:hAnsi="宋体" w:cs="宋体"/>
                <w:color w:val="auto"/>
                <w:sz w:val="21"/>
                <w:szCs w:val="21"/>
                <w:highlight w:val="none"/>
              </w:rPr>
            </w:pPr>
          </w:p>
        </w:tc>
        <w:tc>
          <w:tcPr>
            <w:tcW w:w="669" w:type="dxa"/>
            <w:noWrap w:val="0"/>
            <w:vAlign w:val="center"/>
          </w:tcPr>
          <w:p w14:paraId="37540D6D">
            <w:pPr>
              <w:pStyle w:val="42"/>
              <w:rPr>
                <w:rFonts w:hint="eastAsia" w:ascii="宋体" w:hAnsi="宋体" w:cs="宋体"/>
                <w:color w:val="auto"/>
                <w:sz w:val="21"/>
                <w:szCs w:val="21"/>
                <w:highlight w:val="none"/>
              </w:rPr>
            </w:pPr>
          </w:p>
        </w:tc>
        <w:tc>
          <w:tcPr>
            <w:tcW w:w="855" w:type="dxa"/>
            <w:noWrap w:val="0"/>
            <w:vAlign w:val="center"/>
          </w:tcPr>
          <w:p w14:paraId="1E4B6F8D">
            <w:pPr>
              <w:pStyle w:val="42"/>
              <w:rPr>
                <w:rFonts w:hint="eastAsia" w:ascii="宋体" w:hAnsi="宋体" w:cs="宋体"/>
                <w:color w:val="auto"/>
                <w:sz w:val="21"/>
                <w:szCs w:val="21"/>
                <w:highlight w:val="none"/>
              </w:rPr>
            </w:pPr>
          </w:p>
        </w:tc>
        <w:tc>
          <w:tcPr>
            <w:tcW w:w="705" w:type="dxa"/>
            <w:noWrap w:val="0"/>
            <w:vAlign w:val="center"/>
          </w:tcPr>
          <w:p w14:paraId="2B9B751A">
            <w:pPr>
              <w:pStyle w:val="42"/>
              <w:rPr>
                <w:rFonts w:hint="eastAsia" w:ascii="宋体" w:hAnsi="宋体" w:cs="宋体"/>
                <w:color w:val="auto"/>
                <w:sz w:val="21"/>
                <w:szCs w:val="21"/>
                <w:highlight w:val="none"/>
              </w:rPr>
            </w:pPr>
          </w:p>
        </w:tc>
        <w:tc>
          <w:tcPr>
            <w:tcW w:w="1200" w:type="dxa"/>
            <w:noWrap w:val="0"/>
            <w:vAlign w:val="center"/>
          </w:tcPr>
          <w:p w14:paraId="535C2FFE">
            <w:pPr>
              <w:pStyle w:val="42"/>
              <w:rPr>
                <w:rFonts w:hint="eastAsia" w:ascii="宋体" w:hAnsi="宋体" w:cs="宋体"/>
                <w:color w:val="auto"/>
                <w:sz w:val="21"/>
                <w:szCs w:val="21"/>
                <w:highlight w:val="none"/>
              </w:rPr>
            </w:pPr>
          </w:p>
        </w:tc>
        <w:tc>
          <w:tcPr>
            <w:tcW w:w="784" w:type="dxa"/>
            <w:noWrap w:val="0"/>
            <w:vAlign w:val="center"/>
          </w:tcPr>
          <w:p w14:paraId="133A9CD2">
            <w:pPr>
              <w:pStyle w:val="42"/>
              <w:rPr>
                <w:rFonts w:hint="eastAsia" w:ascii="宋体" w:hAnsi="宋体" w:cs="宋体"/>
                <w:color w:val="auto"/>
                <w:sz w:val="21"/>
                <w:szCs w:val="21"/>
                <w:highlight w:val="none"/>
              </w:rPr>
            </w:pPr>
          </w:p>
        </w:tc>
        <w:tc>
          <w:tcPr>
            <w:tcW w:w="870" w:type="dxa"/>
            <w:noWrap w:val="0"/>
            <w:vAlign w:val="center"/>
          </w:tcPr>
          <w:p w14:paraId="5D6C7EE8">
            <w:pPr>
              <w:pStyle w:val="42"/>
              <w:rPr>
                <w:rFonts w:hint="eastAsia" w:ascii="宋体" w:hAnsi="宋体" w:cs="宋体"/>
                <w:color w:val="auto"/>
                <w:sz w:val="21"/>
                <w:szCs w:val="21"/>
                <w:highlight w:val="none"/>
              </w:rPr>
            </w:pPr>
          </w:p>
        </w:tc>
        <w:tc>
          <w:tcPr>
            <w:tcW w:w="1389" w:type="dxa"/>
            <w:noWrap w:val="0"/>
            <w:vAlign w:val="center"/>
          </w:tcPr>
          <w:p w14:paraId="52DDAD69">
            <w:pPr>
              <w:pStyle w:val="42"/>
              <w:rPr>
                <w:rFonts w:hint="eastAsia" w:ascii="宋体" w:hAnsi="宋体" w:cs="宋体"/>
                <w:color w:val="auto"/>
                <w:sz w:val="21"/>
                <w:szCs w:val="21"/>
                <w:highlight w:val="none"/>
              </w:rPr>
            </w:pPr>
          </w:p>
        </w:tc>
      </w:tr>
      <w:tr w14:paraId="5468B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noWrap w:val="0"/>
            <w:vAlign w:val="center"/>
          </w:tcPr>
          <w:p w14:paraId="1CF38265">
            <w:pPr>
              <w:pStyle w:val="4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051" w:type="dxa"/>
            <w:noWrap w:val="0"/>
            <w:vAlign w:val="center"/>
          </w:tcPr>
          <w:p w14:paraId="2E8FEC8B">
            <w:pPr>
              <w:pStyle w:val="42"/>
              <w:rPr>
                <w:rFonts w:hint="eastAsia" w:ascii="宋体" w:hAnsi="宋体" w:cs="宋体"/>
                <w:color w:val="auto"/>
                <w:sz w:val="21"/>
                <w:szCs w:val="21"/>
                <w:highlight w:val="none"/>
              </w:rPr>
            </w:pPr>
          </w:p>
        </w:tc>
        <w:tc>
          <w:tcPr>
            <w:tcW w:w="669" w:type="dxa"/>
            <w:noWrap w:val="0"/>
            <w:vAlign w:val="center"/>
          </w:tcPr>
          <w:p w14:paraId="452EC723">
            <w:pPr>
              <w:pStyle w:val="42"/>
              <w:rPr>
                <w:rFonts w:hint="eastAsia" w:ascii="宋体" w:hAnsi="宋体" w:cs="宋体"/>
                <w:color w:val="auto"/>
                <w:sz w:val="21"/>
                <w:szCs w:val="21"/>
                <w:highlight w:val="none"/>
              </w:rPr>
            </w:pPr>
          </w:p>
        </w:tc>
        <w:tc>
          <w:tcPr>
            <w:tcW w:w="855" w:type="dxa"/>
            <w:noWrap w:val="0"/>
            <w:vAlign w:val="center"/>
          </w:tcPr>
          <w:p w14:paraId="6A46A313">
            <w:pPr>
              <w:pStyle w:val="42"/>
              <w:rPr>
                <w:rFonts w:hint="eastAsia" w:ascii="宋体" w:hAnsi="宋体" w:cs="宋体"/>
                <w:color w:val="auto"/>
                <w:sz w:val="21"/>
                <w:szCs w:val="21"/>
                <w:highlight w:val="none"/>
              </w:rPr>
            </w:pPr>
          </w:p>
        </w:tc>
        <w:tc>
          <w:tcPr>
            <w:tcW w:w="705" w:type="dxa"/>
            <w:noWrap w:val="0"/>
            <w:vAlign w:val="center"/>
          </w:tcPr>
          <w:p w14:paraId="772701AF">
            <w:pPr>
              <w:pStyle w:val="42"/>
              <w:rPr>
                <w:rFonts w:hint="eastAsia" w:ascii="宋体" w:hAnsi="宋体" w:cs="宋体"/>
                <w:color w:val="auto"/>
                <w:sz w:val="21"/>
                <w:szCs w:val="21"/>
                <w:highlight w:val="none"/>
              </w:rPr>
            </w:pPr>
          </w:p>
        </w:tc>
        <w:tc>
          <w:tcPr>
            <w:tcW w:w="1200" w:type="dxa"/>
            <w:noWrap w:val="0"/>
            <w:vAlign w:val="center"/>
          </w:tcPr>
          <w:p w14:paraId="57D62180">
            <w:pPr>
              <w:pStyle w:val="42"/>
              <w:rPr>
                <w:rFonts w:hint="eastAsia" w:ascii="宋体" w:hAnsi="宋体" w:cs="宋体"/>
                <w:color w:val="auto"/>
                <w:sz w:val="21"/>
                <w:szCs w:val="21"/>
                <w:highlight w:val="none"/>
              </w:rPr>
            </w:pPr>
          </w:p>
        </w:tc>
        <w:tc>
          <w:tcPr>
            <w:tcW w:w="784" w:type="dxa"/>
            <w:noWrap w:val="0"/>
            <w:vAlign w:val="center"/>
          </w:tcPr>
          <w:p w14:paraId="008D9787">
            <w:pPr>
              <w:pStyle w:val="42"/>
              <w:rPr>
                <w:rFonts w:hint="eastAsia" w:ascii="宋体" w:hAnsi="宋体" w:cs="宋体"/>
                <w:color w:val="auto"/>
                <w:sz w:val="21"/>
                <w:szCs w:val="21"/>
                <w:highlight w:val="none"/>
              </w:rPr>
            </w:pPr>
          </w:p>
        </w:tc>
        <w:tc>
          <w:tcPr>
            <w:tcW w:w="870" w:type="dxa"/>
            <w:noWrap w:val="0"/>
            <w:vAlign w:val="center"/>
          </w:tcPr>
          <w:p w14:paraId="13A937FF">
            <w:pPr>
              <w:pStyle w:val="42"/>
              <w:rPr>
                <w:rFonts w:hint="eastAsia" w:ascii="宋体" w:hAnsi="宋体" w:cs="宋体"/>
                <w:color w:val="auto"/>
                <w:sz w:val="21"/>
                <w:szCs w:val="21"/>
                <w:highlight w:val="none"/>
              </w:rPr>
            </w:pPr>
          </w:p>
        </w:tc>
        <w:tc>
          <w:tcPr>
            <w:tcW w:w="1389" w:type="dxa"/>
            <w:noWrap w:val="0"/>
            <w:vAlign w:val="center"/>
          </w:tcPr>
          <w:p w14:paraId="636FFA18">
            <w:pPr>
              <w:pStyle w:val="42"/>
              <w:rPr>
                <w:rFonts w:hint="eastAsia" w:ascii="宋体" w:hAnsi="宋体" w:cs="宋体"/>
                <w:color w:val="auto"/>
                <w:sz w:val="21"/>
                <w:szCs w:val="21"/>
                <w:highlight w:val="none"/>
              </w:rPr>
            </w:pPr>
          </w:p>
        </w:tc>
      </w:tr>
      <w:tr w14:paraId="0550A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noWrap w:val="0"/>
            <w:vAlign w:val="center"/>
          </w:tcPr>
          <w:p w14:paraId="784148A9">
            <w:pPr>
              <w:pStyle w:val="4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051" w:type="dxa"/>
            <w:noWrap w:val="0"/>
            <w:vAlign w:val="center"/>
          </w:tcPr>
          <w:p w14:paraId="6BE5179B">
            <w:pPr>
              <w:pStyle w:val="42"/>
              <w:rPr>
                <w:rFonts w:hint="eastAsia" w:ascii="宋体" w:hAnsi="宋体" w:cs="宋体"/>
                <w:color w:val="auto"/>
                <w:sz w:val="21"/>
                <w:szCs w:val="21"/>
                <w:highlight w:val="none"/>
              </w:rPr>
            </w:pPr>
          </w:p>
        </w:tc>
        <w:tc>
          <w:tcPr>
            <w:tcW w:w="669" w:type="dxa"/>
            <w:noWrap w:val="0"/>
            <w:vAlign w:val="center"/>
          </w:tcPr>
          <w:p w14:paraId="3B26E3CA">
            <w:pPr>
              <w:pStyle w:val="42"/>
              <w:rPr>
                <w:rFonts w:hint="eastAsia" w:ascii="宋体" w:hAnsi="宋体" w:cs="宋体"/>
                <w:color w:val="auto"/>
                <w:sz w:val="21"/>
                <w:szCs w:val="21"/>
                <w:highlight w:val="none"/>
              </w:rPr>
            </w:pPr>
          </w:p>
        </w:tc>
        <w:tc>
          <w:tcPr>
            <w:tcW w:w="855" w:type="dxa"/>
            <w:noWrap w:val="0"/>
            <w:vAlign w:val="center"/>
          </w:tcPr>
          <w:p w14:paraId="3C7C9A75">
            <w:pPr>
              <w:pStyle w:val="42"/>
              <w:rPr>
                <w:rFonts w:hint="eastAsia" w:ascii="宋体" w:hAnsi="宋体" w:cs="宋体"/>
                <w:color w:val="auto"/>
                <w:sz w:val="21"/>
                <w:szCs w:val="21"/>
                <w:highlight w:val="none"/>
              </w:rPr>
            </w:pPr>
          </w:p>
        </w:tc>
        <w:tc>
          <w:tcPr>
            <w:tcW w:w="705" w:type="dxa"/>
            <w:noWrap w:val="0"/>
            <w:vAlign w:val="center"/>
          </w:tcPr>
          <w:p w14:paraId="7864C407">
            <w:pPr>
              <w:pStyle w:val="42"/>
              <w:rPr>
                <w:rFonts w:hint="eastAsia" w:ascii="宋体" w:hAnsi="宋体" w:cs="宋体"/>
                <w:color w:val="auto"/>
                <w:sz w:val="21"/>
                <w:szCs w:val="21"/>
                <w:highlight w:val="none"/>
              </w:rPr>
            </w:pPr>
          </w:p>
        </w:tc>
        <w:tc>
          <w:tcPr>
            <w:tcW w:w="1200" w:type="dxa"/>
            <w:noWrap w:val="0"/>
            <w:vAlign w:val="center"/>
          </w:tcPr>
          <w:p w14:paraId="65EBD490">
            <w:pPr>
              <w:pStyle w:val="42"/>
              <w:rPr>
                <w:rFonts w:hint="eastAsia" w:ascii="宋体" w:hAnsi="宋体" w:cs="宋体"/>
                <w:color w:val="auto"/>
                <w:sz w:val="21"/>
                <w:szCs w:val="21"/>
                <w:highlight w:val="none"/>
              </w:rPr>
            </w:pPr>
          </w:p>
        </w:tc>
        <w:tc>
          <w:tcPr>
            <w:tcW w:w="784" w:type="dxa"/>
            <w:noWrap w:val="0"/>
            <w:vAlign w:val="center"/>
          </w:tcPr>
          <w:p w14:paraId="054B7384">
            <w:pPr>
              <w:pStyle w:val="42"/>
              <w:rPr>
                <w:rFonts w:hint="eastAsia" w:ascii="宋体" w:hAnsi="宋体" w:cs="宋体"/>
                <w:color w:val="auto"/>
                <w:sz w:val="21"/>
                <w:szCs w:val="21"/>
                <w:highlight w:val="none"/>
              </w:rPr>
            </w:pPr>
          </w:p>
        </w:tc>
        <w:tc>
          <w:tcPr>
            <w:tcW w:w="870" w:type="dxa"/>
            <w:noWrap w:val="0"/>
            <w:vAlign w:val="center"/>
          </w:tcPr>
          <w:p w14:paraId="7C568CA5">
            <w:pPr>
              <w:pStyle w:val="42"/>
              <w:rPr>
                <w:rFonts w:hint="eastAsia" w:ascii="宋体" w:hAnsi="宋体" w:cs="宋体"/>
                <w:color w:val="auto"/>
                <w:sz w:val="21"/>
                <w:szCs w:val="21"/>
                <w:highlight w:val="none"/>
              </w:rPr>
            </w:pPr>
          </w:p>
        </w:tc>
        <w:tc>
          <w:tcPr>
            <w:tcW w:w="1389" w:type="dxa"/>
            <w:noWrap w:val="0"/>
            <w:vAlign w:val="center"/>
          </w:tcPr>
          <w:p w14:paraId="2D21C2A8">
            <w:pPr>
              <w:pStyle w:val="42"/>
              <w:rPr>
                <w:rFonts w:hint="eastAsia" w:ascii="宋体" w:hAnsi="宋体" w:cs="宋体"/>
                <w:color w:val="auto"/>
                <w:sz w:val="21"/>
                <w:szCs w:val="21"/>
                <w:highlight w:val="none"/>
              </w:rPr>
            </w:pPr>
          </w:p>
        </w:tc>
      </w:tr>
      <w:tr w14:paraId="1ACA4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1517F778">
            <w:pPr>
              <w:pStyle w:val="42"/>
              <w:ind w:firstLine="105" w:firstLineChars="5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051" w:type="dxa"/>
            <w:noWrap w:val="0"/>
            <w:vAlign w:val="center"/>
          </w:tcPr>
          <w:p w14:paraId="4AC0D3C5">
            <w:pPr>
              <w:pStyle w:val="42"/>
              <w:rPr>
                <w:rFonts w:hint="eastAsia" w:ascii="宋体" w:hAnsi="宋体" w:cs="宋体"/>
                <w:color w:val="auto"/>
                <w:sz w:val="21"/>
                <w:szCs w:val="21"/>
                <w:highlight w:val="none"/>
              </w:rPr>
            </w:pPr>
          </w:p>
        </w:tc>
        <w:tc>
          <w:tcPr>
            <w:tcW w:w="669" w:type="dxa"/>
            <w:noWrap w:val="0"/>
            <w:vAlign w:val="center"/>
          </w:tcPr>
          <w:p w14:paraId="0DB1A7D3">
            <w:pPr>
              <w:pStyle w:val="42"/>
              <w:rPr>
                <w:rFonts w:hint="eastAsia" w:ascii="宋体" w:hAnsi="宋体" w:cs="宋体"/>
                <w:color w:val="auto"/>
                <w:sz w:val="21"/>
                <w:szCs w:val="21"/>
                <w:highlight w:val="none"/>
              </w:rPr>
            </w:pPr>
          </w:p>
        </w:tc>
        <w:tc>
          <w:tcPr>
            <w:tcW w:w="855" w:type="dxa"/>
            <w:noWrap w:val="0"/>
            <w:vAlign w:val="center"/>
          </w:tcPr>
          <w:p w14:paraId="64EE0186">
            <w:pPr>
              <w:pStyle w:val="42"/>
              <w:rPr>
                <w:rFonts w:hint="eastAsia" w:ascii="宋体" w:hAnsi="宋体" w:cs="宋体"/>
                <w:color w:val="auto"/>
                <w:sz w:val="21"/>
                <w:szCs w:val="21"/>
                <w:highlight w:val="none"/>
              </w:rPr>
            </w:pPr>
          </w:p>
        </w:tc>
        <w:tc>
          <w:tcPr>
            <w:tcW w:w="705" w:type="dxa"/>
            <w:noWrap w:val="0"/>
            <w:vAlign w:val="center"/>
          </w:tcPr>
          <w:p w14:paraId="509BCBFB">
            <w:pPr>
              <w:pStyle w:val="42"/>
              <w:rPr>
                <w:rFonts w:hint="eastAsia" w:ascii="宋体" w:hAnsi="宋体" w:cs="宋体"/>
                <w:color w:val="auto"/>
                <w:sz w:val="21"/>
                <w:szCs w:val="21"/>
                <w:highlight w:val="none"/>
              </w:rPr>
            </w:pPr>
          </w:p>
        </w:tc>
        <w:tc>
          <w:tcPr>
            <w:tcW w:w="1200" w:type="dxa"/>
            <w:noWrap w:val="0"/>
            <w:vAlign w:val="center"/>
          </w:tcPr>
          <w:p w14:paraId="6A7B7AFE">
            <w:pPr>
              <w:pStyle w:val="42"/>
              <w:rPr>
                <w:rFonts w:hint="eastAsia" w:ascii="宋体" w:hAnsi="宋体" w:cs="宋体"/>
                <w:color w:val="auto"/>
                <w:sz w:val="21"/>
                <w:szCs w:val="21"/>
                <w:highlight w:val="none"/>
              </w:rPr>
            </w:pPr>
          </w:p>
        </w:tc>
        <w:tc>
          <w:tcPr>
            <w:tcW w:w="784" w:type="dxa"/>
            <w:noWrap w:val="0"/>
            <w:vAlign w:val="center"/>
          </w:tcPr>
          <w:p w14:paraId="51C216BB">
            <w:pPr>
              <w:pStyle w:val="42"/>
              <w:rPr>
                <w:rFonts w:hint="eastAsia" w:ascii="宋体" w:hAnsi="宋体" w:cs="宋体"/>
                <w:color w:val="auto"/>
                <w:sz w:val="21"/>
                <w:szCs w:val="21"/>
                <w:highlight w:val="none"/>
              </w:rPr>
            </w:pPr>
          </w:p>
        </w:tc>
        <w:tc>
          <w:tcPr>
            <w:tcW w:w="870" w:type="dxa"/>
            <w:noWrap w:val="0"/>
            <w:vAlign w:val="center"/>
          </w:tcPr>
          <w:p w14:paraId="54E598AC">
            <w:pPr>
              <w:pStyle w:val="42"/>
              <w:rPr>
                <w:rFonts w:hint="eastAsia" w:ascii="宋体" w:hAnsi="宋体" w:cs="宋体"/>
                <w:color w:val="auto"/>
                <w:sz w:val="21"/>
                <w:szCs w:val="21"/>
                <w:highlight w:val="none"/>
              </w:rPr>
            </w:pPr>
          </w:p>
        </w:tc>
        <w:tc>
          <w:tcPr>
            <w:tcW w:w="1389" w:type="dxa"/>
            <w:noWrap w:val="0"/>
            <w:vAlign w:val="center"/>
          </w:tcPr>
          <w:p w14:paraId="186008A9">
            <w:pPr>
              <w:pStyle w:val="42"/>
              <w:rPr>
                <w:rFonts w:hint="eastAsia" w:ascii="宋体" w:hAnsi="宋体" w:cs="宋体"/>
                <w:color w:val="auto"/>
                <w:sz w:val="21"/>
                <w:szCs w:val="21"/>
                <w:highlight w:val="none"/>
              </w:rPr>
            </w:pPr>
          </w:p>
        </w:tc>
      </w:tr>
      <w:tr w14:paraId="6049D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3E61FEC7">
            <w:pPr>
              <w:pStyle w:val="4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051" w:type="dxa"/>
            <w:noWrap w:val="0"/>
            <w:vAlign w:val="center"/>
          </w:tcPr>
          <w:p w14:paraId="2D387353">
            <w:pPr>
              <w:pStyle w:val="42"/>
              <w:rPr>
                <w:rFonts w:hint="eastAsia" w:ascii="宋体" w:hAnsi="宋体" w:cs="宋体"/>
                <w:color w:val="auto"/>
                <w:sz w:val="21"/>
                <w:szCs w:val="21"/>
                <w:highlight w:val="none"/>
              </w:rPr>
            </w:pPr>
          </w:p>
        </w:tc>
        <w:tc>
          <w:tcPr>
            <w:tcW w:w="669" w:type="dxa"/>
            <w:noWrap w:val="0"/>
            <w:vAlign w:val="center"/>
          </w:tcPr>
          <w:p w14:paraId="4A424685">
            <w:pPr>
              <w:pStyle w:val="42"/>
              <w:rPr>
                <w:rFonts w:hint="eastAsia" w:ascii="宋体" w:hAnsi="宋体" w:cs="宋体"/>
                <w:color w:val="auto"/>
                <w:sz w:val="21"/>
                <w:szCs w:val="21"/>
                <w:highlight w:val="none"/>
              </w:rPr>
            </w:pPr>
          </w:p>
        </w:tc>
        <w:tc>
          <w:tcPr>
            <w:tcW w:w="855" w:type="dxa"/>
            <w:noWrap w:val="0"/>
            <w:vAlign w:val="center"/>
          </w:tcPr>
          <w:p w14:paraId="04088563">
            <w:pPr>
              <w:pStyle w:val="42"/>
              <w:rPr>
                <w:rFonts w:hint="eastAsia" w:ascii="宋体" w:hAnsi="宋体" w:cs="宋体"/>
                <w:color w:val="auto"/>
                <w:sz w:val="21"/>
                <w:szCs w:val="21"/>
                <w:highlight w:val="none"/>
              </w:rPr>
            </w:pPr>
          </w:p>
        </w:tc>
        <w:tc>
          <w:tcPr>
            <w:tcW w:w="705" w:type="dxa"/>
            <w:noWrap w:val="0"/>
            <w:vAlign w:val="center"/>
          </w:tcPr>
          <w:p w14:paraId="4DA0C72F">
            <w:pPr>
              <w:pStyle w:val="42"/>
              <w:rPr>
                <w:rFonts w:hint="eastAsia" w:ascii="宋体" w:hAnsi="宋体" w:cs="宋体"/>
                <w:color w:val="auto"/>
                <w:sz w:val="21"/>
                <w:szCs w:val="21"/>
                <w:highlight w:val="none"/>
              </w:rPr>
            </w:pPr>
          </w:p>
        </w:tc>
        <w:tc>
          <w:tcPr>
            <w:tcW w:w="1200" w:type="dxa"/>
            <w:noWrap w:val="0"/>
            <w:vAlign w:val="center"/>
          </w:tcPr>
          <w:p w14:paraId="2E4CDF74">
            <w:pPr>
              <w:pStyle w:val="42"/>
              <w:rPr>
                <w:rFonts w:hint="eastAsia" w:ascii="宋体" w:hAnsi="宋体" w:cs="宋体"/>
                <w:color w:val="auto"/>
                <w:sz w:val="21"/>
                <w:szCs w:val="21"/>
                <w:highlight w:val="none"/>
              </w:rPr>
            </w:pPr>
          </w:p>
        </w:tc>
        <w:tc>
          <w:tcPr>
            <w:tcW w:w="784" w:type="dxa"/>
            <w:noWrap w:val="0"/>
            <w:vAlign w:val="center"/>
          </w:tcPr>
          <w:p w14:paraId="0AA232CA">
            <w:pPr>
              <w:pStyle w:val="42"/>
              <w:rPr>
                <w:rFonts w:hint="eastAsia" w:ascii="宋体" w:hAnsi="宋体" w:cs="宋体"/>
                <w:color w:val="auto"/>
                <w:sz w:val="21"/>
                <w:szCs w:val="21"/>
                <w:highlight w:val="none"/>
              </w:rPr>
            </w:pPr>
          </w:p>
        </w:tc>
        <w:tc>
          <w:tcPr>
            <w:tcW w:w="870" w:type="dxa"/>
            <w:noWrap w:val="0"/>
            <w:vAlign w:val="center"/>
          </w:tcPr>
          <w:p w14:paraId="2EFC7EE3">
            <w:pPr>
              <w:pStyle w:val="42"/>
              <w:rPr>
                <w:rFonts w:hint="eastAsia" w:ascii="宋体" w:hAnsi="宋体" w:cs="宋体"/>
                <w:color w:val="auto"/>
                <w:sz w:val="21"/>
                <w:szCs w:val="21"/>
                <w:highlight w:val="none"/>
              </w:rPr>
            </w:pPr>
          </w:p>
        </w:tc>
        <w:tc>
          <w:tcPr>
            <w:tcW w:w="1389" w:type="dxa"/>
            <w:noWrap w:val="0"/>
            <w:vAlign w:val="center"/>
          </w:tcPr>
          <w:p w14:paraId="48C5763F">
            <w:pPr>
              <w:pStyle w:val="42"/>
              <w:rPr>
                <w:rFonts w:hint="eastAsia" w:ascii="宋体" w:hAnsi="宋体" w:cs="宋体"/>
                <w:color w:val="auto"/>
                <w:sz w:val="21"/>
                <w:szCs w:val="21"/>
                <w:highlight w:val="none"/>
              </w:rPr>
            </w:pPr>
          </w:p>
        </w:tc>
      </w:tr>
      <w:tr w14:paraId="4CBA6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21489EB0">
            <w:pPr>
              <w:pStyle w:val="4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1051" w:type="dxa"/>
            <w:noWrap w:val="0"/>
            <w:vAlign w:val="center"/>
          </w:tcPr>
          <w:p w14:paraId="514D5591">
            <w:pPr>
              <w:pStyle w:val="42"/>
              <w:rPr>
                <w:rFonts w:hint="eastAsia" w:ascii="宋体" w:hAnsi="宋体" w:cs="宋体"/>
                <w:color w:val="auto"/>
                <w:sz w:val="21"/>
                <w:szCs w:val="21"/>
                <w:highlight w:val="none"/>
              </w:rPr>
            </w:pPr>
          </w:p>
        </w:tc>
        <w:tc>
          <w:tcPr>
            <w:tcW w:w="669" w:type="dxa"/>
            <w:noWrap w:val="0"/>
            <w:vAlign w:val="center"/>
          </w:tcPr>
          <w:p w14:paraId="54C74C60">
            <w:pPr>
              <w:pStyle w:val="42"/>
              <w:rPr>
                <w:rFonts w:hint="eastAsia" w:ascii="宋体" w:hAnsi="宋体" w:cs="宋体"/>
                <w:color w:val="auto"/>
                <w:sz w:val="21"/>
                <w:szCs w:val="21"/>
                <w:highlight w:val="none"/>
              </w:rPr>
            </w:pPr>
          </w:p>
        </w:tc>
        <w:tc>
          <w:tcPr>
            <w:tcW w:w="855" w:type="dxa"/>
            <w:noWrap w:val="0"/>
            <w:vAlign w:val="center"/>
          </w:tcPr>
          <w:p w14:paraId="721D1435">
            <w:pPr>
              <w:pStyle w:val="42"/>
              <w:rPr>
                <w:rFonts w:hint="eastAsia" w:ascii="宋体" w:hAnsi="宋体" w:cs="宋体"/>
                <w:color w:val="auto"/>
                <w:sz w:val="21"/>
                <w:szCs w:val="21"/>
                <w:highlight w:val="none"/>
              </w:rPr>
            </w:pPr>
          </w:p>
        </w:tc>
        <w:tc>
          <w:tcPr>
            <w:tcW w:w="705" w:type="dxa"/>
            <w:noWrap w:val="0"/>
            <w:vAlign w:val="center"/>
          </w:tcPr>
          <w:p w14:paraId="03229123">
            <w:pPr>
              <w:pStyle w:val="42"/>
              <w:rPr>
                <w:rFonts w:hint="eastAsia" w:ascii="宋体" w:hAnsi="宋体" w:cs="宋体"/>
                <w:color w:val="auto"/>
                <w:sz w:val="21"/>
                <w:szCs w:val="21"/>
                <w:highlight w:val="none"/>
              </w:rPr>
            </w:pPr>
          </w:p>
        </w:tc>
        <w:tc>
          <w:tcPr>
            <w:tcW w:w="1200" w:type="dxa"/>
            <w:noWrap w:val="0"/>
            <w:vAlign w:val="center"/>
          </w:tcPr>
          <w:p w14:paraId="34F884FD">
            <w:pPr>
              <w:pStyle w:val="42"/>
              <w:rPr>
                <w:rFonts w:hint="eastAsia" w:ascii="宋体" w:hAnsi="宋体" w:cs="宋体"/>
                <w:color w:val="auto"/>
                <w:sz w:val="21"/>
                <w:szCs w:val="21"/>
                <w:highlight w:val="none"/>
              </w:rPr>
            </w:pPr>
          </w:p>
        </w:tc>
        <w:tc>
          <w:tcPr>
            <w:tcW w:w="784" w:type="dxa"/>
            <w:noWrap w:val="0"/>
            <w:vAlign w:val="center"/>
          </w:tcPr>
          <w:p w14:paraId="7E74364E">
            <w:pPr>
              <w:pStyle w:val="42"/>
              <w:rPr>
                <w:rFonts w:hint="eastAsia" w:ascii="宋体" w:hAnsi="宋体" w:cs="宋体"/>
                <w:color w:val="auto"/>
                <w:sz w:val="21"/>
                <w:szCs w:val="21"/>
                <w:highlight w:val="none"/>
              </w:rPr>
            </w:pPr>
          </w:p>
        </w:tc>
        <w:tc>
          <w:tcPr>
            <w:tcW w:w="870" w:type="dxa"/>
            <w:noWrap w:val="0"/>
            <w:vAlign w:val="center"/>
          </w:tcPr>
          <w:p w14:paraId="6E56980B">
            <w:pPr>
              <w:pStyle w:val="42"/>
              <w:rPr>
                <w:rFonts w:hint="eastAsia" w:ascii="宋体" w:hAnsi="宋体" w:cs="宋体"/>
                <w:color w:val="auto"/>
                <w:sz w:val="21"/>
                <w:szCs w:val="21"/>
                <w:highlight w:val="none"/>
              </w:rPr>
            </w:pPr>
          </w:p>
        </w:tc>
        <w:tc>
          <w:tcPr>
            <w:tcW w:w="1389" w:type="dxa"/>
            <w:noWrap w:val="0"/>
            <w:vAlign w:val="center"/>
          </w:tcPr>
          <w:p w14:paraId="5936F7F3">
            <w:pPr>
              <w:pStyle w:val="42"/>
              <w:rPr>
                <w:rFonts w:hint="eastAsia" w:ascii="宋体" w:hAnsi="宋体" w:cs="宋体"/>
                <w:color w:val="auto"/>
                <w:sz w:val="21"/>
                <w:szCs w:val="21"/>
                <w:highlight w:val="none"/>
              </w:rPr>
            </w:pPr>
          </w:p>
        </w:tc>
      </w:tr>
      <w:tr w14:paraId="6B4CD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1F0AE4E3">
            <w:pPr>
              <w:pStyle w:val="4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051" w:type="dxa"/>
            <w:noWrap w:val="0"/>
            <w:vAlign w:val="center"/>
          </w:tcPr>
          <w:p w14:paraId="659D1EB3">
            <w:pPr>
              <w:pStyle w:val="42"/>
              <w:rPr>
                <w:rFonts w:hint="eastAsia" w:ascii="宋体" w:hAnsi="宋体" w:cs="宋体"/>
                <w:color w:val="auto"/>
                <w:sz w:val="21"/>
                <w:szCs w:val="21"/>
                <w:highlight w:val="none"/>
              </w:rPr>
            </w:pPr>
          </w:p>
        </w:tc>
        <w:tc>
          <w:tcPr>
            <w:tcW w:w="669" w:type="dxa"/>
            <w:noWrap w:val="0"/>
            <w:vAlign w:val="center"/>
          </w:tcPr>
          <w:p w14:paraId="18F10454">
            <w:pPr>
              <w:pStyle w:val="42"/>
              <w:rPr>
                <w:rFonts w:hint="eastAsia" w:ascii="宋体" w:hAnsi="宋体" w:cs="宋体"/>
                <w:color w:val="auto"/>
                <w:sz w:val="21"/>
                <w:szCs w:val="21"/>
                <w:highlight w:val="none"/>
              </w:rPr>
            </w:pPr>
          </w:p>
        </w:tc>
        <w:tc>
          <w:tcPr>
            <w:tcW w:w="855" w:type="dxa"/>
            <w:noWrap w:val="0"/>
            <w:vAlign w:val="center"/>
          </w:tcPr>
          <w:p w14:paraId="64DA8B84">
            <w:pPr>
              <w:pStyle w:val="42"/>
              <w:rPr>
                <w:rFonts w:hint="eastAsia" w:ascii="宋体" w:hAnsi="宋体" w:cs="宋体"/>
                <w:color w:val="auto"/>
                <w:sz w:val="21"/>
                <w:szCs w:val="21"/>
                <w:highlight w:val="none"/>
              </w:rPr>
            </w:pPr>
          </w:p>
        </w:tc>
        <w:tc>
          <w:tcPr>
            <w:tcW w:w="705" w:type="dxa"/>
            <w:noWrap w:val="0"/>
            <w:vAlign w:val="center"/>
          </w:tcPr>
          <w:p w14:paraId="10269CCA">
            <w:pPr>
              <w:pStyle w:val="42"/>
              <w:rPr>
                <w:rFonts w:hint="eastAsia" w:ascii="宋体" w:hAnsi="宋体" w:cs="宋体"/>
                <w:color w:val="auto"/>
                <w:sz w:val="21"/>
                <w:szCs w:val="21"/>
                <w:highlight w:val="none"/>
              </w:rPr>
            </w:pPr>
          </w:p>
        </w:tc>
        <w:tc>
          <w:tcPr>
            <w:tcW w:w="1200" w:type="dxa"/>
            <w:noWrap w:val="0"/>
            <w:vAlign w:val="center"/>
          </w:tcPr>
          <w:p w14:paraId="720F8E27">
            <w:pPr>
              <w:pStyle w:val="42"/>
              <w:rPr>
                <w:rFonts w:hint="eastAsia" w:ascii="宋体" w:hAnsi="宋体" w:cs="宋体"/>
                <w:color w:val="auto"/>
                <w:sz w:val="21"/>
                <w:szCs w:val="21"/>
                <w:highlight w:val="none"/>
              </w:rPr>
            </w:pPr>
          </w:p>
        </w:tc>
        <w:tc>
          <w:tcPr>
            <w:tcW w:w="784" w:type="dxa"/>
            <w:noWrap w:val="0"/>
            <w:vAlign w:val="center"/>
          </w:tcPr>
          <w:p w14:paraId="31E177EC">
            <w:pPr>
              <w:pStyle w:val="42"/>
              <w:rPr>
                <w:rFonts w:hint="eastAsia" w:ascii="宋体" w:hAnsi="宋体" w:cs="宋体"/>
                <w:color w:val="auto"/>
                <w:sz w:val="21"/>
                <w:szCs w:val="21"/>
                <w:highlight w:val="none"/>
              </w:rPr>
            </w:pPr>
          </w:p>
        </w:tc>
        <w:tc>
          <w:tcPr>
            <w:tcW w:w="870" w:type="dxa"/>
            <w:noWrap w:val="0"/>
            <w:vAlign w:val="center"/>
          </w:tcPr>
          <w:p w14:paraId="60DECCF1">
            <w:pPr>
              <w:pStyle w:val="42"/>
              <w:rPr>
                <w:rFonts w:hint="eastAsia" w:ascii="宋体" w:hAnsi="宋体" w:cs="宋体"/>
                <w:color w:val="auto"/>
                <w:sz w:val="21"/>
                <w:szCs w:val="21"/>
                <w:highlight w:val="none"/>
              </w:rPr>
            </w:pPr>
          </w:p>
        </w:tc>
        <w:tc>
          <w:tcPr>
            <w:tcW w:w="1389" w:type="dxa"/>
            <w:noWrap w:val="0"/>
            <w:vAlign w:val="center"/>
          </w:tcPr>
          <w:p w14:paraId="034EF7DC">
            <w:pPr>
              <w:pStyle w:val="42"/>
              <w:rPr>
                <w:rFonts w:hint="eastAsia" w:ascii="宋体" w:hAnsi="宋体" w:cs="宋体"/>
                <w:color w:val="auto"/>
                <w:sz w:val="21"/>
                <w:szCs w:val="21"/>
                <w:highlight w:val="none"/>
              </w:rPr>
            </w:pPr>
          </w:p>
        </w:tc>
      </w:tr>
      <w:tr w14:paraId="37800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6CB4C561">
            <w:pPr>
              <w:pStyle w:val="42"/>
              <w:rPr>
                <w:rFonts w:hint="eastAsia" w:ascii="宋体" w:hAnsi="宋体" w:cs="宋体"/>
                <w:color w:val="auto"/>
                <w:sz w:val="21"/>
                <w:szCs w:val="21"/>
                <w:highlight w:val="none"/>
              </w:rPr>
            </w:pPr>
          </w:p>
        </w:tc>
        <w:tc>
          <w:tcPr>
            <w:tcW w:w="1051" w:type="dxa"/>
            <w:noWrap w:val="0"/>
            <w:vAlign w:val="center"/>
          </w:tcPr>
          <w:p w14:paraId="5F4AB579">
            <w:pPr>
              <w:pStyle w:val="42"/>
              <w:rPr>
                <w:rFonts w:hint="eastAsia" w:ascii="宋体" w:hAnsi="宋体" w:cs="宋体"/>
                <w:color w:val="auto"/>
                <w:sz w:val="21"/>
                <w:szCs w:val="21"/>
                <w:highlight w:val="none"/>
              </w:rPr>
            </w:pPr>
          </w:p>
        </w:tc>
        <w:tc>
          <w:tcPr>
            <w:tcW w:w="669" w:type="dxa"/>
            <w:noWrap w:val="0"/>
            <w:vAlign w:val="center"/>
          </w:tcPr>
          <w:p w14:paraId="3D85EB07">
            <w:pPr>
              <w:pStyle w:val="42"/>
              <w:rPr>
                <w:rFonts w:hint="eastAsia" w:ascii="宋体" w:hAnsi="宋体" w:cs="宋体"/>
                <w:color w:val="auto"/>
                <w:sz w:val="21"/>
                <w:szCs w:val="21"/>
                <w:highlight w:val="none"/>
              </w:rPr>
            </w:pPr>
          </w:p>
        </w:tc>
        <w:tc>
          <w:tcPr>
            <w:tcW w:w="855" w:type="dxa"/>
            <w:noWrap w:val="0"/>
            <w:vAlign w:val="center"/>
          </w:tcPr>
          <w:p w14:paraId="2D5B75E6">
            <w:pPr>
              <w:pStyle w:val="42"/>
              <w:rPr>
                <w:rFonts w:hint="eastAsia" w:ascii="宋体" w:hAnsi="宋体" w:cs="宋体"/>
                <w:color w:val="auto"/>
                <w:sz w:val="21"/>
                <w:szCs w:val="21"/>
                <w:highlight w:val="none"/>
              </w:rPr>
            </w:pPr>
          </w:p>
        </w:tc>
        <w:tc>
          <w:tcPr>
            <w:tcW w:w="705" w:type="dxa"/>
            <w:noWrap w:val="0"/>
            <w:vAlign w:val="center"/>
          </w:tcPr>
          <w:p w14:paraId="6D4FF759">
            <w:pPr>
              <w:pStyle w:val="42"/>
              <w:rPr>
                <w:rFonts w:hint="eastAsia" w:ascii="宋体" w:hAnsi="宋体" w:cs="宋体"/>
                <w:color w:val="auto"/>
                <w:sz w:val="21"/>
                <w:szCs w:val="21"/>
                <w:highlight w:val="none"/>
              </w:rPr>
            </w:pPr>
          </w:p>
        </w:tc>
        <w:tc>
          <w:tcPr>
            <w:tcW w:w="1200" w:type="dxa"/>
            <w:noWrap w:val="0"/>
            <w:vAlign w:val="center"/>
          </w:tcPr>
          <w:p w14:paraId="62D59898">
            <w:pPr>
              <w:pStyle w:val="42"/>
              <w:rPr>
                <w:rFonts w:hint="eastAsia" w:ascii="宋体" w:hAnsi="宋体" w:cs="宋体"/>
                <w:color w:val="auto"/>
                <w:sz w:val="21"/>
                <w:szCs w:val="21"/>
                <w:highlight w:val="none"/>
              </w:rPr>
            </w:pPr>
          </w:p>
        </w:tc>
        <w:tc>
          <w:tcPr>
            <w:tcW w:w="784" w:type="dxa"/>
            <w:noWrap w:val="0"/>
            <w:vAlign w:val="center"/>
          </w:tcPr>
          <w:p w14:paraId="0D53E3AD">
            <w:pPr>
              <w:pStyle w:val="42"/>
              <w:rPr>
                <w:rFonts w:hint="eastAsia" w:ascii="宋体" w:hAnsi="宋体" w:cs="宋体"/>
                <w:color w:val="auto"/>
                <w:sz w:val="21"/>
                <w:szCs w:val="21"/>
                <w:highlight w:val="none"/>
              </w:rPr>
            </w:pPr>
          </w:p>
        </w:tc>
        <w:tc>
          <w:tcPr>
            <w:tcW w:w="870" w:type="dxa"/>
            <w:noWrap w:val="0"/>
            <w:vAlign w:val="center"/>
          </w:tcPr>
          <w:p w14:paraId="79D55CB5">
            <w:pPr>
              <w:pStyle w:val="42"/>
              <w:rPr>
                <w:rFonts w:hint="eastAsia" w:ascii="宋体" w:hAnsi="宋体" w:cs="宋体"/>
                <w:color w:val="auto"/>
                <w:sz w:val="21"/>
                <w:szCs w:val="21"/>
                <w:highlight w:val="none"/>
              </w:rPr>
            </w:pPr>
          </w:p>
        </w:tc>
        <w:tc>
          <w:tcPr>
            <w:tcW w:w="1389" w:type="dxa"/>
            <w:noWrap w:val="0"/>
            <w:vAlign w:val="center"/>
          </w:tcPr>
          <w:p w14:paraId="11339A1F">
            <w:pPr>
              <w:pStyle w:val="42"/>
              <w:rPr>
                <w:rFonts w:hint="eastAsia" w:ascii="宋体" w:hAnsi="宋体" w:cs="宋体"/>
                <w:color w:val="auto"/>
                <w:sz w:val="21"/>
                <w:szCs w:val="21"/>
                <w:highlight w:val="none"/>
              </w:rPr>
            </w:pPr>
          </w:p>
        </w:tc>
      </w:tr>
      <w:tr w14:paraId="1C113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2F99E33F">
            <w:pPr>
              <w:pStyle w:val="42"/>
              <w:rPr>
                <w:rFonts w:hint="eastAsia" w:ascii="宋体" w:hAnsi="宋体" w:cs="宋体"/>
                <w:color w:val="auto"/>
                <w:sz w:val="21"/>
                <w:szCs w:val="21"/>
                <w:highlight w:val="none"/>
              </w:rPr>
            </w:pPr>
          </w:p>
        </w:tc>
        <w:tc>
          <w:tcPr>
            <w:tcW w:w="1051" w:type="dxa"/>
            <w:noWrap w:val="0"/>
            <w:vAlign w:val="center"/>
          </w:tcPr>
          <w:p w14:paraId="628C63A1">
            <w:pPr>
              <w:pStyle w:val="42"/>
              <w:rPr>
                <w:rFonts w:hint="eastAsia" w:ascii="宋体" w:hAnsi="宋体" w:cs="宋体"/>
                <w:color w:val="auto"/>
                <w:sz w:val="21"/>
                <w:szCs w:val="21"/>
                <w:highlight w:val="none"/>
              </w:rPr>
            </w:pPr>
          </w:p>
        </w:tc>
        <w:tc>
          <w:tcPr>
            <w:tcW w:w="669" w:type="dxa"/>
            <w:noWrap w:val="0"/>
            <w:vAlign w:val="center"/>
          </w:tcPr>
          <w:p w14:paraId="70D86B27">
            <w:pPr>
              <w:pStyle w:val="42"/>
              <w:rPr>
                <w:rFonts w:hint="eastAsia" w:ascii="宋体" w:hAnsi="宋体" w:cs="宋体"/>
                <w:color w:val="auto"/>
                <w:sz w:val="21"/>
                <w:szCs w:val="21"/>
                <w:highlight w:val="none"/>
              </w:rPr>
            </w:pPr>
          </w:p>
        </w:tc>
        <w:tc>
          <w:tcPr>
            <w:tcW w:w="855" w:type="dxa"/>
            <w:noWrap w:val="0"/>
            <w:vAlign w:val="center"/>
          </w:tcPr>
          <w:p w14:paraId="58362C91">
            <w:pPr>
              <w:pStyle w:val="42"/>
              <w:rPr>
                <w:rFonts w:hint="eastAsia" w:ascii="宋体" w:hAnsi="宋体" w:cs="宋体"/>
                <w:color w:val="auto"/>
                <w:sz w:val="21"/>
                <w:szCs w:val="21"/>
                <w:highlight w:val="none"/>
              </w:rPr>
            </w:pPr>
          </w:p>
        </w:tc>
        <w:tc>
          <w:tcPr>
            <w:tcW w:w="705" w:type="dxa"/>
            <w:noWrap w:val="0"/>
            <w:vAlign w:val="center"/>
          </w:tcPr>
          <w:p w14:paraId="1F875CCB">
            <w:pPr>
              <w:pStyle w:val="42"/>
              <w:rPr>
                <w:rFonts w:hint="eastAsia" w:ascii="宋体" w:hAnsi="宋体" w:cs="宋体"/>
                <w:color w:val="auto"/>
                <w:sz w:val="21"/>
                <w:szCs w:val="21"/>
                <w:highlight w:val="none"/>
              </w:rPr>
            </w:pPr>
          </w:p>
        </w:tc>
        <w:tc>
          <w:tcPr>
            <w:tcW w:w="1200" w:type="dxa"/>
            <w:noWrap w:val="0"/>
            <w:vAlign w:val="center"/>
          </w:tcPr>
          <w:p w14:paraId="77C31A8A">
            <w:pPr>
              <w:pStyle w:val="42"/>
              <w:rPr>
                <w:rFonts w:hint="eastAsia" w:ascii="宋体" w:hAnsi="宋体" w:cs="宋体"/>
                <w:color w:val="auto"/>
                <w:sz w:val="21"/>
                <w:szCs w:val="21"/>
                <w:highlight w:val="none"/>
              </w:rPr>
            </w:pPr>
          </w:p>
        </w:tc>
        <w:tc>
          <w:tcPr>
            <w:tcW w:w="784" w:type="dxa"/>
            <w:noWrap w:val="0"/>
            <w:vAlign w:val="center"/>
          </w:tcPr>
          <w:p w14:paraId="073D0A12">
            <w:pPr>
              <w:pStyle w:val="42"/>
              <w:rPr>
                <w:rFonts w:hint="eastAsia" w:ascii="宋体" w:hAnsi="宋体" w:cs="宋体"/>
                <w:color w:val="auto"/>
                <w:sz w:val="21"/>
                <w:szCs w:val="21"/>
                <w:highlight w:val="none"/>
              </w:rPr>
            </w:pPr>
          </w:p>
        </w:tc>
        <w:tc>
          <w:tcPr>
            <w:tcW w:w="870" w:type="dxa"/>
            <w:noWrap w:val="0"/>
            <w:vAlign w:val="center"/>
          </w:tcPr>
          <w:p w14:paraId="656D9AF5">
            <w:pPr>
              <w:pStyle w:val="42"/>
              <w:rPr>
                <w:rFonts w:hint="eastAsia" w:ascii="宋体" w:hAnsi="宋体" w:cs="宋体"/>
                <w:color w:val="auto"/>
                <w:sz w:val="21"/>
                <w:szCs w:val="21"/>
                <w:highlight w:val="none"/>
              </w:rPr>
            </w:pPr>
          </w:p>
        </w:tc>
        <w:tc>
          <w:tcPr>
            <w:tcW w:w="1389" w:type="dxa"/>
            <w:noWrap w:val="0"/>
            <w:vAlign w:val="center"/>
          </w:tcPr>
          <w:p w14:paraId="78DB6CD2">
            <w:pPr>
              <w:pStyle w:val="42"/>
              <w:rPr>
                <w:rFonts w:hint="eastAsia" w:ascii="宋体" w:hAnsi="宋体" w:cs="宋体"/>
                <w:color w:val="auto"/>
                <w:sz w:val="21"/>
                <w:szCs w:val="21"/>
                <w:highlight w:val="none"/>
              </w:rPr>
            </w:pPr>
          </w:p>
        </w:tc>
      </w:tr>
      <w:tr w14:paraId="51A01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27093442">
            <w:pPr>
              <w:pStyle w:val="42"/>
              <w:rPr>
                <w:rFonts w:hint="eastAsia" w:ascii="宋体" w:hAnsi="宋体" w:cs="宋体"/>
                <w:color w:val="auto"/>
                <w:sz w:val="21"/>
                <w:szCs w:val="21"/>
                <w:highlight w:val="none"/>
              </w:rPr>
            </w:pPr>
          </w:p>
        </w:tc>
        <w:tc>
          <w:tcPr>
            <w:tcW w:w="1051" w:type="dxa"/>
            <w:noWrap w:val="0"/>
            <w:vAlign w:val="center"/>
          </w:tcPr>
          <w:p w14:paraId="026DE4AB">
            <w:pPr>
              <w:pStyle w:val="42"/>
              <w:rPr>
                <w:rFonts w:hint="eastAsia" w:ascii="宋体" w:hAnsi="宋体" w:cs="宋体"/>
                <w:color w:val="auto"/>
                <w:sz w:val="21"/>
                <w:szCs w:val="21"/>
                <w:highlight w:val="none"/>
              </w:rPr>
            </w:pPr>
          </w:p>
        </w:tc>
        <w:tc>
          <w:tcPr>
            <w:tcW w:w="669" w:type="dxa"/>
            <w:noWrap w:val="0"/>
            <w:vAlign w:val="center"/>
          </w:tcPr>
          <w:p w14:paraId="728D3F2C">
            <w:pPr>
              <w:pStyle w:val="42"/>
              <w:rPr>
                <w:rFonts w:hint="eastAsia" w:ascii="宋体" w:hAnsi="宋体" w:cs="宋体"/>
                <w:color w:val="auto"/>
                <w:sz w:val="21"/>
                <w:szCs w:val="21"/>
                <w:highlight w:val="none"/>
              </w:rPr>
            </w:pPr>
          </w:p>
        </w:tc>
        <w:tc>
          <w:tcPr>
            <w:tcW w:w="855" w:type="dxa"/>
            <w:noWrap w:val="0"/>
            <w:vAlign w:val="center"/>
          </w:tcPr>
          <w:p w14:paraId="54BAA17C">
            <w:pPr>
              <w:pStyle w:val="42"/>
              <w:rPr>
                <w:rFonts w:hint="eastAsia" w:ascii="宋体" w:hAnsi="宋体" w:cs="宋体"/>
                <w:color w:val="auto"/>
                <w:sz w:val="21"/>
                <w:szCs w:val="21"/>
                <w:highlight w:val="none"/>
              </w:rPr>
            </w:pPr>
          </w:p>
        </w:tc>
        <w:tc>
          <w:tcPr>
            <w:tcW w:w="705" w:type="dxa"/>
            <w:noWrap w:val="0"/>
            <w:vAlign w:val="center"/>
          </w:tcPr>
          <w:p w14:paraId="6634893A">
            <w:pPr>
              <w:pStyle w:val="42"/>
              <w:rPr>
                <w:rFonts w:hint="eastAsia" w:ascii="宋体" w:hAnsi="宋体" w:cs="宋体"/>
                <w:color w:val="auto"/>
                <w:sz w:val="21"/>
                <w:szCs w:val="21"/>
                <w:highlight w:val="none"/>
              </w:rPr>
            </w:pPr>
          </w:p>
        </w:tc>
        <w:tc>
          <w:tcPr>
            <w:tcW w:w="1200" w:type="dxa"/>
            <w:noWrap w:val="0"/>
            <w:vAlign w:val="center"/>
          </w:tcPr>
          <w:p w14:paraId="04DCA090">
            <w:pPr>
              <w:pStyle w:val="42"/>
              <w:rPr>
                <w:rFonts w:hint="eastAsia" w:ascii="宋体" w:hAnsi="宋体" w:cs="宋体"/>
                <w:color w:val="auto"/>
                <w:sz w:val="21"/>
                <w:szCs w:val="21"/>
                <w:highlight w:val="none"/>
              </w:rPr>
            </w:pPr>
          </w:p>
        </w:tc>
        <w:tc>
          <w:tcPr>
            <w:tcW w:w="784" w:type="dxa"/>
            <w:noWrap w:val="0"/>
            <w:vAlign w:val="center"/>
          </w:tcPr>
          <w:p w14:paraId="28DD6D15">
            <w:pPr>
              <w:pStyle w:val="42"/>
              <w:rPr>
                <w:rFonts w:hint="eastAsia" w:ascii="宋体" w:hAnsi="宋体" w:cs="宋体"/>
                <w:color w:val="auto"/>
                <w:sz w:val="21"/>
                <w:szCs w:val="21"/>
                <w:highlight w:val="none"/>
              </w:rPr>
            </w:pPr>
          </w:p>
        </w:tc>
        <w:tc>
          <w:tcPr>
            <w:tcW w:w="870" w:type="dxa"/>
            <w:noWrap w:val="0"/>
            <w:vAlign w:val="center"/>
          </w:tcPr>
          <w:p w14:paraId="2CA36D00">
            <w:pPr>
              <w:pStyle w:val="42"/>
              <w:rPr>
                <w:rFonts w:hint="eastAsia" w:ascii="宋体" w:hAnsi="宋体" w:cs="宋体"/>
                <w:color w:val="auto"/>
                <w:sz w:val="21"/>
                <w:szCs w:val="21"/>
                <w:highlight w:val="none"/>
              </w:rPr>
            </w:pPr>
          </w:p>
        </w:tc>
        <w:tc>
          <w:tcPr>
            <w:tcW w:w="1389" w:type="dxa"/>
            <w:noWrap w:val="0"/>
            <w:vAlign w:val="center"/>
          </w:tcPr>
          <w:p w14:paraId="33597575">
            <w:pPr>
              <w:pStyle w:val="42"/>
              <w:rPr>
                <w:rFonts w:hint="eastAsia" w:ascii="宋体" w:hAnsi="宋体" w:cs="宋体"/>
                <w:color w:val="auto"/>
                <w:sz w:val="21"/>
                <w:szCs w:val="21"/>
                <w:highlight w:val="none"/>
              </w:rPr>
            </w:pPr>
          </w:p>
        </w:tc>
      </w:tr>
      <w:tr w14:paraId="23524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noWrap w:val="0"/>
            <w:vAlign w:val="center"/>
          </w:tcPr>
          <w:p w14:paraId="30AC18D2">
            <w:pPr>
              <w:pStyle w:val="42"/>
              <w:rPr>
                <w:rFonts w:hint="eastAsia" w:ascii="宋体" w:hAnsi="宋体" w:cs="宋体"/>
                <w:color w:val="auto"/>
                <w:sz w:val="21"/>
                <w:szCs w:val="21"/>
                <w:highlight w:val="none"/>
              </w:rPr>
            </w:pPr>
          </w:p>
        </w:tc>
        <w:tc>
          <w:tcPr>
            <w:tcW w:w="1051" w:type="dxa"/>
            <w:noWrap w:val="0"/>
            <w:vAlign w:val="center"/>
          </w:tcPr>
          <w:p w14:paraId="4538C9C6">
            <w:pPr>
              <w:pStyle w:val="42"/>
              <w:rPr>
                <w:rFonts w:hint="eastAsia" w:ascii="宋体" w:hAnsi="宋体" w:cs="宋体"/>
                <w:color w:val="auto"/>
                <w:sz w:val="21"/>
                <w:szCs w:val="21"/>
                <w:highlight w:val="none"/>
              </w:rPr>
            </w:pPr>
          </w:p>
        </w:tc>
        <w:tc>
          <w:tcPr>
            <w:tcW w:w="669" w:type="dxa"/>
            <w:noWrap w:val="0"/>
            <w:vAlign w:val="center"/>
          </w:tcPr>
          <w:p w14:paraId="613E1D88">
            <w:pPr>
              <w:pStyle w:val="42"/>
              <w:rPr>
                <w:rFonts w:hint="eastAsia" w:ascii="宋体" w:hAnsi="宋体" w:cs="宋体"/>
                <w:color w:val="auto"/>
                <w:sz w:val="21"/>
                <w:szCs w:val="21"/>
                <w:highlight w:val="none"/>
              </w:rPr>
            </w:pPr>
          </w:p>
        </w:tc>
        <w:tc>
          <w:tcPr>
            <w:tcW w:w="855" w:type="dxa"/>
            <w:noWrap w:val="0"/>
            <w:vAlign w:val="center"/>
          </w:tcPr>
          <w:p w14:paraId="325A3274">
            <w:pPr>
              <w:pStyle w:val="42"/>
              <w:rPr>
                <w:rFonts w:hint="eastAsia" w:ascii="宋体" w:hAnsi="宋体" w:cs="宋体"/>
                <w:color w:val="auto"/>
                <w:sz w:val="21"/>
                <w:szCs w:val="21"/>
                <w:highlight w:val="none"/>
              </w:rPr>
            </w:pPr>
          </w:p>
        </w:tc>
        <w:tc>
          <w:tcPr>
            <w:tcW w:w="705" w:type="dxa"/>
            <w:noWrap w:val="0"/>
            <w:vAlign w:val="center"/>
          </w:tcPr>
          <w:p w14:paraId="58F4C210">
            <w:pPr>
              <w:pStyle w:val="42"/>
              <w:rPr>
                <w:rFonts w:hint="eastAsia" w:ascii="宋体" w:hAnsi="宋体" w:cs="宋体"/>
                <w:color w:val="auto"/>
                <w:sz w:val="21"/>
                <w:szCs w:val="21"/>
                <w:highlight w:val="none"/>
              </w:rPr>
            </w:pPr>
          </w:p>
        </w:tc>
        <w:tc>
          <w:tcPr>
            <w:tcW w:w="1200" w:type="dxa"/>
            <w:noWrap w:val="0"/>
            <w:vAlign w:val="center"/>
          </w:tcPr>
          <w:p w14:paraId="2709CA3C">
            <w:pPr>
              <w:pStyle w:val="42"/>
              <w:rPr>
                <w:rFonts w:hint="eastAsia" w:ascii="宋体" w:hAnsi="宋体" w:cs="宋体"/>
                <w:color w:val="auto"/>
                <w:sz w:val="21"/>
                <w:szCs w:val="21"/>
                <w:highlight w:val="none"/>
              </w:rPr>
            </w:pPr>
          </w:p>
        </w:tc>
        <w:tc>
          <w:tcPr>
            <w:tcW w:w="784" w:type="dxa"/>
            <w:noWrap w:val="0"/>
            <w:vAlign w:val="center"/>
          </w:tcPr>
          <w:p w14:paraId="04E6D988">
            <w:pPr>
              <w:pStyle w:val="42"/>
              <w:rPr>
                <w:rFonts w:hint="eastAsia" w:ascii="宋体" w:hAnsi="宋体" w:cs="宋体"/>
                <w:color w:val="auto"/>
                <w:sz w:val="21"/>
                <w:szCs w:val="21"/>
                <w:highlight w:val="none"/>
              </w:rPr>
            </w:pPr>
          </w:p>
        </w:tc>
        <w:tc>
          <w:tcPr>
            <w:tcW w:w="870" w:type="dxa"/>
            <w:noWrap w:val="0"/>
            <w:vAlign w:val="center"/>
          </w:tcPr>
          <w:p w14:paraId="6AE9CF0D">
            <w:pPr>
              <w:pStyle w:val="42"/>
              <w:rPr>
                <w:rFonts w:hint="eastAsia" w:ascii="宋体" w:hAnsi="宋体" w:cs="宋体"/>
                <w:color w:val="auto"/>
                <w:sz w:val="21"/>
                <w:szCs w:val="21"/>
                <w:highlight w:val="none"/>
              </w:rPr>
            </w:pPr>
          </w:p>
        </w:tc>
        <w:tc>
          <w:tcPr>
            <w:tcW w:w="1389" w:type="dxa"/>
            <w:noWrap w:val="0"/>
            <w:vAlign w:val="center"/>
          </w:tcPr>
          <w:p w14:paraId="49F55105">
            <w:pPr>
              <w:pStyle w:val="42"/>
              <w:rPr>
                <w:rFonts w:hint="eastAsia" w:ascii="宋体" w:hAnsi="宋体" w:cs="宋体"/>
                <w:color w:val="auto"/>
                <w:sz w:val="21"/>
                <w:szCs w:val="21"/>
                <w:highlight w:val="none"/>
              </w:rPr>
            </w:pPr>
          </w:p>
        </w:tc>
      </w:tr>
    </w:tbl>
    <w:p w14:paraId="3B23E5E0">
      <w:pPr>
        <w:pStyle w:val="42"/>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注：上表列出的人员，若有附</w:t>
      </w:r>
      <w:r>
        <w:rPr>
          <w:rFonts w:hint="eastAsia" w:ascii="宋体" w:hAnsi="宋体" w:cs="宋体"/>
          <w:color w:val="auto"/>
          <w:sz w:val="21"/>
          <w:szCs w:val="21"/>
          <w:highlight w:val="none"/>
          <w:lang w:val="en-US" w:eastAsia="zh-CN"/>
        </w:rPr>
        <w:t>身份证等相关证件</w:t>
      </w:r>
      <w:r>
        <w:rPr>
          <w:rFonts w:hint="eastAsia" w:ascii="宋体" w:hAnsi="宋体" w:cs="宋体"/>
          <w:color w:val="auto"/>
          <w:sz w:val="21"/>
          <w:szCs w:val="21"/>
          <w:highlight w:val="none"/>
        </w:rPr>
        <w:t>复印件。</w:t>
      </w:r>
    </w:p>
    <w:p w14:paraId="4536E4BE">
      <w:pPr>
        <w:pStyle w:val="43"/>
        <w:spacing w:before="120" w:beforeLines="50" w:after="120" w:afterLines="50"/>
        <w:rPr>
          <w:rFonts w:hint="eastAsia" w:hAnsi="宋体" w:cs="宋体"/>
          <w:color w:val="auto"/>
          <w:sz w:val="21"/>
          <w:szCs w:val="21"/>
          <w:highlight w:val="none"/>
        </w:rPr>
      </w:pPr>
    </w:p>
    <w:p w14:paraId="26692263">
      <w:pPr>
        <w:rPr>
          <w:rFonts w:hint="eastAsia" w:ascii="宋体"/>
          <w:b/>
          <w:bCs/>
          <w:kern w:val="0"/>
          <w:sz w:val="28"/>
          <w:szCs w:val="28"/>
          <w:highlight w:val="none"/>
        </w:rPr>
      </w:pPr>
      <w:r>
        <w:rPr>
          <w:rFonts w:hint="eastAsia" w:ascii="宋体"/>
          <w:b/>
          <w:bCs/>
          <w:kern w:val="0"/>
          <w:sz w:val="28"/>
          <w:szCs w:val="28"/>
          <w:highlight w:val="none"/>
        </w:rPr>
        <w:br w:type="page"/>
      </w:r>
    </w:p>
    <w:p w14:paraId="463DACCD">
      <w:pPr>
        <w:pageBreakBefore w:val="0"/>
        <w:kinsoku/>
        <w:wordWrap w:val="0"/>
        <w:overflowPunct/>
        <w:bidi w:val="0"/>
        <w:spacing w:line="360" w:lineRule="auto"/>
        <w:ind w:left="1124" w:hanging="1124" w:hangingChars="400"/>
        <w:jc w:val="center"/>
        <w:rPr>
          <w:rFonts w:hint="eastAsia" w:ascii="宋体" w:hAnsi="Times New Roman" w:eastAsia="宋体" w:cs="Times New Roman"/>
          <w:b/>
          <w:bCs/>
          <w:kern w:val="0"/>
          <w:sz w:val="28"/>
          <w:szCs w:val="28"/>
          <w:highlight w:val="none"/>
          <w:lang w:val="zh-CN"/>
        </w:rPr>
      </w:pPr>
      <w:r>
        <w:rPr>
          <w:rFonts w:hint="eastAsia" w:ascii="宋体" w:hAnsi="Times New Roman" w:eastAsia="宋体" w:cs="Times New Roman"/>
          <w:b/>
          <w:bCs/>
          <w:kern w:val="0"/>
          <w:sz w:val="28"/>
          <w:szCs w:val="28"/>
          <w:highlight w:val="none"/>
          <w:lang w:val="zh-CN"/>
        </w:rPr>
        <w:t>（</w:t>
      </w:r>
      <w:r>
        <w:rPr>
          <w:rFonts w:hint="eastAsia" w:ascii="宋体" w:hAnsi="Times New Roman" w:eastAsia="宋体" w:cs="Times New Roman"/>
          <w:b/>
          <w:bCs/>
          <w:kern w:val="0"/>
          <w:sz w:val="28"/>
          <w:szCs w:val="28"/>
          <w:highlight w:val="none"/>
          <w:lang w:val="en-US" w:eastAsia="zh-CN"/>
        </w:rPr>
        <w:t>三</w:t>
      </w:r>
      <w:r>
        <w:rPr>
          <w:rFonts w:hint="eastAsia" w:ascii="宋体" w:hAnsi="Times New Roman" w:eastAsia="宋体" w:cs="Times New Roman"/>
          <w:b/>
          <w:bCs/>
          <w:kern w:val="0"/>
          <w:sz w:val="28"/>
          <w:szCs w:val="28"/>
          <w:highlight w:val="none"/>
          <w:lang w:val="zh-CN"/>
        </w:rPr>
        <w:t>）近年完成的类似业绩汇总表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0"/>
        <w:gridCol w:w="930"/>
        <w:gridCol w:w="5732"/>
        <w:gridCol w:w="973"/>
      </w:tblGrid>
      <w:tr w14:paraId="3E73D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70" w:type="dxa"/>
            <w:noWrap w:val="0"/>
            <w:vAlign w:val="center"/>
          </w:tcPr>
          <w:p w14:paraId="03F8364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30" w:type="dxa"/>
            <w:tcBorders>
              <w:right w:val="single" w:color="auto" w:sz="4" w:space="0"/>
            </w:tcBorders>
            <w:noWrap w:val="0"/>
            <w:vAlign w:val="center"/>
          </w:tcPr>
          <w:p w14:paraId="3BCF3A3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时  间</w:t>
            </w:r>
          </w:p>
        </w:tc>
        <w:tc>
          <w:tcPr>
            <w:tcW w:w="5732" w:type="dxa"/>
            <w:tcBorders>
              <w:left w:val="single" w:color="auto" w:sz="4" w:space="0"/>
            </w:tcBorders>
            <w:noWrap w:val="0"/>
            <w:vAlign w:val="center"/>
          </w:tcPr>
          <w:p w14:paraId="452CE62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参加过的类似业绩名称</w:t>
            </w:r>
          </w:p>
        </w:tc>
        <w:tc>
          <w:tcPr>
            <w:tcW w:w="973" w:type="dxa"/>
            <w:noWrap w:val="0"/>
            <w:vAlign w:val="center"/>
          </w:tcPr>
          <w:p w14:paraId="1D83861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r>
      <w:tr w14:paraId="68128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54680940">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18E757F4">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497FC487">
            <w:pPr>
              <w:spacing w:line="400" w:lineRule="exact"/>
              <w:rPr>
                <w:rFonts w:hint="eastAsia" w:ascii="宋体" w:hAnsi="宋体" w:cs="宋体"/>
                <w:color w:val="auto"/>
                <w:szCs w:val="21"/>
                <w:highlight w:val="none"/>
              </w:rPr>
            </w:pPr>
          </w:p>
        </w:tc>
        <w:tc>
          <w:tcPr>
            <w:tcW w:w="973" w:type="dxa"/>
            <w:noWrap w:val="0"/>
            <w:vAlign w:val="center"/>
          </w:tcPr>
          <w:p w14:paraId="72982C5F">
            <w:pPr>
              <w:spacing w:line="400" w:lineRule="exact"/>
              <w:rPr>
                <w:rFonts w:hint="eastAsia" w:ascii="宋体" w:hAnsi="宋体" w:cs="宋体"/>
                <w:color w:val="auto"/>
                <w:szCs w:val="21"/>
                <w:highlight w:val="none"/>
              </w:rPr>
            </w:pPr>
          </w:p>
        </w:tc>
      </w:tr>
      <w:tr w14:paraId="7AC8B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61CB2F33">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4055CD9B">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31827CB4">
            <w:pPr>
              <w:spacing w:line="400" w:lineRule="exact"/>
              <w:rPr>
                <w:rFonts w:hint="eastAsia" w:ascii="宋体" w:hAnsi="宋体" w:cs="宋体"/>
                <w:color w:val="auto"/>
                <w:szCs w:val="21"/>
                <w:highlight w:val="none"/>
              </w:rPr>
            </w:pPr>
          </w:p>
        </w:tc>
        <w:tc>
          <w:tcPr>
            <w:tcW w:w="973" w:type="dxa"/>
            <w:noWrap w:val="0"/>
            <w:vAlign w:val="center"/>
          </w:tcPr>
          <w:p w14:paraId="642AF913">
            <w:pPr>
              <w:spacing w:line="400" w:lineRule="exact"/>
              <w:rPr>
                <w:rFonts w:hint="eastAsia" w:ascii="宋体" w:hAnsi="宋体" w:cs="宋体"/>
                <w:color w:val="auto"/>
                <w:szCs w:val="21"/>
                <w:highlight w:val="none"/>
              </w:rPr>
            </w:pPr>
          </w:p>
        </w:tc>
      </w:tr>
      <w:tr w14:paraId="00C9A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41C9E36B">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09EBC5B4">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631670E3">
            <w:pPr>
              <w:spacing w:line="400" w:lineRule="exact"/>
              <w:rPr>
                <w:rFonts w:hint="eastAsia" w:ascii="宋体" w:hAnsi="宋体" w:cs="宋体"/>
                <w:color w:val="auto"/>
                <w:szCs w:val="21"/>
                <w:highlight w:val="none"/>
              </w:rPr>
            </w:pPr>
          </w:p>
        </w:tc>
        <w:tc>
          <w:tcPr>
            <w:tcW w:w="973" w:type="dxa"/>
            <w:noWrap w:val="0"/>
            <w:vAlign w:val="center"/>
          </w:tcPr>
          <w:p w14:paraId="0D55CA55">
            <w:pPr>
              <w:spacing w:line="400" w:lineRule="exact"/>
              <w:rPr>
                <w:rFonts w:hint="eastAsia" w:ascii="宋体" w:hAnsi="宋体" w:cs="宋体"/>
                <w:color w:val="auto"/>
                <w:szCs w:val="21"/>
                <w:highlight w:val="none"/>
              </w:rPr>
            </w:pPr>
          </w:p>
        </w:tc>
      </w:tr>
      <w:tr w14:paraId="0E125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50E35468">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69280091">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40CD5135">
            <w:pPr>
              <w:spacing w:line="400" w:lineRule="exact"/>
              <w:rPr>
                <w:rFonts w:hint="eastAsia" w:ascii="宋体" w:hAnsi="宋体" w:cs="宋体"/>
                <w:color w:val="auto"/>
                <w:szCs w:val="21"/>
                <w:highlight w:val="none"/>
              </w:rPr>
            </w:pPr>
          </w:p>
        </w:tc>
        <w:tc>
          <w:tcPr>
            <w:tcW w:w="973" w:type="dxa"/>
            <w:noWrap w:val="0"/>
            <w:vAlign w:val="center"/>
          </w:tcPr>
          <w:p w14:paraId="2A292A8D">
            <w:pPr>
              <w:spacing w:line="400" w:lineRule="exact"/>
              <w:rPr>
                <w:rFonts w:hint="eastAsia" w:ascii="宋体" w:hAnsi="宋体" w:cs="宋体"/>
                <w:color w:val="auto"/>
                <w:szCs w:val="21"/>
                <w:highlight w:val="none"/>
              </w:rPr>
            </w:pPr>
          </w:p>
        </w:tc>
      </w:tr>
      <w:tr w14:paraId="330D5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7E538272">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64DEE066">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2FC7E758">
            <w:pPr>
              <w:spacing w:line="400" w:lineRule="exact"/>
              <w:rPr>
                <w:rFonts w:hint="eastAsia" w:ascii="宋体" w:hAnsi="宋体" w:cs="宋体"/>
                <w:color w:val="auto"/>
                <w:szCs w:val="21"/>
                <w:highlight w:val="none"/>
              </w:rPr>
            </w:pPr>
          </w:p>
        </w:tc>
        <w:tc>
          <w:tcPr>
            <w:tcW w:w="973" w:type="dxa"/>
            <w:noWrap w:val="0"/>
            <w:vAlign w:val="center"/>
          </w:tcPr>
          <w:p w14:paraId="41768B02">
            <w:pPr>
              <w:spacing w:line="400" w:lineRule="exact"/>
              <w:rPr>
                <w:rFonts w:hint="eastAsia" w:ascii="宋体" w:hAnsi="宋体" w:cs="宋体"/>
                <w:color w:val="auto"/>
                <w:szCs w:val="21"/>
                <w:highlight w:val="none"/>
              </w:rPr>
            </w:pPr>
          </w:p>
        </w:tc>
      </w:tr>
      <w:tr w14:paraId="27294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4AF085F5">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1241F38F">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464B335D">
            <w:pPr>
              <w:spacing w:line="400" w:lineRule="exact"/>
              <w:rPr>
                <w:rFonts w:hint="eastAsia" w:ascii="宋体" w:hAnsi="宋体" w:cs="宋体"/>
                <w:color w:val="auto"/>
                <w:szCs w:val="21"/>
                <w:highlight w:val="none"/>
              </w:rPr>
            </w:pPr>
          </w:p>
        </w:tc>
        <w:tc>
          <w:tcPr>
            <w:tcW w:w="973" w:type="dxa"/>
            <w:noWrap w:val="0"/>
            <w:vAlign w:val="center"/>
          </w:tcPr>
          <w:p w14:paraId="45FDC38E">
            <w:pPr>
              <w:spacing w:line="400" w:lineRule="exact"/>
              <w:rPr>
                <w:rFonts w:hint="eastAsia" w:ascii="宋体" w:hAnsi="宋体" w:cs="宋体"/>
                <w:color w:val="auto"/>
                <w:szCs w:val="21"/>
                <w:highlight w:val="none"/>
              </w:rPr>
            </w:pPr>
          </w:p>
        </w:tc>
      </w:tr>
      <w:tr w14:paraId="4CCF8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1B2B2ED2">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7C3D2D3F">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17069C86">
            <w:pPr>
              <w:spacing w:line="400" w:lineRule="exact"/>
              <w:rPr>
                <w:rFonts w:hint="eastAsia" w:ascii="宋体" w:hAnsi="宋体" w:cs="宋体"/>
                <w:color w:val="auto"/>
                <w:szCs w:val="21"/>
                <w:highlight w:val="none"/>
              </w:rPr>
            </w:pPr>
          </w:p>
        </w:tc>
        <w:tc>
          <w:tcPr>
            <w:tcW w:w="973" w:type="dxa"/>
            <w:noWrap w:val="0"/>
            <w:vAlign w:val="center"/>
          </w:tcPr>
          <w:p w14:paraId="1102E32B">
            <w:pPr>
              <w:spacing w:line="400" w:lineRule="exact"/>
              <w:rPr>
                <w:rFonts w:hint="eastAsia" w:ascii="宋体" w:hAnsi="宋体" w:cs="宋体"/>
                <w:color w:val="auto"/>
                <w:szCs w:val="21"/>
                <w:highlight w:val="none"/>
              </w:rPr>
            </w:pPr>
          </w:p>
        </w:tc>
      </w:tr>
      <w:tr w14:paraId="799F1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261860D8">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68C291A0">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6D7EDD9B">
            <w:pPr>
              <w:spacing w:line="400" w:lineRule="exact"/>
              <w:rPr>
                <w:rFonts w:hint="eastAsia" w:ascii="宋体" w:hAnsi="宋体" w:cs="宋体"/>
                <w:color w:val="auto"/>
                <w:szCs w:val="21"/>
                <w:highlight w:val="none"/>
              </w:rPr>
            </w:pPr>
          </w:p>
        </w:tc>
        <w:tc>
          <w:tcPr>
            <w:tcW w:w="973" w:type="dxa"/>
            <w:noWrap w:val="0"/>
            <w:vAlign w:val="center"/>
          </w:tcPr>
          <w:p w14:paraId="544296BA">
            <w:pPr>
              <w:spacing w:line="400" w:lineRule="exact"/>
              <w:rPr>
                <w:rFonts w:hint="eastAsia" w:ascii="宋体" w:hAnsi="宋体" w:cs="宋体"/>
                <w:color w:val="auto"/>
                <w:szCs w:val="21"/>
                <w:highlight w:val="none"/>
              </w:rPr>
            </w:pPr>
          </w:p>
        </w:tc>
      </w:tr>
      <w:tr w14:paraId="445F4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226DB39C">
            <w:pPr>
              <w:spacing w:line="400" w:lineRule="exact"/>
              <w:rPr>
                <w:rFonts w:hint="eastAsia" w:ascii="宋体" w:hAnsi="宋体" w:cs="宋体"/>
                <w:color w:val="auto"/>
                <w:szCs w:val="21"/>
                <w:highlight w:val="none"/>
              </w:rPr>
            </w:pPr>
          </w:p>
        </w:tc>
        <w:tc>
          <w:tcPr>
            <w:tcW w:w="930" w:type="dxa"/>
            <w:tcBorders>
              <w:right w:val="single" w:color="auto" w:sz="4" w:space="0"/>
            </w:tcBorders>
            <w:noWrap w:val="0"/>
            <w:vAlign w:val="center"/>
          </w:tcPr>
          <w:p w14:paraId="5CDA70B4">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5A6B7FC2">
            <w:pPr>
              <w:spacing w:line="400" w:lineRule="exact"/>
              <w:rPr>
                <w:rFonts w:hint="eastAsia" w:ascii="宋体" w:hAnsi="宋体" w:cs="宋体"/>
                <w:color w:val="auto"/>
                <w:szCs w:val="21"/>
                <w:highlight w:val="none"/>
              </w:rPr>
            </w:pPr>
          </w:p>
        </w:tc>
        <w:tc>
          <w:tcPr>
            <w:tcW w:w="973" w:type="dxa"/>
            <w:noWrap w:val="0"/>
            <w:vAlign w:val="center"/>
          </w:tcPr>
          <w:p w14:paraId="338CEFD5">
            <w:pPr>
              <w:spacing w:line="400" w:lineRule="exact"/>
              <w:rPr>
                <w:rFonts w:hint="eastAsia" w:ascii="宋体" w:hAnsi="宋体" w:cs="宋体"/>
                <w:color w:val="auto"/>
                <w:szCs w:val="21"/>
                <w:highlight w:val="none"/>
              </w:rPr>
            </w:pPr>
          </w:p>
        </w:tc>
      </w:tr>
      <w:tr w14:paraId="6712B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noWrap w:val="0"/>
            <w:vAlign w:val="center"/>
          </w:tcPr>
          <w:p w14:paraId="12C22D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930" w:type="dxa"/>
            <w:tcBorders>
              <w:right w:val="single" w:color="auto" w:sz="4" w:space="0"/>
            </w:tcBorders>
            <w:noWrap w:val="0"/>
            <w:vAlign w:val="center"/>
          </w:tcPr>
          <w:p w14:paraId="59081233">
            <w:pPr>
              <w:spacing w:line="400" w:lineRule="exact"/>
              <w:rPr>
                <w:rFonts w:hint="eastAsia" w:ascii="宋体" w:hAnsi="宋体" w:cs="宋体"/>
                <w:color w:val="auto"/>
                <w:szCs w:val="21"/>
                <w:highlight w:val="none"/>
              </w:rPr>
            </w:pPr>
          </w:p>
        </w:tc>
        <w:tc>
          <w:tcPr>
            <w:tcW w:w="5732" w:type="dxa"/>
            <w:tcBorders>
              <w:left w:val="single" w:color="auto" w:sz="4" w:space="0"/>
            </w:tcBorders>
            <w:noWrap w:val="0"/>
            <w:vAlign w:val="center"/>
          </w:tcPr>
          <w:p w14:paraId="065D0F13">
            <w:pPr>
              <w:spacing w:line="400" w:lineRule="exact"/>
              <w:rPr>
                <w:rFonts w:hint="eastAsia" w:ascii="宋体" w:hAnsi="宋体" w:cs="宋体"/>
                <w:color w:val="auto"/>
                <w:szCs w:val="21"/>
                <w:highlight w:val="none"/>
              </w:rPr>
            </w:pPr>
          </w:p>
        </w:tc>
        <w:tc>
          <w:tcPr>
            <w:tcW w:w="973" w:type="dxa"/>
            <w:noWrap w:val="0"/>
            <w:vAlign w:val="center"/>
          </w:tcPr>
          <w:p w14:paraId="33553478">
            <w:pPr>
              <w:spacing w:line="400" w:lineRule="exact"/>
              <w:rPr>
                <w:rFonts w:hint="eastAsia" w:ascii="宋体" w:hAnsi="宋体" w:cs="宋体"/>
                <w:color w:val="auto"/>
                <w:szCs w:val="21"/>
                <w:highlight w:val="none"/>
              </w:rPr>
            </w:pPr>
          </w:p>
        </w:tc>
      </w:tr>
    </w:tbl>
    <w:p w14:paraId="3D515DCF">
      <w:pPr>
        <w:pStyle w:val="43"/>
        <w:spacing w:before="156" w:beforeLines="50" w:after="156" w:afterLines="50"/>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后附招标文件规定的相关证明材料</w:t>
      </w:r>
      <w:r>
        <w:rPr>
          <w:rFonts w:hint="eastAsia" w:hAnsi="宋体" w:cs="宋体"/>
          <w:color w:val="auto"/>
          <w:sz w:val="21"/>
          <w:szCs w:val="18"/>
          <w:highlight w:val="none"/>
        </w:rPr>
        <w:t>复印件须加盖企业公章后装订在投标文件中。</w:t>
      </w:r>
    </w:p>
    <w:p w14:paraId="17B62137">
      <w:pPr>
        <w:rPr>
          <w:rFonts w:hint="eastAsia" w:ascii="宋体"/>
          <w:b/>
          <w:bCs/>
          <w:kern w:val="0"/>
          <w:sz w:val="28"/>
          <w:szCs w:val="28"/>
          <w:highlight w:val="none"/>
        </w:rPr>
      </w:pPr>
      <w:r>
        <w:rPr>
          <w:rFonts w:hint="eastAsia" w:ascii="宋体"/>
          <w:b/>
          <w:bCs/>
          <w:kern w:val="0"/>
          <w:sz w:val="28"/>
          <w:szCs w:val="28"/>
          <w:highlight w:val="none"/>
        </w:rPr>
        <w:br w:type="page"/>
      </w:r>
    </w:p>
    <w:p w14:paraId="5D8F8BB6">
      <w:pPr>
        <w:pageBreakBefore w:val="0"/>
        <w:kinsoku/>
        <w:wordWrap w:val="0"/>
        <w:overflowPunct/>
        <w:bidi w:val="0"/>
        <w:spacing w:line="360" w:lineRule="auto"/>
        <w:ind w:left="1124" w:hanging="1124" w:hangingChars="400"/>
        <w:jc w:val="center"/>
        <w:rPr>
          <w:rFonts w:hint="eastAsia" w:ascii="宋体" w:hAnsi="Times New Roman" w:eastAsia="宋体" w:cs="Times New Roman"/>
          <w:b/>
          <w:bCs/>
          <w:kern w:val="0"/>
          <w:sz w:val="28"/>
          <w:szCs w:val="28"/>
          <w:highlight w:val="none"/>
          <w:lang w:val="zh-CN"/>
        </w:rPr>
      </w:pPr>
      <w:r>
        <w:rPr>
          <w:rFonts w:hint="eastAsia" w:ascii="宋体" w:hAnsi="Times New Roman" w:eastAsia="宋体" w:cs="Times New Roman"/>
          <w:b/>
          <w:bCs/>
          <w:kern w:val="0"/>
          <w:sz w:val="28"/>
          <w:szCs w:val="28"/>
          <w:highlight w:val="none"/>
          <w:lang w:val="zh-CN"/>
        </w:rPr>
        <w:t>（</w:t>
      </w:r>
      <w:r>
        <w:rPr>
          <w:rFonts w:hint="eastAsia" w:ascii="宋体" w:hAnsi="Times New Roman" w:eastAsia="宋体" w:cs="Times New Roman"/>
          <w:b/>
          <w:bCs/>
          <w:kern w:val="0"/>
          <w:sz w:val="28"/>
          <w:szCs w:val="28"/>
          <w:highlight w:val="none"/>
          <w:lang w:val="en-US" w:eastAsia="zh-CN"/>
        </w:rPr>
        <w:t>四</w:t>
      </w:r>
      <w:r>
        <w:rPr>
          <w:rFonts w:hint="eastAsia" w:ascii="宋体" w:hAnsi="Times New Roman" w:eastAsia="宋体" w:cs="Times New Roman"/>
          <w:b/>
          <w:bCs/>
          <w:kern w:val="0"/>
          <w:sz w:val="28"/>
          <w:szCs w:val="28"/>
          <w:highlight w:val="none"/>
          <w:lang w:val="zh-CN"/>
        </w:rPr>
        <w:t>）三年内在经营活动中没有重大违法记录承诺函</w:t>
      </w:r>
    </w:p>
    <w:p w14:paraId="48B0DEA9">
      <w:pPr>
        <w:kinsoku w:val="0"/>
        <w:autoSpaceDE w:val="0"/>
        <w:autoSpaceDN w:val="0"/>
        <w:adjustRightInd w:val="0"/>
        <w:snapToGrid w:val="0"/>
        <w:spacing w:line="360" w:lineRule="auto"/>
        <w:jc w:val="center"/>
        <w:textAlignment w:val="baseline"/>
        <w:rPr>
          <w:rFonts w:hint="eastAsia" w:ascii="宋体" w:hAnsi="宋体" w:eastAsia="宋体" w:cs="宋体"/>
          <w:b/>
          <w:bCs/>
          <w:color w:val="auto"/>
          <w:sz w:val="24"/>
          <w:szCs w:val="24"/>
          <w:highlight w:val="none"/>
        </w:rPr>
      </w:pPr>
    </w:p>
    <w:p w14:paraId="35B0FE89">
      <w:pPr>
        <w:kinsoku w:val="0"/>
        <w:autoSpaceDE w:val="0"/>
        <w:autoSpaceDN w:val="0"/>
        <w:adjustRightInd w:val="0"/>
        <w:snapToGrid w:val="0"/>
        <w:spacing w:line="360" w:lineRule="auto"/>
        <w:textAlignment w:val="baseline"/>
        <w:rPr>
          <w:rFonts w:hint="eastAsia" w:ascii="宋体" w:hAnsi="宋体" w:eastAsia="宋体" w:cs="宋体"/>
          <w:color w:val="auto"/>
          <w:sz w:val="24"/>
          <w:szCs w:val="24"/>
          <w:highlight w:val="none"/>
        </w:rPr>
      </w:pPr>
    </w:p>
    <w:p w14:paraId="68FE9D82">
      <w:pPr>
        <w:kinsoku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pacing w:val="2"/>
          <w:sz w:val="21"/>
          <w:szCs w:val="21"/>
          <w:highlight w:val="none"/>
        </w:rPr>
        <w:t>采购人、采购代理机构)</w:t>
      </w:r>
    </w:p>
    <w:p w14:paraId="2C919500">
      <w:pP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我单位参与</w:t>
      </w:r>
      <w:r>
        <w:rPr>
          <w:rFonts w:hint="eastAsia" w:ascii="宋体" w:hAnsi="宋体" w:eastAsia="宋体" w:cs="宋体"/>
          <w:color w:val="auto"/>
          <w:spacing w:val="0"/>
          <w:sz w:val="21"/>
          <w:szCs w:val="21"/>
          <w:highlight w:val="none"/>
          <w:u w:val="single"/>
          <w:lang w:eastAsia="zh-CN"/>
        </w:rPr>
        <w:t>（</w:t>
      </w:r>
      <w:r>
        <w:rPr>
          <w:rFonts w:hint="eastAsia" w:ascii="宋体" w:hAnsi="宋体" w:eastAsia="宋体" w:cs="宋体"/>
          <w:color w:val="auto"/>
          <w:spacing w:val="0"/>
          <w:sz w:val="21"/>
          <w:szCs w:val="21"/>
          <w:highlight w:val="none"/>
          <w:u w:val="single"/>
        </w:rPr>
        <w:t>项目名称)</w:t>
      </w:r>
      <w:r>
        <w:rPr>
          <w:rFonts w:hint="eastAsia" w:ascii="宋体" w:hAnsi="宋体" w:eastAsia="宋体" w:cs="宋体"/>
          <w:color w:val="auto"/>
          <w:spacing w:val="0"/>
          <w:sz w:val="21"/>
          <w:szCs w:val="21"/>
          <w:highlight w:val="none"/>
          <w:u w:val="single"/>
          <w:lang w:eastAsia="zh-CN"/>
        </w:rPr>
        <w:t>（</w:t>
      </w:r>
      <w:r>
        <w:rPr>
          <w:rFonts w:hint="eastAsia" w:ascii="宋体" w:hAnsi="宋体" w:eastAsia="宋体" w:cs="宋体"/>
          <w:color w:val="auto"/>
          <w:spacing w:val="0"/>
          <w:sz w:val="21"/>
          <w:szCs w:val="21"/>
          <w:highlight w:val="none"/>
          <w:u w:val="single"/>
        </w:rPr>
        <w:t>项目编号：</w:t>
      </w:r>
      <w:r>
        <w:rPr>
          <w:rFonts w:hint="eastAsia" w:ascii="宋体" w:hAnsi="宋体" w:eastAsia="宋体" w:cs="宋体"/>
          <w:color w:val="auto"/>
          <w:spacing w:val="0"/>
          <w:sz w:val="21"/>
          <w:szCs w:val="21"/>
          <w:highlight w:val="none"/>
        </w:rPr>
        <w:t>)项目的</w:t>
      </w:r>
      <w:r>
        <w:rPr>
          <w:rFonts w:hint="eastAsia" w:ascii="宋体" w:hAnsi="宋体" w:eastAsia="宋体" w:cs="宋体"/>
          <w:color w:val="auto"/>
          <w:spacing w:val="3"/>
          <w:sz w:val="21"/>
          <w:szCs w:val="21"/>
          <w:highlight w:val="none"/>
        </w:rPr>
        <w:t>政府采购活动，现</w:t>
      </w:r>
      <w:r>
        <w:rPr>
          <w:rFonts w:hint="eastAsia" w:ascii="宋体" w:hAnsi="宋体" w:eastAsia="宋体" w:cs="宋体"/>
          <w:color w:val="auto"/>
          <w:spacing w:val="-2"/>
          <w:sz w:val="21"/>
          <w:szCs w:val="21"/>
          <w:highlight w:val="none"/>
        </w:rPr>
        <w:t>承诺如下：</w:t>
      </w:r>
    </w:p>
    <w:p w14:paraId="4BA42543">
      <w:pPr>
        <w:kinsoku w:val="0"/>
        <w:autoSpaceDE w:val="0"/>
        <w:autoSpaceDN w:val="0"/>
        <w:adjustRightInd w:val="0"/>
        <w:snapToGrid w:val="0"/>
        <w:spacing w:line="360" w:lineRule="auto"/>
        <w:ind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我单位符合《中华人民共和国政府采购法》</w:t>
      </w:r>
      <w:r>
        <w:rPr>
          <w:rFonts w:hint="eastAsia" w:ascii="宋体" w:hAnsi="宋体" w:eastAsia="宋体" w:cs="宋体"/>
          <w:color w:val="auto"/>
          <w:spacing w:val="-3"/>
          <w:sz w:val="21"/>
          <w:szCs w:val="21"/>
          <w:highlight w:val="none"/>
        </w:rPr>
        <w:t>《中华人民共和国政府采购法实施</w:t>
      </w:r>
      <w:r>
        <w:rPr>
          <w:rFonts w:hint="eastAsia" w:ascii="宋体" w:hAnsi="宋体" w:eastAsia="宋体" w:cs="宋体"/>
          <w:color w:val="auto"/>
          <w:spacing w:val="-2"/>
          <w:sz w:val="21"/>
          <w:szCs w:val="21"/>
          <w:highlight w:val="none"/>
        </w:rPr>
        <w:t>条例》及</w:t>
      </w:r>
      <w:r>
        <w:rPr>
          <w:rFonts w:hint="eastAsia" w:ascii="宋体" w:hAnsi="宋体" w:cs="宋体"/>
          <w:color w:val="auto"/>
          <w:spacing w:val="-2"/>
          <w:sz w:val="21"/>
          <w:szCs w:val="21"/>
          <w:highlight w:val="none"/>
          <w:lang w:val="en-US" w:eastAsia="zh-CN"/>
        </w:rPr>
        <w:t>招标</w:t>
      </w:r>
      <w:r>
        <w:rPr>
          <w:rFonts w:hint="eastAsia" w:ascii="宋体" w:hAnsi="宋体" w:eastAsia="宋体" w:cs="宋体"/>
          <w:color w:val="auto"/>
          <w:spacing w:val="-2"/>
          <w:sz w:val="21"/>
          <w:szCs w:val="21"/>
          <w:highlight w:val="none"/>
        </w:rPr>
        <w:t>文件资格要求规定的参加采购活动前三年内在经营活动中没有重大违法记录。</w:t>
      </w:r>
    </w:p>
    <w:p w14:paraId="67B18659">
      <w:pPr>
        <w:kinsoku w:val="0"/>
        <w:autoSpaceDE w:val="0"/>
        <w:autoSpaceDN w:val="0"/>
        <w:adjustRightInd w:val="0"/>
        <w:snapToGrid w:val="0"/>
        <w:spacing w:line="360" w:lineRule="auto"/>
        <w:ind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6"/>
          <w:sz w:val="21"/>
          <w:szCs w:val="21"/>
          <w:highlight w:val="none"/>
        </w:rPr>
        <w:t>若我单位以上承诺不实，自愿承担提供虚假材料谋取中标、成交的法律责任。</w:t>
      </w:r>
    </w:p>
    <w:p w14:paraId="05931CB4">
      <w:pPr>
        <w:kinsoku w:val="0"/>
        <w:autoSpaceDE w:val="0"/>
        <w:autoSpaceDN w:val="0"/>
        <w:adjustRightInd w:val="0"/>
        <w:snapToGrid w:val="0"/>
        <w:spacing w:line="360" w:lineRule="auto"/>
        <w:ind w:firstLine="416" w:firstLineChars="200"/>
        <w:textAlignment w:val="baseline"/>
        <w:rPr>
          <w:rFonts w:hint="eastAsia" w:ascii="宋体" w:hAnsi="宋体" w:eastAsia="宋体" w:cs="宋体"/>
          <w:color w:val="auto"/>
          <w:spacing w:val="-1"/>
          <w:sz w:val="21"/>
          <w:szCs w:val="21"/>
          <w:highlight w:val="none"/>
        </w:rPr>
      </w:pPr>
    </w:p>
    <w:p w14:paraId="4E8E93C5">
      <w:pPr>
        <w:kinsoku w:val="0"/>
        <w:autoSpaceDE w:val="0"/>
        <w:autoSpaceDN w:val="0"/>
        <w:adjustRightInd w:val="0"/>
        <w:snapToGrid w:val="0"/>
        <w:spacing w:line="360" w:lineRule="auto"/>
        <w:ind w:firstLine="416" w:firstLineChars="200"/>
        <w:textAlignment w:val="baseline"/>
        <w:rPr>
          <w:rFonts w:hint="eastAsia" w:ascii="宋体" w:hAnsi="宋体" w:eastAsia="宋体" w:cs="宋体"/>
          <w:color w:val="auto"/>
          <w:spacing w:val="-1"/>
          <w:sz w:val="21"/>
          <w:szCs w:val="21"/>
          <w:highlight w:val="none"/>
        </w:rPr>
      </w:pPr>
    </w:p>
    <w:p w14:paraId="249AA703">
      <w:pPr>
        <w:kinsoku w:val="0"/>
        <w:autoSpaceDE w:val="0"/>
        <w:autoSpaceDN w:val="0"/>
        <w:adjustRightInd w:val="0"/>
        <w:snapToGrid w:val="0"/>
        <w:spacing w:line="360" w:lineRule="auto"/>
        <w:ind w:firstLine="416" w:firstLineChars="200"/>
        <w:textAlignment w:val="baseline"/>
        <w:rPr>
          <w:rFonts w:hint="eastAsia" w:ascii="宋体" w:hAnsi="宋体" w:eastAsia="宋体" w:cs="宋体"/>
          <w:color w:val="auto"/>
          <w:spacing w:val="-1"/>
          <w:sz w:val="21"/>
          <w:szCs w:val="21"/>
          <w:highlight w:val="none"/>
        </w:rPr>
      </w:pPr>
    </w:p>
    <w:p w14:paraId="39D49CBD">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加盖公章)</w:t>
      </w:r>
    </w:p>
    <w:p w14:paraId="3E81FF29">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3A478A46">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签字或签章)：</w:t>
      </w:r>
    </w:p>
    <w:p w14:paraId="3A6E772A">
      <w:pPr>
        <w:kinsoku w:val="0"/>
        <w:wordWrap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p>
    <w:p w14:paraId="3218BD7C">
      <w:pPr>
        <w:kinsoku w:val="0"/>
        <w:autoSpaceDE w:val="0"/>
        <w:autoSpaceDN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23141C03">
      <w:pPr>
        <w:rPr>
          <w:rFonts w:hint="eastAsia" w:ascii="宋体"/>
          <w:b/>
          <w:bCs/>
          <w:kern w:val="0"/>
          <w:sz w:val="28"/>
          <w:szCs w:val="28"/>
          <w:highlight w:val="none"/>
        </w:rPr>
      </w:pPr>
      <w:r>
        <w:rPr>
          <w:rFonts w:hint="eastAsia" w:ascii="宋体"/>
          <w:b/>
          <w:bCs/>
          <w:kern w:val="0"/>
          <w:sz w:val="28"/>
          <w:szCs w:val="28"/>
          <w:highlight w:val="none"/>
        </w:rPr>
        <w:br w:type="page"/>
      </w:r>
    </w:p>
    <w:p w14:paraId="079B2A3F">
      <w:pPr>
        <w:pageBreakBefore w:val="0"/>
        <w:kinsoku/>
        <w:wordWrap w:val="0"/>
        <w:overflowPunct/>
        <w:bidi w:val="0"/>
        <w:spacing w:line="360" w:lineRule="auto"/>
        <w:ind w:left="1124" w:hanging="1124" w:hangingChars="400"/>
        <w:jc w:val="center"/>
        <w:rPr>
          <w:rFonts w:hint="eastAsia" w:ascii="宋体" w:hAnsi="Times New Roman" w:eastAsia="宋体" w:cs="Times New Roman"/>
          <w:b/>
          <w:bCs/>
          <w:kern w:val="0"/>
          <w:sz w:val="28"/>
          <w:szCs w:val="28"/>
          <w:highlight w:val="none"/>
          <w:lang w:val="zh-CN"/>
        </w:rPr>
      </w:pPr>
      <w:r>
        <w:rPr>
          <w:rFonts w:hint="eastAsia" w:ascii="宋体" w:hAnsi="Times New Roman" w:eastAsia="宋体" w:cs="Times New Roman"/>
          <w:b/>
          <w:bCs/>
          <w:kern w:val="0"/>
          <w:sz w:val="28"/>
          <w:szCs w:val="28"/>
          <w:highlight w:val="none"/>
          <w:lang w:val="zh-CN"/>
        </w:rPr>
        <w:t>(</w:t>
      </w:r>
      <w:r>
        <w:rPr>
          <w:rFonts w:hint="eastAsia" w:ascii="宋体" w:hAnsi="Times New Roman" w:eastAsia="宋体" w:cs="Times New Roman"/>
          <w:b/>
          <w:bCs/>
          <w:kern w:val="0"/>
          <w:sz w:val="28"/>
          <w:szCs w:val="28"/>
          <w:highlight w:val="none"/>
          <w:lang w:val="en-US" w:eastAsia="zh-CN"/>
        </w:rPr>
        <w:t>五</w:t>
      </w:r>
      <w:r>
        <w:rPr>
          <w:rFonts w:hint="eastAsia" w:ascii="宋体" w:hAnsi="Times New Roman" w:eastAsia="宋体" w:cs="Times New Roman"/>
          <w:b/>
          <w:bCs/>
          <w:kern w:val="0"/>
          <w:sz w:val="28"/>
          <w:szCs w:val="28"/>
          <w:highlight w:val="none"/>
          <w:lang w:val="zh-CN"/>
        </w:rPr>
        <w:t>)</w:t>
      </w:r>
      <w:r>
        <w:rPr>
          <w:rFonts w:hint="eastAsia" w:ascii="宋体" w:hAnsi="Times New Roman" w:eastAsia="宋体" w:cs="Times New Roman"/>
          <w:b/>
          <w:bCs/>
          <w:kern w:val="0"/>
          <w:sz w:val="28"/>
          <w:szCs w:val="28"/>
          <w:highlight w:val="none"/>
          <w:lang w:val="en-US" w:eastAsia="zh-CN"/>
        </w:rPr>
        <w:t>供应商认为应该提供的其他资格审查</w:t>
      </w:r>
      <w:r>
        <w:rPr>
          <w:rFonts w:hint="eastAsia" w:ascii="宋体" w:hAnsi="Times New Roman" w:eastAsia="宋体" w:cs="Times New Roman"/>
          <w:b/>
          <w:bCs/>
          <w:kern w:val="0"/>
          <w:sz w:val="28"/>
          <w:szCs w:val="28"/>
          <w:highlight w:val="none"/>
          <w:lang w:val="zh-CN"/>
        </w:rPr>
        <w:t>资料</w:t>
      </w:r>
    </w:p>
    <w:p w14:paraId="2BC9AD06">
      <w:pPr>
        <w:pageBreakBefore w:val="0"/>
        <w:kinsoku/>
        <w:wordWrap w:val="0"/>
        <w:overflowPunct/>
        <w:bidi w:val="0"/>
        <w:ind w:left="960" w:hanging="960" w:hangingChars="400"/>
        <w:jc w:val="center"/>
        <w:rPr>
          <w:rFonts w:hint="eastAsia" w:ascii="宋体"/>
          <w:sz w:val="24"/>
          <w:highlight w:val="none"/>
        </w:rPr>
      </w:pPr>
    </w:p>
    <w:p w14:paraId="17DB4488">
      <w:pPr>
        <w:pageBreakBefore w:val="0"/>
        <w:kinsoku/>
        <w:wordWrap w:val="0"/>
        <w:overflowPunct/>
        <w:bidi w:val="0"/>
        <w:ind w:left="1120" w:hanging="1120" w:hangingChars="400"/>
        <w:jc w:val="center"/>
        <w:rPr>
          <w:rFonts w:hint="eastAsia" w:ascii="宋体"/>
          <w:kern w:val="0"/>
          <w:sz w:val="28"/>
          <w:szCs w:val="28"/>
          <w:highlight w:val="none"/>
        </w:rPr>
      </w:pPr>
    </w:p>
    <w:p w14:paraId="3222A745">
      <w:pPr>
        <w:jc w:val="center"/>
        <w:rPr>
          <w:rFonts w:ascii="宋体" w:hAnsi="宋体" w:eastAsia="宋体"/>
          <w:b/>
          <w:bCs/>
          <w:color w:val="auto"/>
          <w:sz w:val="32"/>
          <w:szCs w:val="32"/>
          <w:highlight w:val="none"/>
          <w:lang w:val="zh-CN"/>
        </w:rPr>
      </w:pPr>
      <w:r>
        <w:rPr>
          <w:rFonts w:hint="eastAsia" w:ascii="宋体"/>
          <w:kern w:val="0"/>
          <w:sz w:val="28"/>
          <w:szCs w:val="28"/>
          <w:highlight w:val="none"/>
        </w:rPr>
        <w:br w:type="page"/>
      </w:r>
      <w:bookmarkStart w:id="452" w:name="_Toc22606"/>
      <w:bookmarkStart w:id="453" w:name="_Toc25750"/>
      <w:r>
        <w:rPr>
          <w:rFonts w:hint="eastAsia" w:ascii="宋体" w:hAnsi="宋体" w:eastAsia="宋体"/>
          <w:b/>
          <w:bCs/>
          <w:color w:val="auto"/>
          <w:sz w:val="32"/>
          <w:szCs w:val="32"/>
          <w:highlight w:val="none"/>
          <w:lang w:val="en-US" w:eastAsia="zh-CN"/>
        </w:rPr>
        <w:t>八</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条款</w:t>
      </w:r>
      <w:r>
        <w:rPr>
          <w:rFonts w:hint="eastAsia" w:ascii="宋体" w:hAnsi="宋体" w:eastAsia="宋体"/>
          <w:b/>
          <w:bCs/>
          <w:color w:val="auto"/>
          <w:sz w:val="32"/>
          <w:szCs w:val="32"/>
          <w:highlight w:val="none"/>
          <w:lang w:val="zh-CN"/>
        </w:rPr>
        <w:t>偏离表</w:t>
      </w:r>
    </w:p>
    <w:tbl>
      <w:tblPr>
        <w:tblStyle w:val="20"/>
        <w:tblW w:w="45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491"/>
        <w:gridCol w:w="2491"/>
        <w:gridCol w:w="1556"/>
        <w:gridCol w:w="1556"/>
      </w:tblGrid>
      <w:tr w14:paraId="7FC1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15" w:type="pct"/>
            <w:vAlign w:val="center"/>
          </w:tcPr>
          <w:p w14:paraId="40E840CB">
            <w:pPr>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序号</w:t>
            </w:r>
          </w:p>
        </w:tc>
        <w:tc>
          <w:tcPr>
            <w:tcW w:w="1380" w:type="pct"/>
            <w:vAlign w:val="center"/>
          </w:tcPr>
          <w:p w14:paraId="32F446E0">
            <w:pPr>
              <w:jc w:val="center"/>
              <w:rPr>
                <w:rFonts w:ascii="Times New Roman" w:hAnsi="Times New Roman"/>
                <w:color w:val="auto"/>
                <w:sz w:val="21"/>
                <w:szCs w:val="21"/>
                <w:highlight w:val="none"/>
              </w:rPr>
            </w:pPr>
            <w:r>
              <w:rPr>
                <w:rFonts w:hint="eastAsia"/>
                <w:color w:val="auto"/>
                <w:sz w:val="21"/>
                <w:szCs w:val="21"/>
                <w:highlight w:val="none"/>
                <w:lang w:val="en-US" w:eastAsia="zh-CN"/>
              </w:rPr>
              <w:t>招标</w:t>
            </w:r>
            <w:r>
              <w:rPr>
                <w:rFonts w:hint="eastAsia" w:ascii="Times New Roman" w:hAnsi="Times New Roman"/>
                <w:color w:val="auto"/>
                <w:sz w:val="21"/>
                <w:szCs w:val="21"/>
                <w:highlight w:val="none"/>
              </w:rPr>
              <w:t>文件要求</w:t>
            </w:r>
          </w:p>
        </w:tc>
        <w:tc>
          <w:tcPr>
            <w:tcW w:w="1380" w:type="pct"/>
            <w:vAlign w:val="center"/>
          </w:tcPr>
          <w:p w14:paraId="23861B8D">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投标响应</w:t>
            </w:r>
          </w:p>
        </w:tc>
        <w:tc>
          <w:tcPr>
            <w:tcW w:w="862" w:type="pct"/>
            <w:vAlign w:val="center"/>
          </w:tcPr>
          <w:p w14:paraId="0C56F4C3">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偏离情况（正/负偏离/无偏离）</w:t>
            </w:r>
          </w:p>
        </w:tc>
        <w:tc>
          <w:tcPr>
            <w:tcW w:w="862" w:type="pct"/>
            <w:vAlign w:val="center"/>
          </w:tcPr>
          <w:p w14:paraId="0E741567">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说明</w:t>
            </w:r>
          </w:p>
        </w:tc>
      </w:tr>
      <w:tr w14:paraId="2A33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3768E946">
            <w:pPr>
              <w:rPr>
                <w:rFonts w:ascii="Times New Roman" w:hAnsi="Times New Roman"/>
                <w:color w:val="auto"/>
                <w:sz w:val="21"/>
                <w:szCs w:val="21"/>
                <w:highlight w:val="none"/>
              </w:rPr>
            </w:pPr>
          </w:p>
        </w:tc>
        <w:tc>
          <w:tcPr>
            <w:tcW w:w="1380" w:type="pct"/>
          </w:tcPr>
          <w:p w14:paraId="6EBC2CBA">
            <w:pPr>
              <w:rPr>
                <w:rFonts w:ascii="Times New Roman" w:hAnsi="Times New Roman"/>
                <w:color w:val="auto"/>
                <w:sz w:val="21"/>
                <w:szCs w:val="21"/>
                <w:highlight w:val="none"/>
              </w:rPr>
            </w:pPr>
          </w:p>
        </w:tc>
        <w:tc>
          <w:tcPr>
            <w:tcW w:w="1380" w:type="pct"/>
          </w:tcPr>
          <w:p w14:paraId="11A31FC6">
            <w:pPr>
              <w:rPr>
                <w:rFonts w:ascii="Times New Roman" w:hAnsi="Times New Roman"/>
                <w:color w:val="auto"/>
                <w:sz w:val="21"/>
                <w:szCs w:val="21"/>
                <w:highlight w:val="none"/>
              </w:rPr>
            </w:pPr>
          </w:p>
        </w:tc>
        <w:tc>
          <w:tcPr>
            <w:tcW w:w="862" w:type="pct"/>
          </w:tcPr>
          <w:p w14:paraId="62B437D0">
            <w:pPr>
              <w:rPr>
                <w:rFonts w:ascii="Times New Roman" w:hAnsi="Times New Roman"/>
                <w:color w:val="auto"/>
                <w:sz w:val="21"/>
                <w:szCs w:val="21"/>
                <w:highlight w:val="none"/>
              </w:rPr>
            </w:pPr>
          </w:p>
        </w:tc>
        <w:tc>
          <w:tcPr>
            <w:tcW w:w="862" w:type="pct"/>
          </w:tcPr>
          <w:p w14:paraId="7E7903EE">
            <w:pPr>
              <w:rPr>
                <w:rFonts w:ascii="Times New Roman" w:hAnsi="Times New Roman"/>
                <w:color w:val="auto"/>
                <w:sz w:val="21"/>
                <w:szCs w:val="21"/>
                <w:highlight w:val="none"/>
              </w:rPr>
            </w:pPr>
          </w:p>
        </w:tc>
      </w:tr>
      <w:tr w14:paraId="2309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0C1CC369">
            <w:pPr>
              <w:rPr>
                <w:rFonts w:ascii="Times New Roman" w:hAnsi="Times New Roman"/>
                <w:color w:val="auto"/>
                <w:sz w:val="21"/>
                <w:szCs w:val="21"/>
                <w:highlight w:val="yellow"/>
              </w:rPr>
            </w:pPr>
          </w:p>
        </w:tc>
        <w:tc>
          <w:tcPr>
            <w:tcW w:w="1380" w:type="pct"/>
          </w:tcPr>
          <w:p w14:paraId="2BCB7493">
            <w:pPr>
              <w:rPr>
                <w:rFonts w:ascii="Times New Roman" w:hAnsi="Times New Roman"/>
                <w:color w:val="auto"/>
                <w:sz w:val="21"/>
                <w:szCs w:val="21"/>
                <w:highlight w:val="yellow"/>
              </w:rPr>
            </w:pPr>
          </w:p>
        </w:tc>
        <w:tc>
          <w:tcPr>
            <w:tcW w:w="1380" w:type="pct"/>
          </w:tcPr>
          <w:p w14:paraId="1B4CD917">
            <w:pPr>
              <w:rPr>
                <w:rFonts w:ascii="Times New Roman" w:hAnsi="Times New Roman"/>
                <w:color w:val="auto"/>
                <w:sz w:val="21"/>
                <w:szCs w:val="21"/>
                <w:highlight w:val="yellow"/>
              </w:rPr>
            </w:pPr>
          </w:p>
        </w:tc>
        <w:tc>
          <w:tcPr>
            <w:tcW w:w="862" w:type="pct"/>
          </w:tcPr>
          <w:p w14:paraId="2C4D4BAE">
            <w:pPr>
              <w:rPr>
                <w:rFonts w:ascii="Times New Roman" w:hAnsi="Times New Roman"/>
                <w:color w:val="auto"/>
                <w:sz w:val="21"/>
                <w:szCs w:val="21"/>
                <w:highlight w:val="yellow"/>
              </w:rPr>
            </w:pPr>
          </w:p>
        </w:tc>
        <w:tc>
          <w:tcPr>
            <w:tcW w:w="862" w:type="pct"/>
          </w:tcPr>
          <w:p w14:paraId="51B6B508">
            <w:pPr>
              <w:rPr>
                <w:rFonts w:ascii="Times New Roman" w:hAnsi="Times New Roman"/>
                <w:color w:val="auto"/>
                <w:sz w:val="21"/>
                <w:szCs w:val="21"/>
                <w:highlight w:val="yellow"/>
              </w:rPr>
            </w:pPr>
          </w:p>
        </w:tc>
      </w:tr>
      <w:tr w14:paraId="42E4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2D6EF68A">
            <w:pPr>
              <w:rPr>
                <w:rFonts w:ascii="Times New Roman" w:hAnsi="Times New Roman"/>
                <w:color w:val="auto"/>
                <w:sz w:val="21"/>
                <w:szCs w:val="21"/>
                <w:highlight w:val="yellow"/>
              </w:rPr>
            </w:pPr>
          </w:p>
        </w:tc>
        <w:tc>
          <w:tcPr>
            <w:tcW w:w="1380" w:type="pct"/>
          </w:tcPr>
          <w:p w14:paraId="7CB9CC70">
            <w:pPr>
              <w:rPr>
                <w:rFonts w:ascii="Times New Roman" w:hAnsi="Times New Roman"/>
                <w:color w:val="auto"/>
                <w:sz w:val="21"/>
                <w:szCs w:val="21"/>
                <w:highlight w:val="yellow"/>
              </w:rPr>
            </w:pPr>
          </w:p>
        </w:tc>
        <w:tc>
          <w:tcPr>
            <w:tcW w:w="1380" w:type="pct"/>
          </w:tcPr>
          <w:p w14:paraId="5F1C4455">
            <w:pPr>
              <w:rPr>
                <w:rFonts w:ascii="Times New Roman" w:hAnsi="Times New Roman"/>
                <w:color w:val="auto"/>
                <w:sz w:val="21"/>
                <w:szCs w:val="21"/>
                <w:highlight w:val="yellow"/>
              </w:rPr>
            </w:pPr>
          </w:p>
        </w:tc>
        <w:tc>
          <w:tcPr>
            <w:tcW w:w="862" w:type="pct"/>
          </w:tcPr>
          <w:p w14:paraId="22C94A3D">
            <w:pPr>
              <w:rPr>
                <w:rFonts w:ascii="Times New Roman" w:hAnsi="Times New Roman"/>
                <w:color w:val="auto"/>
                <w:sz w:val="21"/>
                <w:szCs w:val="21"/>
                <w:highlight w:val="yellow"/>
              </w:rPr>
            </w:pPr>
          </w:p>
        </w:tc>
        <w:tc>
          <w:tcPr>
            <w:tcW w:w="862" w:type="pct"/>
          </w:tcPr>
          <w:p w14:paraId="1B9EA51D">
            <w:pPr>
              <w:rPr>
                <w:rFonts w:ascii="Times New Roman" w:hAnsi="Times New Roman"/>
                <w:color w:val="auto"/>
                <w:sz w:val="21"/>
                <w:szCs w:val="21"/>
                <w:highlight w:val="yellow"/>
              </w:rPr>
            </w:pPr>
          </w:p>
        </w:tc>
      </w:tr>
      <w:tr w14:paraId="6997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02402B31">
            <w:pPr>
              <w:rPr>
                <w:rFonts w:ascii="Times New Roman" w:hAnsi="Times New Roman"/>
                <w:color w:val="auto"/>
                <w:sz w:val="21"/>
                <w:szCs w:val="21"/>
                <w:highlight w:val="yellow"/>
              </w:rPr>
            </w:pPr>
          </w:p>
        </w:tc>
        <w:tc>
          <w:tcPr>
            <w:tcW w:w="1380" w:type="pct"/>
          </w:tcPr>
          <w:p w14:paraId="219F1ACB">
            <w:pPr>
              <w:rPr>
                <w:rFonts w:ascii="Times New Roman" w:hAnsi="Times New Roman"/>
                <w:color w:val="auto"/>
                <w:sz w:val="21"/>
                <w:szCs w:val="21"/>
                <w:highlight w:val="yellow"/>
              </w:rPr>
            </w:pPr>
          </w:p>
        </w:tc>
        <w:tc>
          <w:tcPr>
            <w:tcW w:w="1380" w:type="pct"/>
          </w:tcPr>
          <w:p w14:paraId="096477FF">
            <w:pPr>
              <w:rPr>
                <w:rFonts w:ascii="Times New Roman" w:hAnsi="Times New Roman"/>
                <w:color w:val="auto"/>
                <w:sz w:val="21"/>
                <w:szCs w:val="21"/>
                <w:highlight w:val="yellow"/>
              </w:rPr>
            </w:pPr>
          </w:p>
        </w:tc>
        <w:tc>
          <w:tcPr>
            <w:tcW w:w="862" w:type="pct"/>
          </w:tcPr>
          <w:p w14:paraId="206D0021">
            <w:pPr>
              <w:rPr>
                <w:rFonts w:ascii="Times New Roman" w:hAnsi="Times New Roman"/>
                <w:color w:val="auto"/>
                <w:sz w:val="21"/>
                <w:szCs w:val="21"/>
                <w:highlight w:val="yellow"/>
              </w:rPr>
            </w:pPr>
          </w:p>
        </w:tc>
        <w:tc>
          <w:tcPr>
            <w:tcW w:w="862" w:type="pct"/>
          </w:tcPr>
          <w:p w14:paraId="3ABF1E51">
            <w:pPr>
              <w:rPr>
                <w:rFonts w:ascii="Times New Roman" w:hAnsi="Times New Roman"/>
                <w:color w:val="auto"/>
                <w:sz w:val="21"/>
                <w:szCs w:val="21"/>
                <w:highlight w:val="yellow"/>
              </w:rPr>
            </w:pPr>
          </w:p>
        </w:tc>
      </w:tr>
      <w:tr w14:paraId="3840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5693355F">
            <w:pPr>
              <w:rPr>
                <w:rFonts w:ascii="Times New Roman" w:hAnsi="Times New Roman"/>
                <w:color w:val="auto"/>
                <w:sz w:val="21"/>
                <w:szCs w:val="21"/>
                <w:highlight w:val="yellow"/>
              </w:rPr>
            </w:pPr>
          </w:p>
        </w:tc>
        <w:tc>
          <w:tcPr>
            <w:tcW w:w="1380" w:type="pct"/>
          </w:tcPr>
          <w:p w14:paraId="72B66B93">
            <w:pPr>
              <w:rPr>
                <w:rFonts w:ascii="Times New Roman" w:hAnsi="Times New Roman"/>
                <w:color w:val="auto"/>
                <w:sz w:val="21"/>
                <w:szCs w:val="21"/>
                <w:highlight w:val="yellow"/>
              </w:rPr>
            </w:pPr>
          </w:p>
        </w:tc>
        <w:tc>
          <w:tcPr>
            <w:tcW w:w="1380" w:type="pct"/>
          </w:tcPr>
          <w:p w14:paraId="35D752D0">
            <w:pPr>
              <w:rPr>
                <w:rFonts w:ascii="Times New Roman" w:hAnsi="Times New Roman"/>
                <w:color w:val="auto"/>
                <w:sz w:val="21"/>
                <w:szCs w:val="21"/>
                <w:highlight w:val="yellow"/>
              </w:rPr>
            </w:pPr>
          </w:p>
        </w:tc>
        <w:tc>
          <w:tcPr>
            <w:tcW w:w="862" w:type="pct"/>
          </w:tcPr>
          <w:p w14:paraId="001C1B55">
            <w:pPr>
              <w:rPr>
                <w:rFonts w:ascii="Times New Roman" w:hAnsi="Times New Roman"/>
                <w:color w:val="auto"/>
                <w:sz w:val="21"/>
                <w:szCs w:val="21"/>
                <w:highlight w:val="yellow"/>
              </w:rPr>
            </w:pPr>
          </w:p>
        </w:tc>
        <w:tc>
          <w:tcPr>
            <w:tcW w:w="862" w:type="pct"/>
          </w:tcPr>
          <w:p w14:paraId="1F1447C8">
            <w:pPr>
              <w:rPr>
                <w:rFonts w:ascii="Times New Roman" w:hAnsi="Times New Roman"/>
                <w:color w:val="auto"/>
                <w:sz w:val="21"/>
                <w:szCs w:val="21"/>
                <w:highlight w:val="yellow"/>
              </w:rPr>
            </w:pPr>
          </w:p>
        </w:tc>
      </w:tr>
      <w:tr w14:paraId="276B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4A556FF0">
            <w:pPr>
              <w:rPr>
                <w:rFonts w:ascii="Times New Roman" w:hAnsi="Times New Roman"/>
                <w:color w:val="auto"/>
                <w:sz w:val="21"/>
                <w:szCs w:val="21"/>
                <w:highlight w:val="yellow"/>
              </w:rPr>
            </w:pPr>
          </w:p>
        </w:tc>
        <w:tc>
          <w:tcPr>
            <w:tcW w:w="1380" w:type="pct"/>
          </w:tcPr>
          <w:p w14:paraId="5CAE05DC">
            <w:pPr>
              <w:rPr>
                <w:rFonts w:ascii="Times New Roman" w:hAnsi="Times New Roman"/>
                <w:color w:val="auto"/>
                <w:sz w:val="21"/>
                <w:szCs w:val="21"/>
                <w:highlight w:val="yellow"/>
              </w:rPr>
            </w:pPr>
          </w:p>
        </w:tc>
        <w:tc>
          <w:tcPr>
            <w:tcW w:w="1380" w:type="pct"/>
          </w:tcPr>
          <w:p w14:paraId="0743EF26">
            <w:pPr>
              <w:rPr>
                <w:rFonts w:ascii="Times New Roman" w:hAnsi="Times New Roman"/>
                <w:color w:val="auto"/>
                <w:sz w:val="21"/>
                <w:szCs w:val="21"/>
                <w:highlight w:val="yellow"/>
              </w:rPr>
            </w:pPr>
          </w:p>
        </w:tc>
        <w:tc>
          <w:tcPr>
            <w:tcW w:w="862" w:type="pct"/>
          </w:tcPr>
          <w:p w14:paraId="540696EA">
            <w:pPr>
              <w:rPr>
                <w:rFonts w:ascii="Times New Roman" w:hAnsi="Times New Roman"/>
                <w:color w:val="auto"/>
                <w:sz w:val="21"/>
                <w:szCs w:val="21"/>
                <w:highlight w:val="yellow"/>
              </w:rPr>
            </w:pPr>
          </w:p>
        </w:tc>
        <w:tc>
          <w:tcPr>
            <w:tcW w:w="862" w:type="pct"/>
          </w:tcPr>
          <w:p w14:paraId="7D1B120C">
            <w:pPr>
              <w:rPr>
                <w:rFonts w:ascii="Times New Roman" w:hAnsi="Times New Roman"/>
                <w:color w:val="auto"/>
                <w:sz w:val="21"/>
                <w:szCs w:val="21"/>
                <w:highlight w:val="yellow"/>
              </w:rPr>
            </w:pPr>
          </w:p>
        </w:tc>
      </w:tr>
      <w:tr w14:paraId="2CA6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2F25BB69">
            <w:pPr>
              <w:rPr>
                <w:rFonts w:ascii="Times New Roman" w:hAnsi="Times New Roman"/>
                <w:color w:val="auto"/>
                <w:sz w:val="21"/>
                <w:szCs w:val="21"/>
                <w:highlight w:val="yellow"/>
              </w:rPr>
            </w:pPr>
          </w:p>
        </w:tc>
        <w:tc>
          <w:tcPr>
            <w:tcW w:w="1380" w:type="pct"/>
          </w:tcPr>
          <w:p w14:paraId="273B886D">
            <w:pPr>
              <w:rPr>
                <w:rFonts w:ascii="Times New Roman" w:hAnsi="Times New Roman"/>
                <w:color w:val="auto"/>
                <w:sz w:val="21"/>
                <w:szCs w:val="21"/>
                <w:highlight w:val="yellow"/>
              </w:rPr>
            </w:pPr>
          </w:p>
        </w:tc>
        <w:tc>
          <w:tcPr>
            <w:tcW w:w="1380" w:type="pct"/>
          </w:tcPr>
          <w:p w14:paraId="78D70797">
            <w:pPr>
              <w:rPr>
                <w:rFonts w:ascii="Times New Roman" w:hAnsi="Times New Roman"/>
                <w:color w:val="auto"/>
                <w:sz w:val="21"/>
                <w:szCs w:val="21"/>
                <w:highlight w:val="yellow"/>
              </w:rPr>
            </w:pPr>
          </w:p>
        </w:tc>
        <w:tc>
          <w:tcPr>
            <w:tcW w:w="862" w:type="pct"/>
          </w:tcPr>
          <w:p w14:paraId="17804DF8">
            <w:pPr>
              <w:rPr>
                <w:rFonts w:ascii="Times New Roman" w:hAnsi="Times New Roman"/>
                <w:color w:val="auto"/>
                <w:sz w:val="21"/>
                <w:szCs w:val="21"/>
                <w:highlight w:val="yellow"/>
              </w:rPr>
            </w:pPr>
          </w:p>
        </w:tc>
        <w:tc>
          <w:tcPr>
            <w:tcW w:w="862" w:type="pct"/>
          </w:tcPr>
          <w:p w14:paraId="6686456F">
            <w:pPr>
              <w:rPr>
                <w:rFonts w:ascii="Times New Roman" w:hAnsi="Times New Roman"/>
                <w:color w:val="auto"/>
                <w:sz w:val="21"/>
                <w:szCs w:val="21"/>
                <w:highlight w:val="yellow"/>
              </w:rPr>
            </w:pPr>
          </w:p>
        </w:tc>
      </w:tr>
      <w:tr w14:paraId="13A6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5" w:type="pct"/>
          </w:tcPr>
          <w:p w14:paraId="1EAF8EB7">
            <w:pPr>
              <w:rPr>
                <w:rFonts w:ascii="Times New Roman" w:hAnsi="Times New Roman"/>
                <w:color w:val="auto"/>
                <w:sz w:val="21"/>
                <w:szCs w:val="21"/>
                <w:highlight w:val="yellow"/>
              </w:rPr>
            </w:pPr>
          </w:p>
        </w:tc>
        <w:tc>
          <w:tcPr>
            <w:tcW w:w="1380" w:type="pct"/>
          </w:tcPr>
          <w:p w14:paraId="2E077E3C">
            <w:pPr>
              <w:rPr>
                <w:rFonts w:ascii="Times New Roman" w:hAnsi="Times New Roman"/>
                <w:color w:val="auto"/>
                <w:sz w:val="21"/>
                <w:szCs w:val="21"/>
                <w:highlight w:val="yellow"/>
              </w:rPr>
            </w:pPr>
          </w:p>
        </w:tc>
        <w:tc>
          <w:tcPr>
            <w:tcW w:w="1380" w:type="pct"/>
          </w:tcPr>
          <w:p w14:paraId="0391DCB8">
            <w:pPr>
              <w:rPr>
                <w:rFonts w:ascii="Times New Roman" w:hAnsi="Times New Roman"/>
                <w:color w:val="auto"/>
                <w:sz w:val="21"/>
                <w:szCs w:val="21"/>
                <w:highlight w:val="yellow"/>
              </w:rPr>
            </w:pPr>
          </w:p>
        </w:tc>
        <w:tc>
          <w:tcPr>
            <w:tcW w:w="862" w:type="pct"/>
          </w:tcPr>
          <w:p w14:paraId="0A49A445">
            <w:pPr>
              <w:rPr>
                <w:rFonts w:ascii="Times New Roman" w:hAnsi="Times New Roman"/>
                <w:color w:val="auto"/>
                <w:sz w:val="21"/>
                <w:szCs w:val="21"/>
                <w:highlight w:val="yellow"/>
              </w:rPr>
            </w:pPr>
          </w:p>
        </w:tc>
        <w:tc>
          <w:tcPr>
            <w:tcW w:w="862" w:type="pct"/>
          </w:tcPr>
          <w:p w14:paraId="3E340CA3">
            <w:pPr>
              <w:rPr>
                <w:rFonts w:ascii="Times New Roman" w:hAnsi="Times New Roman"/>
                <w:color w:val="auto"/>
                <w:sz w:val="21"/>
                <w:szCs w:val="21"/>
                <w:highlight w:val="yellow"/>
              </w:rPr>
            </w:pPr>
          </w:p>
        </w:tc>
      </w:tr>
    </w:tbl>
    <w:p w14:paraId="05AA98F6">
      <w:pPr>
        <w:ind w:firstLine="1260" w:firstLineChars="600"/>
        <w:rPr>
          <w:rFonts w:ascii="宋体" w:hAnsi="Times New Roman"/>
          <w:color w:val="auto"/>
          <w:sz w:val="21"/>
          <w:szCs w:val="21"/>
          <w:highlight w:val="yellow"/>
        </w:rPr>
      </w:pPr>
    </w:p>
    <w:p w14:paraId="30EBE99B">
      <w:pPr>
        <w:pStyle w:val="19"/>
        <w:adjustRightInd w:val="0"/>
        <w:snapToGrid w:val="0"/>
        <w:spacing w:after="0" w:line="360" w:lineRule="auto"/>
        <w:ind w:left="0" w:leftChars="0" w:firstLine="0" w:firstLineChars="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08C72645">
      <w:pPr>
        <w:numPr>
          <w:ilvl w:val="0"/>
          <w:numId w:val="0"/>
        </w:numPr>
        <w:spacing w:line="400" w:lineRule="exact"/>
        <w:ind w:left="120" w:leftChars="0" w:firstLine="0" w:firstLineChars="0"/>
        <w:rPr>
          <w:rFonts w:hint="eastAsia" w:ascii="宋体" w:hAnsi="宋体" w:eastAsia="宋体"/>
          <w:color w:val="auto"/>
          <w:sz w:val="21"/>
          <w:szCs w:val="21"/>
          <w:highlight w:val="none"/>
        </w:rPr>
      </w:pPr>
      <w:r>
        <w:rPr>
          <w:rFonts w:hint="eastAsia" w:ascii="宋体" w:hAnsi="宋体" w:eastAsia="宋体" w:cstheme="minorBidi"/>
          <w:color w:val="auto"/>
          <w:kern w:val="2"/>
          <w:sz w:val="21"/>
          <w:szCs w:val="21"/>
          <w:highlight w:val="none"/>
          <w:lang w:val="en-US" w:eastAsia="zh-CN" w:bidi="ar-SA"/>
        </w:rPr>
        <w:t>1.</w:t>
      </w:r>
      <w:r>
        <w:rPr>
          <w:rFonts w:hint="eastAsia" w:ascii="宋体" w:hAnsi="宋体" w:eastAsia="宋体"/>
          <w:color w:val="auto"/>
          <w:sz w:val="21"/>
          <w:szCs w:val="21"/>
          <w:highlight w:val="none"/>
        </w:rPr>
        <w:t>供应商如实填写“投标文件商务条款应答”内容，可优于招标文件规定，视为正偏离；</w:t>
      </w:r>
    </w:p>
    <w:p w14:paraId="7554369B">
      <w:pPr>
        <w:numPr>
          <w:ilvl w:val="0"/>
          <w:numId w:val="0"/>
        </w:numPr>
        <w:spacing w:line="400" w:lineRule="exact"/>
        <w:ind w:left="120" w:leftChars="0" w:firstLine="0" w:firstLineChars="0"/>
        <w:rPr>
          <w:rFonts w:hint="eastAsia" w:ascii="宋体" w:hAnsi="宋体" w:eastAsia="宋体"/>
          <w:color w:val="auto"/>
          <w:sz w:val="21"/>
          <w:szCs w:val="21"/>
          <w:highlight w:val="none"/>
        </w:rPr>
      </w:pPr>
      <w:r>
        <w:rPr>
          <w:rFonts w:hint="eastAsia" w:ascii="宋体" w:hAnsi="宋体" w:eastAsia="宋体" w:cstheme="minorBidi"/>
          <w:color w:val="auto"/>
          <w:kern w:val="2"/>
          <w:sz w:val="21"/>
          <w:szCs w:val="21"/>
          <w:highlight w:val="none"/>
          <w:lang w:val="en-US" w:eastAsia="zh-CN" w:bidi="ar-SA"/>
        </w:rPr>
        <w:t>2.</w:t>
      </w:r>
      <w:r>
        <w:rPr>
          <w:rFonts w:hint="eastAsia" w:ascii="宋体" w:hAnsi="宋体" w:eastAsia="宋体"/>
          <w:color w:val="auto"/>
          <w:sz w:val="21"/>
          <w:szCs w:val="21"/>
          <w:highlight w:val="none"/>
        </w:rPr>
        <w:t>“偏离情况”一栏中必须如实并按照商务要求的内容逐项填写“正偏离”、“负偏离”或“无偏离”；</w:t>
      </w:r>
    </w:p>
    <w:p w14:paraId="4DAB0D91">
      <w:pPr>
        <w:numPr>
          <w:ilvl w:val="0"/>
          <w:numId w:val="0"/>
        </w:numPr>
        <w:spacing w:line="400" w:lineRule="exact"/>
        <w:ind w:left="120" w:leftChars="0" w:firstLine="0" w:firstLineChars="0"/>
        <w:rPr>
          <w:rFonts w:hint="eastAsia" w:ascii="宋体" w:hAnsi="宋体" w:eastAsia="宋体"/>
          <w:color w:val="auto"/>
          <w:sz w:val="21"/>
          <w:szCs w:val="21"/>
          <w:highlight w:val="none"/>
        </w:rPr>
      </w:pPr>
      <w:r>
        <w:rPr>
          <w:rFonts w:hint="eastAsia" w:ascii="宋体" w:hAnsi="宋体" w:eastAsia="宋体" w:cstheme="minorBidi"/>
          <w:color w:val="auto"/>
          <w:kern w:val="2"/>
          <w:sz w:val="21"/>
          <w:szCs w:val="21"/>
          <w:highlight w:val="none"/>
          <w:lang w:val="en-US" w:eastAsia="zh-CN" w:bidi="ar-SA"/>
        </w:rPr>
        <w:t>3.</w:t>
      </w:r>
      <w:r>
        <w:rPr>
          <w:rFonts w:hint="eastAsia" w:ascii="宋体" w:hAnsi="宋体" w:eastAsia="宋体"/>
          <w:color w:val="auto"/>
          <w:sz w:val="21"/>
          <w:szCs w:val="21"/>
          <w:highlight w:val="none"/>
        </w:rPr>
        <w:t>“说明”一栏</w:t>
      </w:r>
      <w:r>
        <w:rPr>
          <w:rFonts w:hint="eastAsia" w:ascii="宋体" w:hAnsi="宋体" w:eastAsia="宋体"/>
          <w:color w:val="auto"/>
          <w:sz w:val="21"/>
          <w:szCs w:val="21"/>
          <w:highlight w:val="none"/>
          <w:lang w:eastAsia="zh-CN"/>
        </w:rPr>
        <w:t>中</w:t>
      </w:r>
      <w:r>
        <w:rPr>
          <w:rFonts w:hint="eastAsia" w:ascii="宋体" w:hAnsi="宋体" w:eastAsia="宋体"/>
          <w:color w:val="auto"/>
          <w:sz w:val="21"/>
          <w:szCs w:val="21"/>
          <w:highlight w:val="none"/>
        </w:rPr>
        <w:t>除以上所述内容外，投标人认为本表格需要提供的其他内容自行填写。</w:t>
      </w:r>
    </w:p>
    <w:p w14:paraId="1D0960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zh-CN"/>
        </w:rPr>
      </w:pPr>
    </w:p>
    <w:p w14:paraId="54454319">
      <w:pPr>
        <w:keepNext w:val="0"/>
        <w:keepLines w:val="0"/>
        <w:pageBreakBefore w:val="0"/>
        <w:widowControl w:val="0"/>
        <w:kinsoku/>
        <w:wordWrap/>
        <w:overflowPunct/>
        <w:topLinePunct w:val="0"/>
        <w:autoSpaceDE/>
        <w:autoSpaceDN/>
        <w:bidi w:val="0"/>
        <w:adjustRightInd/>
        <w:snapToGrid/>
        <w:spacing w:line="360" w:lineRule="auto"/>
        <w:ind w:firstLine="3990" w:firstLineChars="1900"/>
        <w:textAlignment w:val="auto"/>
        <w:rPr>
          <w:rFonts w:ascii="宋体" w:hAnsi="Times New Roman"/>
          <w:color w:val="auto"/>
          <w:sz w:val="21"/>
          <w:szCs w:val="21"/>
          <w:highlight w:val="none"/>
          <w:u w:val="single"/>
        </w:rPr>
      </w:pPr>
      <w:r>
        <w:rPr>
          <w:rFonts w:hint="eastAsia" w:ascii="宋体" w:hAnsi="宋体" w:eastAsia="宋体" w:cs="宋体"/>
          <w:color w:val="auto"/>
          <w:sz w:val="21"/>
          <w:szCs w:val="21"/>
          <w:highlight w:val="none"/>
          <w:lang w:val="zh-CN"/>
        </w:rPr>
        <w:t>供应商全称</w:t>
      </w:r>
      <w:r>
        <w:rPr>
          <w:rFonts w:hint="eastAsia" w:ascii="宋体" w:hAnsi="宋体" w:eastAsia="宋体" w:cs="黑体"/>
          <w:b/>
          <w:bCs/>
          <w:color w:val="auto"/>
          <w:sz w:val="21"/>
          <w:szCs w:val="21"/>
          <w:highlight w:val="none"/>
          <w:lang w:val="zh-CN"/>
        </w:rPr>
        <w:t>（加盖供应商公章）</w:t>
      </w:r>
      <w:r>
        <w:rPr>
          <w:rFonts w:hint="eastAsia" w:ascii="宋体" w:hAnsi="Times New Roman"/>
          <w:color w:val="auto"/>
          <w:sz w:val="21"/>
          <w:szCs w:val="21"/>
          <w:highlight w:val="none"/>
        </w:rPr>
        <w:t>：</w:t>
      </w:r>
    </w:p>
    <w:p w14:paraId="5187141D">
      <w:pPr>
        <w:pStyle w:val="13"/>
        <w:rPr>
          <w:rFonts w:ascii="宋体" w:hAnsi="宋体" w:eastAsia="宋体"/>
          <w:color w:val="auto"/>
          <w:sz w:val="21"/>
          <w:szCs w:val="21"/>
          <w:highlight w:val="none"/>
        </w:rPr>
        <w:sectPr>
          <w:pgSz w:w="11906" w:h="16838"/>
          <w:pgMar w:top="1440" w:right="1080" w:bottom="1440" w:left="1080" w:header="851" w:footer="992" w:gutter="0"/>
          <w:pgNumType w:fmt="decimal"/>
          <w:cols w:space="425" w:num="1"/>
          <w:docGrid w:type="lines" w:linePitch="312" w:charSpace="0"/>
        </w:sectPr>
      </w:pPr>
      <w:r>
        <w:rPr>
          <w:rFonts w:hint="eastAsia" w:ascii="宋体" w:hAnsi="Times New Roman"/>
          <w:color w:val="auto"/>
          <w:sz w:val="21"/>
          <w:szCs w:val="21"/>
          <w:highlight w:val="none"/>
        </w:rPr>
        <w:t xml:space="preserve">                                                 日期：</w:t>
      </w:r>
    </w:p>
    <w:p w14:paraId="72AB7208">
      <w:pPr>
        <w:jc w:val="center"/>
        <w:rPr>
          <w:rFonts w:ascii="宋体" w:hAnsi="宋体" w:eastAsia="宋体"/>
          <w:b/>
          <w:bCs/>
          <w:color w:val="auto"/>
          <w:sz w:val="32"/>
          <w:szCs w:val="32"/>
          <w:highlight w:val="none"/>
          <w:lang w:val="zh-CN"/>
        </w:rPr>
      </w:pPr>
      <w:r>
        <w:rPr>
          <w:rFonts w:hint="eastAsia" w:ascii="宋体" w:hAnsi="宋体" w:eastAsia="宋体"/>
          <w:b/>
          <w:bCs/>
          <w:color w:val="auto"/>
          <w:sz w:val="32"/>
          <w:szCs w:val="32"/>
          <w:highlight w:val="none"/>
          <w:lang w:val="en-US" w:eastAsia="zh-CN"/>
        </w:rPr>
        <w:t>九、</w:t>
      </w:r>
      <w:r>
        <w:rPr>
          <w:rFonts w:hint="eastAsia" w:ascii="宋体" w:hAnsi="宋体" w:eastAsia="宋体"/>
          <w:b/>
          <w:bCs/>
          <w:color w:val="auto"/>
          <w:sz w:val="32"/>
          <w:szCs w:val="32"/>
          <w:highlight w:val="none"/>
          <w:lang w:val="zh-CN"/>
        </w:rPr>
        <w:t>技术</w:t>
      </w:r>
      <w:r>
        <w:rPr>
          <w:rFonts w:hint="eastAsia" w:ascii="宋体" w:hAnsi="宋体" w:eastAsia="宋体"/>
          <w:b/>
          <w:bCs/>
          <w:color w:val="auto"/>
          <w:sz w:val="32"/>
          <w:szCs w:val="32"/>
          <w:highlight w:val="none"/>
        </w:rPr>
        <w:t>条款</w:t>
      </w:r>
      <w:r>
        <w:rPr>
          <w:rFonts w:hint="eastAsia" w:ascii="宋体" w:hAnsi="宋体" w:eastAsia="宋体"/>
          <w:b/>
          <w:bCs/>
          <w:color w:val="auto"/>
          <w:sz w:val="32"/>
          <w:szCs w:val="32"/>
          <w:highlight w:val="none"/>
          <w:lang w:val="zh-CN"/>
        </w:rPr>
        <w:t>偏离表</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15"/>
        <w:gridCol w:w="2237"/>
        <w:gridCol w:w="2237"/>
        <w:gridCol w:w="1396"/>
        <w:gridCol w:w="1396"/>
      </w:tblGrid>
      <w:tr w14:paraId="7414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6" w:type="pct"/>
            <w:vAlign w:val="center"/>
          </w:tcPr>
          <w:p w14:paraId="7496254D">
            <w:pPr>
              <w:jc w:val="center"/>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序号</w:t>
            </w:r>
          </w:p>
        </w:tc>
        <w:tc>
          <w:tcPr>
            <w:tcW w:w="568" w:type="pct"/>
            <w:vAlign w:val="center"/>
          </w:tcPr>
          <w:p w14:paraId="7927B305">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设备</w:t>
            </w:r>
          </w:p>
          <w:p w14:paraId="30B784F1">
            <w:pPr>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名称</w:t>
            </w:r>
          </w:p>
        </w:tc>
        <w:tc>
          <w:tcPr>
            <w:tcW w:w="1251" w:type="pct"/>
            <w:vAlign w:val="center"/>
          </w:tcPr>
          <w:p w14:paraId="4465962F">
            <w:pPr>
              <w:jc w:val="center"/>
              <w:rPr>
                <w:rFonts w:hint="eastAsia" w:ascii="Times New Roman" w:hAnsi="Times New Roman"/>
                <w:color w:val="auto"/>
                <w:sz w:val="21"/>
                <w:szCs w:val="21"/>
                <w:highlight w:val="none"/>
              </w:rPr>
            </w:pPr>
            <w:r>
              <w:rPr>
                <w:rFonts w:hint="eastAsia"/>
                <w:color w:val="auto"/>
                <w:sz w:val="21"/>
                <w:szCs w:val="21"/>
                <w:highlight w:val="none"/>
                <w:lang w:val="en-US" w:eastAsia="zh-CN"/>
              </w:rPr>
              <w:t>招标</w:t>
            </w:r>
            <w:r>
              <w:rPr>
                <w:rFonts w:hint="eastAsia" w:ascii="Times New Roman" w:hAnsi="Times New Roman"/>
                <w:color w:val="auto"/>
                <w:sz w:val="21"/>
                <w:szCs w:val="21"/>
                <w:highlight w:val="none"/>
              </w:rPr>
              <w:t>文件要求</w:t>
            </w:r>
          </w:p>
          <w:p w14:paraId="028675EA">
            <w:pPr>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eastAsia="zh-CN"/>
              </w:rPr>
              <w:t>的</w:t>
            </w:r>
            <w:r>
              <w:rPr>
                <w:rFonts w:hint="eastAsia" w:ascii="Times New Roman" w:hAnsi="Times New Roman"/>
                <w:color w:val="auto"/>
                <w:sz w:val="21"/>
                <w:szCs w:val="21"/>
                <w:highlight w:val="none"/>
                <w:lang w:val="en-US" w:eastAsia="zh-CN"/>
              </w:rPr>
              <w:t>技术参数</w:t>
            </w:r>
          </w:p>
        </w:tc>
        <w:tc>
          <w:tcPr>
            <w:tcW w:w="1251" w:type="pct"/>
            <w:vAlign w:val="center"/>
          </w:tcPr>
          <w:p w14:paraId="7A77017F">
            <w:pPr>
              <w:jc w:val="center"/>
              <w:rPr>
                <w:rFonts w:hint="eastAsia" w:ascii="Times New Roman" w:hAnsi="Times New Roman"/>
                <w:color w:val="auto"/>
                <w:sz w:val="21"/>
                <w:szCs w:val="21"/>
                <w:highlight w:val="none"/>
                <w:lang w:val="en-US" w:eastAsia="zh-CN"/>
              </w:rPr>
            </w:pPr>
            <w:r>
              <w:rPr>
                <w:rFonts w:hint="eastAsia" w:ascii="Times New Roman" w:hAnsi="Times New Roman"/>
                <w:color w:val="auto"/>
                <w:sz w:val="21"/>
                <w:szCs w:val="21"/>
                <w:highlight w:val="none"/>
              </w:rPr>
              <w:t>投标响应</w:t>
            </w:r>
            <w:r>
              <w:rPr>
                <w:rFonts w:hint="eastAsia" w:ascii="Times New Roman" w:hAnsi="Times New Roman"/>
                <w:color w:val="auto"/>
                <w:sz w:val="21"/>
                <w:szCs w:val="21"/>
                <w:highlight w:val="none"/>
                <w:lang w:val="en-US" w:eastAsia="zh-CN"/>
              </w:rPr>
              <w:t>文件</w:t>
            </w:r>
          </w:p>
          <w:p w14:paraId="13B609DF">
            <w:pPr>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对应技术参数</w:t>
            </w:r>
          </w:p>
        </w:tc>
        <w:tc>
          <w:tcPr>
            <w:tcW w:w="781" w:type="pct"/>
            <w:vAlign w:val="center"/>
          </w:tcPr>
          <w:p w14:paraId="6EC1BC0D">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偏离情况（正/负偏离/无偏离）</w:t>
            </w:r>
          </w:p>
        </w:tc>
        <w:tc>
          <w:tcPr>
            <w:tcW w:w="781" w:type="pct"/>
            <w:vAlign w:val="center"/>
          </w:tcPr>
          <w:p w14:paraId="467F9E8B">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说明</w:t>
            </w:r>
          </w:p>
        </w:tc>
      </w:tr>
      <w:tr w14:paraId="583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4E2B2AAF">
            <w:pPr>
              <w:rPr>
                <w:rFonts w:ascii="Times New Roman" w:hAnsi="Times New Roman"/>
                <w:color w:val="auto"/>
                <w:sz w:val="21"/>
                <w:szCs w:val="21"/>
                <w:highlight w:val="none"/>
              </w:rPr>
            </w:pPr>
          </w:p>
        </w:tc>
        <w:tc>
          <w:tcPr>
            <w:tcW w:w="568" w:type="pct"/>
          </w:tcPr>
          <w:p w14:paraId="1102D444">
            <w:pPr>
              <w:rPr>
                <w:rFonts w:ascii="Times New Roman" w:hAnsi="Times New Roman"/>
                <w:color w:val="auto"/>
                <w:sz w:val="21"/>
                <w:szCs w:val="21"/>
                <w:highlight w:val="none"/>
              </w:rPr>
            </w:pPr>
          </w:p>
        </w:tc>
        <w:tc>
          <w:tcPr>
            <w:tcW w:w="1251" w:type="pct"/>
          </w:tcPr>
          <w:p w14:paraId="1335F9CA">
            <w:pPr>
              <w:rPr>
                <w:rFonts w:ascii="Times New Roman" w:hAnsi="Times New Roman"/>
                <w:color w:val="auto"/>
                <w:sz w:val="21"/>
                <w:szCs w:val="21"/>
                <w:highlight w:val="none"/>
              </w:rPr>
            </w:pPr>
          </w:p>
        </w:tc>
        <w:tc>
          <w:tcPr>
            <w:tcW w:w="1251" w:type="pct"/>
          </w:tcPr>
          <w:p w14:paraId="14854C33">
            <w:pPr>
              <w:rPr>
                <w:rFonts w:ascii="Times New Roman" w:hAnsi="Times New Roman"/>
                <w:color w:val="auto"/>
                <w:sz w:val="21"/>
                <w:szCs w:val="21"/>
                <w:highlight w:val="none"/>
              </w:rPr>
            </w:pPr>
          </w:p>
        </w:tc>
        <w:tc>
          <w:tcPr>
            <w:tcW w:w="781" w:type="pct"/>
          </w:tcPr>
          <w:p w14:paraId="71CA19A0">
            <w:pPr>
              <w:rPr>
                <w:rFonts w:ascii="Times New Roman" w:hAnsi="Times New Roman"/>
                <w:color w:val="auto"/>
                <w:sz w:val="21"/>
                <w:szCs w:val="21"/>
                <w:highlight w:val="none"/>
              </w:rPr>
            </w:pPr>
          </w:p>
        </w:tc>
        <w:tc>
          <w:tcPr>
            <w:tcW w:w="781" w:type="pct"/>
          </w:tcPr>
          <w:p w14:paraId="07C8064B">
            <w:pPr>
              <w:rPr>
                <w:rFonts w:ascii="Times New Roman" w:hAnsi="Times New Roman"/>
                <w:color w:val="auto"/>
                <w:sz w:val="21"/>
                <w:szCs w:val="21"/>
                <w:highlight w:val="none"/>
              </w:rPr>
            </w:pPr>
          </w:p>
        </w:tc>
      </w:tr>
      <w:tr w14:paraId="76A5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07333044">
            <w:pPr>
              <w:rPr>
                <w:rFonts w:ascii="Times New Roman" w:hAnsi="Times New Roman"/>
                <w:color w:val="auto"/>
                <w:sz w:val="21"/>
                <w:szCs w:val="21"/>
                <w:highlight w:val="none"/>
              </w:rPr>
            </w:pPr>
          </w:p>
        </w:tc>
        <w:tc>
          <w:tcPr>
            <w:tcW w:w="568" w:type="pct"/>
          </w:tcPr>
          <w:p w14:paraId="7DBE6FFA">
            <w:pPr>
              <w:rPr>
                <w:rFonts w:ascii="Times New Roman" w:hAnsi="Times New Roman"/>
                <w:color w:val="auto"/>
                <w:sz w:val="21"/>
                <w:szCs w:val="21"/>
                <w:highlight w:val="none"/>
              </w:rPr>
            </w:pPr>
          </w:p>
        </w:tc>
        <w:tc>
          <w:tcPr>
            <w:tcW w:w="1251" w:type="pct"/>
          </w:tcPr>
          <w:p w14:paraId="03E1778D">
            <w:pPr>
              <w:rPr>
                <w:rFonts w:ascii="Times New Roman" w:hAnsi="Times New Roman"/>
                <w:color w:val="auto"/>
                <w:sz w:val="21"/>
                <w:szCs w:val="21"/>
                <w:highlight w:val="none"/>
              </w:rPr>
            </w:pPr>
          </w:p>
        </w:tc>
        <w:tc>
          <w:tcPr>
            <w:tcW w:w="1251" w:type="pct"/>
          </w:tcPr>
          <w:p w14:paraId="2114E228">
            <w:pPr>
              <w:rPr>
                <w:rFonts w:ascii="Times New Roman" w:hAnsi="Times New Roman"/>
                <w:color w:val="auto"/>
                <w:sz w:val="21"/>
                <w:szCs w:val="21"/>
                <w:highlight w:val="none"/>
              </w:rPr>
            </w:pPr>
          </w:p>
        </w:tc>
        <w:tc>
          <w:tcPr>
            <w:tcW w:w="781" w:type="pct"/>
          </w:tcPr>
          <w:p w14:paraId="6B71C83D">
            <w:pPr>
              <w:rPr>
                <w:rFonts w:ascii="Times New Roman" w:hAnsi="Times New Roman"/>
                <w:color w:val="auto"/>
                <w:sz w:val="21"/>
                <w:szCs w:val="21"/>
                <w:highlight w:val="none"/>
              </w:rPr>
            </w:pPr>
          </w:p>
        </w:tc>
        <w:tc>
          <w:tcPr>
            <w:tcW w:w="781" w:type="pct"/>
          </w:tcPr>
          <w:p w14:paraId="500D6CE3">
            <w:pPr>
              <w:rPr>
                <w:rFonts w:ascii="Times New Roman" w:hAnsi="Times New Roman"/>
                <w:color w:val="auto"/>
                <w:sz w:val="21"/>
                <w:szCs w:val="21"/>
                <w:highlight w:val="none"/>
              </w:rPr>
            </w:pPr>
          </w:p>
        </w:tc>
      </w:tr>
      <w:tr w14:paraId="2A6C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7C193C86">
            <w:pPr>
              <w:rPr>
                <w:rFonts w:ascii="Times New Roman" w:hAnsi="Times New Roman"/>
                <w:color w:val="auto"/>
                <w:sz w:val="21"/>
                <w:szCs w:val="21"/>
                <w:highlight w:val="none"/>
              </w:rPr>
            </w:pPr>
          </w:p>
        </w:tc>
        <w:tc>
          <w:tcPr>
            <w:tcW w:w="568" w:type="pct"/>
          </w:tcPr>
          <w:p w14:paraId="765AB7F1">
            <w:pPr>
              <w:rPr>
                <w:rFonts w:ascii="Times New Roman" w:hAnsi="Times New Roman"/>
                <w:color w:val="auto"/>
                <w:sz w:val="21"/>
                <w:szCs w:val="21"/>
                <w:highlight w:val="none"/>
              </w:rPr>
            </w:pPr>
          </w:p>
        </w:tc>
        <w:tc>
          <w:tcPr>
            <w:tcW w:w="1251" w:type="pct"/>
          </w:tcPr>
          <w:p w14:paraId="508D1F29">
            <w:pPr>
              <w:rPr>
                <w:rFonts w:ascii="Times New Roman" w:hAnsi="Times New Roman"/>
                <w:color w:val="auto"/>
                <w:sz w:val="21"/>
                <w:szCs w:val="21"/>
                <w:highlight w:val="none"/>
              </w:rPr>
            </w:pPr>
          </w:p>
        </w:tc>
        <w:tc>
          <w:tcPr>
            <w:tcW w:w="1251" w:type="pct"/>
          </w:tcPr>
          <w:p w14:paraId="6B2E2B12">
            <w:pPr>
              <w:rPr>
                <w:rFonts w:ascii="Times New Roman" w:hAnsi="Times New Roman"/>
                <w:color w:val="auto"/>
                <w:sz w:val="21"/>
                <w:szCs w:val="21"/>
                <w:highlight w:val="none"/>
              </w:rPr>
            </w:pPr>
          </w:p>
        </w:tc>
        <w:tc>
          <w:tcPr>
            <w:tcW w:w="781" w:type="pct"/>
          </w:tcPr>
          <w:p w14:paraId="399D8FBE">
            <w:pPr>
              <w:rPr>
                <w:rFonts w:ascii="Times New Roman" w:hAnsi="Times New Roman"/>
                <w:color w:val="auto"/>
                <w:sz w:val="21"/>
                <w:szCs w:val="21"/>
                <w:highlight w:val="none"/>
              </w:rPr>
            </w:pPr>
          </w:p>
        </w:tc>
        <w:tc>
          <w:tcPr>
            <w:tcW w:w="781" w:type="pct"/>
          </w:tcPr>
          <w:p w14:paraId="2A0D4A2B">
            <w:pPr>
              <w:rPr>
                <w:rFonts w:ascii="Times New Roman" w:hAnsi="Times New Roman"/>
                <w:color w:val="auto"/>
                <w:sz w:val="21"/>
                <w:szCs w:val="21"/>
                <w:highlight w:val="none"/>
              </w:rPr>
            </w:pPr>
          </w:p>
        </w:tc>
      </w:tr>
      <w:tr w14:paraId="6425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5F9C125E">
            <w:pPr>
              <w:rPr>
                <w:rFonts w:ascii="Times New Roman" w:hAnsi="Times New Roman"/>
                <w:color w:val="auto"/>
                <w:sz w:val="21"/>
                <w:szCs w:val="21"/>
                <w:highlight w:val="none"/>
              </w:rPr>
            </w:pPr>
          </w:p>
        </w:tc>
        <w:tc>
          <w:tcPr>
            <w:tcW w:w="568" w:type="pct"/>
          </w:tcPr>
          <w:p w14:paraId="3C8F1C38">
            <w:pPr>
              <w:rPr>
                <w:rFonts w:ascii="Times New Roman" w:hAnsi="Times New Roman"/>
                <w:color w:val="auto"/>
                <w:sz w:val="21"/>
                <w:szCs w:val="21"/>
                <w:highlight w:val="none"/>
              </w:rPr>
            </w:pPr>
          </w:p>
        </w:tc>
        <w:tc>
          <w:tcPr>
            <w:tcW w:w="1251" w:type="pct"/>
          </w:tcPr>
          <w:p w14:paraId="06C623A7">
            <w:pPr>
              <w:rPr>
                <w:rFonts w:ascii="Times New Roman" w:hAnsi="Times New Roman"/>
                <w:color w:val="auto"/>
                <w:sz w:val="21"/>
                <w:szCs w:val="21"/>
                <w:highlight w:val="none"/>
              </w:rPr>
            </w:pPr>
          </w:p>
        </w:tc>
        <w:tc>
          <w:tcPr>
            <w:tcW w:w="1251" w:type="pct"/>
          </w:tcPr>
          <w:p w14:paraId="56EF1780">
            <w:pPr>
              <w:rPr>
                <w:rFonts w:ascii="Times New Roman" w:hAnsi="Times New Roman"/>
                <w:color w:val="auto"/>
                <w:sz w:val="21"/>
                <w:szCs w:val="21"/>
                <w:highlight w:val="none"/>
              </w:rPr>
            </w:pPr>
          </w:p>
        </w:tc>
        <w:tc>
          <w:tcPr>
            <w:tcW w:w="781" w:type="pct"/>
          </w:tcPr>
          <w:p w14:paraId="74A29BC7">
            <w:pPr>
              <w:rPr>
                <w:rFonts w:ascii="Times New Roman" w:hAnsi="Times New Roman"/>
                <w:color w:val="auto"/>
                <w:sz w:val="21"/>
                <w:szCs w:val="21"/>
                <w:highlight w:val="none"/>
              </w:rPr>
            </w:pPr>
          </w:p>
        </w:tc>
        <w:tc>
          <w:tcPr>
            <w:tcW w:w="781" w:type="pct"/>
          </w:tcPr>
          <w:p w14:paraId="24EAC9AF">
            <w:pPr>
              <w:rPr>
                <w:rFonts w:ascii="Times New Roman" w:hAnsi="Times New Roman"/>
                <w:color w:val="auto"/>
                <w:sz w:val="21"/>
                <w:szCs w:val="21"/>
                <w:highlight w:val="none"/>
              </w:rPr>
            </w:pPr>
          </w:p>
        </w:tc>
      </w:tr>
      <w:tr w14:paraId="7673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003E3EBB">
            <w:pPr>
              <w:rPr>
                <w:rFonts w:ascii="Times New Roman" w:hAnsi="Times New Roman"/>
                <w:color w:val="auto"/>
                <w:sz w:val="21"/>
                <w:szCs w:val="21"/>
                <w:highlight w:val="none"/>
              </w:rPr>
            </w:pPr>
          </w:p>
        </w:tc>
        <w:tc>
          <w:tcPr>
            <w:tcW w:w="568" w:type="pct"/>
          </w:tcPr>
          <w:p w14:paraId="6922185A">
            <w:pPr>
              <w:rPr>
                <w:rFonts w:ascii="Times New Roman" w:hAnsi="Times New Roman"/>
                <w:color w:val="auto"/>
                <w:sz w:val="21"/>
                <w:szCs w:val="21"/>
                <w:highlight w:val="none"/>
              </w:rPr>
            </w:pPr>
          </w:p>
        </w:tc>
        <w:tc>
          <w:tcPr>
            <w:tcW w:w="1251" w:type="pct"/>
          </w:tcPr>
          <w:p w14:paraId="79031CBA">
            <w:pPr>
              <w:rPr>
                <w:rFonts w:ascii="Times New Roman" w:hAnsi="Times New Roman"/>
                <w:color w:val="auto"/>
                <w:sz w:val="21"/>
                <w:szCs w:val="21"/>
                <w:highlight w:val="none"/>
              </w:rPr>
            </w:pPr>
          </w:p>
        </w:tc>
        <w:tc>
          <w:tcPr>
            <w:tcW w:w="1251" w:type="pct"/>
          </w:tcPr>
          <w:p w14:paraId="32CE56CC">
            <w:pPr>
              <w:rPr>
                <w:rFonts w:ascii="Times New Roman" w:hAnsi="Times New Roman"/>
                <w:color w:val="auto"/>
                <w:sz w:val="21"/>
                <w:szCs w:val="21"/>
                <w:highlight w:val="none"/>
              </w:rPr>
            </w:pPr>
          </w:p>
        </w:tc>
        <w:tc>
          <w:tcPr>
            <w:tcW w:w="781" w:type="pct"/>
          </w:tcPr>
          <w:p w14:paraId="3AFBA1CB">
            <w:pPr>
              <w:rPr>
                <w:rFonts w:ascii="Times New Roman" w:hAnsi="Times New Roman"/>
                <w:color w:val="auto"/>
                <w:sz w:val="21"/>
                <w:szCs w:val="21"/>
                <w:highlight w:val="none"/>
              </w:rPr>
            </w:pPr>
          </w:p>
        </w:tc>
        <w:tc>
          <w:tcPr>
            <w:tcW w:w="781" w:type="pct"/>
          </w:tcPr>
          <w:p w14:paraId="0675040B">
            <w:pPr>
              <w:rPr>
                <w:rFonts w:ascii="Times New Roman" w:hAnsi="Times New Roman"/>
                <w:color w:val="auto"/>
                <w:sz w:val="21"/>
                <w:szCs w:val="21"/>
                <w:highlight w:val="none"/>
              </w:rPr>
            </w:pPr>
          </w:p>
        </w:tc>
      </w:tr>
      <w:tr w14:paraId="308F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089EBC16">
            <w:pPr>
              <w:rPr>
                <w:rFonts w:ascii="Times New Roman" w:hAnsi="Times New Roman"/>
                <w:color w:val="auto"/>
                <w:sz w:val="21"/>
                <w:szCs w:val="21"/>
                <w:highlight w:val="none"/>
              </w:rPr>
            </w:pPr>
          </w:p>
        </w:tc>
        <w:tc>
          <w:tcPr>
            <w:tcW w:w="568" w:type="pct"/>
          </w:tcPr>
          <w:p w14:paraId="556DE936">
            <w:pPr>
              <w:rPr>
                <w:rFonts w:ascii="Times New Roman" w:hAnsi="Times New Roman"/>
                <w:color w:val="auto"/>
                <w:sz w:val="21"/>
                <w:szCs w:val="21"/>
                <w:highlight w:val="none"/>
              </w:rPr>
            </w:pPr>
          </w:p>
        </w:tc>
        <w:tc>
          <w:tcPr>
            <w:tcW w:w="1251" w:type="pct"/>
          </w:tcPr>
          <w:p w14:paraId="0110F302">
            <w:pPr>
              <w:rPr>
                <w:rFonts w:ascii="Times New Roman" w:hAnsi="Times New Roman"/>
                <w:color w:val="auto"/>
                <w:sz w:val="21"/>
                <w:szCs w:val="21"/>
                <w:highlight w:val="none"/>
              </w:rPr>
            </w:pPr>
          </w:p>
        </w:tc>
        <w:tc>
          <w:tcPr>
            <w:tcW w:w="1251" w:type="pct"/>
          </w:tcPr>
          <w:p w14:paraId="47622D42">
            <w:pPr>
              <w:rPr>
                <w:rFonts w:ascii="Times New Roman" w:hAnsi="Times New Roman"/>
                <w:color w:val="auto"/>
                <w:sz w:val="21"/>
                <w:szCs w:val="21"/>
                <w:highlight w:val="none"/>
              </w:rPr>
            </w:pPr>
          </w:p>
        </w:tc>
        <w:tc>
          <w:tcPr>
            <w:tcW w:w="781" w:type="pct"/>
          </w:tcPr>
          <w:p w14:paraId="4D28F0C7">
            <w:pPr>
              <w:rPr>
                <w:rFonts w:ascii="Times New Roman" w:hAnsi="Times New Roman"/>
                <w:color w:val="auto"/>
                <w:sz w:val="21"/>
                <w:szCs w:val="21"/>
                <w:highlight w:val="none"/>
              </w:rPr>
            </w:pPr>
          </w:p>
        </w:tc>
        <w:tc>
          <w:tcPr>
            <w:tcW w:w="781" w:type="pct"/>
          </w:tcPr>
          <w:p w14:paraId="03873EC9">
            <w:pPr>
              <w:rPr>
                <w:rFonts w:ascii="Times New Roman" w:hAnsi="Times New Roman"/>
                <w:color w:val="auto"/>
                <w:sz w:val="21"/>
                <w:szCs w:val="21"/>
                <w:highlight w:val="none"/>
              </w:rPr>
            </w:pPr>
          </w:p>
        </w:tc>
      </w:tr>
      <w:tr w14:paraId="2A88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6" w:type="pct"/>
          </w:tcPr>
          <w:p w14:paraId="2978D506">
            <w:pPr>
              <w:rPr>
                <w:rFonts w:ascii="Times New Roman" w:hAnsi="Times New Roman"/>
                <w:color w:val="auto"/>
                <w:sz w:val="21"/>
                <w:szCs w:val="21"/>
                <w:highlight w:val="none"/>
              </w:rPr>
            </w:pPr>
          </w:p>
        </w:tc>
        <w:tc>
          <w:tcPr>
            <w:tcW w:w="568" w:type="pct"/>
          </w:tcPr>
          <w:p w14:paraId="68FC39AD">
            <w:pPr>
              <w:rPr>
                <w:rFonts w:ascii="Times New Roman" w:hAnsi="Times New Roman"/>
                <w:color w:val="auto"/>
                <w:sz w:val="21"/>
                <w:szCs w:val="21"/>
                <w:highlight w:val="none"/>
              </w:rPr>
            </w:pPr>
          </w:p>
        </w:tc>
        <w:tc>
          <w:tcPr>
            <w:tcW w:w="1251" w:type="pct"/>
          </w:tcPr>
          <w:p w14:paraId="00B89437">
            <w:pPr>
              <w:rPr>
                <w:rFonts w:ascii="Times New Roman" w:hAnsi="Times New Roman"/>
                <w:color w:val="auto"/>
                <w:sz w:val="21"/>
                <w:szCs w:val="21"/>
                <w:highlight w:val="none"/>
              </w:rPr>
            </w:pPr>
          </w:p>
        </w:tc>
        <w:tc>
          <w:tcPr>
            <w:tcW w:w="1251" w:type="pct"/>
          </w:tcPr>
          <w:p w14:paraId="512F8DE7">
            <w:pPr>
              <w:rPr>
                <w:rFonts w:ascii="Times New Roman" w:hAnsi="Times New Roman"/>
                <w:color w:val="auto"/>
                <w:sz w:val="21"/>
                <w:szCs w:val="21"/>
                <w:highlight w:val="none"/>
              </w:rPr>
            </w:pPr>
          </w:p>
        </w:tc>
        <w:tc>
          <w:tcPr>
            <w:tcW w:w="781" w:type="pct"/>
          </w:tcPr>
          <w:p w14:paraId="2187595D">
            <w:pPr>
              <w:rPr>
                <w:rFonts w:ascii="Times New Roman" w:hAnsi="Times New Roman"/>
                <w:color w:val="auto"/>
                <w:sz w:val="21"/>
                <w:szCs w:val="21"/>
                <w:highlight w:val="none"/>
              </w:rPr>
            </w:pPr>
          </w:p>
        </w:tc>
        <w:tc>
          <w:tcPr>
            <w:tcW w:w="781" w:type="pct"/>
          </w:tcPr>
          <w:p w14:paraId="4E1C55BB">
            <w:pPr>
              <w:rPr>
                <w:rFonts w:ascii="Times New Roman" w:hAnsi="Times New Roman"/>
                <w:color w:val="auto"/>
                <w:sz w:val="21"/>
                <w:szCs w:val="21"/>
                <w:highlight w:val="none"/>
              </w:rPr>
            </w:pPr>
          </w:p>
        </w:tc>
      </w:tr>
    </w:tbl>
    <w:p w14:paraId="4723B352">
      <w:pPr>
        <w:ind w:firstLine="1265" w:firstLineChars="600"/>
        <w:rPr>
          <w:rFonts w:ascii="宋体" w:hAnsi="Times New Roman"/>
          <w:b/>
          <w:bCs/>
          <w:color w:val="auto"/>
          <w:sz w:val="21"/>
          <w:szCs w:val="21"/>
          <w:highlight w:val="none"/>
        </w:rPr>
      </w:pPr>
    </w:p>
    <w:p w14:paraId="2F4BCF58">
      <w:pPr>
        <w:pStyle w:val="19"/>
        <w:adjustRightInd w:val="0"/>
        <w:snapToGrid w:val="0"/>
        <w:spacing w:after="0" w:line="360" w:lineRule="auto"/>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注：1.本部分内容均为实质性条款，供应商的投标(响应)必须完全满足，否则按照投标(响应)无效处理；</w:t>
      </w:r>
    </w:p>
    <w:p w14:paraId="426DC593">
      <w:pPr>
        <w:pStyle w:val="19"/>
        <w:numPr>
          <w:ilvl w:val="0"/>
          <w:numId w:val="0"/>
        </w:numPr>
        <w:adjustRightInd w:val="0"/>
        <w:snapToGrid w:val="0"/>
        <w:spacing w:after="0" w:line="360" w:lineRule="auto"/>
        <w:ind w:left="420"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供应商如实填写“投标文件对应技术参数”内容，可优于招标文件规定，视为正偏离；</w:t>
      </w:r>
    </w:p>
    <w:p w14:paraId="12E9068F">
      <w:pPr>
        <w:pStyle w:val="19"/>
        <w:numPr>
          <w:ilvl w:val="0"/>
          <w:numId w:val="0"/>
        </w:numPr>
        <w:adjustRightInd w:val="0"/>
        <w:snapToGrid w:val="0"/>
        <w:spacing w:after="0" w:line="360" w:lineRule="auto"/>
        <w:ind w:left="420"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“偏离情况”一栏中必须如实逐项填写“正偏离”、“负偏离”或“无偏离”；</w:t>
      </w:r>
    </w:p>
    <w:p w14:paraId="010CFF92">
      <w:pPr>
        <w:pStyle w:val="19"/>
        <w:numPr>
          <w:ilvl w:val="0"/>
          <w:numId w:val="0"/>
        </w:numPr>
        <w:adjustRightInd w:val="0"/>
        <w:snapToGrid w:val="0"/>
        <w:spacing w:after="0" w:line="360" w:lineRule="auto"/>
        <w:ind w:left="420" w:leftChars="0"/>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 xml:space="preserve">4.“说明”一栏中为除以上所述内容外，投标人认为本表格需要提供的其他内容,此表可自行扩展。   </w:t>
      </w:r>
      <w:r>
        <w:rPr>
          <w:rFonts w:hint="eastAsia" w:ascii="宋体" w:hAnsi="宋体" w:eastAsia="宋体" w:cs="宋体"/>
          <w:b/>
          <w:bCs/>
          <w:color w:val="auto"/>
          <w:sz w:val="21"/>
          <w:szCs w:val="21"/>
          <w:highlight w:val="none"/>
        </w:rPr>
        <w:t xml:space="preserve">  </w:t>
      </w:r>
    </w:p>
    <w:p w14:paraId="032509AE">
      <w:pPr>
        <w:pStyle w:val="19"/>
        <w:adjustRightInd w:val="0"/>
        <w:snapToGrid w:val="0"/>
        <w:spacing w:after="0" w:line="360" w:lineRule="auto"/>
        <w:ind w:left="0" w:leftChars="0"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须结合第五章《采购需求》内容点对点应答，</w:t>
      </w:r>
      <w:r>
        <w:rPr>
          <w:rFonts w:hint="eastAsia" w:ascii="宋体" w:hAnsi="宋体" w:eastAsia="宋体" w:cs="宋体"/>
          <w:b/>
          <w:bCs/>
          <w:color w:val="auto"/>
          <w:sz w:val="21"/>
          <w:szCs w:val="21"/>
          <w:highlight w:val="none"/>
          <w:lang w:val="en-US" w:eastAsia="zh-CN"/>
        </w:rPr>
        <w:t>对于</w:t>
      </w:r>
      <w:r>
        <w:rPr>
          <w:rFonts w:hint="eastAsia" w:ascii="宋体" w:hAnsi="宋体" w:eastAsia="宋体" w:cs="宋体"/>
          <w:b/>
          <w:bCs/>
          <w:color w:val="auto"/>
          <w:sz w:val="21"/>
          <w:szCs w:val="21"/>
          <w:highlight w:val="none"/>
        </w:rPr>
        <w:t>《采购需求》内容中实质性</w:t>
      </w:r>
      <w:r>
        <w:rPr>
          <w:rFonts w:hint="eastAsia" w:ascii="宋体" w:hAnsi="宋体" w:eastAsia="宋体" w:cs="宋体"/>
          <w:b/>
          <w:bCs/>
          <w:color w:val="auto"/>
          <w:sz w:val="21"/>
          <w:szCs w:val="21"/>
          <w:highlight w:val="none"/>
          <w:lang w:val="en-US" w:eastAsia="zh-CN"/>
        </w:rPr>
        <w:t>条款</w:t>
      </w:r>
      <w:r>
        <w:rPr>
          <w:rFonts w:hint="eastAsia" w:ascii="宋体" w:hAnsi="宋体" w:eastAsia="宋体" w:cs="宋体"/>
          <w:b/>
          <w:bCs/>
          <w:color w:val="auto"/>
          <w:sz w:val="21"/>
          <w:szCs w:val="21"/>
          <w:highlight w:val="none"/>
        </w:rPr>
        <w:t>要求，如有任何一条负偏离或不满足则导致投标无效。</w:t>
      </w:r>
    </w:p>
    <w:p w14:paraId="6109F18A">
      <w:pPr>
        <w:ind w:firstLine="3990" w:firstLineChars="1900"/>
        <w:rPr>
          <w:rFonts w:ascii="宋体" w:hAnsi="宋体" w:eastAsia="宋体" w:cs="宋体"/>
          <w:color w:val="auto"/>
          <w:sz w:val="21"/>
          <w:szCs w:val="21"/>
          <w:highlight w:val="none"/>
          <w:lang w:val="zh-CN"/>
        </w:rPr>
      </w:pPr>
    </w:p>
    <w:p w14:paraId="7AC6FD10">
      <w:pPr>
        <w:ind w:firstLine="3990" w:firstLineChars="1900"/>
        <w:rPr>
          <w:rFonts w:ascii="宋体" w:hAnsi="宋体" w:eastAsia="宋体" w:cs="宋体"/>
          <w:color w:val="auto"/>
          <w:sz w:val="21"/>
          <w:szCs w:val="21"/>
          <w:highlight w:val="none"/>
          <w:lang w:val="zh-CN"/>
        </w:rPr>
      </w:pPr>
    </w:p>
    <w:p w14:paraId="2BB887E7">
      <w:pPr>
        <w:keepNext w:val="0"/>
        <w:keepLines w:val="0"/>
        <w:pageBreakBefore w:val="0"/>
        <w:widowControl w:val="0"/>
        <w:kinsoku/>
        <w:wordWrap/>
        <w:overflowPunct/>
        <w:topLinePunct w:val="0"/>
        <w:autoSpaceDE/>
        <w:autoSpaceDN/>
        <w:bidi w:val="0"/>
        <w:adjustRightInd/>
        <w:snapToGrid/>
        <w:spacing w:line="360" w:lineRule="auto"/>
        <w:ind w:firstLine="3990" w:firstLineChars="1900"/>
        <w:textAlignment w:val="auto"/>
        <w:rPr>
          <w:rFonts w:ascii="宋体" w:hAnsi="Times New Roman"/>
          <w:color w:val="auto"/>
          <w:sz w:val="21"/>
          <w:szCs w:val="21"/>
          <w:highlight w:val="none"/>
          <w:u w:val="single"/>
        </w:rPr>
      </w:pPr>
      <w:r>
        <w:rPr>
          <w:rFonts w:hint="eastAsia" w:ascii="宋体" w:hAnsi="宋体" w:eastAsia="宋体" w:cs="宋体"/>
          <w:color w:val="auto"/>
          <w:sz w:val="21"/>
          <w:szCs w:val="21"/>
          <w:highlight w:val="none"/>
          <w:lang w:val="zh-CN"/>
        </w:rPr>
        <w:t>供应商全称</w:t>
      </w:r>
      <w:r>
        <w:rPr>
          <w:rFonts w:hint="eastAsia" w:ascii="宋体" w:hAnsi="宋体" w:eastAsia="宋体" w:cs="黑体"/>
          <w:b w:val="0"/>
          <w:bCs w:val="0"/>
          <w:color w:val="auto"/>
          <w:sz w:val="21"/>
          <w:szCs w:val="21"/>
          <w:highlight w:val="none"/>
          <w:lang w:val="zh-CN"/>
        </w:rPr>
        <w:t>（加盖供应商公章）</w:t>
      </w:r>
      <w:r>
        <w:rPr>
          <w:rFonts w:hint="eastAsia" w:ascii="宋体" w:hAnsi="Times New Roman"/>
          <w:color w:val="auto"/>
          <w:sz w:val="21"/>
          <w:szCs w:val="21"/>
          <w:highlight w:val="none"/>
        </w:rPr>
        <w:t>：</w:t>
      </w:r>
    </w:p>
    <w:p w14:paraId="085A86BF">
      <w:pPr>
        <w:pageBreakBefore w:val="0"/>
        <w:kinsoku/>
        <w:wordWrap w:val="0"/>
        <w:overflowPunct/>
        <w:bidi w:val="0"/>
        <w:spacing w:before="156" w:beforeLines="50" w:after="156" w:afterLines="50"/>
        <w:jc w:val="center"/>
        <w:outlineLvl w:val="0"/>
        <w:rPr>
          <w:rFonts w:hint="eastAsia" w:ascii="宋体" w:hAnsi="Times New Roman"/>
          <w:color w:val="auto"/>
          <w:sz w:val="21"/>
          <w:szCs w:val="21"/>
          <w:highlight w:val="none"/>
        </w:rPr>
      </w:pPr>
      <w:r>
        <w:rPr>
          <w:rFonts w:hint="eastAsia" w:ascii="宋体" w:hAnsi="Times New Roman"/>
          <w:color w:val="auto"/>
          <w:sz w:val="21"/>
          <w:szCs w:val="21"/>
          <w:highlight w:val="none"/>
        </w:rPr>
        <w:t xml:space="preserve">                                                 日期：</w:t>
      </w:r>
    </w:p>
    <w:p w14:paraId="3EE73C24">
      <w:pPr>
        <w:rPr>
          <w:rFonts w:hint="eastAsia" w:ascii="宋体" w:hAnsi="Times New Roman"/>
          <w:color w:val="auto"/>
          <w:sz w:val="24"/>
          <w:szCs w:val="24"/>
          <w:highlight w:val="none"/>
        </w:rPr>
      </w:pPr>
      <w:r>
        <w:rPr>
          <w:rFonts w:hint="eastAsia" w:ascii="宋体" w:hAnsi="Times New Roman"/>
          <w:color w:val="auto"/>
          <w:sz w:val="24"/>
          <w:szCs w:val="24"/>
          <w:highlight w:val="none"/>
        </w:rPr>
        <w:br w:type="page"/>
      </w:r>
    </w:p>
    <w:p w14:paraId="6F54EBFF">
      <w:pPr>
        <w:pageBreakBefore w:val="0"/>
        <w:kinsoku/>
        <w:wordWrap w:val="0"/>
        <w:overflowPunct/>
        <w:bidi w:val="0"/>
        <w:spacing w:before="156" w:beforeLines="50" w:after="156" w:afterLines="50"/>
        <w:jc w:val="center"/>
        <w:outlineLvl w:val="0"/>
        <w:rPr>
          <w:rFonts w:hint="eastAsia" w:ascii="宋体"/>
          <w:b/>
          <w:bCs/>
          <w:sz w:val="32"/>
          <w:szCs w:val="32"/>
          <w:highlight w:val="none"/>
        </w:rPr>
      </w:pPr>
      <w:r>
        <w:rPr>
          <w:rFonts w:hint="eastAsia" w:ascii="宋体" w:cs="宋体-18030"/>
          <w:b/>
          <w:sz w:val="32"/>
          <w:szCs w:val="32"/>
          <w:highlight w:val="none"/>
          <w:lang w:val="en-US" w:eastAsia="zh-CN"/>
        </w:rPr>
        <w:t>十</w:t>
      </w:r>
      <w:r>
        <w:rPr>
          <w:rFonts w:hint="eastAsia" w:ascii="宋体" w:cs="宋体-18030"/>
          <w:b/>
          <w:sz w:val="32"/>
          <w:szCs w:val="32"/>
          <w:highlight w:val="none"/>
          <w:lang w:val="zh-CN"/>
        </w:rPr>
        <w:t>、其他资料</w:t>
      </w:r>
      <w:bookmarkEnd w:id="452"/>
      <w:bookmarkEnd w:id="453"/>
    </w:p>
    <w:p w14:paraId="2EC6D094">
      <w:pPr>
        <w:pageBreakBefore w:val="0"/>
        <w:kinsoku/>
        <w:wordWrap w:val="0"/>
        <w:overflowPunct/>
        <w:bidi w:val="0"/>
        <w:spacing w:before="156" w:beforeLines="50" w:after="156" w:afterLines="50"/>
        <w:jc w:val="center"/>
        <w:rPr>
          <w:rFonts w:hint="eastAsia" w:ascii="宋体"/>
          <w:bCs/>
          <w:sz w:val="24"/>
          <w:highlight w:val="none"/>
        </w:rPr>
      </w:pPr>
    </w:p>
    <w:p w14:paraId="776742F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Style w:val="23"/>
          <w:rFonts w:hint="eastAsia" w:ascii="仿宋" w:hAnsi="仿宋" w:eastAsia="仿宋" w:cs="仿宋"/>
          <w:i w:val="0"/>
          <w:iCs w:val="0"/>
          <w:caps w:val="0"/>
          <w:color w:val="000000"/>
          <w:spacing w:val="0"/>
          <w:sz w:val="36"/>
          <w:szCs w:val="36"/>
          <w:shd w:val="clear" w:fill="FFFFFF"/>
          <w:vertAlign w:val="baseline"/>
        </w:rPr>
        <w:sectPr>
          <w:headerReference r:id="rId18" w:type="default"/>
          <w:footerReference r:id="rId19" w:type="default"/>
          <w:pgSz w:w="11906" w:h="16838"/>
          <w:pgMar w:top="1644" w:right="1588" w:bottom="1644" w:left="1588" w:header="851" w:footer="992" w:gutter="0"/>
          <w:pgNumType w:fmt="decimal"/>
          <w:cols w:space="720" w:num="1"/>
          <w:docGrid w:type="lines" w:linePitch="312" w:charSpace="0"/>
        </w:sectPr>
      </w:pPr>
      <w:bookmarkStart w:id="454" w:name="_Toc20839"/>
      <w:bookmarkStart w:id="455" w:name="_Toc23269"/>
    </w:p>
    <w:p w14:paraId="4B25ECD5">
      <w:pPr>
        <w:pageBreakBefore w:val="0"/>
        <w:widowControl/>
        <w:kinsoku/>
        <w:wordWrap w:val="0"/>
        <w:overflowPunct/>
        <w:bidi w:val="0"/>
        <w:adjustRightInd w:val="0"/>
        <w:snapToGrid w:val="0"/>
        <w:spacing w:before="0" w:after="0" w:line="360" w:lineRule="auto"/>
        <w:outlineLvl w:val="9"/>
        <w:rPr>
          <w:rFonts w:hint="eastAsia" w:ascii="宋体"/>
          <w:bCs/>
          <w:kern w:val="44"/>
          <w:szCs w:val="21"/>
          <w:highlight w:val="none"/>
        </w:rPr>
      </w:pPr>
    </w:p>
    <w:p w14:paraId="2B16B3F0">
      <w:pPr>
        <w:pageBreakBefore w:val="0"/>
        <w:kinsoku/>
        <w:wordWrap w:val="0"/>
        <w:overflowPunct/>
        <w:bidi w:val="0"/>
        <w:jc w:val="center"/>
        <w:rPr>
          <w:rFonts w:hint="eastAsia" w:ascii="宋体" w:eastAsia="宋体" w:cs="宋体"/>
          <w:b/>
          <w:bCs/>
          <w:sz w:val="30"/>
          <w:szCs w:val="30"/>
          <w:highlight w:val="none"/>
          <w:lang w:eastAsia="zh-CN"/>
        </w:rPr>
      </w:pPr>
      <w:r>
        <w:rPr>
          <w:rFonts w:hint="eastAsia" w:ascii="宋体" w:cs="宋体"/>
          <w:b/>
          <w:bCs/>
          <w:sz w:val="30"/>
          <w:szCs w:val="30"/>
          <w:highlight w:val="none"/>
        </w:rPr>
        <w:t>中小企业声明函（货物）</w:t>
      </w:r>
      <w:r>
        <w:rPr>
          <w:rFonts w:hint="eastAsia" w:ascii="宋体" w:cs="宋体"/>
          <w:b/>
          <w:bCs/>
          <w:sz w:val="30"/>
          <w:szCs w:val="30"/>
          <w:highlight w:val="none"/>
          <w:lang w:eastAsia="zh-CN"/>
        </w:rPr>
        <w:t>（</w:t>
      </w:r>
      <w:r>
        <w:rPr>
          <w:rFonts w:hint="eastAsia" w:ascii="宋体" w:cs="宋体"/>
          <w:b/>
          <w:bCs/>
          <w:sz w:val="30"/>
          <w:szCs w:val="30"/>
          <w:highlight w:val="none"/>
          <w:lang w:val="en-US" w:eastAsia="zh-CN"/>
        </w:rPr>
        <w:t>如有</w:t>
      </w:r>
      <w:r>
        <w:rPr>
          <w:rFonts w:hint="eastAsia" w:ascii="宋体" w:cs="宋体"/>
          <w:b/>
          <w:bCs/>
          <w:sz w:val="30"/>
          <w:szCs w:val="30"/>
          <w:highlight w:val="none"/>
          <w:lang w:eastAsia="zh-CN"/>
        </w:rPr>
        <w:t>）</w:t>
      </w:r>
    </w:p>
    <w:p w14:paraId="65A32DC8">
      <w:pPr>
        <w:pageBreakBefore w:val="0"/>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rPr>
        <w:t>本公司（联合体）郑重声明，根据《政府采购促进中小 企业发展管理办法》（财库﹝2020﹞46 号）的规定，本公司 （联合体）参加</w:t>
      </w:r>
      <w:r>
        <w:rPr>
          <w:rFonts w:hint="eastAsia" w:ascii="宋体" w:cs="宋体"/>
          <w:sz w:val="21"/>
          <w:szCs w:val="21"/>
          <w:highlight w:val="none"/>
          <w:u w:val="single"/>
        </w:rPr>
        <w:t>（单位名称）</w:t>
      </w:r>
      <w:r>
        <w:rPr>
          <w:rFonts w:hint="eastAsia" w:ascii="宋体" w:cs="宋体"/>
          <w:sz w:val="21"/>
          <w:szCs w:val="21"/>
          <w:highlight w:val="none"/>
        </w:rPr>
        <w:t>的</w:t>
      </w:r>
      <w:r>
        <w:rPr>
          <w:rFonts w:hint="eastAsia" w:ascii="宋体" w:cs="宋体"/>
          <w:sz w:val="21"/>
          <w:szCs w:val="21"/>
          <w:highlight w:val="none"/>
          <w:u w:val="single"/>
        </w:rPr>
        <w:t>（项目名称）</w:t>
      </w:r>
      <w:r>
        <w:rPr>
          <w:rFonts w:hint="eastAsia" w:ascii="宋体" w:cs="宋体"/>
          <w:sz w:val="21"/>
          <w:szCs w:val="21"/>
          <w:highlight w:val="none"/>
        </w:rPr>
        <w:t>采购活动，提供的货物全部由符合政策要求的中小企业制造。相关企业 （含联合体中的中小企业、签订分包意向协议的中小企业） 的具体情况如下：</w:t>
      </w:r>
    </w:p>
    <w:p w14:paraId="2C16AEA1">
      <w:pPr>
        <w:pageBreakBefore w:val="0"/>
        <w:numPr>
          <w:ilvl w:val="0"/>
          <w:numId w:val="4"/>
        </w:numPr>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u w:val="single"/>
        </w:rPr>
        <w:t>（标的名称）</w:t>
      </w:r>
      <w:r>
        <w:rPr>
          <w:rFonts w:hint="eastAsia" w:ascii="宋体" w:cs="宋体"/>
          <w:sz w:val="21"/>
          <w:szCs w:val="21"/>
          <w:highlight w:val="none"/>
        </w:rPr>
        <w:t xml:space="preserve"> ，属于</w:t>
      </w:r>
      <w:r>
        <w:rPr>
          <w:rFonts w:hint="eastAsia" w:ascii="宋体" w:cs="宋体"/>
          <w:sz w:val="21"/>
          <w:szCs w:val="21"/>
          <w:highlight w:val="none"/>
          <w:u w:val="single"/>
        </w:rPr>
        <w:t xml:space="preserve">                  </w:t>
      </w:r>
      <w:r>
        <w:rPr>
          <w:rFonts w:hint="eastAsia" w:ascii="宋体" w:cs="宋体"/>
          <w:sz w:val="21"/>
          <w:szCs w:val="21"/>
          <w:highlight w:val="none"/>
        </w:rPr>
        <w:t>行业；制造商为</w:t>
      </w:r>
      <w:r>
        <w:rPr>
          <w:rFonts w:hint="eastAsia" w:ascii="宋体" w:cs="宋体"/>
          <w:sz w:val="21"/>
          <w:szCs w:val="21"/>
          <w:highlight w:val="none"/>
          <w:u w:val="single"/>
        </w:rPr>
        <w:t>（企业名称）</w:t>
      </w:r>
      <w:r>
        <w:rPr>
          <w:rFonts w:hint="eastAsia" w:ascii="宋体" w:cs="宋体"/>
          <w:sz w:val="21"/>
          <w:szCs w:val="21"/>
          <w:highlight w:val="none"/>
        </w:rPr>
        <w:t>，从业人员</w:t>
      </w:r>
      <w:r>
        <w:rPr>
          <w:rFonts w:hint="eastAsia" w:ascii="宋体" w:cs="宋体"/>
          <w:sz w:val="21"/>
          <w:szCs w:val="21"/>
          <w:highlight w:val="none"/>
          <w:u w:val="single"/>
        </w:rPr>
        <w:t xml:space="preserve">    </w:t>
      </w:r>
      <w:r>
        <w:rPr>
          <w:rFonts w:hint="eastAsia" w:ascii="宋体" w:cs="宋体"/>
          <w:sz w:val="21"/>
          <w:szCs w:val="21"/>
          <w:highlight w:val="none"/>
        </w:rPr>
        <w:t>人，营业收 入为</w:t>
      </w:r>
      <w:r>
        <w:rPr>
          <w:rFonts w:hint="eastAsia" w:ascii="宋体" w:cs="宋体"/>
          <w:sz w:val="21"/>
          <w:szCs w:val="21"/>
          <w:highlight w:val="none"/>
          <w:u w:val="single"/>
        </w:rPr>
        <w:t xml:space="preserve">    </w:t>
      </w:r>
      <w:r>
        <w:rPr>
          <w:rFonts w:hint="eastAsia" w:ascii="宋体" w:cs="宋体"/>
          <w:sz w:val="21"/>
          <w:szCs w:val="21"/>
          <w:highlight w:val="none"/>
        </w:rPr>
        <w:t>万元，资产总额为</w:t>
      </w:r>
      <w:r>
        <w:rPr>
          <w:rFonts w:hint="eastAsia" w:ascii="宋体" w:cs="宋体"/>
          <w:sz w:val="21"/>
          <w:szCs w:val="21"/>
          <w:highlight w:val="none"/>
          <w:u w:val="single"/>
        </w:rPr>
        <w:t xml:space="preserve">      </w:t>
      </w:r>
      <w:r>
        <w:rPr>
          <w:rFonts w:hint="eastAsia" w:ascii="宋体" w:cs="宋体"/>
          <w:sz w:val="21"/>
          <w:szCs w:val="21"/>
          <w:highlight w:val="none"/>
        </w:rPr>
        <w:t>万元①，属于</w:t>
      </w:r>
      <w:r>
        <w:rPr>
          <w:rFonts w:hint="eastAsia" w:ascii="宋体" w:cs="宋体"/>
          <w:sz w:val="21"/>
          <w:szCs w:val="21"/>
          <w:highlight w:val="none"/>
          <w:u w:val="single"/>
        </w:rPr>
        <w:t>（中型企业、小 型企业、微型企业）</w:t>
      </w:r>
      <w:r>
        <w:rPr>
          <w:rFonts w:hint="eastAsia" w:ascii="宋体" w:cs="宋体"/>
          <w:sz w:val="21"/>
          <w:szCs w:val="21"/>
          <w:highlight w:val="none"/>
        </w:rPr>
        <w:t xml:space="preserve">； </w:t>
      </w:r>
    </w:p>
    <w:p w14:paraId="0ADF5A7C">
      <w:pPr>
        <w:pageBreakBefore w:val="0"/>
        <w:numPr>
          <w:ilvl w:val="0"/>
          <w:numId w:val="4"/>
        </w:numPr>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u w:val="single"/>
        </w:rPr>
        <w:t>（标的名称）</w:t>
      </w:r>
      <w:r>
        <w:rPr>
          <w:rFonts w:hint="eastAsia" w:ascii="宋体" w:cs="宋体"/>
          <w:sz w:val="21"/>
          <w:szCs w:val="21"/>
          <w:highlight w:val="none"/>
        </w:rPr>
        <w:t xml:space="preserve"> ，属于</w:t>
      </w:r>
      <w:r>
        <w:rPr>
          <w:rFonts w:hint="eastAsia" w:ascii="宋体" w:cs="宋体"/>
          <w:sz w:val="21"/>
          <w:szCs w:val="21"/>
          <w:highlight w:val="none"/>
          <w:u w:val="single"/>
        </w:rPr>
        <w:t xml:space="preserve">                  </w:t>
      </w:r>
      <w:r>
        <w:rPr>
          <w:rFonts w:hint="eastAsia" w:ascii="宋体" w:cs="宋体"/>
          <w:sz w:val="21"/>
          <w:szCs w:val="21"/>
          <w:highlight w:val="none"/>
        </w:rPr>
        <w:t>行业；制造商为</w:t>
      </w:r>
      <w:r>
        <w:rPr>
          <w:rFonts w:hint="eastAsia" w:ascii="宋体" w:cs="宋体"/>
          <w:sz w:val="21"/>
          <w:szCs w:val="21"/>
          <w:highlight w:val="none"/>
          <w:u w:val="single"/>
        </w:rPr>
        <w:t>（企业名称）</w:t>
      </w:r>
      <w:r>
        <w:rPr>
          <w:rFonts w:hint="eastAsia" w:ascii="宋体" w:cs="宋体"/>
          <w:sz w:val="21"/>
          <w:szCs w:val="21"/>
          <w:highlight w:val="none"/>
        </w:rPr>
        <w:t>，从业人员</w:t>
      </w:r>
      <w:r>
        <w:rPr>
          <w:rFonts w:hint="eastAsia" w:ascii="宋体" w:cs="宋体"/>
          <w:sz w:val="21"/>
          <w:szCs w:val="21"/>
          <w:highlight w:val="none"/>
          <w:u w:val="single"/>
        </w:rPr>
        <w:t xml:space="preserve">    </w:t>
      </w:r>
      <w:r>
        <w:rPr>
          <w:rFonts w:hint="eastAsia" w:ascii="宋体" w:cs="宋体"/>
          <w:sz w:val="21"/>
          <w:szCs w:val="21"/>
          <w:highlight w:val="none"/>
        </w:rPr>
        <w:t>人，营业收入为</w:t>
      </w:r>
      <w:r>
        <w:rPr>
          <w:rFonts w:hint="eastAsia" w:ascii="宋体" w:cs="宋体"/>
          <w:sz w:val="21"/>
          <w:szCs w:val="21"/>
          <w:highlight w:val="none"/>
          <w:u w:val="single"/>
        </w:rPr>
        <w:t xml:space="preserve">     </w:t>
      </w:r>
      <w:r>
        <w:rPr>
          <w:rFonts w:hint="eastAsia" w:ascii="宋体" w:cs="宋体"/>
          <w:sz w:val="21"/>
          <w:szCs w:val="21"/>
          <w:highlight w:val="none"/>
        </w:rPr>
        <w:t>万元，资产总额为</w:t>
      </w:r>
      <w:r>
        <w:rPr>
          <w:rFonts w:hint="eastAsia" w:ascii="宋体" w:cs="宋体"/>
          <w:sz w:val="21"/>
          <w:szCs w:val="21"/>
          <w:highlight w:val="none"/>
          <w:u w:val="single"/>
        </w:rPr>
        <w:t xml:space="preserve">      </w:t>
      </w:r>
      <w:r>
        <w:rPr>
          <w:rFonts w:hint="eastAsia" w:ascii="宋体" w:cs="宋体"/>
          <w:sz w:val="21"/>
          <w:szCs w:val="21"/>
          <w:highlight w:val="none"/>
        </w:rPr>
        <w:t>万元，属于</w:t>
      </w:r>
      <w:r>
        <w:rPr>
          <w:rFonts w:hint="eastAsia" w:ascii="宋体" w:cs="宋体"/>
          <w:sz w:val="21"/>
          <w:szCs w:val="21"/>
          <w:highlight w:val="none"/>
          <w:u w:val="single"/>
        </w:rPr>
        <w:t>（中型企业、小型 企业、微型企业）</w:t>
      </w:r>
      <w:r>
        <w:rPr>
          <w:rFonts w:hint="eastAsia" w:ascii="宋体" w:cs="宋体"/>
          <w:sz w:val="21"/>
          <w:szCs w:val="21"/>
          <w:highlight w:val="none"/>
        </w:rPr>
        <w:t>；</w:t>
      </w:r>
    </w:p>
    <w:p w14:paraId="2B5E786C">
      <w:pPr>
        <w:pageBreakBefore w:val="0"/>
        <w:kinsoku/>
        <w:wordWrap w:val="0"/>
        <w:overflowPunct/>
        <w:bidi w:val="0"/>
        <w:spacing w:line="360" w:lineRule="auto"/>
        <w:ind w:left="630" w:leftChars="300"/>
        <w:rPr>
          <w:rFonts w:hint="eastAsia" w:ascii="宋体" w:cs="宋体"/>
          <w:sz w:val="21"/>
          <w:szCs w:val="21"/>
          <w:highlight w:val="none"/>
        </w:rPr>
      </w:pPr>
      <w:r>
        <w:rPr>
          <w:rFonts w:hint="eastAsia" w:ascii="宋体" w:cs="宋体"/>
          <w:sz w:val="21"/>
          <w:szCs w:val="21"/>
          <w:highlight w:val="none"/>
        </w:rPr>
        <w:t xml:space="preserve"> ....... </w:t>
      </w:r>
    </w:p>
    <w:p w14:paraId="74E1E930">
      <w:pPr>
        <w:pageBreakBefore w:val="0"/>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rPr>
        <w:t xml:space="preserve">以上企业，不属于大企业的分支机构，不存在控股股东 为大企业的情形，也不存在与大企业的负责人为同一人的情形。 </w:t>
      </w:r>
    </w:p>
    <w:p w14:paraId="41CD2657">
      <w:pPr>
        <w:pageBreakBefore w:val="0"/>
        <w:kinsoku/>
        <w:wordWrap w:val="0"/>
        <w:overflowPunct/>
        <w:bidi w:val="0"/>
        <w:spacing w:line="360" w:lineRule="auto"/>
        <w:ind w:firstLine="630" w:firstLineChars="300"/>
        <w:rPr>
          <w:rFonts w:hint="eastAsia" w:ascii="宋体" w:cs="宋体"/>
          <w:sz w:val="21"/>
          <w:szCs w:val="21"/>
          <w:highlight w:val="none"/>
        </w:rPr>
      </w:pPr>
      <w:r>
        <w:rPr>
          <w:rFonts w:hint="eastAsia" w:ascii="宋体" w:cs="宋体"/>
          <w:sz w:val="21"/>
          <w:szCs w:val="21"/>
          <w:highlight w:val="none"/>
        </w:rPr>
        <w:t xml:space="preserve">本企业对上述声明内容的真实性负责。如有虚假，将依 法承担相应责任。 </w:t>
      </w:r>
    </w:p>
    <w:p w14:paraId="736C4E98">
      <w:pPr>
        <w:pageBreakBefore w:val="0"/>
        <w:kinsoku/>
        <w:wordWrap w:val="0"/>
        <w:overflowPunct/>
        <w:bidi w:val="0"/>
        <w:spacing w:line="360" w:lineRule="auto"/>
        <w:ind w:firstLine="630" w:firstLineChars="300"/>
        <w:jc w:val="center"/>
        <w:rPr>
          <w:rFonts w:hint="eastAsia" w:ascii="宋体" w:cs="宋体"/>
          <w:sz w:val="21"/>
          <w:szCs w:val="21"/>
          <w:highlight w:val="none"/>
        </w:rPr>
      </w:pPr>
    </w:p>
    <w:p w14:paraId="5D09C0E8">
      <w:pPr>
        <w:pageBreakBefore w:val="0"/>
        <w:kinsoku/>
        <w:wordWrap w:val="0"/>
        <w:overflowPunct/>
        <w:bidi w:val="0"/>
        <w:spacing w:line="360" w:lineRule="auto"/>
        <w:ind w:firstLine="630" w:firstLineChars="300"/>
        <w:jc w:val="center"/>
        <w:rPr>
          <w:rFonts w:hint="eastAsia" w:ascii="宋体" w:cs="宋体"/>
          <w:sz w:val="21"/>
          <w:szCs w:val="21"/>
          <w:highlight w:val="none"/>
        </w:rPr>
      </w:pPr>
      <w:r>
        <w:rPr>
          <w:rFonts w:hint="eastAsia" w:ascii="宋体" w:cs="宋体"/>
          <w:sz w:val="21"/>
          <w:szCs w:val="21"/>
          <w:highlight w:val="none"/>
          <w:lang w:val="en-US" w:eastAsia="zh-CN"/>
        </w:rPr>
        <w:t xml:space="preserve">          </w:t>
      </w:r>
      <w:r>
        <w:rPr>
          <w:rFonts w:hint="eastAsia" w:ascii="宋体" w:cs="宋体"/>
          <w:sz w:val="21"/>
          <w:szCs w:val="21"/>
          <w:highlight w:val="none"/>
        </w:rPr>
        <w:t>企业名称（盖章）：</w:t>
      </w:r>
    </w:p>
    <w:p w14:paraId="333442E7">
      <w:pPr>
        <w:pageBreakBefore w:val="0"/>
        <w:kinsoku/>
        <w:wordWrap w:val="0"/>
        <w:overflowPunct/>
        <w:bidi w:val="0"/>
        <w:spacing w:line="360" w:lineRule="auto"/>
        <w:ind w:firstLine="4200" w:firstLineChars="2000"/>
        <w:rPr>
          <w:rFonts w:hint="eastAsia" w:ascii="宋体" w:cs="宋体"/>
          <w:sz w:val="21"/>
          <w:szCs w:val="21"/>
          <w:highlight w:val="none"/>
        </w:rPr>
      </w:pPr>
      <w:r>
        <w:rPr>
          <w:rFonts w:hint="eastAsia" w:ascii="宋体" w:cs="宋体"/>
          <w:sz w:val="21"/>
          <w:szCs w:val="21"/>
          <w:highlight w:val="none"/>
        </w:rPr>
        <w:t>日 期：</w:t>
      </w:r>
    </w:p>
    <w:p w14:paraId="15D2480F">
      <w:pPr>
        <w:pageBreakBefore w:val="0"/>
        <w:kinsoku/>
        <w:wordWrap w:val="0"/>
        <w:overflowPunct/>
        <w:bidi w:val="0"/>
        <w:spacing w:line="480" w:lineRule="auto"/>
        <w:ind w:firstLine="630" w:firstLineChars="300"/>
        <w:rPr>
          <w:rFonts w:hint="eastAsia" w:ascii="宋体" w:cs="宋体"/>
          <w:sz w:val="21"/>
          <w:szCs w:val="21"/>
          <w:highlight w:val="none"/>
        </w:rPr>
      </w:pPr>
    </w:p>
    <w:p w14:paraId="06778043">
      <w:pPr>
        <w:pageBreakBefore w:val="0"/>
        <w:kinsoku/>
        <w:wordWrap w:val="0"/>
        <w:overflowPunct/>
        <w:bidi w:val="0"/>
        <w:spacing w:line="480" w:lineRule="auto"/>
        <w:ind w:firstLine="720" w:firstLineChars="300"/>
        <w:rPr>
          <w:rFonts w:hint="eastAsia" w:ascii="宋体" w:cs="宋体"/>
          <w:sz w:val="24"/>
          <w:highlight w:val="none"/>
        </w:rPr>
      </w:pPr>
    </w:p>
    <w:p w14:paraId="3E48D775">
      <w:pPr>
        <w:pageBreakBefore w:val="0"/>
        <w:kinsoku/>
        <w:wordWrap w:val="0"/>
        <w:overflowPunct/>
        <w:bidi w:val="0"/>
        <w:spacing w:line="480" w:lineRule="auto"/>
        <w:ind w:firstLine="480" w:firstLineChars="300"/>
        <w:rPr>
          <w:rFonts w:hint="eastAsia" w:ascii="宋体" w:cs="宋体"/>
          <w:sz w:val="32"/>
          <w:szCs w:val="32"/>
          <w:highlight w:val="none"/>
        </w:rPr>
      </w:pPr>
      <w:r>
        <w:rPr>
          <w:rFonts w:hint="eastAsia" w:ascii="宋体" w:cs="宋体"/>
          <w:sz w:val="16"/>
          <w:szCs w:val="16"/>
          <w:highlight w:val="none"/>
        </w:rPr>
        <w:t>①从业人员、营业收入、资产总额填报上一年度数据，无上一年度数据的新成立企业可不填报</w:t>
      </w:r>
    </w:p>
    <w:p w14:paraId="03FB1815">
      <w:pPr>
        <w:pageBreakBefore w:val="0"/>
        <w:kinsoku/>
        <w:wordWrap w:val="0"/>
        <w:overflowPunct/>
        <w:bidi w:val="0"/>
        <w:rPr>
          <w:rFonts w:hint="eastAsia" w:ascii="宋体"/>
          <w:sz w:val="24"/>
          <w:szCs w:val="24"/>
          <w:highlight w:val="none"/>
        </w:rPr>
        <w:sectPr>
          <w:footerReference r:id="rId20" w:type="default"/>
          <w:pgSz w:w="11910" w:h="16840"/>
          <w:pgMar w:top="1500" w:right="1380" w:bottom="1780" w:left="1580" w:header="0" w:footer="1595" w:gutter="0"/>
          <w:pgNumType w:fmt="decimal"/>
          <w:cols w:space="720" w:num="1"/>
          <w:docGrid w:linePitch="285" w:charSpace="0"/>
        </w:sectPr>
      </w:pPr>
    </w:p>
    <w:p w14:paraId="28737AE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仿宋" w:hAnsi="仿宋" w:eastAsia="仿宋" w:cs="仿宋"/>
          <w:i w:val="0"/>
          <w:iCs w:val="0"/>
          <w:caps w:val="0"/>
          <w:color w:val="000000"/>
          <w:spacing w:val="0"/>
          <w:sz w:val="28"/>
          <w:szCs w:val="28"/>
          <w:shd w:val="clear" w:fill="FFFFFF"/>
          <w:vertAlign w:val="baseline"/>
        </w:rPr>
      </w:pPr>
      <w:r>
        <w:rPr>
          <w:rStyle w:val="23"/>
          <w:rFonts w:hint="eastAsia" w:ascii="仿宋" w:hAnsi="仿宋" w:eastAsia="仿宋" w:cs="仿宋"/>
          <w:i w:val="0"/>
          <w:iCs w:val="0"/>
          <w:caps w:val="0"/>
          <w:color w:val="000000"/>
          <w:spacing w:val="0"/>
          <w:sz w:val="36"/>
          <w:szCs w:val="36"/>
          <w:shd w:val="clear" w:fill="FFFFFF"/>
          <w:vertAlign w:val="baseline"/>
        </w:rPr>
        <w:t>关于符合本国产品标准的声明函</w:t>
      </w:r>
    </w:p>
    <w:p w14:paraId="168EE8E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2F70F4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1.</w:t>
      </w:r>
      <w:r>
        <w:rPr>
          <w:rStyle w:val="24"/>
          <w:rFonts w:hint="eastAsia" w:ascii="仿宋" w:hAnsi="仿宋" w:eastAsia="仿宋" w:cs="仿宋"/>
          <w:i w:val="0"/>
          <w:iCs w:val="0"/>
          <w:caps w:val="0"/>
          <w:color w:val="000000"/>
          <w:spacing w:val="0"/>
          <w:sz w:val="28"/>
          <w:szCs w:val="28"/>
          <w:shd w:val="clear" w:fill="FFFFFF"/>
          <w:vertAlign w:val="baseline"/>
        </w:rPr>
        <w:t>（产品名称1）</w:t>
      </w:r>
      <w:r>
        <w:rPr>
          <w:rFonts w:hint="eastAsia" w:ascii="仿宋" w:hAnsi="仿宋" w:eastAsia="仿宋" w:cs="仿宋"/>
          <w:i w:val="0"/>
          <w:iCs w:val="0"/>
          <w:caps w:val="0"/>
          <w:color w:val="000000"/>
          <w:spacing w:val="0"/>
          <w:sz w:val="28"/>
          <w:szCs w:val="28"/>
          <w:shd w:val="clear" w:fill="FFFFFF"/>
          <w:vertAlign w:val="baseline"/>
        </w:rPr>
        <w:t>，生产厂为</w:t>
      </w:r>
      <w:r>
        <w:rPr>
          <w:rStyle w:val="24"/>
          <w:rFonts w:hint="eastAsia" w:ascii="仿宋" w:hAnsi="仿宋" w:eastAsia="仿宋" w:cs="仿宋"/>
          <w:i w:val="0"/>
          <w:iCs w:val="0"/>
          <w:caps w:val="0"/>
          <w:color w:val="000000"/>
          <w:spacing w:val="0"/>
          <w:sz w:val="28"/>
          <w:szCs w:val="28"/>
          <w:shd w:val="clear" w:fill="FFFFFF"/>
          <w:vertAlign w:val="baseline"/>
        </w:rPr>
        <w:t>（厂名）</w:t>
      </w:r>
      <w:r>
        <w:rPr>
          <w:rFonts w:hint="eastAsia" w:ascii="仿宋" w:hAnsi="仿宋" w:eastAsia="仿宋" w:cs="仿宋"/>
          <w:i w:val="0"/>
          <w:iCs w:val="0"/>
          <w:caps w:val="0"/>
          <w:color w:val="000000"/>
          <w:spacing w:val="0"/>
          <w:sz w:val="28"/>
          <w:szCs w:val="28"/>
          <w:shd w:val="clear" w:fill="FFFFFF"/>
          <w:vertAlign w:val="baseline"/>
        </w:rPr>
        <w:t>，厂址为</w:t>
      </w:r>
      <w:r>
        <w:rPr>
          <w:rStyle w:val="24"/>
          <w:rFonts w:hint="eastAsia" w:ascii="仿宋" w:hAnsi="仿宋" w:eastAsia="仿宋" w:cs="仿宋"/>
          <w:i w:val="0"/>
          <w:iCs w:val="0"/>
          <w:caps w:val="0"/>
          <w:color w:val="000000"/>
          <w:spacing w:val="0"/>
          <w:sz w:val="28"/>
          <w:szCs w:val="28"/>
          <w:shd w:val="clear" w:fill="FFFFFF"/>
          <w:vertAlign w:val="baseline"/>
        </w:rPr>
        <w:t>（生产厂址）</w:t>
      </w:r>
      <w:r>
        <w:rPr>
          <w:rFonts w:hint="eastAsia" w:ascii="仿宋" w:hAnsi="仿宋" w:eastAsia="仿宋" w:cs="仿宋"/>
          <w:i w:val="0"/>
          <w:iCs w:val="0"/>
          <w:caps w:val="0"/>
          <w:color w:val="000000"/>
          <w:spacing w:val="0"/>
          <w:sz w:val="28"/>
          <w:szCs w:val="28"/>
          <w:shd w:val="clear" w:fill="FFFFFF"/>
          <w:vertAlign w:val="baseline"/>
        </w:rPr>
        <w:t>。</w:t>
      </w:r>
      <w:r>
        <w:rPr>
          <w:rStyle w:val="24"/>
          <w:rFonts w:hint="eastAsia" w:ascii="仿宋" w:hAnsi="仿宋" w:eastAsia="仿宋" w:cs="仿宋"/>
          <w:i w:val="0"/>
          <w:iCs w:val="0"/>
          <w:caps w:val="0"/>
          <w:color w:val="000000"/>
          <w:spacing w:val="0"/>
          <w:sz w:val="28"/>
          <w:szCs w:val="28"/>
          <w:shd w:val="clear" w:fill="FFFFFF"/>
          <w:vertAlign w:val="baseline"/>
        </w:rPr>
        <w:t>（产品名称1）</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关键组件</w:t>
      </w:r>
      <w:r>
        <w:rPr>
          <w:rFonts w:hint="eastAsia" w:ascii="仿宋" w:hAnsi="仿宋" w:eastAsia="仿宋" w:cs="仿宋"/>
          <w:i w:val="0"/>
          <w:iCs w:val="0"/>
          <w:caps w:val="0"/>
          <w:color w:val="000000"/>
          <w:spacing w:val="0"/>
          <w:sz w:val="28"/>
          <w:szCs w:val="28"/>
          <w:shd w:val="clear" w:fill="FFFFFF"/>
          <w:vertAlign w:val="baseline"/>
        </w:rPr>
        <w:t>在中国境内生产。</w:t>
      </w:r>
      <w:r>
        <w:rPr>
          <w:rStyle w:val="24"/>
          <w:rFonts w:hint="eastAsia" w:ascii="仿宋" w:hAnsi="仿宋" w:eastAsia="仿宋" w:cs="仿宋"/>
          <w:i w:val="0"/>
          <w:iCs w:val="0"/>
          <w:caps w:val="0"/>
          <w:color w:val="000000"/>
          <w:spacing w:val="0"/>
          <w:sz w:val="28"/>
          <w:szCs w:val="28"/>
          <w:shd w:val="clear" w:fill="FFFFFF"/>
          <w:vertAlign w:val="baseline"/>
        </w:rPr>
        <w:t>（产品名称1）</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关键工序</w:t>
      </w:r>
      <w:r>
        <w:rPr>
          <w:rFonts w:hint="eastAsia" w:ascii="仿宋" w:hAnsi="仿宋" w:eastAsia="仿宋" w:cs="仿宋"/>
          <w:i w:val="0"/>
          <w:iCs w:val="0"/>
          <w:caps w:val="0"/>
          <w:color w:val="000000"/>
          <w:spacing w:val="0"/>
          <w:sz w:val="28"/>
          <w:szCs w:val="28"/>
          <w:shd w:val="clear" w:fill="FFFFFF"/>
          <w:vertAlign w:val="baseline"/>
        </w:rPr>
        <w:t>在中国境内完成。</w:t>
      </w:r>
    </w:p>
    <w:p w14:paraId="15DE60B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2.</w:t>
      </w:r>
      <w:r>
        <w:rPr>
          <w:rStyle w:val="24"/>
          <w:rFonts w:hint="eastAsia" w:ascii="仿宋" w:hAnsi="仿宋" w:eastAsia="仿宋" w:cs="仿宋"/>
          <w:i w:val="0"/>
          <w:iCs w:val="0"/>
          <w:caps w:val="0"/>
          <w:color w:val="000000"/>
          <w:spacing w:val="0"/>
          <w:sz w:val="28"/>
          <w:szCs w:val="28"/>
          <w:shd w:val="clear" w:fill="FFFFFF"/>
          <w:vertAlign w:val="baseline"/>
        </w:rPr>
        <w:t>（产品名称2）</w:t>
      </w:r>
      <w:r>
        <w:rPr>
          <w:rFonts w:hint="eastAsia" w:ascii="仿宋" w:hAnsi="仿宋" w:eastAsia="仿宋" w:cs="仿宋"/>
          <w:i w:val="0"/>
          <w:iCs w:val="0"/>
          <w:caps w:val="0"/>
          <w:color w:val="000000"/>
          <w:spacing w:val="0"/>
          <w:sz w:val="28"/>
          <w:szCs w:val="28"/>
          <w:shd w:val="clear" w:fill="FFFFFF"/>
          <w:vertAlign w:val="baseline"/>
        </w:rPr>
        <w:t>，生产厂为</w:t>
      </w:r>
      <w:r>
        <w:rPr>
          <w:rStyle w:val="24"/>
          <w:rFonts w:hint="eastAsia" w:ascii="仿宋" w:hAnsi="仿宋" w:eastAsia="仿宋" w:cs="仿宋"/>
          <w:i w:val="0"/>
          <w:iCs w:val="0"/>
          <w:caps w:val="0"/>
          <w:color w:val="000000"/>
          <w:spacing w:val="0"/>
          <w:sz w:val="28"/>
          <w:szCs w:val="28"/>
          <w:shd w:val="clear" w:fill="FFFFFF"/>
          <w:vertAlign w:val="baseline"/>
        </w:rPr>
        <w:t>（厂名）</w:t>
      </w:r>
      <w:r>
        <w:rPr>
          <w:rFonts w:hint="eastAsia" w:ascii="仿宋" w:hAnsi="仿宋" w:eastAsia="仿宋" w:cs="仿宋"/>
          <w:i w:val="0"/>
          <w:iCs w:val="0"/>
          <w:caps w:val="0"/>
          <w:color w:val="000000"/>
          <w:spacing w:val="0"/>
          <w:sz w:val="28"/>
          <w:szCs w:val="28"/>
          <w:shd w:val="clear" w:fill="FFFFFF"/>
          <w:vertAlign w:val="baseline"/>
        </w:rPr>
        <w:t>，厂址为</w:t>
      </w:r>
      <w:r>
        <w:rPr>
          <w:rStyle w:val="24"/>
          <w:rFonts w:hint="eastAsia" w:ascii="仿宋" w:hAnsi="仿宋" w:eastAsia="仿宋" w:cs="仿宋"/>
          <w:i w:val="0"/>
          <w:iCs w:val="0"/>
          <w:caps w:val="0"/>
          <w:color w:val="000000"/>
          <w:spacing w:val="0"/>
          <w:sz w:val="28"/>
          <w:szCs w:val="28"/>
          <w:shd w:val="clear" w:fill="FFFFFF"/>
          <w:vertAlign w:val="baseline"/>
        </w:rPr>
        <w:t>（生产厂址）</w:t>
      </w:r>
      <w:r>
        <w:rPr>
          <w:rStyle w:val="24"/>
          <w:rFonts w:hint="eastAsia" w:ascii="仿宋" w:hAnsi="仿宋" w:eastAsia="仿宋" w:cs="仿宋"/>
          <w:i w:val="0"/>
          <w:iCs w:val="0"/>
          <w:caps w:val="0"/>
          <w:color w:val="000000"/>
          <w:spacing w:val="0"/>
          <w:sz w:val="28"/>
          <w:szCs w:val="28"/>
          <w:shd w:val="clear" w:fill="FFFFFF"/>
          <w:vertAlign w:val="baseline"/>
          <w:lang w:eastAsia="zh-CN"/>
        </w:rPr>
        <w:t>。</w:t>
      </w:r>
      <w:r>
        <w:rPr>
          <w:rStyle w:val="24"/>
          <w:rFonts w:hint="eastAsia" w:ascii="仿宋" w:hAnsi="仿宋" w:eastAsia="仿宋" w:cs="仿宋"/>
          <w:i w:val="0"/>
          <w:iCs w:val="0"/>
          <w:caps w:val="0"/>
          <w:color w:val="000000"/>
          <w:spacing w:val="0"/>
          <w:sz w:val="28"/>
          <w:szCs w:val="28"/>
          <w:shd w:val="clear" w:fill="FFFFFF"/>
          <w:vertAlign w:val="baseline"/>
        </w:rPr>
        <w:t>（产品名称2）</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关键组件</w:t>
      </w:r>
      <w:r>
        <w:rPr>
          <w:rFonts w:hint="eastAsia" w:ascii="仿宋" w:hAnsi="仿宋" w:eastAsia="仿宋" w:cs="仿宋"/>
          <w:i w:val="0"/>
          <w:iCs w:val="0"/>
          <w:caps w:val="0"/>
          <w:color w:val="000000"/>
          <w:spacing w:val="0"/>
          <w:sz w:val="28"/>
          <w:szCs w:val="28"/>
          <w:shd w:val="clear" w:fill="FFFFFF"/>
          <w:vertAlign w:val="baseline"/>
        </w:rPr>
        <w:t>在中国境内生产。</w:t>
      </w:r>
      <w:r>
        <w:rPr>
          <w:rStyle w:val="24"/>
          <w:rFonts w:hint="eastAsia" w:ascii="仿宋" w:hAnsi="仿宋" w:eastAsia="仿宋" w:cs="仿宋"/>
          <w:i w:val="0"/>
          <w:iCs w:val="0"/>
          <w:caps w:val="0"/>
          <w:color w:val="000000"/>
          <w:spacing w:val="0"/>
          <w:sz w:val="28"/>
          <w:szCs w:val="28"/>
          <w:shd w:val="clear" w:fill="FFFFFF"/>
          <w:vertAlign w:val="baseline"/>
        </w:rPr>
        <w:t>（产品名称2）</w:t>
      </w:r>
      <w:r>
        <w:rPr>
          <w:rFonts w:hint="eastAsia" w:ascii="仿宋" w:hAnsi="仿宋" w:eastAsia="仿宋" w:cs="仿宋"/>
          <w:i w:val="0"/>
          <w:iCs w:val="0"/>
          <w:caps w:val="0"/>
          <w:color w:val="000000"/>
          <w:spacing w:val="0"/>
          <w:sz w:val="28"/>
          <w:szCs w:val="28"/>
          <w:shd w:val="clear" w:fill="FFFFFF"/>
          <w:vertAlign w:val="baseline"/>
        </w:rPr>
        <w:t>的</w:t>
      </w:r>
      <w:r>
        <w:rPr>
          <w:rStyle w:val="24"/>
          <w:rFonts w:hint="eastAsia" w:ascii="仿宋" w:hAnsi="仿宋" w:eastAsia="仿宋" w:cs="仿宋"/>
          <w:i w:val="0"/>
          <w:iCs w:val="0"/>
          <w:caps w:val="0"/>
          <w:color w:val="000000"/>
          <w:spacing w:val="0"/>
          <w:sz w:val="28"/>
          <w:szCs w:val="28"/>
          <w:shd w:val="clear" w:fill="FFFFFF"/>
          <w:vertAlign w:val="baseline"/>
        </w:rPr>
        <w:t>关键工序</w:t>
      </w:r>
      <w:r>
        <w:rPr>
          <w:rFonts w:hint="eastAsia" w:ascii="仿宋" w:hAnsi="仿宋" w:eastAsia="仿宋" w:cs="仿宋"/>
          <w:i w:val="0"/>
          <w:iCs w:val="0"/>
          <w:caps w:val="0"/>
          <w:color w:val="000000"/>
          <w:spacing w:val="0"/>
          <w:sz w:val="28"/>
          <w:szCs w:val="28"/>
          <w:shd w:val="clear" w:fill="FFFFFF"/>
          <w:vertAlign w:val="baseline"/>
        </w:rPr>
        <w:t>在中国境内完成。</w:t>
      </w:r>
    </w:p>
    <w:p w14:paraId="0B40A56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w:t>
      </w:r>
    </w:p>
    <w:p w14:paraId="6CEAC65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本公司（单位）对上述声明内容的真实性负责。如有虚假，愿承担相应法律责任。</w:t>
      </w:r>
    </w:p>
    <w:p w14:paraId="4220D48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公司（单位）名称（盖章）：　        </w:t>
      </w:r>
    </w:p>
    <w:p w14:paraId="2B28690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日期：　     年　  月　  日         </w:t>
      </w:r>
    </w:p>
    <w:p w14:paraId="3484F19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rPr>
        <w:t>__________________</w:t>
      </w:r>
    </w:p>
    <w:p w14:paraId="1F4EE16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1.产品如有型号，请在“产品名称”栏一并填写。</w:t>
      </w:r>
    </w:p>
    <w:p w14:paraId="600F06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2.生产厂名与厂址应与生产厂营业执照载明的相关信息保持一致。</w:t>
      </w:r>
    </w:p>
    <w:p w14:paraId="2E88902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3.该产品的中国境内生产的组件成本占比相关要求实施前，“规定比例”栏可不填，下同。</w:t>
      </w:r>
    </w:p>
    <w:p w14:paraId="3864159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4.该产品的关键组件要求实施前，“关键组件”栏可不填，下同。</w:t>
      </w:r>
    </w:p>
    <w:p w14:paraId="31ECA1E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5.该产品的关键工序要求实施前，“关键工序”栏可不填，下同。</w:t>
      </w:r>
    </w:p>
    <w:p w14:paraId="53D2444C">
      <w:pPr>
        <w:pageBreakBefore w:val="0"/>
        <w:kinsoku/>
        <w:wordWrap w:val="0"/>
        <w:overflowPunct/>
        <w:bidi w:val="0"/>
        <w:spacing w:before="156" w:beforeLines="50" w:after="156" w:afterLines="50" w:line="360" w:lineRule="auto"/>
        <w:jc w:val="center"/>
        <w:outlineLvl w:val="0"/>
        <w:rPr>
          <w:rFonts w:hint="eastAsia" w:ascii="宋体" w:eastAsia="宋体" w:cs="宋体-18030"/>
          <w:b/>
          <w:sz w:val="36"/>
          <w:szCs w:val="36"/>
          <w:highlight w:val="none"/>
          <w:lang w:val="zh-CN" w:eastAsia="zh-CN"/>
        </w:rPr>
      </w:pPr>
      <w:r>
        <w:rPr>
          <w:rFonts w:hint="eastAsia" w:ascii="宋体" w:cs="宋体-18030"/>
          <w:b/>
          <w:sz w:val="36"/>
          <w:szCs w:val="36"/>
          <w:highlight w:val="none"/>
          <w:lang w:val="en-US" w:eastAsia="zh-CN"/>
        </w:rPr>
        <w:t>十一</w:t>
      </w:r>
      <w:r>
        <w:rPr>
          <w:rFonts w:hint="eastAsia" w:ascii="宋体" w:cs="宋体-18030"/>
          <w:b/>
          <w:sz w:val="36"/>
          <w:szCs w:val="36"/>
          <w:highlight w:val="none"/>
          <w:lang w:val="zh-CN"/>
        </w:rPr>
        <w:t>、</w:t>
      </w:r>
      <w:bookmarkEnd w:id="454"/>
      <w:bookmarkEnd w:id="455"/>
      <w:r>
        <w:rPr>
          <w:rFonts w:hint="eastAsia" w:ascii="宋体"/>
          <w:b/>
          <w:bCs/>
          <w:sz w:val="32"/>
          <w:szCs w:val="32"/>
          <w:highlight w:val="none"/>
          <w:lang w:val="en-US" w:eastAsia="zh-CN"/>
        </w:rPr>
        <w:t>技术</w:t>
      </w:r>
      <w:r>
        <w:rPr>
          <w:rFonts w:hint="eastAsia" w:ascii="宋体"/>
          <w:b/>
          <w:bCs/>
          <w:sz w:val="32"/>
          <w:szCs w:val="32"/>
          <w:highlight w:val="none"/>
        </w:rPr>
        <w:t>方案</w:t>
      </w:r>
      <w:r>
        <w:rPr>
          <w:rFonts w:hint="eastAsia" w:ascii="宋体"/>
          <w:b/>
          <w:bCs/>
          <w:sz w:val="32"/>
          <w:szCs w:val="32"/>
          <w:highlight w:val="none"/>
          <w:lang w:eastAsia="zh-CN"/>
        </w:rPr>
        <w:t>（</w:t>
      </w:r>
      <w:r>
        <w:rPr>
          <w:rFonts w:hint="eastAsia" w:ascii="宋体"/>
          <w:b/>
          <w:bCs/>
          <w:sz w:val="32"/>
          <w:szCs w:val="32"/>
          <w:highlight w:val="none"/>
          <w:lang w:val="en-US" w:eastAsia="zh-CN"/>
        </w:rPr>
        <w:t>暗标部分</w:t>
      </w:r>
      <w:r>
        <w:rPr>
          <w:rFonts w:hint="eastAsia" w:ascii="宋体"/>
          <w:b/>
          <w:bCs/>
          <w:sz w:val="32"/>
          <w:szCs w:val="32"/>
          <w:highlight w:val="none"/>
          <w:lang w:eastAsia="zh-CN"/>
        </w:rPr>
        <w:t>）</w:t>
      </w:r>
    </w:p>
    <w:p w14:paraId="2120792C">
      <w:pPr>
        <w:shd w:val="clear" w:color="auto" w:fill="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投标文件技术标必须遵守的统一格式和规范。</w:t>
      </w:r>
    </w:p>
    <w:p w14:paraId="2D8AB1D5">
      <w:pPr>
        <w:shd w:val="clear" w:color="auto" w:fill="auto"/>
        <w:spacing w:line="360" w:lineRule="auto"/>
        <w:ind w:firstLine="210" w:firstLineChars="100"/>
        <w:jc w:val="left"/>
        <w:rPr>
          <w:rFonts w:hint="eastAsia" w:ascii="宋体" w:hAnsi="宋体" w:eastAsia="宋体" w:cs="宋体"/>
          <w:color w:val="auto"/>
          <w:sz w:val="21"/>
          <w:szCs w:val="21"/>
          <w:highlight w:val="none"/>
        </w:rPr>
      </w:pPr>
    </w:p>
    <w:p w14:paraId="1E80C995">
      <w:pPr>
        <w:pStyle w:val="10"/>
        <w:spacing w:beforeLines="0" w:afterLines="0"/>
        <w:rPr>
          <w:rFonts w:hint="eastAsia" w:ascii="宋体" w:hAnsi="宋体" w:eastAsia="宋体" w:cs="宋体"/>
          <w:color w:val="auto"/>
          <w:sz w:val="28"/>
          <w:szCs w:val="28"/>
        </w:rPr>
      </w:pPr>
      <w:r>
        <w:rPr>
          <w:rFonts w:hint="eastAsia" w:ascii="宋体" w:hAnsi="宋体" w:eastAsia="宋体" w:cs="宋体"/>
          <w:color w:val="auto"/>
          <w:sz w:val="28"/>
          <w:szCs w:val="28"/>
        </w:rPr>
        <w:t>技术标文件（暗标）未按以下“盲评”要求制作的，为无效投标，除下述要求外，不得因暗标格式问题认定为无效投标：</w:t>
      </w:r>
    </w:p>
    <w:p w14:paraId="4155ACB6">
      <w:pPr>
        <w:pStyle w:val="10"/>
        <w:numPr>
          <w:ilvl w:val="0"/>
          <w:numId w:val="0"/>
        </w:numPr>
        <w:spacing w:beforeLines="0" w:afterLines="0"/>
        <w:ind w:firstLine="616"/>
        <w:rPr>
          <w:rFonts w:hint="eastAsia" w:ascii="宋体" w:hAnsi="宋体" w:eastAsia="宋体" w:cs="宋体"/>
          <w:color w:val="auto"/>
          <w:sz w:val="28"/>
          <w:szCs w:val="28"/>
        </w:rPr>
      </w:pPr>
      <w:r>
        <w:rPr>
          <w:rStyle w:val="49"/>
          <w:rFonts w:hint="eastAsia" w:ascii="宋体" w:hAnsi="宋体" w:eastAsia="宋体" w:cs="宋体"/>
          <w:sz w:val="28"/>
          <w:szCs w:val="28"/>
          <w:lang w:eastAsia="zh-CN"/>
        </w:rPr>
        <w:t>一、</w:t>
      </w:r>
      <w:r>
        <w:rPr>
          <w:rStyle w:val="49"/>
          <w:rFonts w:hint="eastAsia" w:ascii="宋体" w:hAnsi="宋体" w:eastAsia="宋体" w:cs="宋体"/>
          <w:sz w:val="28"/>
          <w:szCs w:val="28"/>
        </w:rPr>
        <w:t>版面要求</w:t>
      </w:r>
      <w:r>
        <w:rPr>
          <w:rFonts w:hint="eastAsia" w:ascii="宋体" w:hAnsi="宋体" w:eastAsia="宋体" w:cs="宋体"/>
          <w:color w:val="auto"/>
          <w:sz w:val="28"/>
          <w:szCs w:val="28"/>
        </w:rPr>
        <w:t>：A4纸张大小；</w:t>
      </w:r>
    </w:p>
    <w:p w14:paraId="3310A12C">
      <w:pPr>
        <w:pStyle w:val="10"/>
        <w:numPr>
          <w:ilvl w:val="0"/>
          <w:numId w:val="0"/>
        </w:numPr>
        <w:spacing w:beforeLines="0" w:afterLines="0"/>
        <w:ind w:firstLine="616"/>
        <w:rPr>
          <w:rFonts w:hint="eastAsia" w:ascii="宋体" w:hAnsi="宋体" w:eastAsia="宋体" w:cs="宋体"/>
          <w:color w:val="auto"/>
          <w:sz w:val="28"/>
          <w:szCs w:val="28"/>
        </w:rPr>
      </w:pPr>
      <w:r>
        <w:rPr>
          <w:rStyle w:val="49"/>
          <w:rFonts w:hint="eastAsia" w:ascii="宋体" w:hAnsi="宋体" w:eastAsia="宋体" w:cs="宋体"/>
          <w:sz w:val="28"/>
          <w:szCs w:val="28"/>
          <w:lang w:eastAsia="zh-CN"/>
        </w:rPr>
        <w:t>二、</w:t>
      </w:r>
      <w:r>
        <w:rPr>
          <w:rStyle w:val="49"/>
          <w:rFonts w:hint="eastAsia" w:ascii="宋体" w:hAnsi="宋体" w:eastAsia="宋体" w:cs="宋体"/>
          <w:sz w:val="28"/>
          <w:szCs w:val="28"/>
        </w:rPr>
        <w:t>颜色要求</w:t>
      </w:r>
      <w:r>
        <w:rPr>
          <w:rFonts w:hint="eastAsia" w:ascii="宋体" w:hAnsi="宋体" w:eastAsia="宋体" w:cs="宋体"/>
          <w:color w:val="auto"/>
          <w:sz w:val="28"/>
          <w:szCs w:val="28"/>
        </w:rPr>
        <w:t>：所有文字、图、表均为黑色；</w:t>
      </w:r>
    </w:p>
    <w:p w14:paraId="1D2552B2">
      <w:pPr>
        <w:pStyle w:val="10"/>
        <w:numPr>
          <w:ilvl w:val="0"/>
          <w:numId w:val="0"/>
        </w:numPr>
        <w:spacing w:beforeLines="0" w:afterLines="0"/>
        <w:ind w:firstLine="616"/>
        <w:rPr>
          <w:rFonts w:hint="eastAsia" w:ascii="宋体" w:hAnsi="宋体" w:eastAsia="宋体" w:cs="宋体"/>
          <w:color w:val="auto"/>
          <w:sz w:val="28"/>
          <w:szCs w:val="28"/>
        </w:rPr>
      </w:pPr>
      <w:r>
        <w:rPr>
          <w:rStyle w:val="49"/>
          <w:rFonts w:hint="eastAsia" w:ascii="宋体" w:hAnsi="宋体" w:eastAsia="宋体" w:cs="宋体"/>
          <w:sz w:val="28"/>
          <w:szCs w:val="28"/>
          <w:lang w:eastAsia="zh-CN"/>
        </w:rPr>
        <w:t>三、</w:t>
      </w:r>
      <w:r>
        <w:rPr>
          <w:rStyle w:val="49"/>
          <w:rFonts w:hint="eastAsia" w:ascii="宋体" w:hAnsi="宋体" w:eastAsia="宋体" w:cs="宋体"/>
          <w:sz w:val="28"/>
          <w:szCs w:val="28"/>
        </w:rPr>
        <w:t>字体要求</w:t>
      </w:r>
      <w:r>
        <w:rPr>
          <w:rFonts w:hint="eastAsia" w:ascii="宋体" w:hAnsi="宋体" w:eastAsia="宋体" w:cs="宋体"/>
          <w:color w:val="auto"/>
          <w:sz w:val="28"/>
          <w:szCs w:val="28"/>
        </w:rPr>
        <w:t>：标题及正文部分所用文字均采用“宋体”四号“常规”字；所有字体均不得出现加粗、加色、倾斜、下划线等标记；</w:t>
      </w:r>
    </w:p>
    <w:p w14:paraId="3EA04C73">
      <w:pPr>
        <w:pStyle w:val="10"/>
        <w:numPr>
          <w:ilvl w:val="0"/>
          <w:numId w:val="0"/>
        </w:numPr>
        <w:spacing w:beforeLines="0" w:afterLines="0"/>
        <w:ind w:firstLine="616"/>
        <w:rPr>
          <w:rFonts w:hint="eastAsia" w:ascii="宋体" w:hAnsi="宋体" w:eastAsia="宋体" w:cs="宋体"/>
          <w:color w:val="auto"/>
          <w:sz w:val="28"/>
          <w:szCs w:val="28"/>
        </w:rPr>
      </w:pPr>
      <w:r>
        <w:rPr>
          <w:rStyle w:val="49"/>
          <w:rFonts w:hint="eastAsia" w:ascii="宋体" w:hAnsi="宋体" w:eastAsia="宋体" w:cs="宋体"/>
          <w:sz w:val="28"/>
          <w:szCs w:val="28"/>
          <w:lang w:eastAsia="zh-CN"/>
        </w:rPr>
        <w:t>四、</w:t>
      </w:r>
      <w:r>
        <w:rPr>
          <w:rStyle w:val="49"/>
          <w:rFonts w:hint="eastAsia" w:ascii="宋体" w:hAnsi="宋体" w:eastAsia="宋体" w:cs="宋体"/>
          <w:sz w:val="28"/>
          <w:szCs w:val="28"/>
        </w:rPr>
        <w:t>排版要求</w:t>
      </w:r>
      <w:r>
        <w:rPr>
          <w:rFonts w:hint="eastAsia" w:ascii="宋体" w:hAnsi="宋体" w:eastAsia="宋体" w:cs="宋体"/>
          <w:color w:val="auto"/>
          <w:sz w:val="28"/>
          <w:szCs w:val="28"/>
        </w:rPr>
        <w:t>：页边距要求上边距2.5厘米，其余均为2厘米；不得设置封面、目录；正文行间距为固定值30磅；文字内容（含正文标题、正文）统一设为左对齐，首行缩进2字符，段落前后不设置空行；不得设置页眉、页脚和页码；</w:t>
      </w:r>
    </w:p>
    <w:p w14:paraId="6E9AE4F8">
      <w:pPr>
        <w:pStyle w:val="10"/>
        <w:numPr>
          <w:ilvl w:val="0"/>
          <w:numId w:val="0"/>
        </w:numPr>
        <w:spacing w:beforeLines="0" w:afterLines="0"/>
        <w:ind w:firstLine="616"/>
        <w:rPr>
          <w:rFonts w:hint="eastAsia" w:ascii="宋体" w:hAnsi="宋体" w:eastAsia="宋体" w:cs="宋体"/>
          <w:color w:val="auto"/>
          <w:sz w:val="28"/>
          <w:szCs w:val="28"/>
        </w:rPr>
      </w:pPr>
      <w:r>
        <w:rPr>
          <w:rStyle w:val="49"/>
          <w:rFonts w:hint="eastAsia" w:ascii="宋体" w:hAnsi="宋体" w:eastAsia="宋体" w:cs="宋体"/>
          <w:sz w:val="28"/>
          <w:szCs w:val="28"/>
          <w:lang w:eastAsia="zh-CN"/>
        </w:rPr>
        <w:t>五、</w:t>
      </w:r>
      <w:r>
        <w:rPr>
          <w:rStyle w:val="49"/>
          <w:rFonts w:hint="eastAsia" w:ascii="宋体" w:hAnsi="宋体" w:eastAsia="宋体" w:cs="宋体"/>
          <w:sz w:val="28"/>
          <w:szCs w:val="28"/>
        </w:rPr>
        <w:t>图、表要求</w:t>
      </w:r>
      <w:r>
        <w:rPr>
          <w:rFonts w:hint="eastAsia" w:ascii="宋体" w:hAnsi="宋体" w:eastAsia="宋体" w:cs="宋体"/>
          <w:color w:val="auto"/>
          <w:sz w:val="28"/>
          <w:szCs w:val="28"/>
        </w:rPr>
        <w:t>：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2BCB9DB4">
      <w:pPr>
        <w:pageBreakBefore w:val="0"/>
        <w:kinsoku/>
        <w:wordWrap w:val="0"/>
        <w:overflowPunct/>
        <w:bidi w:val="0"/>
        <w:rPr>
          <w:rFonts w:hint="eastAsia" w:ascii="宋体" w:hAnsi="宋体" w:eastAsia="宋体" w:cs="宋体"/>
          <w:sz w:val="28"/>
          <w:szCs w:val="28"/>
        </w:rPr>
      </w:pPr>
      <w:r>
        <w:rPr>
          <w:rStyle w:val="49"/>
          <w:rFonts w:hint="eastAsia" w:ascii="宋体" w:hAnsi="宋体" w:eastAsia="宋体" w:cs="宋体"/>
          <w:sz w:val="28"/>
          <w:szCs w:val="28"/>
          <w:lang w:eastAsia="zh-CN"/>
        </w:rPr>
        <w:t>六、</w:t>
      </w:r>
      <w:r>
        <w:rPr>
          <w:rStyle w:val="49"/>
          <w:rFonts w:hint="eastAsia" w:ascii="宋体" w:hAnsi="宋体" w:eastAsia="宋体" w:cs="宋体"/>
          <w:sz w:val="28"/>
          <w:szCs w:val="28"/>
        </w:rPr>
        <w:t>其它</w:t>
      </w:r>
      <w:r>
        <w:rPr>
          <w:rFonts w:hint="eastAsia" w:ascii="宋体" w:hAnsi="宋体" w:eastAsia="宋体" w:cs="宋体"/>
          <w:color w:val="auto"/>
          <w:sz w:val="28"/>
          <w:szCs w:val="28"/>
        </w:rPr>
        <w:t>：除满足上述各项要求外，构成投标文件的“技术暗标”的正文中均不得出现供应商的名称和其它可识别供应商身份的字</w:t>
      </w:r>
      <w:r>
        <w:rPr>
          <w:rFonts w:hint="eastAsia" w:ascii="宋体" w:hAnsi="宋体" w:eastAsia="宋体" w:cs="宋体"/>
          <w:color w:val="auto"/>
          <w:spacing w:val="-3"/>
          <w:sz w:val="28"/>
          <w:szCs w:val="28"/>
        </w:rPr>
        <w:t>符</w:t>
      </w:r>
      <w:r>
        <w:rPr>
          <w:rFonts w:hint="eastAsia" w:ascii="宋体" w:hAnsi="宋体" w:eastAsia="宋体" w:cs="宋体"/>
          <w:color w:val="auto"/>
          <w:spacing w:val="-2"/>
          <w:sz w:val="28"/>
          <w:szCs w:val="28"/>
        </w:rPr>
        <w:t>、</w:t>
      </w:r>
      <w:r>
        <w:rPr>
          <w:rFonts w:hint="eastAsia" w:ascii="宋体" w:hAnsi="宋体" w:eastAsia="宋体" w:cs="宋体"/>
          <w:color w:val="auto"/>
          <w:spacing w:val="-3"/>
          <w:sz w:val="28"/>
          <w:szCs w:val="28"/>
        </w:rPr>
        <w:t>徽</w:t>
      </w:r>
      <w:r>
        <w:rPr>
          <w:rFonts w:hint="eastAsia" w:ascii="宋体" w:hAnsi="宋体" w:eastAsia="宋体" w:cs="宋体"/>
          <w:color w:val="auto"/>
          <w:spacing w:val="-2"/>
          <w:sz w:val="28"/>
          <w:szCs w:val="28"/>
        </w:rPr>
        <w:t>标</w:t>
      </w:r>
      <w:r>
        <w:rPr>
          <w:rFonts w:hint="eastAsia" w:ascii="宋体" w:hAnsi="宋体" w:eastAsia="宋体" w:cs="宋体"/>
          <w:color w:val="auto"/>
          <w:spacing w:val="-3"/>
          <w:sz w:val="28"/>
          <w:szCs w:val="28"/>
        </w:rPr>
        <w:t>、人员名称以及其他可能被辨别出供应商身份的任</w:t>
      </w:r>
      <w:r>
        <w:rPr>
          <w:rFonts w:hint="eastAsia" w:ascii="宋体" w:hAnsi="宋体" w:eastAsia="宋体" w:cs="宋体"/>
          <w:color w:val="auto"/>
          <w:sz w:val="28"/>
          <w:szCs w:val="28"/>
        </w:rPr>
        <w:t>何标记。</w:t>
      </w:r>
    </w:p>
    <w:sectPr>
      <w:pgSz w:w="11906" w:h="16838"/>
      <w:pgMar w:top="1644" w:right="1588" w:bottom="164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3742">
    <w:pPr>
      <w:pStyle w:val="14"/>
      <w:tabs>
        <w:tab w:val="center" w:pos="4140"/>
        <w:tab w:val="right" w:pos="8300"/>
        <w:tab w:val="clear" w:pos="4153"/>
        <w:tab w:val="clear" w:pos="8306"/>
      </w:tabs>
      <w:jc w:val="both"/>
    </w:pPr>
  </w:p>
  <w:p w14:paraId="362A47CE">
    <w:pPr>
      <w:pStyle w:val="14"/>
      <w:tabs>
        <w:tab w:val="center" w:pos="4140"/>
        <w:tab w:val="left" w:pos="4621"/>
        <w:tab w:val="center" w:pos="4744"/>
        <w:tab w:val="right" w:pos="8300"/>
        <w:tab w:val="clear" w:pos="4153"/>
        <w:tab w:val="clear" w:pos="8306"/>
      </w:tabs>
      <w:ind w:right="36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787A">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809A5">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0809A5">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FD701">
    <w:pPr>
      <w:spacing w:after="120"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230DB">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0A230DB">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8F24">
    <w:pPr>
      <w:snapToGrid w:val="0"/>
      <w:ind w:right="360"/>
      <w:jc w:val="left"/>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76A24">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F576A24">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42C0">
    <w:pPr>
      <w:snapToGrid w:val="0"/>
      <w:jc w:val="left"/>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EFE99">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2EFE99">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1CC2">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04125">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A04125">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1CD9">
    <w:pPr>
      <w:spacing w:after="120"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FC5F1">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3FC5F1">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C4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E273">
    <w:pPr>
      <w:pStyle w:val="14"/>
      <w:tabs>
        <w:tab w:val="center" w:pos="4140"/>
        <w:tab w:val="right" w:pos="83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BA2E">
    <w:pPr>
      <w:pStyle w:val="14"/>
      <w:tabs>
        <w:tab w:val="center" w:pos="4140"/>
        <w:tab w:val="left" w:pos="4621"/>
        <w:tab w:val="center" w:pos="4744"/>
        <w:tab w:val="right" w:pos="8300"/>
        <w:tab w:val="clear" w:pos="4153"/>
        <w:tab w:val="clear" w:pos="8306"/>
      </w:tabs>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724E">
    <w:pPr>
      <w:pStyle w:val="14"/>
      <w:tabs>
        <w:tab w:val="center" w:pos="4140"/>
        <w:tab w:val="right" w:pos="830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3A91C">
                          <w:pPr>
                            <w:pStyle w:val="14"/>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5323A91C">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4BFC">
    <w:pPr>
      <w:pStyle w:val="14"/>
      <w:tabs>
        <w:tab w:val="center" w:pos="4140"/>
        <w:tab w:val="right" w:pos="8300"/>
        <w:tab w:val="clear" w:pos="4153"/>
        <w:tab w:val="clear" w:pos="8306"/>
      </w:tabs>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11DC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A11DC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26E2">
    <w:pPr>
      <w:pStyle w:val="14"/>
      <w:tabs>
        <w:tab w:val="center" w:pos="4140"/>
        <w:tab w:val="right" w:pos="8300"/>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472F5">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3472F5">
                    <w:pPr>
                      <w:pStyle w:val="14"/>
                    </w:pPr>
                    <w:r>
                      <w:fldChar w:fldCharType="begin"/>
                    </w:r>
                    <w:r>
                      <w:instrText xml:space="preserve"> PAGE  \* MERGEFORMAT </w:instrText>
                    </w:r>
                    <w:r>
                      <w:fldChar w:fldCharType="separate"/>
                    </w:r>
                    <w:r>
                      <w:t>26</w:t>
                    </w:r>
                    <w:r>
                      <w:fldChar w:fldCharType="end"/>
                    </w:r>
                  </w:p>
                </w:txbxContent>
              </v:textbox>
            </v:shape>
          </w:pict>
        </mc:Fallback>
      </mc:AlternateContent>
    </w:r>
  </w:p>
  <w:p w14:paraId="4E92E51D">
    <w:pPr>
      <w:pStyle w:val="14"/>
      <w:tabs>
        <w:tab w:val="center" w:pos="4140"/>
        <w:tab w:val="left" w:pos="4621"/>
        <w:tab w:val="center" w:pos="4744"/>
        <w:tab w:val="right" w:pos="8300"/>
        <w:tab w:val="clear" w:pos="4153"/>
        <w:tab w:val="clear" w:pos="8306"/>
      </w:tabs>
      <w:ind w:right="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23DB">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BF6D6">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EBF6D6">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4479">
    <w:pPr>
      <w:pStyle w:val="14"/>
      <w:tabs>
        <w:tab w:val="center" w:pos="4140"/>
        <w:tab w:val="right" w:pos="8300"/>
        <w:tab w:val="clear" w:pos="4153"/>
        <w:tab w:val="clear" w:pos="8306"/>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8E66">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318E66">
                    <w:pPr>
                      <w:pStyle w:val="14"/>
                    </w:pPr>
                    <w:r>
                      <w:fldChar w:fldCharType="begin"/>
                    </w:r>
                    <w:r>
                      <w:instrText xml:space="preserve"> PAGE  \* MERGEFORMAT </w:instrText>
                    </w:r>
                    <w:r>
                      <w:fldChar w:fldCharType="separate"/>
                    </w:r>
                    <w:r>
                      <w:t>28</w:t>
                    </w:r>
                    <w:r>
                      <w:fldChar w:fldCharType="end"/>
                    </w:r>
                  </w:p>
                </w:txbxContent>
              </v:textbox>
            </v:shape>
          </w:pict>
        </mc:Fallback>
      </mc:AlternateContent>
    </w:r>
  </w:p>
  <w:p w14:paraId="5044DAE1">
    <w:pPr>
      <w:pStyle w:val="14"/>
      <w:tabs>
        <w:tab w:val="center" w:pos="4140"/>
        <w:tab w:val="left" w:pos="4621"/>
        <w:tab w:val="center" w:pos="4744"/>
        <w:tab w:val="right" w:pos="8300"/>
        <w:tab w:val="clear" w:pos="4153"/>
        <w:tab w:val="clear" w:pos="8306"/>
      </w:tabs>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AA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6547">
    <w:pPr>
      <w:pStyle w:val="15"/>
      <w:pBdr>
        <w:bottom w:val="none" w:color="auto" w:sz="0" w:space="1"/>
      </w:pBdr>
      <w:jc w:val="right"/>
      <w:rPr>
        <w:rFonts w:hint="eastAsia" w:eastAsia="宋体"/>
        <w:lang w:eastAsia="zh-CN"/>
      </w:rPr>
    </w:pPr>
    <w:r>
      <w:rPr>
        <w:rFonts w:hint="eastAsia"/>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6F99">
    <w:pPr>
      <w:pStyle w:val="15"/>
      <w:pBdr>
        <w:bottom w:val="none" w:color="auto" w:sz="0" w:space="0"/>
      </w:pBdr>
      <w:jc w:val="both"/>
      <w:rPr>
        <w:rFonts w:hint="eastAsia"/>
      </w:rPr>
    </w:pPr>
    <w:r>
      <mc:AlternateContent>
        <mc:Choice Requires="wps">
          <w:drawing>
            <wp:anchor distT="0" distB="0" distL="114300" distR="114300" simplePos="0" relativeHeight="251659264" behindDoc="0" locked="0" layoutInCell="0" allowOverlap="1">
              <wp:simplePos x="0" y="0"/>
              <wp:positionH relativeFrom="page">
                <wp:posOffset>1141095</wp:posOffset>
              </wp:positionH>
              <wp:positionV relativeFrom="page">
                <wp:posOffset>363855</wp:posOffset>
              </wp:positionV>
              <wp:extent cx="5278755" cy="1536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278755" cy="153670"/>
                      </a:xfrm>
                      <a:prstGeom prst="rect">
                        <a:avLst/>
                      </a:prstGeom>
                      <a:noFill/>
                      <a:ln>
                        <a:noFill/>
                      </a:ln>
                    </wps:spPr>
                    <wps:txbx>
                      <w:txbxContent>
                        <w:p w14:paraId="2E22F270">
                          <w:pPr>
                            <w:jc w:val="right"/>
                          </w:pPr>
                        </w:p>
                      </w:txbxContent>
                    </wps:txbx>
                    <wps:bodyPr lIns="91440" tIns="0" rIns="91440" bIns="0" upright="1">
                      <a:spAutoFit/>
                    </wps:bodyPr>
                  </wps:wsp>
                </a:graphicData>
              </a:graphic>
            </wp:anchor>
          </w:drawing>
        </mc:Choice>
        <mc:Fallback>
          <w:pict>
            <v:shape id="_x0000_s1026" o:spid="_x0000_s1026" o:spt="202" type="#_x0000_t202" style="position:absolute;left:0pt;margin-left:89.85pt;margin-top:28.65pt;height:12.1pt;width:415.65pt;mso-position-horizontal-relative:page;mso-position-vertical-relative:page;z-index:251659264;mso-width-relative:page;mso-height-relative:page;" filled="f" stroked="f" coordsize="21600,21600" o:allowincell="f" o:gfxdata="UEsDBAoAAAAAAIdO4kAAAAAAAAAAAAAAAAAEAAAAZHJzL1BLAwQUAAAACACHTuJAve26WdYAAAAK&#10;AQAADwAAAGRycy9kb3ducmV2LnhtbE2PTU7DMBSE90jcwXpI7KjtoiYlxOkCiQ1ShVpyANc2ccA/&#10;ke0m5fa8rmA5mtHMN+3u4h2ZTcpjDAL4igExQUU9hkFA//H6sAWSiwxauhiMgB+TYdfd3rSy0XEJ&#10;BzMfy0CwJORGCrClTA2lWVnjZV7FyQT0PmPysqBMA9VJLljuHV0zVlEvx4ALVk7mxRr1fTx73N1/&#10;HZLreVxXapHzu6rsvn8T4v6Os2cgxVzKXxiu+IgOHTKd4jnoTBzq+qnGqIBN/QjkGmCc47uTgC3f&#10;AO1a+v9C9wtQSwMEFAAAAAgAh07iQDrtAZXOAQAAlAMAAA4AAABkcnMvZTJvRG9jLnhtbK1TzY7T&#10;MBC+I/EOlu80Tdm2S9R0BaoWISFAWngA17EbS/6Tx23SF4A34MSFO8/V59ixk3aX5bIHLok9M/nm&#10;+76ZrG56o8lBBFDO1rScTCkRlrtG2V1Nv329fXVNCURmG6adFTU9CqA365cvVp2vxMy1TjciEASx&#10;UHW+pm2MvioK4K0wDCbOC4tJ6YJhEa9hVzSBdYhudDGbThdF50Ljg+MCAKObIUlHxPAcQCel4mLj&#10;+N4IGwfUIDSLKAla5YGuM1spBY+fpQQRia4pKo35iU3wvE3PYr1i1S4w3yo+UmDPofBEk2HKYtML&#10;1IZFRvZB/QNlFA8OnIwT7kwxCMmOoIpy+sSbu5Z5kbWg1eAvpsP/g+WfDl8CUU1NF5RYZnDgp58/&#10;Tr/+nH5/J4tkT+ehwqo7j3Wxf+d6XJpzHDCYVPcymPRGPQTzaO7xYq7oI+EYnM+W18v5nBKOuXL+&#10;erHM7hcPX/sA8b1whqRDTQMOL3vKDh8hIhMsPZekZtbdKq3zALX9K4CFKVIk6gPFdIr9th/1bF1z&#10;RDn6g0Ur35RXV2k18gUP4XF0e47ufVC7FmmVmRP4t/uIBDKvhD5Ajk1xWJnuuFhpGx7fc9XDz7S+&#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3tulnWAAAACgEAAA8AAAAAAAAAAQAgAAAAIgAAAGRy&#10;cy9kb3ducmV2LnhtbFBLAQIUABQAAAAIAIdO4kA67QGVzgEAAJQDAAAOAAAAAAAAAAEAIAAAACUB&#10;AABkcnMvZTJvRG9jLnhtbFBLBQYAAAAABgAGAFkBAABlBQAAAAA=&#10;">
              <v:fill on="f" focussize="0,0"/>
              <v:stroke on="f"/>
              <v:imagedata o:title=""/>
              <o:lock v:ext="edit" aspectratio="f"/>
              <v:textbox inset="2.54mm,0mm,2.54mm,0mm" style="mso-fit-shape-to-text:t;">
                <w:txbxContent>
                  <w:p w14:paraId="2E22F270">
                    <w:pPr>
                      <w:jc w:val="righ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AA3E"/>
    <w:multiLevelType w:val="singleLevel"/>
    <w:tmpl w:val="9E5DAA3E"/>
    <w:lvl w:ilvl="0" w:tentative="0">
      <w:start w:val="1"/>
      <w:numFmt w:val="decimal"/>
      <w:suff w:val="space"/>
      <w:lvlText w:val="%1."/>
      <w:lvlJc w:val="left"/>
      <w:pPr>
        <w:ind w:left="0" w:firstLine="0"/>
      </w:pPr>
    </w:lvl>
  </w:abstractNum>
  <w:abstractNum w:abstractNumId="1">
    <w:nsid w:val="0000000E"/>
    <w:multiLevelType w:val="multilevel"/>
    <w:tmpl w:val="0000000E"/>
    <w:lvl w:ilvl="0" w:tentative="0">
      <w:start w:val="1"/>
      <w:numFmt w:val="bullet"/>
      <w:pStyle w:val="2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0FB2537B"/>
    <w:multiLevelType w:val="multilevel"/>
    <w:tmpl w:val="0FB2537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DA42CD4"/>
    <w:multiLevelType w:val="multilevel"/>
    <w:tmpl w:val="2DA42CD4"/>
    <w:lvl w:ilvl="0" w:tentative="0">
      <w:start w:val="1"/>
      <w:numFmt w:val="japaneseCounting"/>
      <w:lvlText w:val="（%1）"/>
      <w:lvlJc w:val="left"/>
      <w:pPr>
        <w:ind w:left="4967" w:hanging="855"/>
      </w:pPr>
      <w:rPr>
        <w:rFonts w:hint="default"/>
      </w:rPr>
    </w:lvl>
    <w:lvl w:ilvl="1" w:tentative="0">
      <w:start w:val="1"/>
      <w:numFmt w:val="lowerLetter"/>
      <w:lvlText w:val="%2)"/>
      <w:lvlJc w:val="left"/>
      <w:pPr>
        <w:ind w:left="4952" w:hanging="420"/>
      </w:pPr>
    </w:lvl>
    <w:lvl w:ilvl="2" w:tentative="0">
      <w:start w:val="1"/>
      <w:numFmt w:val="lowerRoman"/>
      <w:lvlText w:val="%3."/>
      <w:lvlJc w:val="right"/>
      <w:pPr>
        <w:ind w:left="5372" w:hanging="420"/>
      </w:pPr>
    </w:lvl>
    <w:lvl w:ilvl="3" w:tentative="0">
      <w:start w:val="1"/>
      <w:numFmt w:val="decimal"/>
      <w:lvlText w:val="%4."/>
      <w:lvlJc w:val="left"/>
      <w:pPr>
        <w:ind w:left="5792" w:hanging="420"/>
      </w:pPr>
    </w:lvl>
    <w:lvl w:ilvl="4" w:tentative="0">
      <w:start w:val="1"/>
      <w:numFmt w:val="lowerLetter"/>
      <w:lvlText w:val="%5)"/>
      <w:lvlJc w:val="left"/>
      <w:pPr>
        <w:ind w:left="6212" w:hanging="420"/>
      </w:pPr>
    </w:lvl>
    <w:lvl w:ilvl="5" w:tentative="0">
      <w:start w:val="1"/>
      <w:numFmt w:val="lowerRoman"/>
      <w:lvlText w:val="%6."/>
      <w:lvlJc w:val="right"/>
      <w:pPr>
        <w:ind w:left="6632" w:hanging="420"/>
      </w:pPr>
    </w:lvl>
    <w:lvl w:ilvl="6" w:tentative="0">
      <w:start w:val="1"/>
      <w:numFmt w:val="decimal"/>
      <w:lvlText w:val="%7."/>
      <w:lvlJc w:val="left"/>
      <w:pPr>
        <w:ind w:left="7052" w:hanging="420"/>
      </w:pPr>
    </w:lvl>
    <w:lvl w:ilvl="7" w:tentative="0">
      <w:start w:val="1"/>
      <w:numFmt w:val="lowerLetter"/>
      <w:lvlText w:val="%8)"/>
      <w:lvlJc w:val="left"/>
      <w:pPr>
        <w:ind w:left="7472" w:hanging="420"/>
      </w:pPr>
    </w:lvl>
    <w:lvl w:ilvl="8" w:tentative="0">
      <w:start w:val="1"/>
      <w:numFmt w:val="lowerRoman"/>
      <w:lvlText w:val="%9."/>
      <w:lvlJc w:val="right"/>
      <w:pPr>
        <w:ind w:left="7892" w:hanging="420"/>
      </w:pPr>
    </w:lvl>
  </w:abstractNum>
  <w:abstractNum w:abstractNumId="4">
    <w:nsid w:val="3C6C1C80"/>
    <w:multiLevelType w:val="singleLevel"/>
    <w:tmpl w:val="3C6C1C80"/>
    <w:lvl w:ilvl="0" w:tentative="0">
      <w:start w:val="1"/>
      <w:numFmt w:val="decimal"/>
      <w:suff w:val="nothing"/>
      <w:lvlText w:val="%1"/>
      <w:lvlJc w:val="center"/>
      <w:pPr>
        <w:ind w:left="0" w:firstLine="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25856"/>
    <w:rsid w:val="0F14413D"/>
    <w:rsid w:val="0FAC439B"/>
    <w:rsid w:val="16B2591B"/>
    <w:rsid w:val="1C1366F1"/>
    <w:rsid w:val="202126CC"/>
    <w:rsid w:val="223C50A5"/>
    <w:rsid w:val="22805021"/>
    <w:rsid w:val="29435648"/>
    <w:rsid w:val="2DEB7261"/>
    <w:rsid w:val="30F444DE"/>
    <w:rsid w:val="32A16E81"/>
    <w:rsid w:val="34C472E7"/>
    <w:rsid w:val="36D94A0B"/>
    <w:rsid w:val="385B6B46"/>
    <w:rsid w:val="38A17A09"/>
    <w:rsid w:val="39B21C87"/>
    <w:rsid w:val="3CE13A6B"/>
    <w:rsid w:val="403C5CDE"/>
    <w:rsid w:val="42820934"/>
    <w:rsid w:val="42BC4BDD"/>
    <w:rsid w:val="449713BF"/>
    <w:rsid w:val="45ED1CB0"/>
    <w:rsid w:val="4A704361"/>
    <w:rsid w:val="4F5A1A06"/>
    <w:rsid w:val="568737FC"/>
    <w:rsid w:val="59EA38FA"/>
    <w:rsid w:val="5ECB4FD8"/>
    <w:rsid w:val="61561446"/>
    <w:rsid w:val="651A2380"/>
    <w:rsid w:val="66913475"/>
    <w:rsid w:val="6C38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widowControl w:val="0"/>
      <w:spacing w:before="340" w:after="330" w:line="576"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7"/>
    <w:basedOn w:val="1"/>
    <w:next w:val="6"/>
    <w:qFormat/>
    <w:uiPriority w:val="0"/>
    <w:pPr>
      <w:keepNext/>
      <w:keepLines/>
      <w:widowControl/>
      <w:tabs>
        <w:tab w:val="left" w:pos="2520"/>
      </w:tabs>
      <w:spacing w:before="240" w:after="64" w:line="316" w:lineRule="auto"/>
      <w:ind w:left="1296" w:hanging="1296"/>
      <w:jc w:val="left"/>
      <w:outlineLvl w:val="6"/>
    </w:pPr>
    <w:rPr>
      <w:b/>
      <w:bCs/>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200" w:firstLineChars="200"/>
    </w:pPr>
  </w:style>
  <w:style w:type="paragraph" w:styleId="7">
    <w:name w:val="index 5"/>
    <w:basedOn w:val="1"/>
    <w:next w:val="1"/>
    <w:unhideWhenUsed/>
    <w:qFormat/>
    <w:uiPriority w:val="99"/>
    <w:pPr>
      <w:ind w:left="800" w:leftChars="800"/>
    </w:pPr>
  </w:style>
  <w:style w:type="paragraph" w:styleId="8">
    <w:name w:val="annotation text"/>
    <w:basedOn w:val="1"/>
    <w:next w:val="1"/>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qFormat/>
    <w:uiPriority w:val="0"/>
    <w:pPr>
      <w:spacing w:after="120"/>
    </w:pPr>
  </w:style>
  <w:style w:type="paragraph" w:styleId="11">
    <w:name w:val="Body Text Indent"/>
    <w:basedOn w:val="1"/>
    <w:next w:val="12"/>
    <w:qFormat/>
    <w:uiPriority w:val="0"/>
    <w:pPr>
      <w:ind w:left="420" w:leftChars="200"/>
    </w:pPr>
    <w:rPr>
      <w:rFonts w:ascii="Times New Roman" w:hAnsi="Times New Roman"/>
    </w:rPr>
  </w:style>
  <w:style w:type="paragraph" w:styleId="12">
    <w:name w:val="annotation subject"/>
    <w:basedOn w:val="8"/>
    <w:next w:val="1"/>
    <w:qFormat/>
    <w:uiPriority w:val="0"/>
    <w:pPr>
      <w:widowControl/>
    </w:pPr>
    <w:rPr>
      <w:b/>
      <w:bCs/>
      <w:kern w:val="0"/>
      <w:sz w:val="20"/>
      <w:szCs w:val="20"/>
    </w:rPr>
  </w:style>
  <w:style w:type="paragraph" w:styleId="13">
    <w:name w:val="Date"/>
    <w:basedOn w:val="1"/>
    <w:next w:val="1"/>
    <w:qFormat/>
    <w:uiPriority w:val="0"/>
    <w:rPr>
      <w:sz w:val="24"/>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 w:hAnsi="??" w:cs="宋体"/>
      <w:kern w:val="0"/>
      <w:sz w:val="24"/>
      <w:lang w:bidi="ar-SA"/>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Body Text First Indent"/>
    <w:basedOn w:val="10"/>
    <w:qFormat/>
    <w:uiPriority w:val="0"/>
    <w:pPr>
      <w:spacing w:line="312" w:lineRule="auto"/>
      <w:ind w:firstLine="420"/>
    </w:pPr>
  </w:style>
  <w:style w:type="paragraph" w:styleId="19">
    <w:name w:val="Body Text First Indent 2"/>
    <w:basedOn w:val="11"/>
    <w:next w:val="1"/>
    <w:unhideWhenUsed/>
    <w:qFormat/>
    <w:uiPriority w:val="99"/>
    <w:pPr>
      <w:tabs>
        <w:tab w:val="left" w:pos="360"/>
      </w:tabs>
      <w:ind w:firstLine="420"/>
    </w:pPr>
    <w:rPr>
      <w:sz w:val="24"/>
    </w:rPr>
  </w:style>
  <w:style w:type="table" w:styleId="21">
    <w:name w:val="Table Grid"/>
    <w:basedOn w:val="20"/>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Emphasis"/>
    <w:basedOn w:val="22"/>
    <w:qFormat/>
    <w:uiPriority w:val="0"/>
    <w:rPr>
      <w:i/>
    </w:rPr>
  </w:style>
  <w:style w:type="character" w:styleId="25">
    <w:name w:val="Hyperlink"/>
    <w:basedOn w:val="22"/>
    <w:qFormat/>
    <w:uiPriority w:val="0"/>
    <w:rPr>
      <w:color w:val="0000FF"/>
      <w:u w:val="single"/>
    </w:rPr>
  </w:style>
  <w:style w:type="character" w:styleId="26">
    <w:name w:val="HTML Sample"/>
    <w:basedOn w:val="22"/>
    <w:qFormat/>
    <w:uiPriority w:val="0"/>
    <w:rPr>
      <w:rFonts w:ascii="Courier New" w:hAnsi="Courier New"/>
    </w:rPr>
  </w:style>
  <w:style w:type="paragraph" w:customStyle="1" w:styleId="27">
    <w:name w:val="首行缩进"/>
    <w:basedOn w:val="1"/>
    <w:qFormat/>
    <w:uiPriority w:val="0"/>
    <w:pPr>
      <w:numPr>
        <w:ilvl w:val="0"/>
        <w:numId w:val="1"/>
      </w:numPr>
      <w:spacing w:line="360" w:lineRule="auto"/>
    </w:pPr>
    <w:rPr>
      <w:rFonts w:eastAsia="仿宋_GB2312"/>
    </w:rPr>
  </w:style>
  <w:style w:type="paragraph" w:customStyle="1" w:styleId="28">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Blockquote"/>
    <w:basedOn w:val="1"/>
    <w:qFormat/>
    <w:uiPriority w:val="0"/>
    <w:pPr>
      <w:widowControl w:val="0"/>
      <w:autoSpaceDE w:val="0"/>
      <w:autoSpaceDN w:val="0"/>
      <w:adjustRightInd w:val="0"/>
      <w:spacing w:before="100" w:after="100"/>
      <w:ind w:left="360" w:right="360"/>
    </w:pPr>
    <w:rPr>
      <w:sz w:val="24"/>
      <w:szCs w:val="24"/>
    </w:rPr>
  </w:style>
  <w:style w:type="character" w:customStyle="1" w:styleId="31">
    <w:name w:val="font101"/>
    <w:qFormat/>
    <w:uiPriority w:val="0"/>
    <w:rPr>
      <w:rFonts w:hint="eastAsia" w:ascii="微软雅黑" w:hAnsi="微软雅黑" w:eastAsia="微软雅黑" w:cs="微软雅黑"/>
      <w:color w:val="000000"/>
      <w:sz w:val="14"/>
      <w:szCs w:val="14"/>
      <w:u w:val="none"/>
    </w:rPr>
  </w:style>
  <w:style w:type="character" w:customStyle="1" w:styleId="32">
    <w:name w:val="font112"/>
    <w:qFormat/>
    <w:uiPriority w:val="0"/>
    <w:rPr>
      <w:rFonts w:hint="eastAsia" w:ascii="微软雅黑" w:hAnsi="微软雅黑" w:eastAsia="微软雅黑" w:cs="微软雅黑"/>
      <w:color w:val="FF0000"/>
      <w:sz w:val="14"/>
      <w:szCs w:val="14"/>
      <w:u w:val="none"/>
    </w:rPr>
  </w:style>
  <w:style w:type="character" w:customStyle="1" w:styleId="33">
    <w:name w:val="font181"/>
    <w:qFormat/>
    <w:uiPriority w:val="0"/>
    <w:rPr>
      <w:rFonts w:hint="eastAsia" w:ascii="微软雅黑" w:hAnsi="微软雅黑" w:eastAsia="微软雅黑" w:cs="微软雅黑"/>
      <w:b/>
      <w:bCs/>
      <w:color w:val="000000"/>
      <w:sz w:val="14"/>
      <w:szCs w:val="14"/>
      <w:u w:val="none"/>
    </w:rPr>
  </w:style>
  <w:style w:type="character" w:customStyle="1" w:styleId="34">
    <w:name w:val="font131"/>
    <w:qFormat/>
    <w:uiPriority w:val="0"/>
    <w:rPr>
      <w:rFonts w:hint="eastAsia" w:ascii="微软雅黑" w:hAnsi="微软雅黑" w:eastAsia="微软雅黑" w:cs="微软雅黑"/>
      <w:color w:val="000000"/>
      <w:sz w:val="20"/>
      <w:szCs w:val="20"/>
      <w:u w:val="none"/>
    </w:rPr>
  </w:style>
  <w:style w:type="character" w:customStyle="1" w:styleId="35">
    <w:name w:val="font151"/>
    <w:basedOn w:val="22"/>
    <w:qFormat/>
    <w:uiPriority w:val="0"/>
    <w:rPr>
      <w:rFonts w:hint="eastAsia" w:ascii="微软雅黑" w:hAnsi="微软雅黑" w:eastAsia="微软雅黑" w:cs="微软雅黑"/>
      <w:color w:val="FF0000"/>
      <w:sz w:val="20"/>
      <w:szCs w:val="20"/>
      <w:u w:val="none"/>
    </w:rPr>
  </w:style>
  <w:style w:type="character" w:customStyle="1" w:styleId="36">
    <w:name w:val="font121"/>
    <w:qFormat/>
    <w:uiPriority w:val="0"/>
    <w:rPr>
      <w:rFonts w:hint="eastAsia" w:ascii="微软雅黑" w:hAnsi="微软雅黑" w:eastAsia="微软雅黑" w:cs="微软雅黑"/>
      <w:color w:val="000000"/>
      <w:sz w:val="20"/>
      <w:szCs w:val="20"/>
      <w:u w:val="none"/>
    </w:rPr>
  </w:style>
  <w:style w:type="character" w:customStyle="1" w:styleId="37">
    <w:name w:val="NormalCharacter"/>
    <w:qFormat/>
    <w:uiPriority w:val="0"/>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5"/>
      <w:szCs w:val="15"/>
      <w:lang w:eastAsia="en-US"/>
    </w:rPr>
  </w:style>
  <w:style w:type="paragraph" w:customStyle="1" w:styleId="39">
    <w:name w:val="Table Paragraph"/>
    <w:basedOn w:val="1"/>
    <w:qFormat/>
    <w:uiPriority w:val="1"/>
    <w:pPr>
      <w:spacing w:before="70"/>
      <w:ind w:left="7"/>
      <w:jc w:val="center"/>
    </w:pPr>
    <w:rPr>
      <w:rFonts w:ascii="宋体" w:hAnsi="宋体" w:cs="宋体"/>
      <w:szCs w:val="22"/>
      <w:lang w:val="zh-CN" w:bidi="zh-CN"/>
    </w:rPr>
  </w:style>
  <w:style w:type="paragraph" w:customStyle="1" w:styleId="40">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1">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16"/>
    <w:basedOn w:val="1"/>
    <w:autoRedefine/>
    <w:qFormat/>
    <w:uiPriority w:val="0"/>
    <w:pPr>
      <w:widowControl/>
      <w:jc w:val="left"/>
    </w:pPr>
    <w:rPr>
      <w:kern w:val="0"/>
      <w:szCs w:val="21"/>
    </w:rPr>
  </w:style>
  <w:style w:type="paragraph" w:customStyle="1" w:styleId="43">
    <w:name w:val="目录"/>
    <w:basedOn w:val="1"/>
    <w:autoRedefine/>
    <w:qFormat/>
    <w:uiPriority w:val="0"/>
    <w:pPr>
      <w:jc w:val="center"/>
    </w:pPr>
    <w:rPr>
      <w:rFonts w:ascii="宋体"/>
      <w:sz w:val="36"/>
    </w:rPr>
  </w:style>
  <w:style w:type="paragraph" w:customStyle="1" w:styleId="44">
    <w:name w:val="Style1"/>
    <w:basedOn w:val="1"/>
    <w:qFormat/>
    <w:uiPriority w:val="0"/>
    <w:pPr>
      <w:widowControl/>
      <w:tabs>
        <w:tab w:val="left" w:pos="-720"/>
      </w:tabs>
      <w:spacing w:after="120"/>
    </w:pPr>
    <w:rPr>
      <w:spacing w:val="-3"/>
      <w:kern w:val="0"/>
      <w:sz w:val="24"/>
      <w:lang w:val="en-AU" w:eastAsia="en-US"/>
    </w:rPr>
  </w:style>
  <w:style w:type="character" w:customStyle="1" w:styleId="45">
    <w:name w:val="font41"/>
    <w:basedOn w:val="22"/>
    <w:qFormat/>
    <w:uiPriority w:val="0"/>
    <w:rPr>
      <w:rFonts w:hint="eastAsia" w:ascii="宋体" w:hAnsi="宋体" w:eastAsia="宋体" w:cs="宋体"/>
      <w:b/>
      <w:bCs/>
      <w:color w:val="000000"/>
      <w:sz w:val="20"/>
      <w:szCs w:val="20"/>
      <w:u w:val="none"/>
    </w:rPr>
  </w:style>
  <w:style w:type="character" w:customStyle="1" w:styleId="46">
    <w:name w:val="font141"/>
    <w:basedOn w:val="22"/>
    <w:qFormat/>
    <w:uiPriority w:val="0"/>
    <w:rPr>
      <w:rFonts w:hint="eastAsia" w:ascii="宋体" w:hAnsi="宋体" w:eastAsia="宋体" w:cs="宋体"/>
      <w:i/>
      <w:iCs/>
      <w:color w:val="000000"/>
      <w:sz w:val="21"/>
      <w:szCs w:val="21"/>
      <w:u w:val="none"/>
    </w:rPr>
  </w:style>
  <w:style w:type="character" w:customStyle="1" w:styleId="47">
    <w:name w:val="font12"/>
    <w:basedOn w:val="22"/>
    <w:qFormat/>
    <w:uiPriority w:val="0"/>
    <w:rPr>
      <w:rFonts w:hint="eastAsia" w:ascii="宋体" w:hAnsi="宋体" w:eastAsia="宋体" w:cs="宋体"/>
      <w:color w:val="000000"/>
      <w:sz w:val="21"/>
      <w:szCs w:val="21"/>
      <w:u w:val="none"/>
    </w:rPr>
  </w:style>
  <w:style w:type="character" w:customStyle="1" w:styleId="48">
    <w:name w:val="font231"/>
    <w:basedOn w:val="22"/>
    <w:qFormat/>
    <w:uiPriority w:val="0"/>
    <w:rPr>
      <w:rFonts w:hint="eastAsia" w:ascii="宋体" w:hAnsi="宋体" w:eastAsia="宋体" w:cs="宋体"/>
      <w:color w:val="000000"/>
      <w:sz w:val="21"/>
      <w:szCs w:val="21"/>
      <w:u w:val="none"/>
      <w:vertAlign w:val="superscript"/>
    </w:rPr>
  </w:style>
  <w:style w:type="character" w:customStyle="1" w:styleId="49">
    <w:name w:val="标题 1 Char"/>
    <w:link w:val="2"/>
    <w:qFormat/>
    <w:uiPriority w:val="0"/>
    <w:rPr>
      <w:b/>
      <w:bCs/>
      <w:kern w:val="44"/>
      <w:sz w:val="44"/>
      <w:szCs w:val="44"/>
    </w:rPr>
  </w:style>
  <w:style w:type="paragraph" w:styleId="5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1690</Words>
  <Characters>2143</Characters>
  <Lines>0</Lines>
  <Paragraphs>0</Paragraphs>
  <TotalTime>4</TotalTime>
  <ScaleCrop>false</ScaleCrop>
  <LinksUpToDate>false</LinksUpToDate>
  <CharactersWithSpaces>2205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2025-06-23T07:58:00Z</dcterms:created>
  <dc:creator>Feng</dc:creator>
  <cp:lastModifiedBy>AA</cp:lastModifiedBy>
  <dcterms:modified xsi:type="dcterms:W3CDTF">2026-06-11T07:23:39Z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C4ECD0237BA94017A1BE70709A075782_11</vt:lpwstr>
  </property>
  <property fmtid="{D5CDD505-2E9C-101B-9397-08002B2CF9AE}" pid="4" name="KSOTemplateDocerSaveRecord">
    <vt:lpwstr>eyJoZGlkIjoiYzMwZDY5MzMyNzhmMDkyZDczNjVlZjcwZTE2M2ZhN2QiLCJ1c2VySWQiOiIyNjkxMzk3MjUifQ==</vt:lpwstr>
  </property>
</Properties>
</file>