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bookmarkStart w:id="0" w:name="_GoBack"/>
      <w:bookmarkEnd w:id="0"/>
      <w:r>
        <w:rPr>
          <w:rFonts w:ascii="仿宋_GB2312" w:hAnsi="仿宋_GB2312" w:eastAsia="仿宋_GB2312" w:cs="仿宋_GB2312"/>
          <w:b/>
          <w:sz w:val="36"/>
        </w:rPr>
        <w:t xml:space="preserve">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5,290,000.00</w:t>
      </w:r>
    </w:p>
    <w:p>
      <w:pPr>
        <w:pStyle w:val="4"/>
        <w:jc w:val="left"/>
      </w:pPr>
      <w:r>
        <w:rPr>
          <w:rFonts w:ascii="仿宋_GB2312" w:hAnsi="仿宋_GB2312" w:eastAsia="仿宋_GB2312" w:cs="仿宋_GB2312"/>
        </w:rPr>
        <w:t>采购包最高限价（元）: 5,287,800.00</w:t>
      </w:r>
    </w:p>
    <w:tbl>
      <w:tblPr>
        <w:tblStyle w:val="3"/>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2026年微机室电脑主机采购</w:t>
            </w:r>
          </w:p>
        </w:tc>
        <w:tc>
          <w:tcPr>
            <w:tcW w:w="821" w:type="dxa"/>
          </w:tcPr>
          <w:p>
            <w:pPr>
              <w:pStyle w:val="4"/>
              <w:jc w:val="right"/>
            </w:pPr>
            <w:r>
              <w:rPr>
                <w:rFonts w:ascii="仿宋_GB2312" w:hAnsi="仿宋_GB2312" w:eastAsia="仿宋_GB2312" w:cs="仿宋_GB2312"/>
              </w:rPr>
              <w:t>1.00（批）</w:t>
            </w:r>
          </w:p>
        </w:tc>
        <w:tc>
          <w:tcPr>
            <w:tcW w:w="821" w:type="dxa"/>
          </w:tcPr>
          <w:p>
            <w:pPr>
              <w:pStyle w:val="4"/>
              <w:jc w:val="right"/>
            </w:pPr>
            <w:r>
              <w:rPr>
                <w:rFonts w:ascii="仿宋_GB2312" w:hAnsi="仿宋_GB2312" w:eastAsia="仿宋_GB2312" w:cs="仿宋_GB2312"/>
              </w:rPr>
              <w:t>5,287,800.00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bl>
    <w:p>
      <w:pPr>
        <w:pStyle w:val="4"/>
        <w:jc w:val="left"/>
      </w:pPr>
      <w:r>
        <w:rPr>
          <w:rFonts w:ascii="仿宋_GB2312" w:hAnsi="仿宋_GB2312" w:eastAsia="仿宋_GB2312" w:cs="仿宋_GB2312"/>
        </w:rPr>
        <w:t>是否适用本国产品标准：是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2026年微机室电脑主机采购</w:t>
            </w:r>
          </w:p>
        </w:tc>
        <w:tc>
          <w:tcPr>
            <w:tcW w:w="1138" w:type="dxa"/>
          </w:tcPr>
          <w:p>
            <w:pPr>
              <w:pStyle w:val="4"/>
              <w:jc w:val="center"/>
            </w:pPr>
            <w:r>
              <w:rPr>
                <w:rFonts w:ascii="仿宋_GB2312" w:hAnsi="仿宋_GB2312" w:eastAsia="仿宋_GB2312" w:cs="仿宋_GB2312"/>
              </w:rPr>
              <w:t>1,259.00（台）</w:t>
            </w:r>
          </w:p>
        </w:tc>
        <w:tc>
          <w:tcPr>
            <w:tcW w:w="1365" w:type="dxa"/>
          </w:tcPr>
          <w:p>
            <w:pPr>
              <w:pStyle w:val="4"/>
              <w:jc w:val="center"/>
            </w:pPr>
            <w:r>
              <w:rPr>
                <w:rFonts w:ascii="仿宋_GB2312" w:hAnsi="仿宋_GB2312" w:eastAsia="仿宋_GB2312" w:cs="仿宋_GB2312"/>
              </w:rPr>
              <w:t>5,287,800.00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pPr>
        <w:pStyle w:val="4"/>
        <w:jc w:val="left"/>
        <w:outlineLvl w:val="3"/>
      </w:pPr>
      <w:r>
        <w:rPr>
          <w:rFonts w:ascii="仿宋_GB2312" w:hAnsi="仿宋_GB2312" w:eastAsia="仿宋_GB2312" w:cs="仿宋_GB2312"/>
          <w:b/>
          <w:sz w:val="24"/>
        </w:rPr>
        <w:t>本项目涉及核心产品：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2026年微机室电脑主机采购</w:t>
            </w:r>
          </w:p>
        </w:tc>
        <w:tc>
          <w:tcPr>
            <w:tcW w:w="2492" w:type="dxa"/>
          </w:tcPr>
          <w:p>
            <w:pPr>
              <w:pStyle w:val="4"/>
              <w:jc w:val="left"/>
            </w:pPr>
            <w:r>
              <w:rPr>
                <w:rFonts w:ascii="仿宋_GB2312" w:hAnsi="仿宋_GB2312" w:eastAsia="仿宋_GB2312" w:cs="仿宋_GB2312"/>
              </w:rPr>
              <w:t>2026年微机室电脑主机采购</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2026年微机室电脑主机采购</w:t>
            </w:r>
          </w:p>
        </w:tc>
        <w:tc>
          <w:tcPr>
            <w:tcW w:w="2492" w:type="dxa"/>
          </w:tcPr>
          <w:p>
            <w:pPr>
              <w:pStyle w:val="4"/>
              <w:jc w:val="left"/>
            </w:pPr>
            <w:r>
              <w:rPr>
                <w:rFonts w:ascii="仿宋_GB2312" w:hAnsi="仿宋_GB2312" w:eastAsia="仿宋_GB2312" w:cs="仿宋_GB2312"/>
              </w:rPr>
              <w:t>★台式计算机-主机（品目：A02010104台式计算机，依据标准：GB 28380）。</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2026年微机室电脑主机采购</w:t>
            </w:r>
          </w:p>
        </w:tc>
        <w:tc>
          <w:tcPr>
            <w:tcW w:w="2492" w:type="dxa"/>
          </w:tcPr>
          <w:p>
            <w:pPr>
              <w:pStyle w:val="4"/>
              <w:jc w:val="left"/>
            </w:pPr>
            <w:r>
              <w:rPr>
                <w:rFonts w:ascii="仿宋_GB2312" w:hAnsi="仿宋_GB2312" w:eastAsia="仿宋_GB2312" w:cs="仿宋_GB2312"/>
              </w:rPr>
              <w:t>台式计算机-主机（品目：A02010104台式计算机，依据标准：HJ2536 ）。</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标的名称：2026年微机室电脑主机采购</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技术服务要求</w:t>
            </w:r>
          </w:p>
        </w:tc>
        <w:tc>
          <w:tcPr>
            <w:tcW w:w="5814" w:type="dxa"/>
          </w:tcPr>
          <w:p>
            <w:pPr>
              <w:pStyle w:val="4"/>
              <w:ind w:firstLine="640"/>
              <w:jc w:val="both"/>
            </w:pPr>
            <w:r>
              <w:rPr>
                <w:rFonts w:ascii="仿宋_GB2312" w:hAnsi="仿宋_GB2312" w:eastAsia="仿宋_GB2312" w:cs="仿宋_GB2312"/>
                <w:sz w:val="32"/>
              </w:rPr>
              <w:t>★</w:t>
            </w:r>
            <w:r>
              <w:rPr>
                <w:rFonts w:ascii="仿宋_GB2312" w:hAnsi="仿宋_GB2312" w:eastAsia="仿宋_GB2312" w:cs="仿宋_GB2312"/>
                <w:b/>
                <w:sz w:val="32"/>
              </w:rPr>
              <w:t>（一）采购清单</w:t>
            </w:r>
          </w:p>
          <w:tbl>
            <w:tblPr>
              <w:tblStyle w:val="3"/>
              <w:tblW w:w="55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4"/>
              <w:gridCol w:w="1002"/>
              <w:gridCol w:w="707"/>
              <w:gridCol w:w="589"/>
              <w:gridCol w:w="766"/>
              <w:gridCol w:w="530"/>
              <w:gridCol w:w="295"/>
              <w:gridCol w:w="295"/>
              <w:gridCol w:w="295"/>
              <w:gridCol w:w="295"/>
              <w:gridCol w:w="4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b/>
                      <w:sz w:val="24"/>
                    </w:rPr>
                    <w:t>序号</w:t>
                  </w:r>
                </w:p>
              </w:tc>
              <w:tc>
                <w:tcPr>
                  <w:tcW w:w="10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4"/>
                    </w:rPr>
                    <w:t>标的名称</w:t>
                  </w:r>
                </w:p>
              </w:tc>
              <w:tc>
                <w:tcPr>
                  <w:tcW w:w="7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b/>
                      <w:sz w:val="24"/>
                    </w:rPr>
                    <w:t>数量</w:t>
                  </w:r>
                </w:p>
              </w:tc>
              <w:tc>
                <w:tcPr>
                  <w:tcW w:w="58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b/>
                      <w:sz w:val="24"/>
                    </w:rPr>
                    <w:t>单位</w:t>
                  </w:r>
                </w:p>
              </w:tc>
              <w:tc>
                <w:tcPr>
                  <w:tcW w:w="7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所属行业</w:t>
                  </w:r>
                </w:p>
              </w:tc>
              <w:tc>
                <w:tcPr>
                  <w:tcW w:w="53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是否</w:t>
                  </w:r>
                </w:p>
                <w:p>
                  <w:pPr>
                    <w:pStyle w:val="4"/>
                    <w:jc w:val="center"/>
                  </w:pPr>
                  <w:r>
                    <w:rPr>
                      <w:rFonts w:ascii="仿宋_GB2312" w:hAnsi="仿宋_GB2312" w:eastAsia="仿宋_GB2312" w:cs="仿宋_GB2312"/>
                      <w:sz w:val="24"/>
                    </w:rPr>
                    <w:t>核心产品</w:t>
                  </w:r>
                </w:p>
              </w:tc>
              <w:tc>
                <w:tcPr>
                  <w:tcW w:w="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是否允许进口产品</w:t>
                  </w:r>
                </w:p>
              </w:tc>
              <w:tc>
                <w:tcPr>
                  <w:tcW w:w="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是否属于优先采购节能产品</w:t>
                  </w:r>
                </w:p>
              </w:tc>
              <w:tc>
                <w:tcPr>
                  <w:tcW w:w="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是否属于强制采购节能产品</w:t>
                  </w:r>
                </w:p>
              </w:tc>
              <w:tc>
                <w:tcPr>
                  <w:tcW w:w="29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是否属于优先采购环境标志产品</w:t>
                  </w:r>
                </w:p>
              </w:tc>
              <w:tc>
                <w:tcPr>
                  <w:tcW w:w="4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单价（元/套）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1</w:t>
                  </w:r>
                </w:p>
              </w:tc>
              <w:tc>
                <w:tcPr>
                  <w:tcW w:w="1002" w:type="dxa"/>
                  <w:tcBorders>
                    <w:top w:val="nil"/>
                    <w:left w:val="nil"/>
                    <w:bottom w:val="single" w:color="000000" w:sz="4" w:space="0"/>
                    <w:right w:val="nil"/>
                  </w:tcBorders>
                  <w:tcMar>
                    <w:top w:w="0" w:type="dxa"/>
                    <w:left w:w="105" w:type="dxa"/>
                    <w:bottom w:w="0" w:type="dxa"/>
                    <w:right w:w="105" w:type="dxa"/>
                  </w:tcMar>
                </w:tcPr>
                <w:p>
                  <w:pPr>
                    <w:pStyle w:val="4"/>
                    <w:jc w:val="left"/>
                  </w:pPr>
                  <w:r>
                    <w:rPr>
                      <w:rFonts w:ascii="仿宋_GB2312" w:hAnsi="仿宋_GB2312" w:eastAsia="仿宋_GB2312" w:cs="仿宋_GB2312"/>
                      <w:sz w:val="24"/>
                    </w:rPr>
                    <w:t>台式计算机主机</w:t>
                  </w:r>
                </w:p>
              </w:tc>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1259</w:t>
                  </w:r>
                </w:p>
              </w:tc>
              <w:tc>
                <w:tcPr>
                  <w:tcW w:w="58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套</w:t>
                  </w: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工业</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是</w:t>
                  </w:r>
                </w:p>
              </w:tc>
              <w:tc>
                <w:tcPr>
                  <w:tcW w:w="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否</w:t>
                  </w:r>
                </w:p>
              </w:tc>
              <w:tc>
                <w:tcPr>
                  <w:tcW w:w="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否</w:t>
                  </w:r>
                </w:p>
              </w:tc>
              <w:tc>
                <w:tcPr>
                  <w:tcW w:w="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是</w:t>
                  </w:r>
                </w:p>
              </w:tc>
              <w:tc>
                <w:tcPr>
                  <w:tcW w:w="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是</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4200</w:t>
                  </w:r>
                </w:p>
              </w:tc>
            </w:tr>
          </w:tbl>
          <w:p>
            <w:pPr>
              <w:pStyle w:val="4"/>
              <w:jc w:val="both"/>
            </w:pPr>
            <w:r>
              <w:rPr>
                <w:rFonts w:ascii="仿宋_GB2312" w:hAnsi="仿宋_GB2312" w:eastAsia="仿宋_GB2312" w:cs="仿宋_GB2312"/>
                <w:sz w:val="24"/>
              </w:rPr>
              <w:t>★</w:t>
            </w:r>
            <w:r>
              <w:rPr>
                <w:rFonts w:ascii="仿宋_GB2312" w:hAnsi="仿宋_GB2312" w:eastAsia="仿宋_GB2312" w:cs="仿宋_GB2312"/>
                <w:b/>
                <w:sz w:val="32"/>
              </w:rPr>
              <w:t>（二）技术参数要求</w:t>
            </w:r>
          </w:p>
          <w:tbl>
            <w:tblPr>
              <w:tblStyle w:val="3"/>
              <w:tblW w:w="5598"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8"/>
              <w:gridCol w:w="743"/>
              <w:gridCol w:w="462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28" w:type="dxa"/>
                  <w:tcBorders>
                    <w:top w:val="single" w:color="000000" w:sz="4" w:space="0"/>
                    <w:left w:val="single" w:color="000000" w:sz="4" w:space="0"/>
                    <w:bottom w:val="single" w:color="000000" w:sz="4" w:space="0"/>
                    <w:right w:val="single" w:color="000000" w:sz="4" w:space="0"/>
                  </w:tcBorders>
                  <w:shd w:val="clear" w:color="auto" w:fill="D2F4F2"/>
                  <w:tcMar>
                    <w:top w:w="0" w:type="dxa"/>
                    <w:left w:w="105" w:type="dxa"/>
                    <w:bottom w:w="0" w:type="dxa"/>
                    <w:right w:w="105" w:type="dxa"/>
                  </w:tcMar>
                </w:tcPr>
                <w:p>
                  <w:pPr>
                    <w:pStyle w:val="4"/>
                    <w:jc w:val="center"/>
                  </w:pPr>
                  <w:r>
                    <w:rPr>
                      <w:rFonts w:ascii="仿宋_GB2312" w:hAnsi="仿宋_GB2312" w:eastAsia="仿宋_GB2312" w:cs="仿宋_GB2312"/>
                      <w:b/>
                      <w:color w:val="000000"/>
                      <w:sz w:val="24"/>
                    </w:rPr>
                    <w:t>序号</w:t>
                  </w:r>
                </w:p>
              </w:tc>
              <w:tc>
                <w:tcPr>
                  <w:tcW w:w="743" w:type="dxa"/>
                  <w:tcBorders>
                    <w:top w:val="single" w:color="000000" w:sz="4" w:space="0"/>
                    <w:left w:val="nil"/>
                    <w:bottom w:val="single" w:color="000000" w:sz="4" w:space="0"/>
                    <w:right w:val="single" w:color="000000" w:sz="4" w:space="0"/>
                  </w:tcBorders>
                  <w:shd w:val="clear" w:color="auto" w:fill="D2F4F2"/>
                  <w:tcMar>
                    <w:top w:w="0" w:type="dxa"/>
                    <w:left w:w="105" w:type="dxa"/>
                    <w:bottom w:w="0" w:type="dxa"/>
                    <w:right w:w="105" w:type="dxa"/>
                  </w:tcMar>
                </w:tcPr>
                <w:p>
                  <w:pPr>
                    <w:pStyle w:val="4"/>
                    <w:jc w:val="center"/>
                  </w:pPr>
                  <w:r>
                    <w:rPr>
                      <w:rFonts w:ascii="仿宋_GB2312" w:hAnsi="仿宋_GB2312" w:eastAsia="仿宋_GB2312" w:cs="仿宋_GB2312"/>
                      <w:b/>
                      <w:color w:val="000000"/>
                      <w:sz w:val="24"/>
                    </w:rPr>
                    <w:t>货物名称</w:t>
                  </w:r>
                </w:p>
              </w:tc>
              <w:tc>
                <w:tcPr>
                  <w:tcW w:w="4627" w:type="dxa"/>
                  <w:tcBorders>
                    <w:top w:val="single" w:color="000000" w:sz="4" w:space="0"/>
                    <w:left w:val="nil"/>
                    <w:bottom w:val="single" w:color="000000" w:sz="4" w:space="0"/>
                    <w:right w:val="single" w:color="000000" w:sz="4" w:space="0"/>
                  </w:tcBorders>
                  <w:shd w:val="clear" w:color="auto" w:fill="D2F4F2"/>
                  <w:tcMar>
                    <w:top w:w="0" w:type="dxa"/>
                    <w:left w:w="105" w:type="dxa"/>
                    <w:bottom w:w="0" w:type="dxa"/>
                    <w:right w:w="105" w:type="dxa"/>
                  </w:tcMar>
                </w:tcPr>
                <w:p>
                  <w:pPr>
                    <w:pStyle w:val="4"/>
                    <w:jc w:val="center"/>
                  </w:pPr>
                  <w:r>
                    <w:rPr>
                      <w:rFonts w:ascii="仿宋_GB2312" w:hAnsi="仿宋_GB2312" w:eastAsia="仿宋_GB2312" w:cs="仿宋_GB2312"/>
                      <w:b/>
                      <w:color w:val="000000"/>
                      <w:sz w:val="24"/>
                    </w:rPr>
                    <w:t>技术要求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2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1</w:t>
                  </w:r>
                </w:p>
              </w:tc>
              <w:tc>
                <w:tcPr>
                  <w:tcW w:w="74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4"/>
                    </w:rPr>
                    <w:t>台式计算机主机</w:t>
                  </w:r>
                </w:p>
              </w:tc>
              <w:tc>
                <w:tcPr>
                  <w:tcW w:w="46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4"/>
                    </w:rPr>
                    <w:t>1、处理器：C86架构，核心数≥8核，主频≥2.8GHz，二级缓存≥8MB，TDP≤70W。处理器应通过政府有关部门指定的中国信息安全测评中心或国家保密科技测评中心发布的安全可靠测评（在投标文件中提供测评报告或查询网站截图或承诺函，加盖投标人公章）。</w:t>
                  </w:r>
                </w:p>
                <w:p>
                  <w:pPr>
                    <w:pStyle w:val="4"/>
                    <w:jc w:val="both"/>
                  </w:pPr>
                  <w:r>
                    <w:rPr>
                      <w:rFonts w:ascii="仿宋_GB2312" w:hAnsi="仿宋_GB2312" w:eastAsia="仿宋_GB2312" w:cs="仿宋_GB2312"/>
                      <w:sz w:val="24"/>
                    </w:rPr>
                    <w:t>2、内存：≥8G DDR4内存1根，内存插槽数≥2个 ；显卡：集成显卡，分辨率不低于1920×1080；</w:t>
                  </w:r>
                </w:p>
                <w:p>
                  <w:pPr>
                    <w:pStyle w:val="4"/>
                    <w:jc w:val="left"/>
                  </w:pPr>
                  <w:r>
                    <w:rPr>
                      <w:rFonts w:ascii="仿宋_GB2312" w:hAnsi="仿宋_GB2312" w:eastAsia="仿宋_GB2312" w:cs="仿宋_GB2312"/>
                      <w:sz w:val="24"/>
                    </w:rPr>
                    <w:t>3、硬盘：≥512GB M.2 NVME SSD硬盘；固态硬盘从上电到进入数据读写状态的时间不超过2s；固态硬盘数据读写速度等级≥5级（按照SJ/T 11654-2016《固态硬盘通用规范》相关等级要求）；固态硬盘的平均无故障时间（MTBF）的m1值≥10000h。</w:t>
                  </w:r>
                </w:p>
                <w:p>
                  <w:pPr>
                    <w:pStyle w:val="4"/>
                    <w:jc w:val="both"/>
                  </w:pPr>
                  <w:r>
                    <w:rPr>
                      <w:rFonts w:ascii="仿宋_GB2312" w:hAnsi="仿宋_GB2312" w:eastAsia="仿宋_GB2312" w:cs="仿宋_GB2312"/>
                      <w:sz w:val="24"/>
                    </w:rPr>
                    <w:t>4、网口：10/100/1000自适应以太网口。</w:t>
                  </w:r>
                </w:p>
                <w:p>
                  <w:pPr>
                    <w:pStyle w:val="4"/>
                    <w:jc w:val="both"/>
                  </w:pPr>
                  <w:r>
                    <w:rPr>
                      <w:rFonts w:ascii="仿宋_GB2312" w:hAnsi="仿宋_GB2312" w:eastAsia="仿宋_GB2312" w:cs="仿宋_GB2312"/>
                      <w:sz w:val="24"/>
                    </w:rPr>
                    <w:t>5、接口：USB接口≥8个（其中前置USB3.0 Type A数量≥4个）；支持≥1块M.2 2280 SSD接口；≥5个音频接口；视频接口VGA≥1个，HDMI≥1个，≥1个PCIE*16,≥2个PCIE*1。（</w:t>
                  </w:r>
                  <w:r>
                    <w:rPr>
                      <w:rFonts w:ascii="仿宋_GB2312" w:hAnsi="仿宋_GB2312" w:eastAsia="仿宋_GB2312" w:cs="仿宋_GB2312"/>
                      <w:sz w:val="24"/>
                      <w:shd w:val="clear" w:fill="FFFF00"/>
                    </w:rPr>
                    <w:t>所有接口均为原生接口，不接受转接方案，在投标文件中提供承诺函并加盖投标人公章，格式自拟</w:t>
                  </w:r>
                  <w:r>
                    <w:rPr>
                      <w:rFonts w:ascii="仿宋_GB2312" w:hAnsi="仿宋_GB2312" w:eastAsia="仿宋_GB2312" w:cs="仿宋_GB2312"/>
                      <w:sz w:val="24"/>
                    </w:rPr>
                    <w:t>）。</w:t>
                  </w:r>
                </w:p>
                <w:p>
                  <w:pPr>
                    <w:pStyle w:val="4"/>
                    <w:jc w:val="left"/>
                  </w:pPr>
                  <w:r>
                    <w:rPr>
                      <w:rFonts w:ascii="仿宋_GB2312" w:hAnsi="仿宋_GB2312" w:eastAsia="仿宋_GB2312" w:cs="仿宋_GB2312"/>
                      <w:sz w:val="24"/>
                    </w:rPr>
                    <w:t>6、机箱：机箱应符合GB/T 4208-2017、GB/T 26246-2010的相关规定；机箱体积≥13L，支持侧板挂环锁、。机箱前面板原生配置防尘网，阻隔灰尘</w:t>
                  </w:r>
                  <w:r>
                    <w:rPr>
                      <w:rFonts w:ascii="仿宋_GB2312" w:hAnsi="仿宋_GB2312" w:eastAsia="仿宋_GB2312" w:cs="仿宋_GB2312"/>
                      <w:b/>
                      <w:sz w:val="24"/>
                    </w:rPr>
                    <w:t>。</w:t>
                  </w:r>
                </w:p>
                <w:p>
                  <w:pPr>
                    <w:pStyle w:val="4"/>
                    <w:jc w:val="both"/>
                  </w:pPr>
                  <w:r>
                    <w:rPr>
                      <w:rFonts w:ascii="仿宋_GB2312" w:hAnsi="仿宋_GB2312" w:eastAsia="仿宋_GB2312" w:cs="仿宋_GB2312"/>
                      <w:sz w:val="24"/>
                    </w:rPr>
                    <w:t>7、电源：电源功率≤200W；</w:t>
                  </w:r>
                </w:p>
                <w:p>
                  <w:pPr>
                    <w:pStyle w:val="4"/>
                    <w:jc w:val="both"/>
                  </w:pPr>
                  <w:r>
                    <w:rPr>
                      <w:rFonts w:ascii="仿宋_GB2312" w:hAnsi="仿宋_GB2312" w:eastAsia="仿宋_GB2312" w:cs="仿宋_GB2312"/>
                      <w:sz w:val="24"/>
                    </w:rPr>
                    <w:t>8、键鼠：键盘数量≥1个，键盘连接方式为有线，键盘键程2.3mm~4.0mm，按键压力为0.54 N±0.14N，键盘连接线≥1.5 米，键盘按键寿命≥1000万次；鼠标数量≥1个，连接线≥1.5 米，DPI分辨率800~1600，分辨率精度&gt;85%，左右按键寿命&gt;10万次，移动寿命&gt;250km，跟踪速度≥100mm/s，其它参数符合GB/T 26245-2010（或现行最新版本）相关规定。</w:t>
                  </w:r>
                </w:p>
                <w:p>
                  <w:pPr>
                    <w:pStyle w:val="4"/>
                    <w:jc w:val="left"/>
                  </w:pPr>
                  <w:r>
                    <w:rPr>
                      <w:rFonts w:ascii="仿宋_GB2312" w:hAnsi="仿宋_GB2312" w:eastAsia="仿宋_GB2312" w:cs="仿宋_GB2312"/>
                      <w:sz w:val="24"/>
                    </w:rPr>
                    <w:t>9、整机可靠性要求：电磁兼容性应通过GB/T 17626.5-2019 电磁兼容试验和浪涌（冲击）抗扰度试验；产品设计应符合GB/T 9813.1-2016《计算机通用规范 第1部分：台式微型计算机》的相关要求，环境适应性应通过GB/T2423.27-2020工作温度上限试验和低气压试验；空闲状态下，噪声声功率级≤2.7Bel，噪声声压级≤15.9dB（A）;平均无故障时间MTBF≥100W小时。</w:t>
                  </w:r>
                </w:p>
                <w:p>
                  <w:pPr>
                    <w:pStyle w:val="4"/>
                    <w:jc w:val="both"/>
                  </w:pPr>
                  <w:r>
                    <w:rPr>
                      <w:rFonts w:ascii="仿宋_GB2312" w:hAnsi="仿宋_GB2312" w:eastAsia="仿宋_GB2312" w:cs="仿宋_GB2312"/>
                      <w:sz w:val="24"/>
                    </w:rPr>
                    <w:t>10、机房管理软件：</w:t>
                  </w:r>
                </w:p>
                <w:p>
                  <w:pPr>
                    <w:pStyle w:val="4"/>
                    <w:ind w:firstLine="240"/>
                    <w:jc w:val="both"/>
                  </w:pPr>
                  <w:r>
                    <w:rPr>
                      <w:rFonts w:ascii="仿宋_GB2312" w:hAnsi="仿宋_GB2312" w:eastAsia="仿宋_GB2312" w:cs="仿宋_GB2312"/>
                      <w:sz w:val="24"/>
                    </w:rPr>
                    <w:t>10.1支持网络同传功能，可将发送端数据同步到所有接收端，对拷前可预设P2P、广播、组播、单播等对拷数据发送方式，根据网络状况预设全速、高速、快速、流畅等延时时间以及是否启用断点续传、数据加密传输功能，对拷过程中可实时查看当前对拷速度、当前对拷分区及大小、总剩余数据量、已用时间、剩余时间和所有参与对拷终端的详情，支持对终端进行智慧排序、IP分配、参数对拷等操作。（提供此功能操作界面截图并加盖投标人公章）。网络同传不影响操作系统的正版属性（</w:t>
                  </w:r>
                  <w:r>
                    <w:rPr>
                      <w:rFonts w:ascii="仿宋_GB2312" w:hAnsi="仿宋_GB2312" w:eastAsia="仿宋_GB2312" w:cs="仿宋_GB2312"/>
                      <w:sz w:val="24"/>
                      <w:shd w:val="clear" w:fill="FFFF00"/>
                    </w:rPr>
                    <w:t>在投标文件中提供此功能操作界面截图并加盖投标人公章）。网络同传不影响操作系统的正版属性（在投标文件中提供承诺书并加盖投标人公章，格式自拟）。</w:t>
                  </w:r>
                  <w:r>
                    <w:rPr>
                      <w:rFonts w:ascii="仿宋_GB2312" w:hAnsi="仿宋_GB2312" w:eastAsia="仿宋_GB2312" w:cs="仿宋_GB2312"/>
                      <w:sz w:val="24"/>
                    </w:rPr>
                    <w:t>）。</w:t>
                  </w:r>
                </w:p>
                <w:p>
                  <w:pPr>
                    <w:pStyle w:val="4"/>
                    <w:ind w:firstLine="240"/>
                    <w:jc w:val="both"/>
                  </w:pPr>
                  <w:r>
                    <w:rPr>
                      <w:rFonts w:ascii="仿宋_GB2312" w:hAnsi="仿宋_GB2312" w:eastAsia="仿宋_GB2312" w:cs="仿宋_GB2312"/>
                      <w:sz w:val="24"/>
                    </w:rPr>
                    <w:t>10.2支持电子白板功能，可将教师机画面以全屏广播或窗口广播的方式同步到学生机桌面，白板可选择矩形、椭圆、箭头、直线、画笔等工具且各工具都支持选择不同颜色进行标注，支持插入文本等内容，同时有标注错误的内容可使用橡皮擦或马赛克工具进行抹除，方便教师对授课内容进行举例讲解。（在投标文件中提供此功能操作界面截图并加盖投标人公章）。</w:t>
                  </w:r>
                </w:p>
                <w:p>
                  <w:pPr>
                    <w:pStyle w:val="4"/>
                    <w:ind w:firstLine="240"/>
                    <w:jc w:val="both"/>
                  </w:pPr>
                  <w:r>
                    <w:rPr>
                      <w:rFonts w:ascii="仿宋_GB2312" w:hAnsi="仿宋_GB2312" w:eastAsia="仿宋_GB2312" w:cs="仿宋_GB2312"/>
                      <w:sz w:val="24"/>
                    </w:rPr>
                    <w:t>10.3支持网络影院功能，可进行全屏广播或窗口广播，支持多种格式视频文件播放，实现多媒体高清教学，根据不同的终端硬件配置选择FFMPEG解码器、DXVA2解码器多种不同的解码方式。（在投标文件中提供此功能操作界面截图并加盖投标人公章）。</w:t>
                  </w:r>
                </w:p>
                <w:p>
                  <w:pPr>
                    <w:pStyle w:val="4"/>
                    <w:ind w:firstLine="240"/>
                    <w:jc w:val="both"/>
                  </w:pPr>
                  <w:r>
                    <w:rPr>
                      <w:rFonts w:ascii="仿宋_GB2312" w:hAnsi="仿宋_GB2312" w:eastAsia="仿宋_GB2312" w:cs="仿宋_GB2312"/>
                      <w:sz w:val="24"/>
                    </w:rPr>
                    <w:t>10.4支持收取作业功能，学生提交的作业可直接收取到默认目录或另存为自定义目录，收取成功后以弹窗形式告知老师接收成功，点击查看作业可直接跳转至收取目录下，支持自定义设置收取作业的默认目录，支持开启自动收取作业，开启后学生提交作业后无需老师手动点击收取作业，学生提交作业后将自动收取到指定目录，支持按班级模型收取作业，根据当前班级模型将作业分班级收取并存放在指定目录下。（在投标文件中提供此功能操作界面截图并加盖投标人公章）。</w:t>
                  </w:r>
                </w:p>
                <w:p>
                  <w:pPr>
                    <w:pStyle w:val="4"/>
                    <w:ind w:firstLine="240"/>
                    <w:jc w:val="both"/>
                  </w:pPr>
                  <w:r>
                    <w:rPr>
                      <w:rFonts w:ascii="仿宋_GB2312" w:hAnsi="仿宋_GB2312" w:eastAsia="仿宋_GB2312" w:cs="仿宋_GB2312"/>
                      <w:sz w:val="24"/>
                    </w:rPr>
                    <w:t>10.5支持在线考试功能，提供试卷编辑、下发试卷、开始考试、试卷查看、发送答案、试卷导出、停止考试等功能，题型包括选择题、判断题、填空题、问答题，提供平均分配、自定义分配、批量配分、设置考试时长等自定义内容。（在投标文件中提供此功能操作界面截图并加盖投标人公章）。</w:t>
                  </w:r>
                </w:p>
                <w:p>
                  <w:pPr>
                    <w:pStyle w:val="4"/>
                    <w:ind w:firstLine="240"/>
                    <w:jc w:val="both"/>
                  </w:pPr>
                  <w:r>
                    <w:rPr>
                      <w:rFonts w:ascii="仿宋_GB2312" w:hAnsi="仿宋_GB2312" w:eastAsia="仿宋_GB2312" w:cs="仿宋_GB2312"/>
                      <w:sz w:val="24"/>
                    </w:rPr>
                    <w:t>10.6支持远程设置功能，教师可自主对学生端各个分区的还原策略（包括但不限于不还原、每次开机、定时、手动还原）、纯净模式（包括隐藏启动界面、隐藏系统信息、隐藏功能按钮）、启动设置（包括默认操作系统及延时）、密码等内容进行设置，无需在终端逐台操作，快速完成桌面环境配置。（在投标文件中提供此功能操作界面截图并加盖投标人公章）。</w:t>
                  </w:r>
                </w:p>
                <w:p>
                  <w:pPr>
                    <w:pStyle w:val="4"/>
                    <w:ind w:firstLine="240"/>
                    <w:jc w:val="both"/>
                  </w:pPr>
                  <w:r>
                    <w:rPr>
                      <w:rFonts w:ascii="仿宋_GB2312" w:hAnsi="仿宋_GB2312" w:eastAsia="仿宋_GB2312" w:cs="仿宋_GB2312"/>
                      <w:sz w:val="24"/>
                    </w:rPr>
                    <w:t>10.7支持上课／下课功能，为了规范课堂教学秩序，且方便教师对设备锁定内容一键操作，可提前将学生机的锁定屏幕、锁定键鼠、锁定USB、锁定/禁用网络、黑屏肃静等内容根据所需设置为锁定状态，支持锁定禁用扬声器，点击上课则一键禁用以上设置的选项内容，进入上课模式确保教学秩序，下课时一键解锁，清空所有预设，学生端恢复到上课前状态。（在投标文件中提供此功能操作界面截图并加盖投标人公章）。</w:t>
                  </w:r>
                </w:p>
                <w:p>
                  <w:pPr>
                    <w:pStyle w:val="4"/>
                    <w:ind w:firstLine="240"/>
                    <w:jc w:val="both"/>
                  </w:pPr>
                  <w:r>
                    <w:rPr>
                      <w:rFonts w:ascii="仿宋_GB2312" w:hAnsi="仿宋_GB2312" w:eastAsia="仿宋_GB2312" w:cs="仿宋_GB2312"/>
                      <w:sz w:val="24"/>
                    </w:rPr>
                    <w:t>10.8支持 BIOS 底层管理，无需进入系统下即可完成对 硬盘分区新建、删除和编辑维护，及 IP 地址、ID信息、计算机名、管理密码信息的修改和关机重启操作。（在投标文件中提供此功能操作界面截图并加盖投标人公章）。</w:t>
                  </w:r>
                </w:p>
                <w:p>
                  <w:pPr>
                    <w:pStyle w:val="4"/>
                    <w:ind w:firstLine="240"/>
                    <w:jc w:val="both"/>
                  </w:pPr>
                  <w:r>
                    <w:rPr>
                      <w:rFonts w:ascii="仿宋_GB2312" w:hAnsi="仿宋_GB2312" w:eastAsia="仿宋_GB2312" w:cs="仿宋_GB2312"/>
                      <w:sz w:val="24"/>
                    </w:rPr>
                    <w:t>10.9支持广播教学、学生演示、网络影院、打开网页、收取作业、文件分发、电子点名、在线考试、屏幕录制等多种课堂教学功能。（在投标文件中提供此功能操作界面截图并加盖投标人公章）。</w:t>
                  </w:r>
                </w:p>
                <w:p>
                  <w:pPr>
                    <w:pStyle w:val="4"/>
                    <w:ind w:firstLine="240"/>
                    <w:jc w:val="both"/>
                  </w:pPr>
                  <w:r>
                    <w:rPr>
                      <w:rFonts w:ascii="仿宋_GB2312" w:hAnsi="仿宋_GB2312" w:eastAsia="仿宋_GB2312" w:cs="仿宋_GB2312"/>
                      <w:sz w:val="24"/>
                    </w:rPr>
                    <w:t>10.10支持文件分发功能，可实时查看分发进度，支持自定义设置接收端收取文件的目标路径；教师端可对单个、多个或全部学生端批量下发不同类型的文件，下发时可选择覆盖已存在的文件、仅传输、传输并用关联程序打开、传输并打开目标文件夹、传输并安装程序（软件分发）等不同操作。（在投标文件中提供此功能操作界面截图并加盖投标人公章）。</w:t>
                  </w:r>
                </w:p>
                <w:p>
                  <w:pPr>
                    <w:pStyle w:val="4"/>
                    <w:ind w:firstLine="240"/>
                    <w:jc w:val="both"/>
                  </w:pPr>
                  <w:r>
                    <w:rPr>
                      <w:rFonts w:ascii="仿宋_GB2312" w:hAnsi="仿宋_GB2312" w:eastAsia="仿宋_GB2312" w:cs="仿宋_GB2312"/>
                      <w:sz w:val="24"/>
                    </w:rPr>
                    <w:t>10.11支持一键抢答功能，抢答界面统计当前在线学生总数、已抢答数、未抢答数，抢答列表可查看学生姓名、IP地址、抢答排序、状态等信息，支持设置抢答倒计时，多个学生抢答时教师可设置允许发言，支持清除当前抢答排序。（在投标文件中提供此功能操作界面截图并加盖投标人公章）。</w:t>
                  </w:r>
                </w:p>
                <w:p>
                  <w:pPr>
                    <w:pStyle w:val="4"/>
                    <w:jc w:val="both"/>
                  </w:pPr>
                  <w:r>
                    <w:rPr>
                      <w:rFonts w:ascii="仿宋_GB2312" w:hAnsi="仿宋_GB2312" w:eastAsia="仿宋_GB2312" w:cs="仿宋_GB2312"/>
                      <w:sz w:val="24"/>
                    </w:rPr>
                    <w:t>11、提供正版操作系统，满足以下要求：</w:t>
                  </w:r>
                </w:p>
                <w:p>
                  <w:pPr>
                    <w:pStyle w:val="4"/>
                    <w:ind w:firstLine="240"/>
                    <w:jc w:val="both"/>
                  </w:pPr>
                  <w:r>
                    <w:rPr>
                      <w:rFonts w:ascii="仿宋_GB2312" w:hAnsi="仿宋_GB2312" w:eastAsia="仿宋_GB2312" w:cs="仿宋_GB2312"/>
                      <w:sz w:val="24"/>
                    </w:rPr>
                    <w:t>11.1操作系统符合安全可靠测评要求（通过政府有关部门指定的中国信息安全测评中心或国家保密科技测评中心网站查看安全可靠测评结果，在投标文件中提供网站截图并加盖投标人公章。）。</w:t>
                  </w:r>
                </w:p>
                <w:p>
                  <w:pPr>
                    <w:pStyle w:val="4"/>
                    <w:ind w:firstLine="240"/>
                    <w:jc w:val="both"/>
                  </w:pPr>
                  <w:r>
                    <w:rPr>
                      <w:rFonts w:ascii="仿宋_GB2312" w:hAnsi="仿宋_GB2312" w:eastAsia="仿宋_GB2312" w:cs="仿宋_GB2312"/>
                      <w:sz w:val="24"/>
                    </w:rPr>
                    <w:t>11.2系统支持标准化内核安全框架，确保第三方安全模块可兼容安全开发标准；内核升级时，第三方安全模块应保持兼容性，不影响系统正常运行。（在投标文件中投标时提供接口介绍文档截图证明，并加盖投标人公章）。</w:t>
                  </w:r>
                </w:p>
                <w:p>
                  <w:pPr>
                    <w:pStyle w:val="4"/>
                    <w:ind w:firstLine="240"/>
                    <w:jc w:val="both"/>
                  </w:pPr>
                  <w:r>
                    <w:rPr>
                      <w:rFonts w:ascii="仿宋_GB2312" w:hAnsi="仿宋_GB2312" w:eastAsia="仿宋_GB2312" w:cs="仿宋_GB2312"/>
                      <w:sz w:val="24"/>
                    </w:rPr>
                    <w:t>11.3系统支持保障安全升级的自动主备双根分区，支持升级自动备份，支持升级后回退机制，支持在图形界面设置不升级系统版本的情况下单独获取安全漏洞和兼容性相关更新等功能。（在投标文件中提供功能截图并加盖供应商公章）。</w:t>
                  </w:r>
                  <w:r>
                    <w:br w:type="textWrapping"/>
                  </w:r>
                  <w:r>
                    <w:rPr>
                      <w:rFonts w:ascii="仿宋_GB2312" w:hAnsi="仿宋_GB2312" w:eastAsia="仿宋_GB2312" w:cs="仿宋_GB2312"/>
                      <w:sz w:val="24"/>
                    </w:rPr>
                    <w:t xml:space="preserve"> 12、数据安全：当硬盘分区遭到破坏，导致系统无法启动情况下，可在不连接网络及外部存储（U盘、移动硬盘）情况下，使用基于安全区特性的备份恢复系统将主机恢复到可用状态；BIOS级USB屏蔽及智能USB数据保护：USB支持BIOS下全部接口一键开关，前后分组开关；针对存储设备支持全部USB接口一键切换禁止访问模式/只读模式（在投标文件中提供BIOS设置界面功能截图并加盖投标人公章）。</w:t>
                  </w:r>
                  <w:r>
                    <w:br w:type="textWrapping"/>
                  </w:r>
                  <w:r>
                    <w:rPr>
                      <w:rFonts w:ascii="仿宋_GB2312" w:hAnsi="仿宋_GB2312" w:eastAsia="仿宋_GB2312" w:cs="仿宋_GB2312"/>
                      <w:sz w:val="24"/>
                    </w:rPr>
                    <w:t xml:space="preserve"> 13、CPU和操作系统等关键部件应满足财库〔2023〕29 号《关于印发《台式计算机政府采购需求标准（2023年版）》的通知》的附件《台式计算机政府采购需求标准（2023年版）》序号183的指标要求，其余技术要求应满足财库〔2023〕29 号《关于印发《台式计算机政府采购需求标准（2023年版）》的通知》中全部加*指标要求。（在投标文件中提供承诺函并加盖投标人公章，承诺函格式自拟）。</w:t>
                  </w:r>
                </w:p>
              </w:tc>
            </w:tr>
          </w:tbl>
          <w:p>
            <w:pPr>
              <w:pStyle w:val="4"/>
              <w:jc w:val="left"/>
            </w:pPr>
            <w:r>
              <w:rPr>
                <w:rFonts w:ascii="仿宋_GB2312" w:hAnsi="仿宋_GB2312" w:eastAsia="仿宋_GB2312" w:cs="仿宋_GB2312"/>
                <w:sz w:val="32"/>
              </w:rPr>
              <w:t>★</w:t>
            </w:r>
            <w:r>
              <w:rPr>
                <w:rFonts w:ascii="仿宋_GB2312" w:hAnsi="仿宋_GB2312" w:eastAsia="仿宋_GB2312" w:cs="仿宋_GB2312"/>
                <w:b/>
                <w:sz w:val="32"/>
              </w:rPr>
              <w:t>（三）服务内容要求</w:t>
            </w:r>
          </w:p>
          <w:p>
            <w:pPr>
              <w:pStyle w:val="4"/>
              <w:jc w:val="left"/>
            </w:pPr>
            <w:r>
              <w:rPr>
                <w:rFonts w:ascii="仿宋_GB2312" w:hAnsi="仿宋_GB2312" w:eastAsia="仿宋_GB2312" w:cs="仿宋_GB2312"/>
                <w:sz w:val="32"/>
              </w:rPr>
              <w:t>（1）质量要求</w:t>
            </w:r>
          </w:p>
          <w:p>
            <w:pPr>
              <w:pStyle w:val="4"/>
              <w:ind w:firstLine="420"/>
              <w:jc w:val="left"/>
            </w:pPr>
            <w:r>
              <w:rPr>
                <w:rFonts w:ascii="仿宋_GB2312" w:hAnsi="仿宋_GB2312" w:eastAsia="仿宋_GB2312" w:cs="仿宋_GB2312"/>
                <w:sz w:val="32"/>
              </w:rPr>
              <w:t>1.1中标人供货的货物应为全新的未开封产品，满足本次招标货物的技术要求，须具有产品合格证；符合或不低于招投标文件和国家（行业）相关的质量标准和出厂标准。提供的货物制造标准、安装标准及技术规范等，必须符合招投标文件和最新国家（行业）标准；各项技术标准应当符合国家强制性标准；采购需求所列标准存在废止、过期或错误情形的，投标人应自行采用现行有效的国家或行业标准替代；无新版标准替代或属标准错误的，该标准要求视为取消。</w:t>
            </w:r>
          </w:p>
          <w:p>
            <w:pPr>
              <w:pStyle w:val="4"/>
              <w:ind w:firstLine="420"/>
              <w:jc w:val="left"/>
            </w:pPr>
            <w:r>
              <w:rPr>
                <w:rFonts w:ascii="仿宋_GB2312" w:hAnsi="仿宋_GB2312" w:eastAsia="仿宋_GB2312" w:cs="仿宋_GB2312"/>
                <w:sz w:val="32"/>
              </w:rPr>
              <w:t>1.2中标人提供的产品涉及商品包装或快递包装的，须严格按照财政部等三部门联合印发《商品包装政府采购需求标准（试行）》、《快递包装政府采购需求标准（试行）》的通知（财办库[2020]123号）要求执行，包装应适应于远距离运输、防潮、防震、防锈和防野蛮装卸，以确保货物安全无损运抵指定地点。</w:t>
            </w:r>
          </w:p>
          <w:p>
            <w:pPr>
              <w:pStyle w:val="4"/>
              <w:ind w:firstLine="420"/>
              <w:jc w:val="left"/>
            </w:pPr>
            <w:r>
              <w:rPr>
                <w:rFonts w:ascii="仿宋_GB2312" w:hAnsi="仿宋_GB2312" w:eastAsia="仿宋_GB2312" w:cs="仿宋_GB2312"/>
                <w:sz w:val="32"/>
              </w:rPr>
              <w:t>1.3中标人须提供全新的货物（含零部件、配件等），货物在送到使用单位之前表面无划伤、无碰撞等现象，并且安装调试后能正常使用。</w:t>
            </w:r>
          </w:p>
          <w:p>
            <w:pPr>
              <w:pStyle w:val="4"/>
              <w:ind w:firstLine="420"/>
              <w:jc w:val="left"/>
            </w:pPr>
            <w:r>
              <w:rPr>
                <w:rFonts w:ascii="仿宋_GB2312" w:hAnsi="仿宋_GB2312" w:eastAsia="仿宋_GB2312" w:cs="仿宋_GB2312"/>
                <w:sz w:val="32"/>
              </w:rPr>
              <w:t>1.4若遇配货包装、运输过程中造成的短缺、差错、丢失、损坏等，中标人无条件调换、补缺，交货时间不顺延。</w:t>
            </w:r>
          </w:p>
          <w:p>
            <w:pPr>
              <w:pStyle w:val="4"/>
              <w:ind w:firstLine="420"/>
              <w:jc w:val="left"/>
            </w:pPr>
            <w:r>
              <w:rPr>
                <w:rFonts w:ascii="仿宋_GB2312" w:hAnsi="仿宋_GB2312" w:eastAsia="仿宋_GB2312" w:cs="仿宋_GB2312"/>
                <w:sz w:val="32"/>
              </w:rPr>
              <w:t>1.5中标人按订货的品种、数量配货，送货采购人指定地点，并附详细的发货清单和签收单，以便验货核对，以便验货核对。中标人货到现场，采购人或实际使用人不负责提供货物仓储地，由中标人负责货物保管工作，货到现场但未安装完全交付前产生的一切费用以及造成的遗失、损坏等问题，由中标人承担。</w:t>
            </w:r>
          </w:p>
          <w:p>
            <w:pPr>
              <w:pStyle w:val="4"/>
              <w:ind w:firstLine="420"/>
              <w:jc w:val="left"/>
            </w:pPr>
            <w:r>
              <w:rPr>
                <w:rFonts w:ascii="仿宋_GB2312" w:hAnsi="仿宋_GB2312" w:eastAsia="仿宋_GB2312" w:cs="仿宋_GB2312"/>
                <w:sz w:val="32"/>
              </w:rPr>
              <w:t>1.6中标人应保证该货物或其任何一部分不受第三方提出侵犯其专利权、著作权、商标权或其他权利的起诉。一旦出现侵权，索赔或诉讼，中标人应承担全部责任。</w:t>
            </w:r>
          </w:p>
          <w:p>
            <w:pPr>
              <w:pStyle w:val="4"/>
              <w:ind w:firstLine="420"/>
              <w:jc w:val="left"/>
            </w:pPr>
            <w:r>
              <w:rPr>
                <w:rFonts w:ascii="仿宋_GB2312" w:hAnsi="仿宋_GB2312" w:eastAsia="仿宋_GB2312" w:cs="仿宋_GB2312"/>
                <w:sz w:val="32"/>
              </w:rPr>
              <w:t>1.7中标人提交的货物应符合招投标文件中所记载的详细配置、技术参数、参数及性能，并应附有此批货物完整、详细的技术资料和说明文件。中标人提交的货物必须按照合同及招投标文件，以约定标准进行制造、安装。</w:t>
            </w:r>
          </w:p>
          <w:p>
            <w:pPr>
              <w:pStyle w:val="4"/>
              <w:ind w:firstLine="420"/>
              <w:jc w:val="left"/>
            </w:pPr>
            <w:r>
              <w:rPr>
                <w:rFonts w:ascii="仿宋_GB2312" w:hAnsi="仿宋_GB2312" w:eastAsia="仿宋_GB2312" w:cs="仿宋_GB2312"/>
                <w:sz w:val="32"/>
              </w:rPr>
              <w:t>1.8中标人保证货物不存在设计缺陷、制造缺陷以及危及人身及财产安全的产品缺陷，否则应承担全部法律责任。</w:t>
            </w:r>
          </w:p>
          <w:p>
            <w:pPr>
              <w:pStyle w:val="4"/>
              <w:ind w:firstLine="420"/>
              <w:jc w:val="left"/>
            </w:pPr>
            <w:r>
              <w:rPr>
                <w:rFonts w:ascii="仿宋_GB2312" w:hAnsi="仿宋_GB2312" w:eastAsia="仿宋_GB2312" w:cs="仿宋_GB2312"/>
                <w:sz w:val="32"/>
              </w:rPr>
              <w:t>1.9中标人提交货物达不到招投标文件规定的数量、质量要求和运行效果，采购人或使用单位有权拒收，且采购人有权解除合同;由此引起损失及赔偿责任由中标人承担。</w:t>
            </w:r>
          </w:p>
          <w:p>
            <w:pPr>
              <w:pStyle w:val="4"/>
              <w:ind w:firstLine="420"/>
              <w:jc w:val="both"/>
            </w:pPr>
            <w:r>
              <w:rPr>
                <w:rFonts w:ascii="仿宋_GB2312" w:hAnsi="仿宋_GB2312" w:eastAsia="仿宋_GB2312" w:cs="仿宋_GB2312"/>
                <w:sz w:val="32"/>
              </w:rPr>
              <w:t>1.10中标人需配合采购人设备统一管理，完成设备在国有资产管理系统入库的工作。</w:t>
            </w:r>
          </w:p>
          <w:p>
            <w:pPr>
              <w:pStyle w:val="4"/>
              <w:ind w:firstLine="420"/>
              <w:jc w:val="both"/>
            </w:pPr>
            <w:r>
              <w:rPr>
                <w:rFonts w:ascii="仿宋_GB2312" w:hAnsi="仿宋_GB2312" w:eastAsia="仿宋_GB2312" w:cs="仿宋_GB2312"/>
                <w:sz w:val="32"/>
              </w:rPr>
              <w:t>1.11中标后招标人有权要求预中标方在中标公示期限内将中标软硬件产品提供给采购方进行功能的验证测试，如有以提供虚假材料谋取中标的行为，按虚假应标处理。</w:t>
            </w:r>
          </w:p>
          <w:p>
            <w:pPr>
              <w:pStyle w:val="4"/>
              <w:jc w:val="both"/>
            </w:pPr>
            <w:r>
              <w:rPr>
                <w:rFonts w:ascii="仿宋_GB2312" w:hAnsi="仿宋_GB2312" w:eastAsia="仿宋_GB2312" w:cs="仿宋_GB2312"/>
                <w:sz w:val="32"/>
              </w:rPr>
              <w:t>2.安装调试：</w:t>
            </w:r>
          </w:p>
          <w:p>
            <w:pPr>
              <w:pStyle w:val="4"/>
              <w:ind w:firstLine="420"/>
              <w:jc w:val="both"/>
            </w:pPr>
            <w:r>
              <w:rPr>
                <w:rFonts w:ascii="仿宋_GB2312" w:hAnsi="仿宋_GB2312" w:eastAsia="仿宋_GB2312" w:cs="仿宋_GB2312"/>
                <w:sz w:val="32"/>
              </w:rPr>
              <w:t>2.1所有设备均须由中标人送货上门并安装调试，含施工辅材、原设备拆除搬运（如有）、设备安装、调试、人员工资报酬等等，采购人不再额外支付任何费用。</w:t>
            </w:r>
          </w:p>
          <w:p>
            <w:pPr>
              <w:pStyle w:val="4"/>
              <w:ind w:firstLine="420"/>
              <w:jc w:val="both"/>
            </w:pPr>
            <w:r>
              <w:rPr>
                <w:rFonts w:ascii="仿宋_GB2312" w:hAnsi="仿宋_GB2312" w:eastAsia="仿宋_GB2312" w:cs="仿宋_GB2312"/>
                <w:sz w:val="32"/>
              </w:rPr>
              <w:t>2.2设备的固定安装符合施工要求，安装规范，整体走线符合施工工艺要求，如安装位置是填充材料，须进行加固处理。施工过程中如涉及破坏原建筑物，需按要求恢复。</w:t>
            </w:r>
          </w:p>
          <w:p>
            <w:pPr>
              <w:pStyle w:val="4"/>
              <w:ind w:firstLine="420"/>
              <w:jc w:val="both"/>
            </w:pPr>
            <w:r>
              <w:rPr>
                <w:rFonts w:ascii="仿宋_GB2312" w:hAnsi="仿宋_GB2312" w:eastAsia="仿宋_GB2312" w:cs="仿宋_GB2312"/>
                <w:sz w:val="32"/>
              </w:rPr>
              <w:t>2.3中标人对其工作人员在合同履行期间的疾病、人身财产安全、安全责任事故、劳动及劳务纠纷等负责，采购人对此不承担任何责任和义务。</w:t>
            </w:r>
          </w:p>
          <w:p>
            <w:pPr>
              <w:pStyle w:val="4"/>
              <w:jc w:val="both"/>
            </w:pPr>
            <w:r>
              <w:rPr>
                <w:rFonts w:ascii="仿宋_GB2312" w:hAnsi="仿宋_GB2312" w:eastAsia="仿宋_GB2312" w:cs="仿宋_GB2312"/>
                <w:sz w:val="32"/>
              </w:rPr>
              <w:t>3.质量保修范围和保修期：</w:t>
            </w:r>
          </w:p>
          <w:p>
            <w:pPr>
              <w:pStyle w:val="4"/>
              <w:ind w:firstLine="420"/>
              <w:jc w:val="both"/>
            </w:pPr>
            <w:r>
              <w:rPr>
                <w:rFonts w:ascii="仿宋_GB2312" w:hAnsi="仿宋_GB2312" w:eastAsia="仿宋_GB2312" w:cs="仿宋_GB2312"/>
                <w:sz w:val="32"/>
              </w:rPr>
              <w:t>3.1质保期：自交货验收完毕之日算起不少于3年。</w:t>
            </w:r>
          </w:p>
          <w:p>
            <w:pPr>
              <w:pStyle w:val="4"/>
              <w:ind w:firstLine="420"/>
              <w:jc w:val="both"/>
            </w:pPr>
            <w:r>
              <w:rPr>
                <w:rFonts w:ascii="仿宋_GB2312" w:hAnsi="仿宋_GB2312" w:eastAsia="仿宋_GB2312" w:cs="仿宋_GB2312"/>
                <w:sz w:val="32"/>
              </w:rPr>
              <w:t>3.2为保证项目及系统的正常运行，中标人须提供7×24小时的技术支持服务。在质保期内接到采购人系统故障报修应30分钟内响应，4小时内到达现场解决故障，若24小时内不能排除故障的，提供备品备件，以保证系统的正常运转；</w:t>
            </w:r>
          </w:p>
          <w:p>
            <w:pPr>
              <w:pStyle w:val="4"/>
              <w:ind w:firstLine="420"/>
              <w:jc w:val="both"/>
            </w:pPr>
            <w:r>
              <w:rPr>
                <w:rFonts w:ascii="仿宋_GB2312" w:hAnsi="仿宋_GB2312" w:eastAsia="仿宋_GB2312" w:cs="仿宋_GB2312"/>
                <w:sz w:val="32"/>
              </w:rPr>
              <w:t>3.3质保期外，中标人提供的产品发生故障，中标人有义务进行维修，并向采购人提供技术服务和备品备件供应，并只收取成本费用。在设备的设计使用寿命期内，中标人应能保证采购人可以更换到匹配使用的零部件；</w:t>
            </w:r>
          </w:p>
          <w:p>
            <w:pPr>
              <w:pStyle w:val="4"/>
              <w:ind w:firstLine="420"/>
              <w:jc w:val="both"/>
            </w:pPr>
            <w:r>
              <w:rPr>
                <w:rFonts w:ascii="仿宋_GB2312" w:hAnsi="仿宋_GB2312" w:eastAsia="仿宋_GB2312" w:cs="仿宋_GB2312"/>
                <w:sz w:val="32"/>
              </w:rPr>
              <w:t>3.4中标人必须保证所供产品的质量、安全，无条件更换运输过程中的破损产品，所需费用由中标人自行承担。货到现场后由于采购人保管不当造成的问题，中标人亦应负责修复，费用由采购人负担，中标方只收取成本费；</w:t>
            </w:r>
          </w:p>
          <w:p>
            <w:pPr>
              <w:pStyle w:val="4"/>
              <w:jc w:val="both"/>
            </w:pPr>
            <w:r>
              <w:rPr>
                <w:rFonts w:ascii="仿宋_GB2312" w:hAnsi="仿宋_GB2312" w:eastAsia="仿宋_GB2312" w:cs="仿宋_GB2312"/>
                <w:sz w:val="32"/>
              </w:rPr>
              <w:t>4.备品备件要求</w:t>
            </w:r>
          </w:p>
          <w:p>
            <w:pPr>
              <w:pStyle w:val="4"/>
              <w:ind w:firstLine="420"/>
              <w:jc w:val="both"/>
            </w:pPr>
            <w:r>
              <w:rPr>
                <w:rFonts w:ascii="仿宋_GB2312" w:hAnsi="仿宋_GB2312" w:eastAsia="仿宋_GB2312" w:cs="仿宋_GB2312"/>
                <w:sz w:val="32"/>
              </w:rPr>
              <w:t xml:space="preserve">4.1备品备件的范围：安装必需备品备件：投标人应提供安装或维修更换时必需的备品备件，其价款应包含在投标总价中。备品备件包括但不限于用于安装过程中可能损坏或丢失的螺丝、螺母、连接件及用于维修更换时易损件等。 </w:t>
            </w:r>
          </w:p>
          <w:p>
            <w:pPr>
              <w:pStyle w:val="4"/>
              <w:ind w:firstLine="420"/>
              <w:jc w:val="both"/>
            </w:pPr>
            <w:r>
              <w:rPr>
                <w:rFonts w:ascii="仿宋_GB2312" w:hAnsi="仿宋_GB2312" w:eastAsia="仿宋_GB2312" w:cs="仿宋_GB2312"/>
                <w:sz w:val="32"/>
              </w:rPr>
              <w:t>4.2备品备件的质量要求：①全新产品：所有备品备件必须为全新产品，不得使用翻新件或二手件，以确保其性能和质量。②质量标准：备品备件应符合国家相关质量标准和行业标准，若无国家标准或行业标准的，应符合投标方企业标准，且企业标准不得低于国家或行业标准的要求。</w:t>
            </w:r>
          </w:p>
          <w:p>
            <w:pPr>
              <w:pStyle w:val="4"/>
              <w:ind w:firstLine="420"/>
              <w:jc w:val="both"/>
            </w:pPr>
            <w:r>
              <w:rPr>
                <w:rFonts w:ascii="仿宋_GB2312" w:hAnsi="仿宋_GB2312" w:eastAsia="仿宋_GB2312" w:cs="仿宋_GB2312"/>
                <w:sz w:val="32"/>
              </w:rPr>
              <w:t>4.3备品备件的包装与标识：防尘防潮防损坏：所有备品备件应采取有效的防尘、防潮、防止损坏等保护措施，确保在运输和储存过程中保持良好的状态，采用密封包装、防潮包装材料等技术措施。</w:t>
            </w:r>
          </w:p>
          <w:p>
            <w:pPr>
              <w:pStyle w:val="4"/>
              <w:ind w:firstLine="420"/>
              <w:jc w:val="both"/>
            </w:pPr>
            <w:r>
              <w:rPr>
                <w:rFonts w:ascii="仿宋_GB2312" w:hAnsi="仿宋_GB2312" w:eastAsia="仿宋_GB2312" w:cs="仿宋_GB2312"/>
                <w:sz w:val="32"/>
              </w:rPr>
              <w:t>4.4标识清晰：备品备件应单独包装，并在包装上标注“备品备件”字样，同时注明其名称、规格型号、数量、生产日期、生产厂家等信息，以便于识别和管理，与主设备或主要构件区分开来。</w:t>
            </w:r>
          </w:p>
          <w:p>
            <w:pPr>
              <w:pStyle w:val="4"/>
              <w:ind w:firstLine="420"/>
              <w:jc w:val="both"/>
            </w:pPr>
            <w:r>
              <w:rPr>
                <w:rFonts w:ascii="仿宋_GB2312" w:hAnsi="仿宋_GB2312" w:eastAsia="仿宋_GB2312" w:cs="仿宋_GB2312"/>
                <w:sz w:val="32"/>
              </w:rPr>
              <w:t>5．巡检要求：质保期内，中标人每年提供至少二次巡检服务，保证所有设备正常可用，并提供纸质巡检报告；质保期后终生有偿服务；</w:t>
            </w:r>
          </w:p>
          <w:p>
            <w:pPr>
              <w:pStyle w:val="4"/>
              <w:jc w:val="both"/>
            </w:pPr>
            <w:r>
              <w:rPr>
                <w:rFonts w:ascii="仿宋_GB2312" w:hAnsi="仿宋_GB2312" w:eastAsia="仿宋_GB2312" w:cs="仿宋_GB2312"/>
                <w:sz w:val="32"/>
              </w:rPr>
              <w:t>6.其他要求：</w:t>
            </w:r>
          </w:p>
          <w:p>
            <w:pPr>
              <w:pStyle w:val="4"/>
              <w:ind w:firstLine="420"/>
              <w:jc w:val="both"/>
            </w:pPr>
            <w:r>
              <w:rPr>
                <w:rFonts w:ascii="仿宋_GB2312" w:hAnsi="仿宋_GB2312" w:eastAsia="仿宋_GB2312" w:cs="仿宋_GB2312"/>
                <w:sz w:val="32"/>
              </w:rPr>
              <w:t>6.1本项目中所涉及的软件不能有版权瑕疵及纠纷；</w:t>
            </w:r>
          </w:p>
          <w:p>
            <w:pPr>
              <w:pStyle w:val="4"/>
              <w:ind w:firstLine="420"/>
              <w:jc w:val="both"/>
            </w:pPr>
            <w:r>
              <w:rPr>
                <w:rFonts w:ascii="仿宋_GB2312" w:hAnsi="仿宋_GB2312" w:eastAsia="仿宋_GB2312" w:cs="仿宋_GB2312"/>
                <w:sz w:val="32"/>
              </w:rPr>
              <w:t>6.2本项目中所涉及的软件及使用授权均视为包含在投标报价中。</w:t>
            </w:r>
          </w:p>
          <w:p>
            <w:pPr>
              <w:pStyle w:val="4"/>
              <w:ind w:firstLine="420"/>
              <w:jc w:val="both"/>
            </w:pPr>
            <w:r>
              <w:rPr>
                <w:rFonts w:ascii="仿宋_GB2312" w:hAnsi="仿宋_GB2312" w:eastAsia="仿宋_GB2312" w:cs="仿宋_GB2312"/>
                <w:sz w:val="32"/>
              </w:rPr>
              <w:t>6.3本项目为计算机教室主机更换项目,投标报价中包含与各设备配套的“与设备安全正常运行相匹配的，包括但不限于电源线、跳线等连接线、插座、插线板、PVC管（聚氯乙稀材料）、理线架、水晶头等”均视为包含在投标报价中。</w:t>
            </w:r>
          </w:p>
          <w:p>
            <w:pPr>
              <w:pStyle w:val="4"/>
              <w:ind w:firstLine="420"/>
              <w:jc w:val="both"/>
            </w:pPr>
            <w:r>
              <w:rPr>
                <w:rFonts w:ascii="仿宋_GB2312" w:hAnsi="仿宋_GB2312" w:eastAsia="仿宋_GB2312" w:cs="仿宋_GB2312"/>
                <w:sz w:val="32"/>
              </w:rPr>
              <w:t>6.4投标人须在投标文件中提供承诺函，承诺所投产品若涉及国家强制认证的（CCC）或进网许可、前置许可、认证的，符合国家强制认证（CCC）或进网许可、前置许可、认证，在供货时一并提供相关许可、认证材料。</w:t>
            </w:r>
          </w:p>
          <w:p>
            <w:pPr>
              <w:pStyle w:val="4"/>
              <w:ind w:firstLine="420"/>
              <w:jc w:val="both"/>
            </w:pPr>
            <w:r>
              <w:rPr>
                <w:rFonts w:ascii="仿宋_GB2312" w:hAnsi="仿宋_GB2312" w:eastAsia="仿宋_GB2312" w:cs="仿宋_GB2312"/>
                <w:sz w:val="32"/>
              </w:rPr>
              <w:t>6.5供应商台式计算机主机响应产品应具有国家确定的认证机构出具的处于有效期之内的节能产品认证证书。（说明：1.提供由国家确定的认证机构出具的、处于有效期之内的节能产品认证证书的原件扫描件，或“全国认证认可信息公共服务平台”（http://cx.cnca.cn）的认证信息截图。2.若提供“全国认证认可信息公共服务平台”（http://cx.cnca.cn）的认证信息截图的，截图内容至少包含证书到期日期、认证依据的标准和技术要求以及响应产品规格型号。）</w:t>
            </w:r>
          </w:p>
          <w:p>
            <w:pPr>
              <w:pStyle w:val="4"/>
              <w:jc w:val="both"/>
            </w:pPr>
            <w:r>
              <w:rPr>
                <w:rFonts w:ascii="仿宋_GB2312" w:hAnsi="仿宋_GB2312" w:eastAsia="仿宋_GB2312" w:cs="仿宋_GB2312"/>
                <w:sz w:val="32"/>
              </w:rPr>
              <w:t>7.报价要求</w:t>
            </w:r>
          </w:p>
          <w:p>
            <w:pPr>
              <w:pStyle w:val="4"/>
              <w:ind w:firstLine="420"/>
              <w:jc w:val="both"/>
            </w:pPr>
            <w:r>
              <w:rPr>
                <w:rFonts w:ascii="仿宋_GB2312" w:hAnsi="仿宋_GB2312" w:eastAsia="仿宋_GB2312" w:cs="仿宋_GB2312"/>
                <w:sz w:val="32"/>
              </w:rPr>
              <w:t>投标人报价应是采购人最终验收合格后的总价，包括但不限于货物制造、包装、运输、与产品配套的设施布线、安装、调试、人工劳务、检测、保险、培训、风险、利润、所有税费、采购代理服务费、验收合格交付使用之前及保修期内保修服务与备用物件和招标文件规定的其它全部费用。</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符号标识</w:t>
            </w:r>
          </w:p>
        </w:tc>
        <w:tc>
          <w:tcPr>
            <w:tcW w:w="2076" w:type="dxa"/>
          </w:tcPr>
          <w:p>
            <w:pPr>
              <w:pStyle w:val="4"/>
              <w:jc w:val="left"/>
            </w:pPr>
            <w:r>
              <w:rPr>
                <w:rFonts w:ascii="仿宋_GB2312" w:hAnsi="仿宋_GB2312" w:eastAsia="仿宋_GB2312" w:cs="仿宋_GB2312"/>
              </w:rPr>
              <w:t>商务要求名称</w:t>
            </w:r>
          </w:p>
        </w:tc>
        <w:tc>
          <w:tcPr>
            <w:tcW w:w="2076" w:type="dxa"/>
          </w:tcPr>
          <w:p>
            <w:pPr>
              <w:pStyle w:val="4"/>
              <w:jc w:val="left"/>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交货时间</w:t>
            </w:r>
          </w:p>
        </w:tc>
        <w:tc>
          <w:tcPr>
            <w:tcW w:w="2076" w:type="dxa"/>
          </w:tcPr>
          <w:p>
            <w:pPr>
              <w:pStyle w:val="4"/>
              <w:jc w:val="left"/>
            </w:pPr>
            <w:r>
              <w:rPr>
                <w:rFonts w:ascii="仿宋_GB2312" w:hAnsi="仿宋_GB2312" w:eastAsia="仿宋_GB2312" w:cs="仿宋_GB2312"/>
              </w:rPr>
              <w:t>投标人自接到采购人通知之日起37日内交货，并完成安装调试。（说明：投标人在投标文件中响应。）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交货地点</w:t>
            </w:r>
          </w:p>
        </w:tc>
        <w:tc>
          <w:tcPr>
            <w:tcW w:w="2076" w:type="dxa"/>
          </w:tcPr>
          <w:p>
            <w:pPr>
              <w:pStyle w:val="4"/>
              <w:jc w:val="left"/>
            </w:pPr>
            <w:r>
              <w:rPr>
                <w:rFonts w:ascii="仿宋_GB2312" w:hAnsi="仿宋_GB2312" w:eastAsia="仿宋_GB2312" w:cs="仿宋_GB2312"/>
              </w:rPr>
              <w:t>采购人指定地点（金堂县范围内）（说明：投标人在投标文件中响应。）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支付方式</w:t>
            </w:r>
          </w:p>
        </w:tc>
        <w:tc>
          <w:tcPr>
            <w:tcW w:w="2076"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4</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付款进度安排</w:t>
            </w:r>
          </w:p>
        </w:tc>
        <w:tc>
          <w:tcPr>
            <w:tcW w:w="2076" w:type="dxa"/>
          </w:tcPr>
          <w:p>
            <w:pPr>
              <w:pStyle w:val="4"/>
              <w:jc w:val="left"/>
            </w:pPr>
            <w:r>
              <w:rPr>
                <w:rFonts w:ascii="仿宋_GB2312" w:hAnsi="仿宋_GB2312" w:eastAsia="仿宋_GB2312" w:cs="仿宋_GB2312"/>
              </w:rPr>
              <w:t>1、预付款， （说明：投标人在投标文件中响应。） 合同签订后，采购人应在收到中标人开具的正规发票的，达到付款条件起10个工作日内，支付合同总金额的40.0%</w:t>
            </w:r>
            <w:r>
              <w:br w:type="textWrapping"/>
            </w:r>
            <w:r>
              <w:rPr>
                <w:rFonts w:ascii="仿宋_GB2312" w:hAnsi="仿宋_GB2312" w:eastAsia="仿宋_GB2312" w:cs="仿宋_GB2312"/>
              </w:rPr>
              <w:t>2、尾款，（说明：投标人在投标文件中响应。）项目完成并验收合格后，采购人应在收到中标人开具的正规发票的 ，达到付款条件起10个工作日内，支付合同总金额的60.0%</w:t>
            </w:r>
            <w:r>
              <w:br w:type="textWrapp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5</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验收、交付标准和方法</w:t>
            </w:r>
          </w:p>
        </w:tc>
        <w:tc>
          <w:tcPr>
            <w:tcW w:w="2076" w:type="dxa"/>
          </w:tcPr>
          <w:p>
            <w:pPr>
              <w:pStyle w:val="4"/>
              <w:jc w:val="left"/>
            </w:pPr>
            <w:r>
              <w:rPr>
                <w:rFonts w:ascii="仿宋_GB2312" w:hAnsi="仿宋_GB2312" w:eastAsia="仿宋_GB2312" w:cs="仿宋_GB2312"/>
              </w:rPr>
              <w:t>严格按照《中华人民共和国政府采购法》、《中华人民共和国政府采购法实施条例》和《财政部关于进一步加强政府采购需求和履约验收管理的指导意见》（财库〔2016〕205号）、《政府采购需求管理办法》（财库〔2021〕22号）、《成都市市级采购项目履约验收实施细则（试行）》政府采购相关法律法规的要求进行验收，并按国家有关规定以及采购人招标文件的质量要求和技术指标及中标供应商的投标文件及承诺进行验收（说明：投标人在投标文件中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6</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包装方式及运输</w:t>
            </w:r>
          </w:p>
        </w:tc>
        <w:tc>
          <w:tcPr>
            <w:tcW w:w="2076"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说明：投标人在投标文件中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7</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质量保修范围和保修期</w:t>
            </w:r>
          </w:p>
        </w:tc>
        <w:tc>
          <w:tcPr>
            <w:tcW w:w="2076" w:type="dxa"/>
          </w:tcPr>
          <w:p>
            <w:pPr>
              <w:pStyle w:val="4"/>
              <w:jc w:val="left"/>
            </w:pPr>
            <w:r>
              <w:rPr>
                <w:rFonts w:ascii="仿宋_GB2312" w:hAnsi="仿宋_GB2312" w:eastAsia="仿宋_GB2312" w:cs="仿宋_GB2312"/>
              </w:rPr>
              <w:t>1.质保期：自交货验收完毕之日算起不少于3年。 2.为保证项目及系统的正常运行，中标人须提供7×24小时的技术支持服务。在质保期内接到采购人系统故障报修应30分钟内响应，4小时内到达现场解决故障，若24小时内不能排除故障的，提供备品备件，以保证系统的正常运转； 3.质保期外，中标人提供的产品发生故障，中标人有义务进行维修，并向采购人提供技术服务和备品备件供应，并只收取成本费用。在设备的设计使用寿命期内，中标人应能保证采购人可以更换到匹配使用的零部件； 4.中标人必须保证所供产品的质量、安全，无条件更换运输过程中的破损产品，所需费用由中标人自行承担。货到现场后由于采购人保管不当造成的问题，中标人亦应负责修复，费用由采购人负担，中标方只收取成本费； （说明：投标人在投标文件中响应。）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8</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违约责任与解决争议的方法</w:t>
            </w:r>
          </w:p>
        </w:tc>
        <w:tc>
          <w:tcPr>
            <w:tcW w:w="2076" w:type="dxa"/>
          </w:tcPr>
          <w:p>
            <w:pPr>
              <w:pStyle w:val="4"/>
              <w:jc w:val="left"/>
            </w:pPr>
            <w:r>
              <w:rPr>
                <w:rFonts w:ascii="仿宋_GB2312" w:hAnsi="仿宋_GB2312" w:eastAsia="仿宋_GB2312" w:cs="仿宋_GB2312"/>
              </w:rPr>
              <w:t>一、采购人违约责任 a、违约责任条款： 1.如因中标供应商在履行职务过程中的疏忽、失职、过错等故意或者过失原因给采购人造成损失或侵害，包括但不限于采购人本身的财产损失、由此而导致的采购人对任何第三方的法律责任等，中标供应商对此均应承担全部的赔偿责任。 2. 中标供应商提供的服务不符合招标文件、投标文件或本合同规定的，每出现一次违约（合同涉及“日期”和“天数”的，每逾期一天或少一天，视为一次违约），供应商须向采购人支付本合同总价1%的违约金并且按采购人要求进行整改，出现违约3次及以上或未按采购人要求整改的，采购人有权无条件解除本合同，不再支付剩余费用并要求供应商退还已收取的费用。 3.采购人无正当理由逾期未按照合同约定付款的，则每日按应付未付款金额的1‰向供应商偿付违约金，但累计违约金总额不超过未付款总额的1％。 4.合同签订后，若供应商存在违法违规行为的，采购人有权无条件解除本合同并要求供应商退还已获得的全部费用。 b、争议管辖： 在执行本合同中发生的或与本合同有关的争端，双方应通过友好协商解决，经协商在30天内不能达成协议时，应选择以下第 2 种解决方式： 1.提交成都仲裁委员会依照其现行有效的仲裁规则进行仲裁； 2.向采购人所在地有管辖权的法院提起诉讼，诉讼产生相应的费用应由败诉方负担。 在法院审理和仲裁期间，除有争议部分外，本合同其他部分可以履行的仍应按合同条款继续履行。 （说明：投标人在投标文件中响应。）</w:t>
            </w:r>
          </w:p>
        </w:tc>
      </w:tr>
    </w:tbl>
    <w:p>
      <w:pPr>
        <w:pStyle w:val="4"/>
        <w:jc w:val="left"/>
        <w:outlineLvl w:val="2"/>
      </w:pPr>
      <w:r>
        <w:rPr>
          <w:rFonts w:ascii="仿宋_GB2312" w:hAnsi="仿宋_GB2312" w:eastAsia="仿宋_GB2312" w:cs="仿宋_GB2312"/>
          <w:b/>
          <w:sz w:val="28"/>
        </w:rPr>
        <w:t>3.4.其他要求</w:t>
      </w:r>
    </w:p>
    <w:p>
      <w:pPr>
        <w:pStyle w:val="4"/>
        <w:jc w:val="left"/>
      </w:pPr>
      <w:r>
        <w:rPr>
          <w:rFonts w:ascii="仿宋_GB2312" w:hAnsi="仿宋_GB2312" w:eastAsia="仿宋_GB2312" w:cs="仿宋_GB2312"/>
        </w:rPr>
        <w:t>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仿宋_GB2312">
    <w:panose1 w:val="02010609030101010101"/>
    <w:charset w:val="86"/>
    <w:family w:val="auto"/>
    <w:pitch w:val="default"/>
    <w:sig w:usb0="00000001" w:usb1="080E0000" w:usb2="00000000" w:usb3="00000000" w:csb0="00040000"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E3A53"/>
    <w:rsid w:val="562E3A53"/>
    <w:rsid w:val="789B66A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2026-07-01T02:44:00Z</dcterms:created>
  <dc:creator>Lenovo1</dc:creator>
  <cp:lastModifiedBy>Lenovo1</cp:lastModifiedBy>
  <dcterms:modified xsi:type="dcterms:W3CDTF">2026-07-01T02:45:24Z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