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441323-2026-03045</w:t>
      </w:r>
    </w:p>
    <w:p>
      <w:pPr>
        <w:pStyle w:val="null3"/>
        <w:jc w:val="center"/>
        <w:outlineLvl w:val="3"/>
      </w:pPr>
      <w:r>
        <w:rPr>
          <w:sz w:val="24"/>
          <w:b/>
        </w:rPr>
        <w:t>采购项目编号：</w:t>
      </w:r>
      <w:r>
        <w:rPr>
          <w:sz w:val="24"/>
          <w:b/>
        </w:rPr>
        <w:t>HZSY202607013</w:t>
      </w:r>
    </w:p>
    <w:p>
      <w:pPr>
        <w:pStyle w:val="null3"/>
        <w:jc w:val="center"/>
        <w:outlineLvl w:val="3"/>
      </w:pPr>
      <w:r>
        <w:rPr>
          <w:sz w:val="24"/>
          <w:b/>
        </w:rPr>
        <w:t>项目名称：</w:t>
      </w:r>
      <w:r>
        <w:rPr>
          <w:sz w:val="24"/>
          <w:b/>
        </w:rPr>
        <w:t>2026-2027年电脑配件及办公设备类采购服务项目</w:t>
      </w:r>
    </w:p>
    <w:p>
      <w:pPr>
        <w:pStyle w:val="null3"/>
        <w:jc w:val="center"/>
        <w:outlineLvl w:val="3"/>
      </w:pPr>
      <w:r>
        <w:rPr>
          <w:sz w:val="24"/>
          <w:b/>
        </w:rPr>
        <w:t>采购人：</w:t>
      </w:r>
      <w:r>
        <w:rPr>
          <w:sz w:val="24"/>
          <w:b/>
        </w:rPr>
        <w:t>惠东县人民医院</w:t>
      </w:r>
    </w:p>
    <w:p>
      <w:pPr>
        <w:pStyle w:val="null3"/>
        <w:jc w:val="center"/>
        <w:outlineLvl w:val="3"/>
      </w:pPr>
      <w:r>
        <w:rPr>
          <w:sz w:val="24"/>
          <w:b/>
        </w:rPr>
        <w:t>采购代理机构：</w:t>
      </w:r>
      <w:r>
        <w:rPr>
          <w:sz w:val="24"/>
          <w:b/>
        </w:rPr>
        <w:t>惠州市晟远咨询管理有限公司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惠州市晟远咨询管理有限公司</w:t>
      </w:r>
      <w:r>
        <w:rPr/>
        <w:t>受</w:t>
      </w:r>
      <w:r>
        <w:rPr/>
        <w:t>惠东县人民医院</w:t>
      </w:r>
      <w:r>
        <w:rPr/>
        <w:t>的委托，采用</w:t>
      </w:r>
      <w:r>
        <w:rPr/>
        <w:t>竞争性磋商</w:t>
      </w:r>
      <w:r>
        <w:rPr/>
        <w:t>方式组织采购</w:t>
      </w:r>
      <w:r>
        <w:rPr/>
        <w:t>2026-2027年电脑配件及办公设备类采购服务项目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2026-2027年电脑配件及办公设备类采购服务项目</w:t>
      </w:r>
    </w:p>
    <w:p>
      <w:pPr>
        <w:pStyle w:val="null3"/>
        <w:ind w:firstLine="480"/>
      </w:pPr>
      <w:r>
        <w:rPr/>
        <w:t>采购计划编号：</w:t>
      </w:r>
      <w:r>
        <w:rPr/>
        <w:t>441323-2026-03045</w:t>
      </w:r>
    </w:p>
    <w:p>
      <w:pPr>
        <w:pStyle w:val="null3"/>
        <w:ind w:firstLine="480"/>
      </w:pPr>
      <w:r>
        <w:rPr/>
        <w:t>采购项目编号：</w:t>
      </w:r>
      <w:r>
        <w:rPr/>
        <w:t>HZSY202607013</w:t>
      </w:r>
    </w:p>
    <w:p>
      <w:pPr>
        <w:pStyle w:val="null3"/>
        <w:ind w:firstLine="480"/>
      </w:pPr>
      <w:r>
        <w:rPr/>
        <w:t>采购方式：</w:t>
      </w:r>
      <w:r>
        <w:rPr/>
        <w:t>竞争性磋商</w:t>
      </w:r>
    </w:p>
    <w:p>
      <w:pPr>
        <w:pStyle w:val="null3"/>
        <w:ind w:firstLine="480"/>
      </w:pPr>
      <w:r>
        <w:rPr/>
        <w:t>预算金额：</w:t>
      </w:r>
      <w:r>
        <w:rPr/>
        <w:t>1,960,320.00</w:t>
      </w:r>
      <w:r>
        <w:rPr/>
        <w:t>元</w:t>
      </w:r>
    </w:p>
    <w:p>
      <w:pPr>
        <w:pStyle w:val="null3"/>
        <w:outlineLvl w:val="3"/>
      </w:pPr>
      <w:r>
        <w:rPr>
          <w:sz w:val="24"/>
          <w:b/>
        </w:rPr>
        <w:t>2.项目内容及需求情况（采购项目技术规格、参数及要求）</w:t>
      </w:r>
    </w:p>
    <w:p>
      <w:pPr>
        <w:pStyle w:val="null3"/>
      </w:pPr>
      <w:r>
        <w:rPr/>
        <w:t>采购包1(电脑配件及办公设备类采购服务项目):</w:t>
      </w:r>
    </w:p>
    <w:p>
      <w:pPr>
        <w:pStyle w:val="null3"/>
      </w:pPr>
      <w:r>
        <w:rPr/>
        <w:t>采购包预算金额：1,960,320.00元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电脑配件及办公设备类采购服务项目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1,960,320.00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合同履行期限：自合同签订之日起2年或累计达到采购预算金额后自动终止，以先到者为准。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任一证明材料：①2025年度经会计师事务所审计的财务状况报告；②基本开户行出具的资信证明和《基本存款账户信息》或《开户许可证》；③提供2026年至今任意一个月财务报表复印件） 。</w:t>
      </w:r>
    </w:p>
    <w:p>
      <w:pPr>
        <w:pStyle w:val="null3"/>
      </w:pPr>
      <w:r>
        <w:rPr/>
        <w:t>4）履行合同所必需的设备和专业技术能力：提供履行合同所必需的设备和专业技术能力的承诺函，格式自拟。</w:t>
      </w:r>
    </w:p>
    <w:p>
      <w:pPr>
        <w:pStyle w:val="null3"/>
      </w:pPr>
      <w:r>
        <w:rPr/>
        <w:t>5）参加采购活动前3年内，在经营活动中没有重大违法记录：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采购包1（电脑配件及办公设备类采购服务项目）：</w:t>
      </w:r>
      <w:r>
        <w:rPr/>
        <w:t>本项目属于专门面向中小企业采购。参与的供应商服务全部由符合政策要求的中小企业承接。监狱企业、残疾人福利单位视同小型、微型企业。供应商响应时提供《中小企业声明函》。（注：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p>
      <w:pPr>
        <w:pStyle w:val="null3"/>
        <w:outlineLvl w:val="3"/>
      </w:pPr>
      <w:r>
        <w:rPr>
          <w:sz w:val="24"/>
          <w:b/>
        </w:rPr>
        <w:t>3.本项目特定的资格要求：</w:t>
      </w:r>
    </w:p>
    <w:p>
      <w:pPr>
        <w:pStyle w:val="null3"/>
      </w:pPr>
      <w:r>
        <w:rPr/>
        <w:t>采购包1（电脑配件及办公设备类采购服务项目）：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惠东县人民医院</w:t>
      </w:r>
    </w:p>
    <w:p>
      <w:pPr>
        <w:pStyle w:val="null3"/>
        <w:ind w:firstLine="480"/>
      </w:pPr>
      <w:r>
        <w:rPr/>
        <w:t>地址：</w:t>
      </w:r>
      <w:r>
        <w:rPr/>
        <w:t>广东省惠东县平山街道环城南路</w:t>
      </w:r>
    </w:p>
    <w:p>
      <w:pPr>
        <w:pStyle w:val="null3"/>
        <w:ind w:firstLine="480"/>
      </w:pPr>
      <w:r>
        <w:rPr/>
        <w:t>联系方式：</w:t>
      </w:r>
      <w:r>
        <w:rPr/>
        <w:t>0752-8999717</w:t>
      </w:r>
    </w:p>
    <w:p>
      <w:pPr>
        <w:pStyle w:val="null3"/>
        <w:outlineLvl w:val="3"/>
      </w:pPr>
      <w:r>
        <w:rPr>
          <w:sz w:val="24"/>
          <w:b/>
        </w:rPr>
        <w:t>2.采购代理机构信息</w:t>
      </w:r>
    </w:p>
    <w:p>
      <w:pPr>
        <w:pStyle w:val="null3"/>
        <w:ind w:firstLine="480"/>
      </w:pPr>
      <w:r>
        <w:rPr/>
        <w:t>名称：</w:t>
      </w:r>
      <w:r>
        <w:rPr/>
        <w:t>惠州市晟远咨询管理有限公司</w:t>
      </w:r>
    </w:p>
    <w:p>
      <w:pPr>
        <w:pStyle w:val="null3"/>
        <w:ind w:firstLine="480"/>
      </w:pPr>
      <w:r>
        <w:rPr/>
        <w:t xml:space="preserve"> 地址：</w:t>
      </w:r>
      <w:r>
        <w:rPr/>
        <w:t>惠州市惠城区东坡路19号天烽天鹅湾1号楼2层01号</w:t>
      </w:r>
    </w:p>
    <w:p>
      <w:pPr>
        <w:pStyle w:val="null3"/>
        <w:ind w:firstLine="480"/>
      </w:pPr>
      <w:r>
        <w:rPr/>
        <w:t xml:space="preserve"> 联系方式：</w:t>
      </w:r>
      <w:r>
        <w:rPr/>
        <w:t>0752-2189889</w:t>
      </w:r>
    </w:p>
    <w:p>
      <w:pPr>
        <w:pStyle w:val="null3"/>
        <w:outlineLvl w:val="3"/>
      </w:pPr>
      <w:r>
        <w:rPr>
          <w:sz w:val="24"/>
          <w:b/>
        </w:rPr>
        <w:t xml:space="preserve"> 3.项目联系方式</w:t>
      </w:r>
    </w:p>
    <w:p>
      <w:pPr>
        <w:pStyle w:val="null3"/>
        <w:ind w:firstLine="480"/>
      </w:pPr>
      <w:r>
        <w:rPr/>
        <w:t xml:space="preserve"> 项目联系人：</w:t>
      </w:r>
      <w:r>
        <w:rPr/>
        <w:t>罗工</w:t>
      </w:r>
    </w:p>
    <w:p>
      <w:pPr>
        <w:pStyle w:val="null3"/>
        <w:ind w:firstLine="480"/>
      </w:pPr>
      <w:r>
        <w:rPr/>
        <w:t xml:space="preserve"> 电话：</w:t>
      </w:r>
      <w:r>
        <w:rPr/>
        <w:t>0752-2189889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惠州市晟远咨询管理有限公司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1.项目概述：本项目为</w:t>
      </w:r>
      <w:r>
        <w:rPr>
          <w:sz w:val="28"/>
        </w:rPr>
        <w:t>电脑配件及办公设备类采购服务项目</w:t>
      </w:r>
      <w:r>
        <w:rPr>
          <w:sz w:val="28"/>
        </w:rPr>
        <w:t>，服务期限</w:t>
      </w:r>
      <w:r>
        <w:rPr>
          <w:sz w:val="28"/>
        </w:rPr>
        <w:t>2年。自合同签订之日起2年或达到采购预算金额后自动终止，以先到者为准。按采购人需求及时不间断提供货物和服务。</w:t>
      </w:r>
    </w:p>
    <w:p>
      <w:pPr>
        <w:pStyle w:val="null3"/>
        <w:jc w:val="both"/>
      </w:pPr>
      <w:r>
        <w:rPr>
          <w:sz w:val="28"/>
        </w:rPr>
        <w:t xml:space="preserve">      2.采购清单</w:t>
      </w:r>
    </w:p>
    <w:tbl>
      <w:tblPr>
        <w:tblW w:w="0" w:type="auto"/>
        <w:tblBorders>
          <w:top w:val="none" w:color="000000" w:sz="4"/>
          <w:left w:val="none" w:color="000000" w:sz="4"/>
          <w:bottom w:val="none" w:color="000000" w:sz="4"/>
          <w:right w:val="none" w:color="000000" w:sz="4"/>
          <w:insideH w:val="none"/>
          <w:insideV w:val="none"/>
        </w:tblBorders>
      </w:tblPr>
      <w:tblGrid>
        <w:gridCol w:w="548"/>
        <w:gridCol w:w="1558"/>
        <w:gridCol w:w="7088"/>
        <w:gridCol w:w="1156"/>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类别</w:t>
            </w:r>
          </w:p>
        </w:tc>
        <w:tc>
          <w:tcPr>
            <w:tcW w:type="dxa" w:w="7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规格参数要求</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单价最高限价</w:t>
            </w:r>
          </w:p>
          <w:p>
            <w:pPr>
              <w:pStyle w:val="null3"/>
              <w:jc w:val="center"/>
            </w:pPr>
            <w:r>
              <w:rPr>
                <w:sz w:val="24"/>
                <w:color w:val="000000"/>
              </w:rPr>
              <w:t>（元）</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5口百兆交换机</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供电方式</w:t>
            </w:r>
            <w:r>
              <w:rPr>
                <w:sz w:val="24"/>
                <w:color w:val="000000"/>
              </w:rPr>
              <w:t>:可拓展电源,外壳材质:塑料,端口类型:电口,适用场景:接入交换机,散热方式:自然散热，端口供电功能：非POE供电，上行端口速率：百兆，云管理交换机：不支持云管理，端口数量：5口，网管类型：非网管，下行接口类型：以太网交换机</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8口百兆交换机</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供电方式</w:t>
            </w:r>
            <w:r>
              <w:rPr>
                <w:sz w:val="24"/>
                <w:color w:val="000000"/>
              </w:rPr>
              <w:t>:可拓展电源,外壳材质:塑料,端口类型:电口,适用场景:接入交换机,散热方式:自然散热，端口供电功能：非POE供电，上行端口速率：百兆，云管理交换机：不支持云管理，端口数量：8口，网管类型：非网管，下行接口类型：以太网交换机</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5口千兆交换机</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供电方式</w:t>
            </w:r>
            <w:r>
              <w:rPr>
                <w:sz w:val="24"/>
                <w:color w:val="000000"/>
              </w:rPr>
              <w:t>:可拓展电源,外壳材质:塑料,端口类型:电口,适用场景:接入交换机,散热方式:自然散热，端口供电功能：非POE供电，上行端口速率：千兆兆，云管理交换机：不支持云管理，端口数量：5口，网管类型：非网管，下行接口类型：以太网交换机</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8口千兆交换机</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供电方式</w:t>
            </w:r>
            <w:r>
              <w:rPr>
                <w:sz w:val="24"/>
                <w:color w:val="000000"/>
              </w:rPr>
              <w:t>:可拓展电源,外壳材质:塑料,端口类型:电口,适用场景:接入交换机,散热方式:自然散热，端口供电功能：非POE供电，上行端口速率：千兆，云管理交换机：不支持云管理，端口数量：8口，网管类型：非网管，下行接口类型：以太网交换机</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千兆路由器</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适用频段：</w:t>
            </w:r>
            <w:r>
              <w:rPr>
                <w:sz w:val="24"/>
                <w:color w:val="000000"/>
              </w:rPr>
              <w:t>2.4GHz+5GHz，WAN接入口：千兆网口，APP控制：支持APP控制，LAN口数量：≧4个，散热方式：自然散热，防火墙：支持防火墙，频段：双频，天线：外置天线，是否支持Mesh：支持Mesh，FEM：外置FEM，网口盲插：不支持网口盲插，WAN口类型：电口，频宽：160MHz，LAN输出口：千兆网口，LAN口类型：电口，双宽带接入：支持双宽带接入，机身材质：塑料，无线速率：</w:t>
            </w:r>
            <w:r>
              <w:rPr>
                <w:sz w:val="24"/>
                <w:color w:val="000000"/>
              </w:rPr>
              <w:t>≥</w:t>
            </w:r>
            <w:r>
              <w:rPr>
                <w:sz w:val="24"/>
                <w:color w:val="000000"/>
              </w:rPr>
              <w:t>3000M，总带机量：40-60终端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8G内存条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类型：</w:t>
            </w:r>
            <w:r>
              <w:rPr>
                <w:sz w:val="24"/>
                <w:color w:val="000000"/>
              </w:rPr>
              <w:t>288-Pin DDR4 UDIMM，型号：3200，DDR代数：DDR4，平台：台式机内存，外观特征：普条，总容量：8GB，内存频率：2400/2666MHz</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16G内存条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类型：</w:t>
            </w:r>
            <w:r>
              <w:rPr>
                <w:sz w:val="24"/>
                <w:color w:val="000000"/>
              </w:rPr>
              <w:t>288-Pin DDR4 UDIMM，型号：3200，DDR代数：DDR4，平台：台式机内存，外观特征：普条，总容量：16GB，内存频率：2400/2666MHz</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32G内存条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类型：</w:t>
            </w:r>
            <w:r>
              <w:rPr>
                <w:sz w:val="24"/>
                <w:color w:val="000000"/>
              </w:rPr>
              <w:t>288-Pin DDR4 UDIMM，型号：3200，DDR代数：DDR4，平台：台式机内存，外观特征：普条，总容量：32GB，内存频率：2400/2666MHz</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1TB</w:t>
            </w:r>
            <w:r>
              <w:rPr>
                <w:sz w:val="24"/>
                <w:color w:val="000000"/>
              </w:rPr>
              <w:t xml:space="preserve"> </w:t>
            </w:r>
            <w:r>
              <w:rPr>
                <w:sz w:val="24"/>
                <w:color w:val="000000"/>
              </w:rPr>
              <w:t>蓝盘</w:t>
            </w:r>
            <w:r>
              <w:rPr>
                <w:sz w:val="24"/>
                <w:color w:val="000000"/>
              </w:rPr>
              <w:t>保修两年</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适用类型</w:t>
            </w:r>
            <w:r>
              <w:rPr>
                <w:sz w:val="24"/>
                <w:color w:val="000000"/>
              </w:rPr>
              <w:t>:台式机</w:t>
            </w:r>
            <w:r>
              <w:rPr>
                <w:sz w:val="24"/>
                <w:color w:val="000000"/>
              </w:rPr>
              <w:t xml:space="preserve"> </w:t>
            </w:r>
            <w:r>
              <w:rPr>
                <w:sz w:val="24"/>
                <w:color w:val="000000"/>
              </w:rPr>
              <w:t>硬盘容量</w:t>
            </w:r>
            <w:r>
              <w:rPr>
                <w:sz w:val="24"/>
                <w:color w:val="000000"/>
              </w:rPr>
              <w:t>≥1000GB 单碟容量≥1000GB 缓存≥64MB转速≥7200rpm接口类型:SATA(串口硬盘)3.0 接口速率≥6GB/秒</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2T 蓝盘 保修两年</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适用类型</w:t>
            </w:r>
            <w:r>
              <w:rPr>
                <w:sz w:val="24"/>
                <w:color w:val="000000"/>
              </w:rPr>
              <w:t>:台式机</w:t>
            </w:r>
            <w:r>
              <w:rPr>
                <w:sz w:val="24"/>
                <w:color w:val="000000"/>
              </w:rPr>
              <w:t xml:space="preserve"> </w:t>
            </w:r>
            <w:r>
              <w:rPr>
                <w:sz w:val="24"/>
                <w:color w:val="000000"/>
              </w:rPr>
              <w:t>硬盘容量</w:t>
            </w:r>
            <w:r>
              <w:rPr>
                <w:sz w:val="24"/>
                <w:color w:val="000000"/>
              </w:rPr>
              <w:t>≥2000GB 单碟容量≥2000GB 缓存≥64MB转速≥7200rpm  接口类型:SATA(串口硬盘)3.0 接口速率≥6GB/秒</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500G固态硬盘</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顺序写入：</w:t>
            </w:r>
            <w:r>
              <w:rPr>
                <w:sz w:val="24"/>
                <w:color w:val="000000"/>
              </w:rPr>
              <w:t>510MB/s，缓存：无缓存，顺序读速：560MB/s，接口：SATA接口，容量：480-512GB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1TB固态硬盘</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缓存</w:t>
            </w:r>
            <w:r>
              <w:rPr>
                <w:sz w:val="24"/>
                <w:color w:val="000000"/>
              </w:rPr>
              <w:t>:无缓存，顺序读速：560MB/s，顺序写入：520MB/s，TBW：400TBW，接口：SATA接口，容量：1TB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2TB固态硬盘</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缓存</w:t>
            </w:r>
            <w:r>
              <w:rPr>
                <w:sz w:val="24"/>
                <w:color w:val="000000"/>
              </w:rPr>
              <w:t>:无缓存,顺序读速:560MB/s,顺序写入:520MB/s,TBW:500TBW,接口:SATA接口,容量:2TB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1TB 移动硬盘</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≥1000GB 接口 USB(串口总线标准)≥3.0接口,USB(串口总线标准)≥2.0接口</w:t>
            </w:r>
            <w:r>
              <w:rPr>
                <w:sz w:val="24"/>
                <w:color w:val="000000"/>
              </w:rPr>
              <w:t xml:space="preserve"> </w:t>
            </w:r>
            <w:r>
              <w:rPr>
                <w:sz w:val="24"/>
                <w:color w:val="000000"/>
              </w:rPr>
              <w:t>性能</w:t>
            </w:r>
            <w:r>
              <w:rPr>
                <w:sz w:val="24"/>
                <w:color w:val="000000"/>
              </w:rPr>
              <w:t>USB(串口总线标准)2.0≥480Mb/sUSB(串口总线标准)3.0≥5GB/s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2TB 移动硬盘</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≥2000GB 接口 USB(串口总线标准)≥3.0接口,USB(串口总线标准)≥2.0接口</w:t>
            </w:r>
            <w:r>
              <w:rPr>
                <w:sz w:val="24"/>
                <w:color w:val="000000"/>
              </w:rPr>
              <w:t xml:space="preserve"> </w:t>
            </w:r>
            <w:r>
              <w:rPr>
                <w:sz w:val="24"/>
                <w:color w:val="000000"/>
              </w:rPr>
              <w:t>性能</w:t>
            </w:r>
            <w:r>
              <w:rPr>
                <w:sz w:val="24"/>
                <w:color w:val="000000"/>
              </w:rPr>
              <w:t>USB(串口总线标准)≥2.0480Mb/sUSB(串口总线标准)3.0≥5GB/s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额定</w:t>
            </w:r>
            <w:r>
              <w:rPr>
                <w:sz w:val="24"/>
                <w:color w:val="000000"/>
              </w:rPr>
              <w:t>500W电源</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12V供电接口:≥2个,SATA接口数量:≥3个,6pin PCI-E接口:≥2个,8(6+2)PCI-E接口:≥2个,风扇:≥12cm,主电源接口:20+4 pin,额定功率:≥500W,转换效率(PPLP):金牌,风扇启停:支持风扇启停,接线类型:全模组化,转换效率(80PLUS):金牌（90%）,电源功率:301-500W,电源尺寸:标准电源（ATX）</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1A1A1A"/>
              </w:rPr>
              <w:t>额定</w:t>
            </w:r>
            <w:r>
              <w:rPr>
                <w:sz w:val="24"/>
                <w:color w:val="1A1A1A"/>
              </w:rPr>
              <w:t>600W电源</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12V供电接口:≥2个,SATA接口数量:≥3个,6pin PCI-E接口:≥2个,8(6+2)PCI-E接口:≥2个,风扇:≥12cm,主电源接口:20+4 pin,额定功率:≥600W,转换效率(PPLP):金牌,风扇启停:支持风扇启停,接线类型:全模组化,转换效率(80PLUS):金牌（90%）,电源功率:301-500W,电源尺寸:标准电源</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核心频率</w:t>
            </w:r>
            <w:r>
              <w:rPr>
                <w:sz w:val="24"/>
                <w:color w:val="000000"/>
              </w:rPr>
              <w:t>:≥1200MHz,是否外接供电:非外接供电,电源接口:无,显存频率:≥1800MHz,建议电源:75W,显卡长度:≥18cm,显存位宽:64bit,显存类型:GDDR3,芯片组:NVIDIA,接口:DVI VGA,散热风扇:单风扇,显存容量:≥4GB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核心频率：其他，是否支持显卡交火：不支持显卡交火，风扇调速：不支持调速，是否外接供电：非外接供电，电源接口：其他，建议电源：</w:t>
            </w:r>
            <w:r>
              <w:rPr>
                <w:sz w:val="24"/>
                <w:color w:val="000000"/>
              </w:rPr>
              <w:t>550W以上，产品尺寸：约长255mm 宽130mm 高41.3mm，显卡长度：≥25.5cm，显存类型：GDDR6，接口类型：PCIe 3.0，灯效：无光，芯片组：NVIDIA，显存位宽：96bit，散热风扇：双风扇，接口：HDMI DP，显存容量：≥8GB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电脑主板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PCI Express x8：0个，平台类型：Intel平台，DDR代数：DDR4，内存插槽数量：2个，内存频率：5200/5333MHZ，M.2接口数量：2个，最大网络速度：2500M，板载Wi-Fi：支持，板型：M-ATX（紧凑型），SSD固态硬盘接口：M.2接口(NVMe协议) SATA接口，AMD芯片：不支持，INTEL芯片：B760，支持PCIe协议：支持PCIE4.0，适用CPU接口：INTEL LGA1700，PCI Express x8：0个</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电脑主板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PCI Express x4：0个，PCI Express x16：3个，PCI Express x1：2个，PCI Express x8：0个，内存频率：7600MHz，内存容量：192GB，内存插槽数量：≥4个，DDR代数：DDR5,SATA接口数量:5-8,M.2接口数量:≥3个,平台类型:Intel平台,电源接口:24+16,最大网络速度:2500M,板载Wi-Fi:不支持,板型：ATX（标准型）.RGB.RGB，支持PCIe协议：支持PCIE5.0，AMD芯片：不支持，Wi-Fi连接：不支持Wi-Fi连接，SSD固态硬盘接口：SATA接口 M.2接口(NVMe协议)，INTEL芯片：Z790，适用CPU接口：INTEL LGA1700，PCI Express x8：0个</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CPU</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主频：</w:t>
            </w:r>
            <w:r>
              <w:rPr>
                <w:sz w:val="24"/>
                <w:color w:val="000000"/>
              </w:rPr>
              <w:t>2.8GHz，功率：≥65W，三级缓存：24MB，核心数：10核，处理器：intel，线程数量：16线程，接口：INTEL LGA1700，系列：酷睿i5，代系：Intel 14代，是否支持核显：不支持核显</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CPU</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加速频率：</w:t>
            </w:r>
            <w:r>
              <w:rPr>
                <w:sz w:val="24"/>
                <w:color w:val="000000"/>
              </w:rPr>
              <w:t>5.6GHz，二级缓存：28MB，功率：125W，三级缓存：33MB，主频：2.5GHz，是否支持核显：不支持核显，核心数：20核，处理器：intel，代系：Intel 14代，接口：INTEL LGA1700，系列：酷睿i7，线程数量：28线程</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DVD工包</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采用</w:t>
            </w:r>
            <w:r>
              <w:rPr>
                <w:sz w:val="24"/>
                <w:color w:val="000000"/>
              </w:rPr>
              <w:t>SATA(串口硬盘)接口 传输速率 ≥24X150kb/S=3600kb/S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DVD刻录机</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采用</w:t>
            </w:r>
            <w:r>
              <w:rPr>
                <w:sz w:val="24"/>
                <w:color w:val="000000"/>
              </w:rPr>
              <w:t>SATA(串口硬盘)接口 传输速率 ≥24X150kb/S=3600kb/S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外置</w:t>
            </w:r>
            <w:r>
              <w:rPr>
                <w:sz w:val="24"/>
                <w:color w:val="000000"/>
              </w:rPr>
              <w:t>DVD</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光驱类型参数</w:t>
            </w:r>
            <w:r>
              <w:rPr>
                <w:sz w:val="24"/>
                <w:color w:val="000000"/>
              </w:rPr>
              <w:t>: DVD 刻录机光驱 采用接口类型: USB(串口总线标准)≥2.0 放入光盘后的加载方式类型:托盘式加载 文件读取速度范围(最低到最高): 4*-24* 产品具备颜色类型:白色及黑色 光驱主体 外置光驱</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1A1A1A"/>
              </w:rPr>
              <w:t>电脑迷你音响</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1A1A1A"/>
              </w:rPr>
              <w:t>类别</w:t>
            </w:r>
            <w:r>
              <w:rPr>
                <w:sz w:val="24"/>
                <w:color w:val="1A1A1A"/>
              </w:rPr>
              <w:t>:电脑音箱,外置存储设备读取:不支持，自带滑轮：无，搭载AI大模型：其他，是否支持通话：不支持，语音交互：不支持，内置电池：无</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吸顶音箱</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设备类型</w:t>
            </w:r>
            <w:r>
              <w:rPr>
                <w:sz w:val="24"/>
                <w:color w:val="000000"/>
              </w:rPr>
              <w:t>音频会议系统</w:t>
            </w:r>
            <w:r>
              <w:rPr>
                <w:sz w:val="24"/>
                <w:color w:val="000000"/>
              </w:rPr>
              <w:t>灵敏度</w:t>
            </w:r>
            <w:r>
              <w:rPr>
                <w:sz w:val="24"/>
                <w:color w:val="000000"/>
              </w:rPr>
              <w:t>93±3DB频率响应 100Hz-15KHz 其它功能</w:t>
            </w:r>
            <w:r>
              <w:rPr>
                <w:sz w:val="24"/>
                <w:color w:val="000000"/>
              </w:rPr>
              <w:t xml:space="preserve"> </w:t>
            </w:r>
            <w:r>
              <w:rPr>
                <w:sz w:val="24"/>
                <w:color w:val="000000"/>
              </w:rPr>
              <w:t>功耗</w:t>
            </w:r>
            <w:r>
              <w:rPr>
                <w:sz w:val="24"/>
                <w:color w:val="000000"/>
              </w:rPr>
              <w:t>≥10W</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USB鼠标</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最高分辨率</w:t>
            </w:r>
            <w:r>
              <w:rPr>
                <w:sz w:val="24"/>
                <w:color w:val="000000"/>
              </w:rPr>
              <w:t>≥1000dpi按键数≥3个滚轮方向:双向滚轮连接方式:有线 工作方式:光电</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USB键盘</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连接方式：有线；</w:t>
            </w:r>
            <w:r>
              <w:rPr>
                <w:sz w:val="24"/>
                <w:color w:val="000000"/>
              </w:rPr>
              <w:t>键盘接口：</w:t>
            </w:r>
            <w:r>
              <w:rPr>
                <w:sz w:val="24"/>
                <w:color w:val="000000"/>
              </w:rPr>
              <w:t>USB(串口总线标准)； 按键数： 104键 人体工学</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键鼠套装</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类型：</w:t>
            </w:r>
            <w:r>
              <w:rPr>
                <w:sz w:val="24"/>
                <w:color w:val="000000"/>
              </w:rPr>
              <w:t>键鼠套装；</w:t>
            </w:r>
            <w:r>
              <w:rPr>
                <w:sz w:val="24"/>
                <w:color w:val="000000"/>
              </w:rPr>
              <w:t>传输方式：有线；</w:t>
            </w:r>
            <w:r>
              <w:rPr>
                <w:sz w:val="24"/>
                <w:color w:val="000000"/>
              </w:rPr>
              <w:t>接口：</w:t>
            </w:r>
            <w:r>
              <w:rPr>
                <w:sz w:val="24"/>
                <w:color w:val="000000"/>
              </w:rPr>
              <w:t>USB(串口总线标准)</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16G /高速卡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容量</w:t>
            </w:r>
            <w:r>
              <w:rPr>
                <w:sz w:val="24"/>
                <w:color w:val="000000"/>
              </w:rPr>
              <w:t>≥16GB 速度等级 CLASS 6 数据读取速度≥30MB/s 支持SDHC 6类可兼容主机设备 附赠高速USB(串口总线标准)≥ 2.0 MobileMate Micro Reader,无需其它存储卡转接器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32G /高速卡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容量</w:t>
            </w:r>
            <w:r>
              <w:rPr>
                <w:sz w:val="24"/>
                <w:color w:val="000000"/>
              </w:rPr>
              <w:t>≥32GB 速度等级 UHS-I 数据读取速度≥30MB/s支持SDHC 6类可兼容主机设备 附赠高速USB(串口总线标准)≥ 2.0 MobileMate Micro Reader,无需其它存储卡转接器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64G /高速卡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容量</w:t>
            </w:r>
            <w:r>
              <w:rPr>
                <w:sz w:val="24"/>
                <w:color w:val="000000"/>
              </w:rPr>
              <w:t>≥64GB 速度等级 CLASS 6 数据读取速度≥30MB/s 支持SDHC 6类可兼容主机设备 附赠高速USB(串口总线标准)≥ 2.0 MobileMate Micro Reader,无需其它存储卡转接器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128G /高速卡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容量</w:t>
            </w:r>
            <w:r>
              <w:rPr>
                <w:sz w:val="24"/>
                <w:color w:val="000000"/>
              </w:rPr>
              <w:t>≥128GB 速度等级 CLASS 6 数据读取速度≥30MB/s 支持SDHC 6类可兼容主机设备 附赠高速USB(串口总线标准)≥2.0 MobileMate Micro Reader,无需其它存储卡转接器</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U盘 16G 小巧 金属</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≥16GB 系统要求 Windows 7，Vista，XP和Mac操作系统外形设计 采用时尚的金属外壳设计，并带有一个大环孔，携带方便。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U盘 32G 小巧 金属</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≥32GB 系统要求 Windows 7，Vista，XP和Mac操作系统外形设计 采用时尚的金属外壳设计，并带有一个大环孔，携带方便。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U盘 16G</w:t>
            </w:r>
            <w:r>
              <w:rPr>
                <w:sz w:val="24"/>
                <w:color w:val="000000"/>
              </w:rPr>
              <w:t xml:space="preserve"> </w:t>
            </w:r>
            <w:r>
              <w:rPr>
                <w:sz w:val="24"/>
                <w:color w:val="000000"/>
              </w:rPr>
              <w:t>USB3.0</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≥16GB 接口类型 USB(串口总线标准)≥3.0 数据传输率 读出:≥100MB/s，写入:≥10MB/s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U盘 32G</w:t>
            </w:r>
            <w:r>
              <w:rPr>
                <w:sz w:val="24"/>
                <w:color w:val="000000"/>
              </w:rPr>
              <w:t xml:space="preserve"> </w:t>
            </w:r>
            <w:r>
              <w:rPr>
                <w:sz w:val="24"/>
                <w:color w:val="000000"/>
              </w:rPr>
              <w:t>USB3.0</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≥32GB 接口类型 USB(串口总线标准)≥3.0 数据传输率 读出:≥100MB/s，写入:≥10MB/s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U盘 64G</w:t>
            </w:r>
            <w:r>
              <w:rPr>
                <w:sz w:val="24"/>
                <w:color w:val="000000"/>
              </w:rPr>
              <w:t xml:space="preserve"> </w:t>
            </w:r>
            <w:r>
              <w:rPr>
                <w:sz w:val="24"/>
                <w:color w:val="000000"/>
              </w:rPr>
              <w:t>USB3.0</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存储容量</w:t>
            </w:r>
            <w:r>
              <w:rPr>
                <w:sz w:val="24"/>
                <w:color w:val="000000"/>
              </w:rPr>
              <w:t>≥64GB 接口类型 USB(串口总线标准)≥3.0 数据传输率 读出:≥100MB/s，写入:≥10MB/s</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DVD-R光碟</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光盘类型</w:t>
            </w:r>
            <w:r>
              <w:rPr>
                <w:sz w:val="24"/>
                <w:color w:val="000000"/>
              </w:rPr>
              <w:t>:DVD-R 容量≥4.7GB 记录时间≥120Min 记录速度≥16X</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DVD-RW光碟</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光盘类型</w:t>
            </w:r>
            <w:r>
              <w:rPr>
                <w:sz w:val="24"/>
                <w:color w:val="000000"/>
              </w:rPr>
              <w:t>:DVD-RW 容量≥4.7GB 记录时间≥120Min 记录速度≥16X</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CD光碟</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光盘类型</w:t>
            </w:r>
            <w:r>
              <w:rPr>
                <w:sz w:val="24"/>
                <w:color w:val="000000"/>
              </w:rPr>
              <w:t>:CD 容量≥4.7GB 记录时间≥120Min 记录速度≥16X</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打印线</w:t>
            </w:r>
            <w:r>
              <w:rPr>
                <w:sz w:val="24"/>
                <w:color w:val="000000"/>
              </w:rPr>
              <w:t>1.5M</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线芯</w:t>
            </w:r>
            <w:r>
              <w:rPr>
                <w:sz w:val="24"/>
                <w:color w:val="000000"/>
              </w:rPr>
              <w:t>:纯铜 屏蔽:双层屏蔽</w:t>
            </w:r>
            <w:r>
              <w:rPr>
                <w:sz w:val="24"/>
                <w:color w:val="000000"/>
              </w:rPr>
              <w:t xml:space="preserve"> </w:t>
            </w:r>
            <w:r>
              <w:rPr>
                <w:sz w:val="24"/>
                <w:color w:val="000000"/>
              </w:rPr>
              <w:t>标准</w:t>
            </w:r>
            <w:r>
              <w:rPr>
                <w:sz w:val="24"/>
                <w:color w:val="000000"/>
              </w:rPr>
              <w:t>USB(串口总线标准)≥2.0插头,传输速度≥480mbps/秒 镀锡无氧纯铜抗氧化线芯 铝箔,编织网双层屏蔽 对绞信号线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打印线</w:t>
            </w:r>
            <w:r>
              <w:rPr>
                <w:sz w:val="24"/>
                <w:color w:val="000000"/>
              </w:rPr>
              <w:t>3M</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线芯</w:t>
            </w:r>
            <w:r>
              <w:rPr>
                <w:sz w:val="24"/>
                <w:color w:val="000000"/>
              </w:rPr>
              <w:t>:纯铜 屏蔽:双层屏蔽</w:t>
            </w:r>
            <w:r>
              <w:rPr>
                <w:sz w:val="24"/>
                <w:color w:val="000000"/>
              </w:rPr>
              <w:t xml:space="preserve"> </w:t>
            </w:r>
            <w:r>
              <w:rPr>
                <w:sz w:val="24"/>
                <w:color w:val="000000"/>
              </w:rPr>
              <w:t>标准</w:t>
            </w:r>
            <w:r>
              <w:rPr>
                <w:sz w:val="24"/>
                <w:color w:val="000000"/>
              </w:rPr>
              <w:t>USB(串口总线标准)≥2.0插头,传输速度≥480mbps/秒 镀锡无氧纯铜抗氧化线芯 铝箔,编织网双层屏蔽 对绞信号线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打印线</w:t>
            </w:r>
            <w:r>
              <w:rPr>
                <w:sz w:val="24"/>
                <w:color w:val="000000"/>
              </w:rPr>
              <w:t>5M</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线芯</w:t>
            </w:r>
            <w:r>
              <w:rPr>
                <w:sz w:val="24"/>
                <w:color w:val="000000"/>
              </w:rPr>
              <w:t>:纯铜 屏蔽:双层屏蔽</w:t>
            </w:r>
            <w:r>
              <w:rPr>
                <w:sz w:val="24"/>
                <w:color w:val="000000"/>
              </w:rPr>
              <w:t xml:space="preserve"> </w:t>
            </w:r>
            <w:r>
              <w:rPr>
                <w:sz w:val="24"/>
                <w:color w:val="000000"/>
              </w:rPr>
              <w:t>标准</w:t>
            </w:r>
            <w:r>
              <w:rPr>
                <w:sz w:val="24"/>
                <w:color w:val="000000"/>
              </w:rPr>
              <w:t>USB(串口总线标准)≥2.0插头,传输速度≥480mbps/秒 镀锡无氧纯铜抗氧化线芯 铝箔,编织网双层屏蔽 对绞信号线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光纤跳线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波长</w:t>
            </w:r>
            <w:r>
              <w:rPr>
                <w:sz w:val="24"/>
                <w:color w:val="000000"/>
              </w:rPr>
              <w:t>:1310-1550nm 纤芯数量:2 损耗:＜1dbB 工作温度:-40℃～+85℃</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USB延长线1.5M</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线芯</w:t>
            </w:r>
            <w:r>
              <w:rPr>
                <w:sz w:val="24"/>
                <w:color w:val="000000"/>
              </w:rPr>
              <w:t>:纯铜屏蔽:双层屏蔽</w:t>
            </w:r>
            <w:r>
              <w:rPr>
                <w:sz w:val="24"/>
                <w:color w:val="000000"/>
              </w:rPr>
              <w:t xml:space="preserve"> </w:t>
            </w:r>
            <w:r>
              <w:rPr>
                <w:sz w:val="24"/>
                <w:color w:val="000000"/>
              </w:rPr>
              <w:t>标准</w:t>
            </w:r>
            <w:r>
              <w:rPr>
                <w:sz w:val="24"/>
                <w:color w:val="000000"/>
              </w:rPr>
              <w:t>USB(串口总线标准)≥2.0插头,传输速度≥480mbps/秒 镀锡无氧纯铜抗氧化线芯铝箔,编织网双层屏蔽 对绞信号线纠错</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USB延长线3M</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线芯</w:t>
            </w:r>
            <w:r>
              <w:rPr>
                <w:sz w:val="24"/>
                <w:color w:val="000000"/>
              </w:rPr>
              <w:t>:纯铜屏蔽:双层屏蔽 端子:镀金 主要性能 80P超软环保胶料外被 标准USB(串口总线标准)≥2.0插头,传输速度≥480mbps/秒 镀锡无氧纯铜抗氧化线芯铝箔,编织网双层屏蔽 对绞信号线纠错</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转换线</w:t>
            </w:r>
            <w:r>
              <w:rPr>
                <w:sz w:val="24"/>
                <w:color w:val="000000"/>
              </w:rPr>
              <w:t>3并3</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接口类型</w:t>
            </w:r>
            <w:r>
              <w:rPr>
                <w:sz w:val="24"/>
                <w:color w:val="000000"/>
              </w:rPr>
              <w:t>USB(串口总线标准) 转换器类型 切换/分配器 连接线 VGA(视频图形阵列,)线 适用设备 KVM设备 多媒体设备 线材材质 铜</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HDMI1.5米高清线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w:t>
            </w:r>
            <w:r>
              <w:rPr>
                <w:sz w:val="24"/>
                <w:color w:val="000000"/>
              </w:rPr>
              <w:t>HDMI，连接线：HDMI线，转换器：其他，类别：视频线，屏蔽类型：其他，外被性能：常规pvc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HDMI3米高清线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w:t>
            </w:r>
            <w:r>
              <w:rPr>
                <w:sz w:val="24"/>
                <w:color w:val="000000"/>
              </w:rPr>
              <w:t>HDMI，连接线：HDMI线，转换器：其他，类别：视频线，屏蔽类型：其他，外被性能：常规pvc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HDMI5米高清线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w:t>
            </w:r>
            <w:r>
              <w:rPr>
                <w:sz w:val="24"/>
                <w:color w:val="000000"/>
              </w:rPr>
              <w:t>HDMI，连接线：HDMI线，转换器：其他，类别：视频线，屏蔽类型：其他，外被性能：常规pvc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HDMI10米高清线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w:t>
            </w:r>
            <w:r>
              <w:rPr>
                <w:sz w:val="24"/>
                <w:color w:val="000000"/>
              </w:rPr>
              <w:t>HDMI，连接线：HDMI线，转换器：其他，类别：视频线，屏蔽类型：其他，外被性能：常规pvc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HDMI15米高清线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w:t>
            </w:r>
            <w:r>
              <w:rPr>
                <w:sz w:val="24"/>
                <w:color w:val="000000"/>
              </w:rPr>
              <w:t>HDMI，连接线：HDMI线，转换器：其他，类别：视频线，屏蔽类型：其他，外被性能：常规pvc</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五类线（含拉线人工费）</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产品适用</w:t>
            </w:r>
            <w:r>
              <w:rPr>
                <w:sz w:val="24"/>
                <w:color w:val="000000"/>
              </w:rPr>
              <w:t>布线网络</w:t>
            </w:r>
            <w:r>
              <w:rPr>
                <w:sz w:val="24"/>
                <w:color w:val="000000"/>
              </w:rPr>
              <w:t>传输速率</w:t>
            </w:r>
            <w:r>
              <w:rPr>
                <w:sz w:val="24"/>
                <w:color w:val="000000"/>
              </w:rPr>
              <w:t>≥1000Mbps 包装长度≥305米</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六类线（含拉线人工费）</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产品适用</w:t>
            </w:r>
            <w:r>
              <w:rPr>
                <w:sz w:val="24"/>
                <w:color w:val="000000"/>
              </w:rPr>
              <w:t>综合布线系统</w:t>
            </w:r>
            <w:r>
              <w:rPr>
                <w:sz w:val="24"/>
                <w:color w:val="000000"/>
              </w:rPr>
              <w:t>传输速率</w:t>
            </w:r>
            <w:r>
              <w:rPr>
                <w:sz w:val="24"/>
                <w:color w:val="000000"/>
              </w:rPr>
              <w:t>≥1000Mbps 包装长度≥305米</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24口配线架</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类型：配线架，类别：综合布线</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切换器</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输入接口</w:t>
            </w:r>
            <w:r>
              <w:rPr>
                <w:sz w:val="24"/>
                <w:color w:val="000000"/>
              </w:rPr>
              <w:t>PS/2，USB(串口总线标准) 切换方式 OSD菜单，热键，按钮 其他性能 显示屏类型:XGA TFT 色彩显示≥16.7M 亮度≥300cd/m2(Typ) 对比度≥500:1(Typ) 背光灯:CCFL 4灯型 LCD MTBF:&gt;50,000小时 按键设计:99键(82键主键盘+17键独立数字键盘)</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功放</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额定输出</w:t>
            </w:r>
            <w:r>
              <w:rPr>
                <w:sz w:val="24"/>
                <w:color w:val="000000"/>
              </w:rPr>
              <w:t>≥60W 输入灵敏度≥LINE: 300mv MIC 3mv 信噪比≥LINE &gt;70dB MIC &gt;66dB 频响≥80Hz-16KHz ±3dB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功放</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额定输出</w:t>
            </w:r>
            <w:r>
              <w:rPr>
                <w:sz w:val="24"/>
                <w:color w:val="000000"/>
              </w:rPr>
              <w:t>≥100W 输入灵敏度≥LINE: 300mv MIC 3mv 信噪比≥LINE &gt;70dB MIC &gt;66dB 频响≥80Hz-16KHz ±3dB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窗口对讲机</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主机扬声器阻抗功率</w:t>
            </w:r>
            <w:r>
              <w:rPr>
                <w:sz w:val="24"/>
                <w:color w:val="000000"/>
              </w:rPr>
              <w:t>:8Ω,2W 分机扬声器阻抗功率:8Ω,1.2W 主机咪头灵敏度:-51±2db 分机咪头灵敏度:-44±2db 工作温度:-20℃～+60℃ 工作湿度:10%～90%</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麦克风</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收音头</w:t>
            </w:r>
            <w:r>
              <w:rPr>
                <w:sz w:val="24"/>
                <w:color w:val="000000"/>
              </w:rPr>
              <w:t>永久极性电容收音头</w:t>
            </w:r>
            <w:r>
              <w:rPr>
                <w:sz w:val="24"/>
                <w:color w:val="000000"/>
              </w:rPr>
              <w:t>,固定式充电背板灵敏度 频率范围 80-12000Hz 产品声道 立体声</w:t>
            </w:r>
            <w:r>
              <w:rPr>
                <w:sz w:val="24"/>
                <w:color w:val="000000"/>
              </w:rPr>
              <w:t xml:space="preserve"> </w:t>
            </w:r>
            <w:r>
              <w:rPr>
                <w:sz w:val="24"/>
                <w:color w:val="000000"/>
              </w:rPr>
              <w:t>产品阻抗</w:t>
            </w:r>
            <w:r>
              <w:rPr>
                <w:sz w:val="24"/>
                <w:color w:val="000000"/>
              </w:rPr>
              <w:t>≦200欧姆 信噪比≦63dB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手写板</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笔尖压感级数</w:t>
            </w:r>
            <w:r>
              <w:rPr>
                <w:sz w:val="24"/>
                <w:color w:val="000000"/>
              </w:rPr>
              <w:t>:无压感感应方式:</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麦克风</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频率范围</w:t>
            </w:r>
            <w:r>
              <w:rPr>
                <w:sz w:val="24"/>
                <w:color w:val="000000"/>
              </w:rPr>
              <w:t>100-10000Hz 产品声压≥130dB</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扫描枪</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扫描速度</w:t>
            </w:r>
            <w:r>
              <w:rPr>
                <w:sz w:val="24"/>
                <w:color w:val="000000"/>
              </w:rPr>
              <w:t>≥200次/分钟 扫描方式 便携式 光源类型 激光 读取仰角≥45度 解码能力 EAN-8 提示方式 蜂鸣器 解码类型 二维</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USB网卡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供电方式</w:t>
            </w:r>
            <w:r>
              <w:rPr>
                <w:sz w:val="24"/>
                <w:color w:val="000000"/>
              </w:rPr>
              <w:t>Micro USB(串口总线标准) 支持操作系统 Mac OS，Win 8/10 接口类型 网卡接口，USB(串口总线标准)接口，Micro USB(串口总线标准)供电口 其他性能 线长≥0.15m 网口速率≥1000Mpbs USB(串口总线标准)接口≥3.0</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多功能读卡器</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支持</w:t>
            </w:r>
            <w:r>
              <w:rPr>
                <w:sz w:val="24"/>
                <w:color w:val="000000"/>
              </w:rPr>
              <w:t>ISO/IEC 7816-1/2/3 标准 cpu(中央处理器) 卡，T=0、T=1、逻辑加密卡及memory卡，社保卡、医保卡等 支持 Mifare 卡和符合标准的 A 类和 B 类卡， 通速率最高支持≥424 Kbps 支持身份证卡片 支持≥4个 PSAM 卡安全模块、支持高速 PSAM 卡安全交易认证，符合标准， 安装方便，可靠性高，适合联机使用 全速 USB(串口总线标准) 接口, RS232，以太网等 人机界面:一个指示灯，指示电源和操作状态</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USB脚踏开关单脚</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:金属 接口类型:USB(串口总线标准) 长度≥3米</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刷卡器</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支持</w:t>
            </w:r>
            <w:r>
              <w:rPr>
                <w:sz w:val="24"/>
                <w:color w:val="000000"/>
              </w:rPr>
              <w:t>VC/DELPHI/VB/PB等开发平台,居民身份证阅读距离≥5cm,无盲区/从读卡到显示信息的时间≤1秒/读卡后自动蜂鸣提示/USB(串口总线标准),RS232C两种通讯方式/USB(串口总线标准)接口取电</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USB手拍开关</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B超工作站采集手柄 软件名称 医疗 版本语言 简体中文版 软件类型 医疗软件 系统平台要求 支持所有系统 系统硬件要求 无要求</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USB一分四</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类型</w:t>
            </w:r>
            <w:r>
              <w:rPr>
                <w:sz w:val="24"/>
                <w:color w:val="000000"/>
              </w:rPr>
              <w:t>集线器</w:t>
            </w:r>
            <w:r>
              <w:rPr>
                <w:sz w:val="24"/>
                <w:color w:val="000000"/>
              </w:rPr>
              <w:t>输入接口</w:t>
            </w:r>
            <w:r>
              <w:rPr>
                <w:sz w:val="24"/>
                <w:color w:val="000000"/>
              </w:rPr>
              <w:t>USB(串口总线标准) 输出接口 USB(串口总线标准) 支持所有系统</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身份证阅读器</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cpu(中央处理器)≥24M 8bit(比特)高性能处理器 存储器≥64KB片载Flash，≥4KB片载RAM 非接触卡 支付符合Type A和Type B规范的非接触卡 二代证安全模块 内置二代证读卡器安全模块，由公安部认证许可，符合中国第二代身份证阅读设备标准；读卡距离≥5CM、读卡速度≤1.5秒 (选配) 主机接口≥1路HID USB(串口总线标准) DEVICE≥2.0 或≥1路RS232 PSAM卡座≥2路标准PSAM卡座 (选配) 蜂鸣器 300-2300Hz 电源 DC 5V (通过USB(串口总线标准)接口供电) 功耗≥1.5W 无故障工作时间 ≥5000小时 环境适应性 工作温度 0℃～50℃ 相对湿度 10%～95% 大气压力 86～106 kpa 环境噪声≤60 dB(A)</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网络时钟</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标准计时精度</w:t>
            </w:r>
            <w:r>
              <w:rPr>
                <w:sz w:val="24"/>
                <w:color w:val="000000"/>
              </w:rPr>
              <w:t>±1微秒／年、自身计时精度±0.001秒／天、信号传输距离≤1200米、天线:具备避雷装置、输出网口数量≥1路、供电电源：交流电220V±20% 50Hz、MTBF ≥8万小时、42数显式子钟主要技术指标 工作电压 交流电220V±20%，50Hz、自身计时精度±0.3秒/天、MTBF≥8万小时、网口数量≥1路</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数据采集器</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内存容量</w:t>
            </w:r>
            <w:r>
              <w:rPr>
                <w:sz w:val="24"/>
                <w:color w:val="000000"/>
              </w:rPr>
              <w:t>≥512KB、扫描介质:纸质分辨率≥600dpi、传输方式:无线、电池容量:≥1000mAh、解码类型:激光</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图像采集卡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输入可为标准或非标准视频信号，可以是</w:t>
            </w:r>
            <w:r>
              <w:rPr>
                <w:sz w:val="24"/>
                <w:color w:val="000000"/>
              </w:rPr>
              <w:t>RGB分量式视频信号，也可是单路黑白视频号 R2000A可实时采集。三路高速≥8位A/D。</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机柜</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:铝</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外置显卡</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连接线</w:t>
            </w:r>
            <w:r>
              <w:rPr>
                <w:sz w:val="24"/>
                <w:color w:val="000000"/>
              </w:rPr>
              <w:t>:HDMI(高清多媒体接口)、线转换器:USB(串口总线标准)转HDMI(高清多媒体接口)、线长≦1.8米</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50*30条码纸</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:不干胶、定制规格:50*30mm</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70*40条码纸</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:不干胶、定制规格:70*40mm</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80*80热敏纸</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:热敏纸、定制规格:80*80mm</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105*60条码纸</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:不干胶、定制规格:105*60mm</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80*55条码纸</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材质</w:t>
            </w:r>
            <w:r>
              <w:rPr>
                <w:sz w:val="24"/>
                <w:color w:val="000000"/>
              </w:rPr>
              <w:t>:不干胶、定制规格:80*55mm</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A4相片纸</w:t>
            </w:r>
          </w:p>
        </w:tc>
        <w:tc>
          <w:tcPr>
            <w:tcW w:type="dxa" w:w="7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介质类型</w:t>
            </w:r>
            <w:r>
              <w:rPr>
                <w:sz w:val="24"/>
                <w:color w:val="000000"/>
              </w:rPr>
              <w:t>:相片纸/喷墨纸、适用机型：喷墨打印</w:t>
            </w:r>
            <w:r>
              <w:rPr>
                <w:sz w:val="24"/>
                <w:color w:val="000000"/>
              </w:rPr>
              <w:t>机、幅面参数：A4</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bl>
    <w:p>
      <w:pPr>
        <w:pStyle w:val="null3"/>
      </w:pPr>
      <w:r>
        <w:rPr>
          <w:sz w:val="24"/>
        </w:rPr>
        <w:t>注：</w:t>
      </w:r>
    </w:p>
    <w:p>
      <w:pPr>
        <w:pStyle w:val="null3"/>
        <w:ind w:firstLine="480"/>
        <w:jc w:val="left"/>
      </w:pPr>
      <w:r>
        <w:rPr>
          <w:sz w:val="24"/>
        </w:rPr>
        <w:t>（1）本项目不属于一次性完成供货，实际供货量应按每次采购人下达的供货清单为准。采购人不保证以上货物的供货量，响应供应商应理解并承担其可能带来的风险。</w:t>
      </w:r>
    </w:p>
    <w:p>
      <w:pPr>
        <w:pStyle w:val="null3"/>
        <w:ind w:firstLine="480"/>
        <w:jc w:val="left"/>
      </w:pPr>
      <w:r>
        <w:rPr>
          <w:sz w:val="24"/>
        </w:rPr>
        <w:t>（2）实际品牌规格数量等内容以具体下单为准。</w:t>
      </w:r>
    </w:p>
    <w:p>
      <w:pPr>
        <w:pStyle w:val="null3"/>
        <w:jc w:val="both"/>
      </w:pPr>
      <w:r>
        <w:rPr>
          <w:sz w:val="24"/>
        </w:rPr>
        <w:t xml:space="preserve">      （3）本项目要求中所出现的货物、工艺、材料或参照的型号等仅为方便描述而没有限制性，响应供应商可以在其提供的文件资料中选用替代标准，但这些替代标准必须优于或相当于本采购项目内容的标准。</w:t>
      </w:r>
    </w:p>
    <w:p>
      <w:pPr>
        <w:pStyle w:val="null3"/>
      </w:pPr>
      <w:r>
        <w:rPr>
          <w:sz w:val="24"/>
        </w:rPr>
        <w:t xml:space="preserve">   </w:t>
      </w:r>
      <w:r>
        <w:rPr>
          <w:sz w:val="21"/>
        </w:rPr>
        <w:t xml:space="preserve">  </w:t>
      </w:r>
      <w:r>
        <w:rPr>
          <w:sz w:val="24"/>
        </w:rPr>
        <w:t xml:space="preserve">  3.为使项目按质、按量、按时及有序实施，响应供应商应建立完善、稳定的项目团队、内部组织管理方式及管理机构、协调机制、技术基础，支撑保障要求及其他相关要求。在项目日常管理和条件保障方面，从各方面创造良好的服务环境，确保项目的顺利实施。针对本项目服务内容制定有效的项目实施方案（包括但不限于项目实施计划、项目安装调试、服务保障措施等）、售后服务方案、质量保障方案、应急方案。</w:t>
      </w:r>
    </w:p>
    <w:p>
      <w:pPr>
        <w:pStyle w:val="null3"/>
      </w:pPr>
      <w:r>
        <w:rPr/>
        <w:t>采购包1（电脑配件及办公设备类采购服务项目）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自合同签订之日起2年或累计达到采购预算金额后自动终止，以先到者为准。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1期：支付比例100%,自合同签订后，分24个月支付，乙方完成月服务后，经甲方验收合格，乙方开发票，甲方收到相关发票后30个工作日内支付合同总价内的实际供货款项。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甲乙双方共同参加下进行。2、采购人工作人员按国家有关规定、规范进行验收，验收时将会邀请相关的专业人员或机构参与验收。因货物质量问题发生争议时，由本地质量技术监督部门鉴定。货物符合质量技术标准的，鉴定费由采购人承担；否则鉴定费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报价采用折扣率的报价方式，响应供应商根据采购清单中的单价最高限价报出统一折扣率，不得高于本次采购预算价及单价最高限价，否则作无效响应处理。结算价格=单价最高限价×折扣率×实际使用数量。 1.2响应供应商若中标，在履行合同期间内中标单价不可改变，供货时按采购人实际需求的品种数量进行供货及办理结算手续。 1.3报价包括响应供应商参与本项目的所有费用（包括但不限于本项目服务过程的运输费用、装卸费用、版权专利费、人员工资、社保、保险、福利、管理费、风险费、税费、利润等）。上述费用不管是否在响应供应商报价书中单列，均视为报价中已包含该费用。 1.4在评审中出现下列情形之一的，磋商小组应当启动异常低价投标审查程序：（1）投标（响应）报价低于全部通过符合性审查响应供应商投标（响应）报价平均值50%的，即投标（响应）报价&lt;全部通过符合性审查响应供应商投标（响应）报价平均值×50%。（2）投标（响应）报价低于通过符合性审查的次低报价响应供应商投标（响应）报价50%的，即投标（响应）报价&lt;通过符合性审查的次低报价响应供应商投标（响应）报价×50%。（3）投标（响应）报价低于最高限价45%的，即投标（响应）报价&lt;最高限价×45%。（4）评标委员会认为响应供应商报价过低，有可能影响产品质量或者不能诚信履约的情形。评标委员会启动异常低价投标审查后，应当要求相关响应供应商在评审现场合理的时间内提供书面说明及必要的证明材料，对投标价格作出解释。响应供应商不能证明其报价合理性的，评标委员会应当将其作为无效投标处理。 属于前述第（1）项至第（4）项情形的，应当要求相关响应供应商在评标现场合理的时间内对投标价格作出解释，提供项目具体成本测算等与报价合理性相关的书面说明及必要的证明材料，包括但不限于原材料成本、人工成本、制造费用等，给予相关响应供应商的合理时间一般不少于30分钟。其中，属于第（3）项情形，响应供应商已随投标文件一并提交相关书面说明及必要的证明材料的，在评审现场可不再重复提交。</w:t>
            </w:r>
          </w:p>
        </w:tc>
      </w:tr>
      <w:tr>
        <w:tc>
          <w:tcPr>
            <w:tcW w:type="dxa" w:w="2076"/>
          </w:tcPr>
          <w:p/>
        </w:tc>
        <w:tc>
          <w:tcPr>
            <w:tcW w:type="dxa" w:w="2076"/>
          </w:tcPr>
          <w:p>
            <w:pPr>
              <w:pStyle w:val="null3"/>
              <w:jc w:val="center"/>
            </w:pPr>
            <w:r>
              <w:rPr/>
              <w:t>2</w:t>
            </w:r>
          </w:p>
        </w:tc>
        <w:tc>
          <w:tcPr>
            <w:tcW w:type="dxa" w:w="2076"/>
          </w:tcPr>
          <w:p>
            <w:pPr>
              <w:pStyle w:val="null3"/>
              <w:jc w:val="left"/>
            </w:pPr>
            <w:r>
              <w:rPr/>
              <w:t>配送能力</w:t>
            </w:r>
          </w:p>
        </w:tc>
        <w:tc>
          <w:tcPr>
            <w:tcW w:type="dxa" w:w="2076"/>
          </w:tcPr>
          <w:p>
            <w:pPr>
              <w:pStyle w:val="null3"/>
              <w:jc w:val="left"/>
            </w:pPr>
            <w:r>
              <w:rPr/>
              <w:t>成交供应商需有4台或以上的车辆（自有、租赁都可）用于送货以确保货品能按照要求及时送达。</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要求响应供应商响应承诺的特别事项</w:t>
            </w:r>
          </w:p>
        </w:tc>
        <w:tc>
          <w:tcPr>
            <w:tcW w:type="dxa" w:w="2076"/>
          </w:tcPr>
          <w:p>
            <w:pPr>
              <w:pStyle w:val="null3"/>
              <w:jc w:val="left"/>
            </w:pPr>
            <w:r>
              <w:rPr/>
              <w:t>响应供应商必须承诺：响应供应商提供的产品为合法销售、渠道正规，符合国家质量标准的产品。如响应供应商提供的产品出现质量问题，响应供应商须及时提供合格产品给予更换。如出现严重质量问题或产品制造商推诿质量、服务责任时，响应供应商须承担终极责任并提供质量和服务保障。如出现假冒伪劣、盗版、产权不明等不合格产品，或供货质量货不对板的，假一赔三。情况严重者，采购人有权报监管部门进行处理。 （响应供应商应对上述内容进行承诺，提供承诺函，《承诺函》格式自拟并加盖响应供应商公章）</w:t>
            </w:r>
          </w:p>
        </w:tc>
      </w:tr>
      <w:tr>
        <w:tc>
          <w:tcPr>
            <w:tcW w:type="dxa" w:w="2076"/>
          </w:tcPr>
          <w:p/>
        </w:tc>
        <w:tc>
          <w:tcPr>
            <w:tcW w:type="dxa" w:w="2076"/>
          </w:tcPr>
          <w:p>
            <w:pPr>
              <w:pStyle w:val="null3"/>
              <w:jc w:val="center"/>
            </w:pPr>
            <w:r>
              <w:rPr/>
              <w:t>4</w:t>
            </w:r>
          </w:p>
        </w:tc>
        <w:tc>
          <w:tcPr>
            <w:tcW w:type="dxa" w:w="2076"/>
          </w:tcPr>
          <w:p>
            <w:pPr>
              <w:pStyle w:val="null3"/>
              <w:jc w:val="left"/>
            </w:pPr>
            <w:r>
              <w:rPr/>
              <w:t>业绩及满意度评价</w:t>
            </w:r>
          </w:p>
        </w:tc>
        <w:tc>
          <w:tcPr>
            <w:tcW w:type="dxa" w:w="2076"/>
          </w:tcPr>
          <w:p>
            <w:pPr>
              <w:pStyle w:val="null3"/>
              <w:jc w:val="left"/>
            </w:pPr>
            <w:r>
              <w:rPr/>
              <w:t>响应供应商提供自2023年1月1日至今同类项目的业绩及满意度评价情况</w:t>
            </w:r>
          </w:p>
        </w:tc>
      </w:tr>
      <w:tr>
        <w:tc>
          <w:tcPr>
            <w:tcW w:type="dxa" w:w="2076"/>
          </w:tcPr>
          <w:p/>
        </w:tc>
        <w:tc>
          <w:tcPr>
            <w:tcW w:type="dxa" w:w="2076"/>
          </w:tcPr>
          <w:p>
            <w:pPr>
              <w:pStyle w:val="null3"/>
              <w:jc w:val="center"/>
            </w:pPr>
            <w:r>
              <w:rPr/>
              <w:t>5</w:t>
            </w:r>
          </w:p>
        </w:tc>
        <w:tc>
          <w:tcPr>
            <w:tcW w:type="dxa" w:w="2076"/>
          </w:tcPr>
          <w:p>
            <w:pPr>
              <w:pStyle w:val="null3"/>
              <w:jc w:val="left"/>
            </w:pPr>
            <w:r>
              <w:rPr/>
              <w:t>拟派本项目项目负责人</w:t>
            </w:r>
          </w:p>
        </w:tc>
        <w:tc>
          <w:tcPr>
            <w:tcW w:type="dxa" w:w="2076"/>
          </w:tcPr>
          <w:p>
            <w:pPr>
              <w:pStyle w:val="null3"/>
              <w:jc w:val="left"/>
            </w:pPr>
            <w:r>
              <w:rPr/>
              <w:t>成交供应商需拟派一名项目负责人。负责项目的全过程服务。</w:t>
            </w:r>
          </w:p>
        </w:tc>
      </w:tr>
      <w:tr>
        <w:tc>
          <w:tcPr>
            <w:tcW w:type="dxa" w:w="2076"/>
          </w:tcPr>
          <w:p/>
        </w:tc>
        <w:tc>
          <w:tcPr>
            <w:tcW w:type="dxa" w:w="2076"/>
          </w:tcPr>
          <w:p>
            <w:pPr>
              <w:pStyle w:val="null3"/>
              <w:jc w:val="center"/>
            </w:pPr>
            <w:r>
              <w:rPr/>
              <w:t>6</w:t>
            </w:r>
          </w:p>
        </w:tc>
        <w:tc>
          <w:tcPr>
            <w:tcW w:type="dxa" w:w="2076"/>
          </w:tcPr>
          <w:p>
            <w:pPr>
              <w:pStyle w:val="null3"/>
              <w:jc w:val="left"/>
            </w:pPr>
            <w:r>
              <w:rPr/>
              <w:t>权利保证</w:t>
            </w:r>
          </w:p>
        </w:tc>
        <w:tc>
          <w:tcPr>
            <w:tcW w:type="dxa" w:w="2076"/>
          </w:tcPr>
          <w:p>
            <w:pPr>
              <w:pStyle w:val="null3"/>
              <w:jc w:val="left"/>
            </w:pPr>
            <w:r>
              <w:rPr/>
              <w:t>成交供应商应保证出卖给采购人的产品或产品任何部分或服务与技术等非他人所有或与他人共有，未设有抵押权、租赁权，未侵犯他人的专利权、版权、商标权等知识产权。一旦出现侵权，由成交供应商承担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电脑配件及办公设备类采购服务项目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1,960,320.00</w:t>
            </w:r>
          </w:p>
        </w:tc>
        <w:tc>
          <w:tcPr>
            <w:tcW w:type="dxa" w:w="831"/>
          </w:tcPr>
          <w:p>
            <w:pPr>
              <w:pStyle w:val="null3"/>
              <w:jc w:val="right"/>
            </w:pPr>
            <w:r>
              <w:rPr/>
              <w:t>1,960,320.00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电脑配件及办公设备类采购服务项目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服务要求</w:t>
            </w:r>
          </w:p>
          <w:p>
            <w:pPr>
              <w:pStyle w:val="null3"/>
              <w:jc w:val="both"/>
            </w:pPr>
            <w:r>
              <w:rPr>
                <w:sz w:val="24"/>
              </w:rPr>
              <w:t>（</w:t>
            </w:r>
            <w:r>
              <w:rPr>
                <w:sz w:val="24"/>
              </w:rPr>
              <w:t>1）采购人提前一天以邮件、电话或微信等方式向</w:t>
            </w:r>
            <w:r>
              <w:rPr>
                <w:sz w:val="24"/>
              </w:rPr>
              <w:t>成交供应商</w:t>
            </w:r>
            <w:r>
              <w:rPr>
                <w:sz w:val="24"/>
              </w:rPr>
              <w:t>下订单，订单内容包括所要采购的名称、规格、数量、价格等。物品具体需求量以实际供应前一天通知的为准。配送次数和配送量由采购人和成交供应商在签订合同时具体协商。</w:t>
            </w:r>
          </w:p>
          <w:p>
            <w:pPr>
              <w:pStyle w:val="null3"/>
              <w:jc w:val="both"/>
            </w:pPr>
            <w:r>
              <w:rPr>
                <w:sz w:val="24"/>
              </w:rPr>
              <w:t>（</w:t>
            </w:r>
            <w:r>
              <w:rPr>
                <w:sz w:val="24"/>
              </w:rPr>
              <w:t>2）成交供应商须在接到采购人的供货通知后24小时内完成通知中所列货物的供货，其中供货通知注明“应急”的则须在2小时内完成通知中所列货物的供货送至采购人指定地点。供货通知注明或电话通知“特急”的则须立即或在半小时内完成通知中所列货物的供货送至采购人指定地点，如无货物或未能送达则及时告知采购人。成交供应商每次随货提供注明货物名称、单位、数量、售价及总金额的送货清单（纸质版，一式两份）以及电子清单，供双方验货后签字确认，双方各持一份，作为送、收货的凭证。</w:t>
            </w:r>
          </w:p>
          <w:p>
            <w:pPr>
              <w:pStyle w:val="null3"/>
              <w:jc w:val="both"/>
            </w:pPr>
            <w:r>
              <w:rPr>
                <w:sz w:val="24"/>
              </w:rPr>
              <w:t>（</w:t>
            </w:r>
            <w:r>
              <w:rPr>
                <w:sz w:val="24"/>
              </w:rPr>
              <w:t>3）成交供应商须负责所订货物的运输、搬运等工作，所产生的费用由成交供应商负责。并协助采购人验收货物，货物的品种和数量以采购人验收的结果为准。</w:t>
            </w:r>
          </w:p>
          <w:p>
            <w:pPr>
              <w:pStyle w:val="null3"/>
              <w:jc w:val="both"/>
            </w:pPr>
            <w:r>
              <w:rPr>
                <w:sz w:val="24"/>
              </w:rPr>
              <w:t>（</w:t>
            </w:r>
            <w:r>
              <w:rPr>
                <w:sz w:val="24"/>
              </w:rPr>
              <w:t>4）在采购人未签收之前，货物的所有权和风险属于成交供应商，货物发生遗失、损坏等情况均全部由成交供应商负责。</w:t>
            </w:r>
          </w:p>
          <w:p>
            <w:pPr>
              <w:pStyle w:val="null3"/>
              <w:jc w:val="both"/>
            </w:pPr>
            <w:r>
              <w:rPr>
                <w:sz w:val="24"/>
              </w:rPr>
              <w:t>（</w:t>
            </w:r>
            <w:r>
              <w:rPr>
                <w:sz w:val="24"/>
              </w:rPr>
              <w:t>5）成交供应商的送货单须详细注明商品的品牌、型号、单价、数量,送货单不得涂改。标记不清的，采购人有权拒绝签收。</w:t>
            </w:r>
          </w:p>
          <w:p>
            <w:pPr>
              <w:pStyle w:val="null3"/>
              <w:jc w:val="both"/>
            </w:pPr>
            <w:r>
              <w:rPr>
                <w:sz w:val="24"/>
              </w:rPr>
              <w:t>（</w:t>
            </w:r>
            <w:r>
              <w:rPr>
                <w:sz w:val="24"/>
              </w:rPr>
              <w:t>6）成交供应商在合同履行期间内保证对采购人的货物供应，若成交供应商反悔或不能履行合同的，采购人有权单方终止合同,由此产生的一切经济损失由成交供应商自行承担。</w:t>
            </w:r>
          </w:p>
          <w:p>
            <w:pPr>
              <w:pStyle w:val="null3"/>
              <w:jc w:val="both"/>
            </w:pPr>
            <w:r>
              <w:rPr>
                <w:sz w:val="24"/>
              </w:rPr>
              <w:t>（</w:t>
            </w:r>
            <w:r>
              <w:rPr>
                <w:sz w:val="24"/>
              </w:rPr>
              <w:t>7）成交供应商需具有配送货品的服务能力，有详细的工作流程安排，确保货品能按照要求及时送达。</w:t>
            </w:r>
          </w:p>
          <w:p>
            <w:pPr>
              <w:pStyle w:val="null3"/>
              <w:jc w:val="both"/>
            </w:pPr>
            <w:r>
              <w:rPr>
                <w:sz w:val="24"/>
              </w:rPr>
              <w:t>（</w:t>
            </w:r>
            <w:r>
              <w:rPr>
                <w:sz w:val="24"/>
              </w:rPr>
              <w:t>8）成交供应商在合同履行期间内保证对采购人的货物供应，若中标后后悔或不能履行合同或不能满足采购人供货要求、服务要求的，采购人有权单方终止协议并另外选择供应商供货。成交供应商需支付违约金，违约金金额为</w:t>
            </w:r>
            <w:r>
              <w:rPr>
                <w:sz w:val="24"/>
              </w:rPr>
              <w:t>成交</w:t>
            </w:r>
            <w:r>
              <w:rPr>
                <w:sz w:val="24"/>
              </w:rPr>
              <w:t>金额的</w:t>
            </w:r>
            <w:r>
              <w:rPr>
                <w:sz w:val="24"/>
              </w:rPr>
              <w:t>5%。由此产生的一切经济损失由成交供应商自行承担。</w:t>
            </w:r>
          </w:p>
        </w:tc>
      </w:tr>
      <w:tr>
        <w:tc>
          <w:tcPr>
            <w:tcW w:type="dxa" w:w="2076"/>
          </w:tcPr>
          <w:p/>
        </w:tc>
        <w:tc>
          <w:tcPr>
            <w:tcW w:type="dxa" w:w="415"/>
          </w:tcPr>
          <w:p>
            <w:pPr>
              <w:pStyle w:val="null3"/>
            </w:pPr>
            <w:r>
              <w:rPr/>
              <w:t>2</w:t>
            </w:r>
          </w:p>
        </w:tc>
        <w:tc>
          <w:tcPr>
            <w:tcW w:type="dxa" w:w="5814"/>
          </w:tcPr>
          <w:p>
            <w:pPr>
              <w:pStyle w:val="null3"/>
              <w:jc w:val="both"/>
            </w:pPr>
            <w:r>
              <w:rPr>
                <w:sz w:val="24"/>
                <w:b/>
              </w:rPr>
              <w:t>二、本项目质量保障要求：</w:t>
            </w:r>
          </w:p>
          <w:p>
            <w:pPr>
              <w:pStyle w:val="null3"/>
              <w:jc w:val="both"/>
            </w:pPr>
            <w:r>
              <w:rPr>
                <w:sz w:val="24"/>
              </w:rPr>
              <w:t>（</w:t>
            </w:r>
            <w:r>
              <w:rPr>
                <w:sz w:val="24"/>
              </w:rPr>
              <w:t>1）</w:t>
            </w:r>
            <w:r>
              <w:rPr>
                <w:sz w:val="24"/>
              </w:rPr>
              <w:t>响应供应商</w:t>
            </w:r>
            <w:r>
              <w:rPr>
                <w:sz w:val="24"/>
              </w:rPr>
              <w:t>需提供本项目的质量保障方案：包括但不限于在本项目实施全过程中的货物的质量保障总体方案、供货渠道情况说明等情况，方案要求来源清晰具体、质量保证各环节措施详细、完善，针对性、可行性强，完全符合采购需求。</w:t>
            </w:r>
          </w:p>
          <w:p>
            <w:pPr>
              <w:pStyle w:val="null3"/>
              <w:jc w:val="both"/>
            </w:pPr>
            <w:r>
              <w:rPr>
                <w:sz w:val="24"/>
              </w:rPr>
              <w:t>（</w:t>
            </w:r>
            <w:r>
              <w:rPr>
                <w:sz w:val="24"/>
              </w:rPr>
              <w:t>2）</w:t>
            </w:r>
            <w:r>
              <w:rPr>
                <w:sz w:val="24"/>
              </w:rPr>
              <w:t>成交供应商</w:t>
            </w:r>
            <w:r>
              <w:rPr>
                <w:sz w:val="24"/>
              </w:rPr>
              <w:t>所提供的产品应当是在中国境内合法销售，且符合国家有关部门规定的相应技术、节能、安全和环保标准。国家有关部门对</w:t>
            </w:r>
            <w:r>
              <w:rPr>
                <w:sz w:val="24"/>
              </w:rPr>
              <w:t>响应供应商</w:t>
            </w:r>
            <w:r>
              <w:rPr>
                <w:sz w:val="24"/>
              </w:rPr>
              <w:t>所投报的产品有强制性规定或要求的，</w:t>
            </w:r>
            <w:r>
              <w:rPr>
                <w:sz w:val="24"/>
              </w:rPr>
              <w:t>响应供应商</w:t>
            </w:r>
            <w:r>
              <w:rPr>
                <w:sz w:val="24"/>
              </w:rPr>
              <w:t>所投报的产品应当符合相应规定或要求。</w:t>
            </w:r>
          </w:p>
          <w:p>
            <w:pPr>
              <w:pStyle w:val="null3"/>
              <w:jc w:val="both"/>
            </w:pPr>
            <w:r>
              <w:rPr>
                <w:sz w:val="24"/>
              </w:rPr>
              <w:t>（</w:t>
            </w:r>
            <w:r>
              <w:rPr>
                <w:sz w:val="24"/>
              </w:rPr>
              <w:t>3）</w:t>
            </w:r>
            <w:r>
              <w:rPr>
                <w:sz w:val="24"/>
              </w:rPr>
              <w:t>成交供应商</w:t>
            </w:r>
            <w:r>
              <w:rPr>
                <w:sz w:val="24"/>
              </w:rPr>
              <w:t>所提供的</w:t>
            </w:r>
            <w:r>
              <w:rPr>
                <w:sz w:val="24"/>
              </w:rPr>
              <w:t>货物</w:t>
            </w:r>
            <w:r>
              <w:rPr>
                <w:sz w:val="24"/>
              </w:rPr>
              <w:t>必须是原装、全新的、未使用过，并符合国家以及该产品的出厂标准、环保标准和用户提出有关质量标准的设备。所有产品在开箱检验时必须完好，无破损，配置与装箱单相符。</w:t>
            </w:r>
          </w:p>
        </w:tc>
      </w:tr>
      <w:tr>
        <w:tc>
          <w:tcPr>
            <w:tcW w:type="dxa" w:w="2076"/>
          </w:tcPr>
          <w:p/>
        </w:tc>
        <w:tc>
          <w:tcPr>
            <w:tcW w:type="dxa" w:w="415"/>
          </w:tcPr>
          <w:p>
            <w:pPr>
              <w:pStyle w:val="null3"/>
            </w:pPr>
            <w:r>
              <w:rPr/>
              <w:t>3</w:t>
            </w:r>
          </w:p>
        </w:tc>
        <w:tc>
          <w:tcPr>
            <w:tcW w:type="dxa" w:w="5814"/>
          </w:tcPr>
          <w:p>
            <w:pPr>
              <w:pStyle w:val="null3"/>
              <w:spacing w:before="120" w:after="120"/>
              <w:jc w:val="both"/>
            </w:pPr>
            <w:r>
              <w:rPr>
                <w:sz w:val="24"/>
                <w:b/>
              </w:rPr>
              <w:t>三、</w:t>
            </w:r>
            <w:r>
              <w:rPr>
                <w:sz w:val="24"/>
                <w:b/>
              </w:rPr>
              <w:t>本项目售后服务能力的要求</w:t>
            </w:r>
          </w:p>
          <w:p>
            <w:pPr>
              <w:pStyle w:val="null3"/>
              <w:spacing w:before="120" w:after="120"/>
              <w:jc w:val="both"/>
            </w:pPr>
            <w:r>
              <w:rPr>
                <w:sz w:val="24"/>
              </w:rPr>
              <w:t>（</w:t>
            </w:r>
            <w:r>
              <w:rPr>
                <w:sz w:val="24"/>
              </w:rPr>
              <w:t>1）</w:t>
            </w:r>
            <w:r>
              <w:rPr>
                <w:sz w:val="24"/>
              </w:rPr>
              <w:t>成交供应商</w:t>
            </w:r>
            <w:r>
              <w:rPr>
                <w:sz w:val="24"/>
              </w:rPr>
              <w:t>应保证配送产品的准确性，以采购人的验货数量为准。采购人有权要求</w:t>
            </w:r>
            <w:r>
              <w:rPr>
                <w:sz w:val="24"/>
              </w:rPr>
              <w:t>成交供应商</w:t>
            </w:r>
            <w:r>
              <w:rPr>
                <w:sz w:val="24"/>
              </w:rPr>
              <w:t>配合相应货品的更换工作</w:t>
            </w:r>
            <w:r>
              <w:rPr>
                <w:sz w:val="24"/>
              </w:rPr>
              <w:t>,不符合采购人要求或保质期过期的货品免费退换。</w:t>
            </w:r>
          </w:p>
          <w:p>
            <w:pPr>
              <w:pStyle w:val="null3"/>
              <w:spacing w:before="120" w:after="120"/>
              <w:jc w:val="both"/>
            </w:pPr>
            <w:r>
              <w:rPr>
                <w:sz w:val="24"/>
              </w:rPr>
              <w:t>（</w:t>
            </w:r>
            <w:r>
              <w:rPr>
                <w:sz w:val="24"/>
              </w:rPr>
              <w:t>2）</w:t>
            </w:r>
            <w:r>
              <w:rPr>
                <w:sz w:val="24"/>
              </w:rPr>
              <w:t>成交供应商</w:t>
            </w:r>
            <w:r>
              <w:rPr>
                <w:sz w:val="24"/>
              </w:rPr>
              <w:t>未按合同规定履行供货义务，或供货产品不符合采购人要求且无法按照要求提供退换货的，采购人有权取消</w:t>
            </w:r>
            <w:r>
              <w:rPr>
                <w:sz w:val="24"/>
              </w:rPr>
              <w:t>成交供应商</w:t>
            </w:r>
            <w:r>
              <w:rPr>
                <w:sz w:val="24"/>
              </w:rPr>
              <w:t>的供货资格，并要求</w:t>
            </w:r>
            <w:r>
              <w:rPr>
                <w:sz w:val="24"/>
              </w:rPr>
              <w:t>成交供应商</w:t>
            </w:r>
            <w:r>
              <w:rPr>
                <w:sz w:val="24"/>
              </w:rPr>
              <w:t>赔偿因此造成的采购人损失。</w:t>
            </w:r>
          </w:p>
          <w:p>
            <w:pPr>
              <w:pStyle w:val="null3"/>
              <w:jc w:val="both"/>
            </w:pPr>
            <w:r>
              <w:rPr>
                <w:sz w:val="24"/>
              </w:rPr>
              <w:t>（</w:t>
            </w:r>
            <w:r>
              <w:rPr>
                <w:sz w:val="24"/>
              </w:rPr>
              <w:t>3）如果采购人在安装使用</w:t>
            </w:r>
            <w:r>
              <w:rPr>
                <w:sz w:val="24"/>
              </w:rPr>
              <w:t>成交供应商</w:t>
            </w:r>
            <w:r>
              <w:rPr>
                <w:sz w:val="24"/>
              </w:rPr>
              <w:t>提供的产品的过程中出现无法正常使用的等状况时，成交供应商应在收到采购人通知的</w:t>
            </w:r>
            <w:r>
              <w:rPr>
                <w:sz w:val="24"/>
              </w:rPr>
              <w:t>24小时内提供上门更换至成功。</w:t>
            </w:r>
          </w:p>
          <w:p>
            <w:pPr>
              <w:pStyle w:val="null3"/>
              <w:jc w:val="both"/>
            </w:pPr>
            <w:r>
              <w:rPr>
                <w:sz w:val="24"/>
              </w:rPr>
              <w:t>（</w:t>
            </w:r>
            <w:r>
              <w:rPr>
                <w:sz w:val="24"/>
              </w:rPr>
              <w:t>4</w:t>
            </w:r>
            <w:r>
              <w:rPr>
                <w:sz w:val="24"/>
              </w:rPr>
              <w:t>）</w:t>
            </w:r>
            <w:r>
              <w:rPr>
                <w:sz w:val="24"/>
              </w:rPr>
              <w:t>产品在</w:t>
            </w:r>
            <w:r>
              <w:rPr>
                <w:sz w:val="24"/>
              </w:rPr>
              <w:t>质保期内，所有产品维修服务均为上门服务，由此产生的费用均不再收取，可通过电话或书面方式解答产品使用方面的疑问，必要时派驻技术人员专门服务，如产品有质量问题，随时退货和更换，如有假冒产品，追究成交供应商责任。</w:t>
            </w:r>
          </w:p>
        </w:tc>
      </w:tr>
      <w:tr>
        <w:tc>
          <w:tcPr>
            <w:tcW w:type="dxa" w:w="2076"/>
          </w:tcPr>
          <w:p/>
        </w:tc>
        <w:tc>
          <w:tcPr>
            <w:tcW w:type="dxa" w:w="415"/>
          </w:tcPr>
          <w:p>
            <w:pPr>
              <w:pStyle w:val="null3"/>
            </w:pPr>
            <w:r>
              <w:rPr/>
              <w:t>4</w:t>
            </w:r>
          </w:p>
        </w:tc>
        <w:tc>
          <w:tcPr>
            <w:tcW w:type="dxa" w:w="5814"/>
          </w:tcPr>
          <w:p>
            <w:pPr>
              <w:pStyle w:val="null3"/>
              <w:spacing w:before="120" w:after="120"/>
              <w:jc w:val="both"/>
            </w:pPr>
            <w:r>
              <w:rPr>
                <w:sz w:val="24"/>
                <w:b/>
              </w:rPr>
              <w:t>四、突发应急方案</w:t>
            </w:r>
          </w:p>
          <w:p>
            <w:pPr>
              <w:pStyle w:val="null3"/>
              <w:jc w:val="both"/>
            </w:pPr>
            <w:r>
              <w:rPr>
                <w:sz w:val="24"/>
              </w:rPr>
              <w:t xml:space="preserve">      成交供应商</w:t>
            </w:r>
            <w:r>
              <w:rPr>
                <w:sz w:val="24"/>
              </w:rPr>
              <w:t>须具有针对采购人突然增加的任务数量或突发事件而建立完善的应急处理机制，能够快速的积极响应配合采购人的工作，提供好服务，保证采购人正常办公不受影响。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1.采购代理机构：本项目是指惠州市晟远咨询管理有限公司，负责整个采购活动的组织，依法负责编制和发布磋商文件，对磋商文件拥有最终的解释权，不以任何身份出任磋商小组成员。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惠东县人民医院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采购机构代理服务收费标准：参照《招标代理服务收费管理暂行办法》的通知（计价格〔2002〕1980号）规定计取。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纸质响应文件，成交人须在结果公告发布后三个工作日内打印响应文件，正本叁份（纸质 响应文件与电子响应文件一致，装订成册，无须密封）递交至采购代理机构。</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惠州市晟远咨询管理有限公司</w:t>
      </w:r>
      <w:r>
        <w:rPr/>
        <w:t>代收。具体操作要求详见</w:t>
      </w:r>
      <w:r>
        <w:rPr/>
        <w:t>惠州市晟远咨询管理有限公司</w:t>
      </w:r>
      <w:r>
        <w:rPr/>
        <w:t>有关指引，递交事宜请自行咨询</w:t>
      </w:r>
      <w:r>
        <w:rPr/>
        <w:t>惠州市晟远咨询管理有限公司</w:t>
      </w:r>
      <w:r>
        <w:rPr/>
        <w:t>；请各供应商在响应文件递交截止时间前按须知前附表规定的金额递交至</w:t>
      </w:r>
      <w:r>
        <w:rPr/>
        <w:t>惠州市晟远咨询管理有限公司</w:t>
      </w:r>
      <w:r>
        <w:rPr/>
        <w:t>，到账情况以开启时</w:t>
      </w:r>
      <w:r>
        <w:rPr/>
        <w:t>惠州市晟远咨询管理有限公司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w:t>
      </w:r>
    </w:p>
    <w:p>
      <w:pPr>
        <w:pStyle w:val="null3"/>
        <w:ind w:firstLine="480"/>
      </w:pPr>
      <w:r>
        <w:rPr/>
        <w:t>电话：</w:t>
      </w:r>
      <w:r>
        <w:rPr/>
        <w:t>0752-2189889</w:t>
      </w:r>
    </w:p>
    <w:p>
      <w:pPr>
        <w:pStyle w:val="null3"/>
        <w:ind w:firstLine="480"/>
      </w:pPr>
      <w:r>
        <w:rPr/>
        <w:t>传真：</w:t>
      </w:r>
      <w:r>
        <w:rPr/>
        <w:t>0752-2189889</w:t>
      </w:r>
    </w:p>
    <w:p>
      <w:pPr>
        <w:pStyle w:val="null3"/>
        <w:ind w:firstLine="480"/>
      </w:pPr>
      <w:r>
        <w:rPr/>
        <w:t>邮箱：</w:t>
      </w:r>
      <w:r>
        <w:rPr/>
        <w:t>Hzsyzx888@163.com</w:t>
      </w:r>
    </w:p>
    <w:p>
      <w:pPr>
        <w:pStyle w:val="null3"/>
        <w:ind w:firstLine="480"/>
      </w:pPr>
      <w:r>
        <w:rPr/>
        <w:t>地址：</w:t>
      </w:r>
      <w:r>
        <w:rPr/>
        <w:t>惠州市惠城区东坡路19号天烽天鹅湾1号楼2层01号</w:t>
      </w:r>
    </w:p>
    <w:p>
      <w:pPr>
        <w:pStyle w:val="null3"/>
        <w:ind w:firstLine="480"/>
      </w:pPr>
      <w:r>
        <w:rPr/>
        <w:t>邮编：</w:t>
      </w:r>
      <w:r>
        <w:rPr/>
        <w:t>516000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政府采购监督管理机构名称：惠东县财政局政府采购监管股</w:t>
      </w:r>
    </w:p>
    <w:p>
      <w:pPr>
        <w:pStyle w:val="null3"/>
      </w:pPr>
      <w:r>
        <w:rPr/>
        <w:t>地 址：惠东县城建设路88号</w:t>
      </w:r>
    </w:p>
    <w:p>
      <w:pPr>
        <w:pStyle w:val="null3"/>
      </w:pPr>
      <w:r>
        <w:rPr/>
        <w:t>电 话：0752-8820322</w:t>
      </w:r>
    </w:p>
    <w:p>
      <w:pPr>
        <w:pStyle w:val="null3"/>
      </w:pPr>
      <w:r>
        <w:rPr/>
        <w:t>邮 编：516300</w:t>
      </w:r>
    </w:p>
    <w:p>
      <w:pPr>
        <w:pStyle w:val="null3"/>
      </w:pPr>
      <w:r>
        <w:rPr/>
        <w:t>传 真：0752-8820323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电脑配件及办公设备类采购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惠州市晟远咨询管理有限公司</w:t>
      </w:r>
      <w:r>
        <w:rPr/>
        <w:t>统一对外发布。</w:t>
      </w:r>
    </w:p>
    <w:p>
      <w:pPr>
        <w:pStyle w:val="null3"/>
        <w:ind w:firstLine="480"/>
      </w:pPr>
      <w:r>
        <w:rPr/>
        <w:t>（2）对</w:t>
      </w:r>
      <w:r>
        <w:rPr/>
        <w:t>惠州市晟远咨询管理有限公司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采购包1（电脑配件及办公设备类采购服务项目）：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采购包1（电脑配件及办公设备类采购服务项目）：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任一证明材料：①2025年度经会计师事务所审计的财务状况报告；②基本开户行出具的资信证明和《基本存款账户信息》或《开户许可证》；③提供2026年至今任意一个月财务报表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（提供承诺函，格式自拟）</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参与的供应商服务全部由符合政策要求的中小企业承接。监狱企业、残疾人福利单位视同小型、微型企业。供应商响应时提供《中小企业声明函》。（注：中小企业以供应商填写的《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w:t>
            </w:r>
          </w:p>
        </w:tc>
      </w:tr>
    </w:tbl>
    <w:p>
      <w:pPr>
        <w:pStyle w:val="null3"/>
        <w:ind w:firstLine="480"/>
      </w:pPr>
      <w:r>
        <w:rPr/>
        <w:t>表二符合性审查表：</w:t>
      </w:r>
    </w:p>
    <w:p>
      <w:pPr>
        <w:pStyle w:val="null3"/>
      </w:pPr>
      <w:r>
        <w:rPr/>
        <w:t>采购包1（电脑配件及办公设备类采购服务项目）：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响应有效期是否满足磋商文件要求</w:t>
            </w:r>
          </w:p>
        </w:tc>
      </w:tr>
      <w:tr>
        <w:tc>
          <w:tcPr>
            <w:tcW w:type="dxa" w:w="890"/>
          </w:tcPr>
          <w:p>
            <w:pPr>
              <w:pStyle w:val="null3"/>
            </w:pPr>
            <w:r>
              <w:rPr/>
              <w:t>2</w:t>
            </w:r>
          </w:p>
        </w:tc>
        <w:tc>
          <w:tcPr>
            <w:tcW w:type="dxa" w:w="3178"/>
          </w:tcPr>
          <w:p>
            <w:pPr>
              <w:pStyle w:val="null3"/>
            </w:pPr>
            <w:r>
              <w:rPr/>
              <w:t>响应文件式样和签署、盖章要求</w:t>
            </w:r>
          </w:p>
        </w:tc>
        <w:tc>
          <w:tcPr>
            <w:tcW w:type="dxa" w:w="4238"/>
          </w:tcPr>
          <w:p>
            <w:pPr>
              <w:pStyle w:val="null3"/>
            </w:pPr>
            <w:r>
              <w:rPr/>
              <w:t>响应文件是否符合磋商文件的式样和签署、盖章要求</w:t>
            </w:r>
          </w:p>
        </w:tc>
      </w:tr>
      <w:tr>
        <w:tc>
          <w:tcPr>
            <w:tcW w:type="dxa" w:w="890"/>
          </w:tcPr>
          <w:p>
            <w:pPr>
              <w:pStyle w:val="null3"/>
            </w:pPr>
            <w:r>
              <w:rPr/>
              <w:t>3</w:t>
            </w:r>
          </w:p>
        </w:tc>
        <w:tc>
          <w:tcPr>
            <w:tcW w:type="dxa" w:w="3178"/>
          </w:tcPr>
          <w:p>
            <w:pPr>
              <w:pStyle w:val="null3"/>
            </w:pPr>
            <w:r>
              <w:rPr/>
              <w:t>实质性条款响应</w:t>
            </w:r>
          </w:p>
        </w:tc>
        <w:tc>
          <w:tcPr>
            <w:tcW w:type="dxa" w:w="4238"/>
          </w:tcPr>
          <w:p>
            <w:pPr>
              <w:pStyle w:val="null3"/>
            </w:pPr>
            <w:r>
              <w:rPr/>
              <w:t>实质性响应磋商文件中“★”号参数的技术、商务要求</w:t>
            </w:r>
          </w:p>
        </w:tc>
      </w:tr>
      <w:tr>
        <w:tc>
          <w:tcPr>
            <w:tcW w:type="dxa" w:w="890"/>
          </w:tcPr>
          <w:p>
            <w:pPr>
              <w:pStyle w:val="null3"/>
            </w:pPr>
            <w:r>
              <w:rPr/>
              <w:t>4</w:t>
            </w:r>
          </w:p>
        </w:tc>
        <w:tc>
          <w:tcPr>
            <w:tcW w:type="dxa" w:w="3178"/>
          </w:tcPr>
          <w:p>
            <w:pPr>
              <w:pStyle w:val="null3"/>
            </w:pPr>
            <w:r>
              <w:rPr/>
              <w:t>法定代表人签字或签字人是否有法定代表人的有效授权</w:t>
            </w:r>
          </w:p>
        </w:tc>
        <w:tc>
          <w:tcPr>
            <w:tcW w:type="dxa" w:w="4238"/>
          </w:tcPr>
          <w:p>
            <w:pPr>
              <w:pStyle w:val="null3"/>
            </w:pPr>
            <w:r>
              <w:rPr/>
              <w:t>响应文件是否有法定代表人签字或签字人是否有法定代表人的有效授权</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报价方案是否唯一确定、按磋商文件要求进行报价，响应报价未超出本项目的采购预算。</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无经评委认定为无效标的内容和条款且无法律法规、规章及磋商文件规定为无效投标响应、未实质性响应的其他情形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电脑配件及办公设备类采购服务项目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(16.0分)</w:t>
            </w:r>
          </w:p>
        </w:tc>
        <w:tc>
          <w:tcPr>
            <w:tcW w:type="dxa" w:w="5076"/>
          </w:tcPr>
          <w:p>
            <w:pPr>
              <w:pStyle w:val="null3"/>
              <w:jc w:val="left"/>
            </w:pPr>
            <w:r>
              <w:rPr/>
              <w:t>根据响应供应商对磋商文件中“具体技术(参数)要求”非“▲”和“★”项参数的响应情况进行评审： 一般技术参数全部满足或优于采购需求的得16分；每负偏离或不满足一项或一条扣1分，扣完为止。 注：以响应供应商在响应文件《技术和服务要求响应表》所填写的“是否偏离”为准，未填写或未按要求响应的视为负偏离。</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根据响应供应商提供的项目实施方案进行评审： 1.方案完全满足项目需求的，得12分； 2.方案基本满足项目需求的，得8分； 3.方案部分满足或不完全满足项目需求的，得4分。 4.未提供方案不得分。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响应供应商根据采购需求中的“本项目售后服务能力的要求”提供的售后服务方案进行评审： 1.方案完全满足项目需求的，得12分； 2.方案基本满足项目需求的，得8分； 3.方案部分满足或不完全满足项目需求的，得4分。 4.未提供方案不得分。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响应供应商根据采购需求中的“本项目质量保障方案的要求”提供的质量保障方案进行评审： 1.方案完全满足项目需求的，得10分； 2.方案基本满足项目需求的，得6分； 3.方案部分满足或不完全满足项目需求的，得2分。 4.未提供方案不得分。</w:t>
            </w:r>
          </w:p>
        </w:tc>
      </w:tr>
      <w:tr>
        <w:tc>
          <w:tcPr>
            <w:tcW w:type="dxa" w:w="922"/>
            <w:gridSpan w:val="2"/>
            <w:vMerge/>
          </w:tcPr>
          <w:p/>
        </w:tc>
        <w:tc>
          <w:tcPr>
            <w:tcW w:type="dxa" w:w="2307"/>
          </w:tcPr>
          <w:p>
            <w:pPr>
              <w:pStyle w:val="null3"/>
              <w:jc w:val="left"/>
            </w:pPr>
            <w:r>
              <w:rPr/>
              <w:t>突发应急方案 (10.0分)</w:t>
            </w:r>
          </w:p>
        </w:tc>
        <w:tc>
          <w:tcPr>
            <w:tcW w:type="dxa" w:w="5076"/>
          </w:tcPr>
          <w:p>
            <w:pPr>
              <w:pStyle w:val="null3"/>
              <w:jc w:val="left"/>
            </w:pPr>
            <w:r>
              <w:rPr/>
              <w:t>响应供应商针对本项目采购需求的突发应急要求，制定符合实际的突发应急方案，根据响应供应商提供的本项目突发应急方案进行评审： 1.方案完全满足项目需求的，得10分； 2.方案基本满足项目需求的，得6分； 3.方案部分满足或不完全满足项目需求的，得2分；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(8.0分)</w:t>
            </w:r>
          </w:p>
        </w:tc>
        <w:tc>
          <w:tcPr>
            <w:tcW w:type="dxa" w:w="5076"/>
          </w:tcPr>
          <w:p>
            <w:pPr>
              <w:pStyle w:val="null3"/>
              <w:jc w:val="left"/>
            </w:pPr>
            <w:r>
              <w:rPr/>
              <w:t>根据响应供应商提供自2023年1月1日至今（以合同签订日期或中标（成交）通知书落款时间为准）的同类业绩进行评审，每提供一份有效的同类业绩得2分，最高得8分。注1：同类业绩证明文件一般是中标（成交）通知书或合同的关键页面（合同关键页包括：合同封面或首页、服务内容页及双方签章页并加盖响应供应商公章）。中标（成交）通知书是指组织招标投标活动的代理机构依据《中华人民共和国招标投标法》或《中华人民共和国政府采购法》的有关规定，按照公开透明原则，在招标投标活动的政府行政监督管理部门指定的发布媒体上发布了招标公告或中标公告，然后代理机构向中标人（成交供应商）发出的告知其中标（成交）的书面通知文件，该书面通知文件称为中标（成交）通知书。注2：同一项目不同年份的合同可重复计算业绩分数。</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对应业绩评分项，每提供一份客户满意度评价为“优、优秀、满意或等同评价”的，得1分，最高得4分。（响应供应商需提供满意度评价证明文件复印件或扫描件，无提供或提供的证明文件与业绩评分不对应的不得分。同一项目不同年份的满意度评价可重复计分。）</w:t>
            </w:r>
          </w:p>
        </w:tc>
      </w:tr>
      <w:tr>
        <w:tc>
          <w:tcPr>
            <w:tcW w:type="dxa" w:w="922"/>
            <w:gridSpan w:val="2"/>
            <w:vMerge/>
          </w:tcPr>
          <w:p/>
        </w:tc>
        <w:tc>
          <w:tcPr>
            <w:tcW w:type="dxa" w:w="2307"/>
          </w:tcPr>
          <w:p>
            <w:pPr>
              <w:pStyle w:val="null3"/>
              <w:jc w:val="left"/>
            </w:pPr>
            <w:r>
              <w:rPr/>
              <w:t>配送能力 (4.0分)</w:t>
            </w:r>
          </w:p>
        </w:tc>
        <w:tc>
          <w:tcPr>
            <w:tcW w:type="dxa" w:w="5076"/>
          </w:tcPr>
          <w:p>
            <w:pPr>
              <w:pStyle w:val="null3"/>
              <w:jc w:val="left"/>
            </w:pPr>
            <w:r>
              <w:rPr/>
              <w:t>根据各响应供应商拟投入本项目配送车队实力进行评审： 1.关于配送车辆的数量：本小项满分4分。 具有配送车队车辆（自有或租赁的）4台或以上，得4分； 每缺少一辆自有车辆或租赁配送车辆的扣1分，扣完为止。【备注】若车辆为响应供应商自有的，需提供响应供应商名义下的《机动车行驶证》以及车辆照片；若车辆为响应供应商租赁的，则提供租赁合同、车辆行驶证复印件以及车辆照片，上述车辆必须年审正常。</w:t>
            </w:r>
          </w:p>
        </w:tc>
      </w:tr>
      <w:tr>
        <w:tc>
          <w:tcPr>
            <w:tcW w:type="dxa" w:w="922"/>
            <w:gridSpan w:val="2"/>
            <w:vMerge/>
          </w:tcPr>
          <w:p/>
        </w:tc>
        <w:tc>
          <w:tcPr>
            <w:tcW w:type="dxa" w:w="2307"/>
          </w:tcPr>
          <w:p>
            <w:pPr>
              <w:pStyle w:val="null3"/>
              <w:jc w:val="left"/>
            </w:pPr>
            <w:r>
              <w:rPr/>
              <w:t>拟派项目负责人 (4.0分)</w:t>
            </w:r>
          </w:p>
        </w:tc>
        <w:tc>
          <w:tcPr>
            <w:tcW w:type="dxa" w:w="5076"/>
          </w:tcPr>
          <w:p>
            <w:pPr>
              <w:pStyle w:val="null3"/>
              <w:jc w:val="left"/>
            </w:pPr>
            <w:r>
              <w:rPr/>
              <w:t>根据响应供应商拟派项目负责人（1名），得4分。需提供拟派项目负责人在本单位参保的证明材料，要求响应供应商为其缴纳投标截止日前六个月内任意一个月社保缴纳证明文件复印件。未提供不得分。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rPr>
          <w:sz w:val="24"/>
        </w:rPr>
        <w:t>注：本合同仅为合同的参考文本，合同签订双方可根据项目的具体要求进行。</w:t>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441323-2026-03045</w:t>
      </w:r>
    </w:p>
    <w:p>
      <w:pPr>
        <w:pStyle w:val="null3"/>
        <w:jc w:val="center"/>
        <w:outlineLvl w:val="3"/>
      </w:pPr>
      <w:r>
        <w:rPr>
          <w:sz w:val="24"/>
          <w:b/>
        </w:rPr>
        <w:t>采购项目编号：</w:t>
      </w:r>
      <w:r>
        <w:rPr>
          <w:sz w:val="24"/>
          <w:b/>
        </w:rPr>
        <w:t>HZSY202607013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惠州市晟远咨询管理有限公司</w:t>
      </w:r>
    </w:p>
    <w:p>
      <w:pPr>
        <w:pStyle w:val="null3"/>
        <w:ind w:firstLine="480"/>
      </w:pPr>
      <w:r>
        <w:rPr/>
        <w:t xml:space="preserve"> 你方组织的</w:t>
      </w:r>
      <w:r>
        <w:rPr>
          <w:u w:val="single"/>
        </w:rPr>
        <w:t>“</w:t>
      </w:r>
      <w:r>
        <w:rPr>
          <w:u w:val="single"/>
        </w:rPr>
        <w:t>2026-2027年电脑配件及办公设备类采购服务项目</w:t>
      </w:r>
      <w:r>
        <w:rPr>
          <w:u w:val="single"/>
        </w:rPr>
        <w:t>”</w:t>
      </w:r>
      <w:r>
        <w:rPr/>
        <w:t>项目的竞争性磋商[采购项目编号为：</w:t>
      </w:r>
      <w:r>
        <w:rPr>
          <w:u w:val="single"/>
        </w:rPr>
        <w:t>HZSY202607013</w:t>
      </w:r>
      <w:r>
        <w:rPr/>
        <w:t>]，我方愿参与响应。</w:t>
      </w:r>
    </w:p>
    <w:p>
      <w:pPr>
        <w:pStyle w:val="null3"/>
        <w:ind w:firstLine="480"/>
      </w:pPr>
      <w:r>
        <w:rPr/>
        <w:t>我方确认收到贵方提供的</w:t>
      </w:r>
      <w:r>
        <w:rPr>
          <w:u w:val="single"/>
        </w:rPr>
        <w:t>“</w:t>
      </w:r>
      <w:r>
        <w:rPr>
          <w:u w:val="single"/>
        </w:rPr>
        <w:t>2026-2027年电脑配件及办公设备类采购服务项目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惠州市晟远咨询管理有限公司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2026-2027年电脑配件及办公设备类采购服务项目</w:t>
      </w:r>
      <w:r>
        <w:rPr/>
        <w:t>”项目采购[采购项目编号为</w:t>
      </w:r>
      <w:r>
        <w:rPr/>
        <w:t>HZSY202607013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惠东县人民医院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惠州市晟远咨询管理有限公司</w:t>
      </w:r>
    </w:p>
    <w:p>
      <w:pPr>
        <w:pStyle w:val="null3"/>
        <w:ind w:firstLine="480"/>
      </w:pPr>
      <w:r>
        <w:rPr/>
        <w:t>我单位参加贵公司组织的</w:t>
      </w:r>
      <w:r>
        <w:rPr/>
        <w:t>2026-2027年电脑配件及办公设备类采购服务项目</w:t>
      </w:r>
      <w:r>
        <w:rPr/>
        <w:t>（采购项目编号：</w:t>
      </w:r>
      <w:r>
        <w:rPr/>
        <w:t>HZSY202607013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惠州市晟远咨询管理有限公司</w:t>
      </w:r>
    </w:p>
    <w:p>
      <w:pPr>
        <w:pStyle w:val="null3"/>
        <w:ind w:firstLine="480"/>
      </w:pPr>
      <w:r>
        <w:rPr/>
        <w:t>我单位已登记并准备参与“</w:t>
      </w:r>
      <w:r>
        <w:rPr/>
        <w:t>2026-2027年电脑配件及办公设备类采购服务项目</w:t>
      </w:r>
      <w:r>
        <w:rPr/>
        <w:t>”项目（采购项目编号：</w:t>
      </w:r>
      <w:r>
        <w:rPr/>
        <w:t>HZSY202607013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