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BBB85E">
      <w:pPr>
        <w:jc w:val="center"/>
        <w:outlineLvl w:val="0"/>
        <w:rPr>
          <w:rFonts w:hint="eastAsia" w:ascii="宋体" w:hAnsi="宋体" w:cs="宋体"/>
          <w:b/>
          <w:bCs/>
          <w:color w:val="auto"/>
          <w:sz w:val="72"/>
          <w:szCs w:val="96"/>
          <w:highlight w:val="none"/>
          <w:lang w:eastAsia="zh-CN"/>
        </w:rPr>
      </w:pPr>
      <w:bookmarkStart w:id="0" w:name="_Toc6322"/>
      <w:bookmarkStart w:id="1" w:name="_Toc30354"/>
      <w:r>
        <w:rPr>
          <w:rFonts w:hint="eastAsia" w:ascii="宋体" w:hAnsi="宋体" w:cs="宋体"/>
          <w:b/>
          <w:bCs/>
          <w:color w:val="auto"/>
          <w:sz w:val="72"/>
          <w:szCs w:val="96"/>
          <w:highlight w:val="none"/>
          <w:lang w:val="en-US" w:eastAsia="zh-CN"/>
        </w:rPr>
        <w:t>招标</w:t>
      </w:r>
      <w:r>
        <w:rPr>
          <w:rFonts w:hint="eastAsia" w:ascii="宋体" w:hAnsi="宋体" w:cs="宋体"/>
          <w:b/>
          <w:bCs/>
          <w:color w:val="auto"/>
          <w:sz w:val="72"/>
          <w:szCs w:val="96"/>
          <w:highlight w:val="none"/>
          <w:lang w:eastAsia="zh-CN"/>
        </w:rPr>
        <w:t>文件</w:t>
      </w:r>
    </w:p>
    <w:p w14:paraId="5CB0A02C">
      <w:pPr>
        <w:pStyle w:val="5"/>
        <w:bidi w:val="0"/>
        <w:jc w:val="center"/>
        <w:rPr>
          <w:rFonts w:hint="eastAsia"/>
          <w:sz w:val="24"/>
          <w:szCs w:val="22"/>
        </w:rPr>
      </w:pPr>
      <w:r>
        <w:rPr>
          <w:rFonts w:hint="eastAsia"/>
          <w:sz w:val="24"/>
          <w:szCs w:val="22"/>
        </w:rPr>
        <w:t>（ 公 开 招 标 ）</w:t>
      </w:r>
    </w:p>
    <w:p w14:paraId="5AA944CD">
      <w:pPr>
        <w:jc w:val="center"/>
        <w:outlineLvl w:val="0"/>
        <w:rPr>
          <w:rFonts w:hint="eastAsia" w:ascii="宋体" w:hAnsi="宋体" w:cs="宋体"/>
          <w:b/>
          <w:bCs/>
          <w:color w:val="auto"/>
          <w:sz w:val="72"/>
          <w:szCs w:val="96"/>
          <w:highlight w:val="none"/>
          <w:lang w:eastAsia="zh-CN"/>
        </w:rPr>
      </w:pPr>
    </w:p>
    <w:p w14:paraId="628A3E93">
      <w:pPr>
        <w:jc w:val="center"/>
        <w:rPr>
          <w:rFonts w:hint="eastAsia" w:ascii="宋体" w:hAnsi="宋体" w:eastAsia="宋体" w:cs="宋体"/>
          <w:b/>
          <w:bCs/>
          <w:color w:val="auto"/>
          <w:sz w:val="36"/>
          <w:szCs w:val="36"/>
          <w:highlight w:val="none"/>
        </w:rPr>
      </w:pPr>
    </w:p>
    <w:p w14:paraId="42D76818">
      <w:pPr>
        <w:pStyle w:val="9"/>
        <w:widowControl/>
        <w:kinsoku w:val="0"/>
        <w:autoSpaceDE w:val="0"/>
        <w:autoSpaceDN w:val="0"/>
        <w:adjustRightInd w:val="0"/>
        <w:snapToGrid w:val="0"/>
        <w:spacing w:before="100" w:line="360" w:lineRule="auto"/>
        <w:jc w:val="both"/>
        <w:textAlignment w:val="baseline"/>
        <w:rPr>
          <w:rFonts w:hint="default" w:ascii="宋体" w:hAnsi="宋体" w:eastAsia="宋体" w:cs="宋体"/>
          <w:b/>
          <w:bCs/>
          <w:snapToGrid w:val="0"/>
          <w:color w:val="auto"/>
          <w:spacing w:val="25"/>
          <w:kern w:val="0"/>
          <w:sz w:val="31"/>
          <w:szCs w:val="31"/>
          <w:lang w:val="en-US" w:eastAsia="zh-CN"/>
        </w:rPr>
      </w:pPr>
    </w:p>
    <w:p w14:paraId="41419375">
      <w:pPr>
        <w:pStyle w:val="9"/>
        <w:widowControl/>
        <w:kinsoku w:val="0"/>
        <w:autoSpaceDE w:val="0"/>
        <w:autoSpaceDN w:val="0"/>
        <w:adjustRightInd w:val="0"/>
        <w:snapToGrid w:val="0"/>
        <w:spacing w:before="100" w:line="360" w:lineRule="auto"/>
        <w:jc w:val="both"/>
        <w:textAlignment w:val="baseline"/>
        <w:rPr>
          <w:rFonts w:hint="default" w:ascii="宋体" w:hAnsi="宋体" w:eastAsia="宋体" w:cs="宋体"/>
          <w:b/>
          <w:bCs/>
          <w:snapToGrid w:val="0"/>
          <w:color w:val="auto"/>
          <w:spacing w:val="25"/>
          <w:kern w:val="0"/>
          <w:sz w:val="31"/>
          <w:szCs w:val="31"/>
          <w:lang w:val="en-US" w:eastAsia="zh-CN"/>
        </w:rPr>
      </w:pPr>
    </w:p>
    <w:p w14:paraId="655EBF24">
      <w:pPr>
        <w:pStyle w:val="9"/>
        <w:widowControl/>
        <w:kinsoku w:val="0"/>
        <w:autoSpaceDE w:val="0"/>
        <w:autoSpaceDN w:val="0"/>
        <w:adjustRightInd w:val="0"/>
        <w:snapToGrid w:val="0"/>
        <w:spacing w:before="100" w:line="360" w:lineRule="auto"/>
        <w:jc w:val="both"/>
        <w:textAlignment w:val="baseline"/>
        <w:rPr>
          <w:rFonts w:hint="default" w:ascii="宋体" w:hAnsi="宋体" w:eastAsia="宋体" w:cs="宋体"/>
          <w:b/>
          <w:bCs/>
          <w:snapToGrid w:val="0"/>
          <w:color w:val="auto"/>
          <w:spacing w:val="25"/>
          <w:kern w:val="0"/>
          <w:sz w:val="31"/>
          <w:szCs w:val="31"/>
          <w:lang w:val="en-US" w:eastAsia="zh-CN"/>
        </w:rPr>
      </w:pPr>
    </w:p>
    <w:p w14:paraId="32B1C861">
      <w:pPr>
        <w:pStyle w:val="9"/>
        <w:widowControl/>
        <w:kinsoku w:val="0"/>
        <w:autoSpaceDE w:val="0"/>
        <w:autoSpaceDN w:val="0"/>
        <w:adjustRightInd w:val="0"/>
        <w:snapToGrid w:val="0"/>
        <w:spacing w:before="100" w:line="360" w:lineRule="auto"/>
        <w:jc w:val="both"/>
        <w:textAlignment w:val="baseline"/>
        <w:rPr>
          <w:rFonts w:hint="default" w:ascii="宋体" w:hAnsi="宋体" w:eastAsia="宋体" w:cs="宋体"/>
          <w:b/>
          <w:bCs/>
          <w:snapToGrid w:val="0"/>
          <w:color w:val="auto"/>
          <w:spacing w:val="25"/>
          <w:kern w:val="0"/>
          <w:sz w:val="31"/>
          <w:szCs w:val="31"/>
          <w:lang w:val="en-US" w:eastAsia="zh-CN"/>
        </w:rPr>
      </w:pPr>
    </w:p>
    <w:p w14:paraId="5DA2B49C">
      <w:pPr>
        <w:pStyle w:val="9"/>
        <w:widowControl/>
        <w:kinsoku w:val="0"/>
        <w:autoSpaceDE w:val="0"/>
        <w:autoSpaceDN w:val="0"/>
        <w:adjustRightInd w:val="0"/>
        <w:snapToGrid w:val="0"/>
        <w:spacing w:before="100" w:line="360" w:lineRule="auto"/>
        <w:ind w:left="1756" w:hanging="1756" w:hangingChars="500"/>
        <w:jc w:val="both"/>
        <w:textAlignment w:val="baseline"/>
        <w:rPr>
          <w:rFonts w:hint="eastAsia" w:ascii="宋体" w:hAnsi="宋体" w:eastAsia="宋体" w:cs="宋体"/>
          <w:b/>
          <w:bCs/>
          <w:snapToGrid w:val="0"/>
          <w:color w:val="auto"/>
          <w:spacing w:val="25"/>
          <w:kern w:val="0"/>
          <w:sz w:val="30"/>
          <w:szCs w:val="30"/>
          <w:lang w:val="en-US" w:eastAsia="zh-CN"/>
        </w:rPr>
      </w:pPr>
      <w:r>
        <w:rPr>
          <w:rFonts w:hint="eastAsia" w:ascii="宋体" w:hAnsi="宋体" w:eastAsia="宋体" w:cs="宋体"/>
          <w:b/>
          <w:bCs/>
          <w:snapToGrid w:val="0"/>
          <w:color w:val="auto"/>
          <w:spacing w:val="25"/>
          <w:kern w:val="0"/>
          <w:sz w:val="30"/>
          <w:szCs w:val="30"/>
          <w:lang w:val="en-US" w:eastAsia="zh-CN"/>
        </w:rPr>
        <w:t>项目名称：2026年前郭县义务教育薄弱环节改善与能力提升—教学计算机采购项目</w:t>
      </w:r>
    </w:p>
    <w:p w14:paraId="2388111D">
      <w:pPr>
        <w:pStyle w:val="9"/>
        <w:widowControl/>
        <w:kinsoku w:val="0"/>
        <w:autoSpaceDE w:val="0"/>
        <w:autoSpaceDN w:val="0"/>
        <w:adjustRightInd w:val="0"/>
        <w:snapToGrid w:val="0"/>
        <w:spacing w:before="100" w:line="360" w:lineRule="auto"/>
        <w:jc w:val="both"/>
        <w:textAlignment w:val="baseline"/>
        <w:rPr>
          <w:rFonts w:hint="eastAsia" w:ascii="宋体" w:hAnsi="宋体" w:eastAsia="宋体" w:cs="宋体"/>
          <w:b/>
          <w:bCs/>
          <w:snapToGrid w:val="0"/>
          <w:color w:val="auto"/>
          <w:spacing w:val="25"/>
          <w:kern w:val="0"/>
          <w:sz w:val="30"/>
          <w:szCs w:val="30"/>
          <w:lang w:val="en-US" w:eastAsia="zh-CN"/>
        </w:rPr>
      </w:pPr>
      <w:r>
        <w:rPr>
          <w:rFonts w:hint="eastAsia" w:ascii="宋体" w:hAnsi="宋体" w:eastAsia="宋体" w:cs="宋体"/>
          <w:b/>
          <w:bCs/>
          <w:snapToGrid w:val="0"/>
          <w:color w:val="auto"/>
          <w:spacing w:val="25"/>
          <w:kern w:val="0"/>
          <w:sz w:val="30"/>
          <w:szCs w:val="30"/>
          <w:lang w:val="en-US" w:eastAsia="zh-CN"/>
        </w:rPr>
        <w:t>项目编号：</w:t>
      </w:r>
      <w:bookmarkStart w:id="2" w:name="_Toc29135"/>
      <w:r>
        <w:rPr>
          <w:rFonts w:hint="eastAsia" w:ascii="宋体" w:hAnsi="宋体" w:eastAsia="宋体" w:cs="宋体"/>
          <w:b/>
          <w:bCs/>
          <w:snapToGrid w:val="0"/>
          <w:color w:val="auto"/>
          <w:spacing w:val="25"/>
          <w:kern w:val="0"/>
          <w:sz w:val="30"/>
          <w:szCs w:val="30"/>
          <w:lang w:val="en-US" w:eastAsia="zh-CN"/>
        </w:rPr>
        <w:t>采购计划-[2026]-00220-2026008</w:t>
      </w:r>
    </w:p>
    <w:p w14:paraId="77AC0FB8">
      <w:pPr>
        <w:pStyle w:val="9"/>
        <w:widowControl/>
        <w:kinsoku w:val="0"/>
        <w:autoSpaceDE w:val="0"/>
        <w:autoSpaceDN w:val="0"/>
        <w:adjustRightInd w:val="0"/>
        <w:snapToGrid w:val="0"/>
        <w:spacing w:before="100" w:line="360" w:lineRule="auto"/>
        <w:jc w:val="both"/>
        <w:textAlignment w:val="baseline"/>
        <w:rPr>
          <w:rFonts w:hint="default" w:ascii="宋体" w:hAnsi="宋体" w:eastAsia="宋体" w:cs="宋体"/>
          <w:b/>
          <w:bCs/>
          <w:snapToGrid w:val="0"/>
          <w:color w:val="auto"/>
          <w:spacing w:val="25"/>
          <w:kern w:val="0"/>
          <w:sz w:val="30"/>
          <w:szCs w:val="30"/>
          <w:lang w:val="en-US" w:eastAsia="zh-CN"/>
        </w:rPr>
      </w:pPr>
      <w:r>
        <w:rPr>
          <w:rFonts w:hint="eastAsia" w:ascii="宋体" w:hAnsi="宋体" w:eastAsia="宋体" w:cs="宋体"/>
          <w:b/>
          <w:bCs/>
          <w:snapToGrid w:val="0"/>
          <w:color w:val="auto"/>
          <w:spacing w:val="25"/>
          <w:kern w:val="0"/>
          <w:sz w:val="30"/>
          <w:szCs w:val="30"/>
          <w:lang w:val="en-US" w:eastAsia="en-US"/>
        </w:rPr>
        <w:t>采购单位：</w:t>
      </w:r>
      <w:bookmarkEnd w:id="2"/>
      <w:r>
        <w:rPr>
          <w:rFonts w:hint="eastAsia" w:ascii="宋体" w:hAnsi="宋体" w:eastAsia="宋体" w:cs="宋体"/>
          <w:b/>
          <w:bCs/>
          <w:snapToGrid w:val="0"/>
          <w:color w:val="auto"/>
          <w:spacing w:val="25"/>
          <w:kern w:val="0"/>
          <w:sz w:val="30"/>
          <w:szCs w:val="30"/>
          <w:lang w:val="en-US" w:eastAsia="zh-CN"/>
        </w:rPr>
        <w:t>前郭尔罗斯蒙古族自治县教育技术装备办公室</w:t>
      </w:r>
    </w:p>
    <w:p w14:paraId="12FF2793">
      <w:pPr>
        <w:pStyle w:val="9"/>
        <w:widowControl/>
        <w:kinsoku w:val="0"/>
        <w:autoSpaceDE w:val="0"/>
        <w:autoSpaceDN w:val="0"/>
        <w:adjustRightInd w:val="0"/>
        <w:snapToGrid w:val="0"/>
        <w:spacing w:before="100" w:line="360" w:lineRule="auto"/>
        <w:jc w:val="both"/>
        <w:textAlignment w:val="baseline"/>
        <w:rPr>
          <w:rFonts w:hint="eastAsia" w:ascii="宋体" w:hAnsi="宋体" w:eastAsia="宋体" w:cs="宋体"/>
          <w:b/>
          <w:bCs/>
          <w:snapToGrid w:val="0"/>
          <w:color w:val="auto"/>
          <w:spacing w:val="25"/>
          <w:kern w:val="0"/>
          <w:sz w:val="30"/>
          <w:szCs w:val="30"/>
          <w:lang w:val="en-US" w:eastAsia="en-US"/>
        </w:rPr>
      </w:pPr>
      <w:r>
        <w:rPr>
          <w:rFonts w:hint="eastAsia" w:ascii="宋体" w:hAnsi="宋体" w:eastAsia="宋体" w:cs="宋体"/>
          <w:b/>
          <w:bCs/>
          <w:snapToGrid w:val="0"/>
          <w:color w:val="auto"/>
          <w:spacing w:val="25"/>
          <w:kern w:val="0"/>
          <w:sz w:val="30"/>
          <w:szCs w:val="30"/>
          <w:lang w:val="en-US" w:eastAsia="zh-CN"/>
        </w:rPr>
        <w:t>代理</w:t>
      </w:r>
      <w:r>
        <w:rPr>
          <w:rFonts w:hint="eastAsia" w:ascii="宋体" w:hAnsi="宋体" w:eastAsia="宋体" w:cs="宋体"/>
          <w:b/>
          <w:bCs/>
          <w:snapToGrid w:val="0"/>
          <w:color w:val="auto"/>
          <w:spacing w:val="25"/>
          <w:kern w:val="0"/>
          <w:sz w:val="30"/>
          <w:szCs w:val="30"/>
          <w:lang w:val="en-US" w:eastAsia="en-US"/>
        </w:rPr>
        <w:t>机构：前郭尔罗斯蒙古族自治县政府采购中心</w:t>
      </w:r>
    </w:p>
    <w:p w14:paraId="22CFF894">
      <w:pPr>
        <w:pStyle w:val="9"/>
        <w:widowControl/>
        <w:kinsoku w:val="0"/>
        <w:autoSpaceDE w:val="0"/>
        <w:autoSpaceDN w:val="0"/>
        <w:adjustRightInd w:val="0"/>
        <w:snapToGrid w:val="0"/>
        <w:spacing w:before="100" w:line="360" w:lineRule="auto"/>
        <w:ind w:left="1806" w:hanging="1806" w:hangingChars="500"/>
        <w:jc w:val="both"/>
        <w:textAlignment w:val="baseline"/>
        <w:rPr>
          <w:rFonts w:hint="eastAsia" w:ascii="宋体" w:hAnsi="宋体" w:eastAsia="宋体" w:cs="宋体"/>
          <w:b/>
          <w:bCs/>
          <w:snapToGrid w:val="0"/>
          <w:color w:val="auto"/>
          <w:spacing w:val="25"/>
          <w:kern w:val="0"/>
          <w:sz w:val="31"/>
          <w:szCs w:val="31"/>
          <w:lang w:eastAsia="en-US"/>
        </w:rPr>
      </w:pPr>
    </w:p>
    <w:p w14:paraId="7E5E9560">
      <w:pPr>
        <w:pStyle w:val="9"/>
        <w:widowControl/>
        <w:kinsoku w:val="0"/>
        <w:autoSpaceDE w:val="0"/>
        <w:autoSpaceDN w:val="0"/>
        <w:adjustRightInd w:val="0"/>
        <w:snapToGrid w:val="0"/>
        <w:spacing w:before="100" w:line="360" w:lineRule="auto"/>
        <w:ind w:left="1718" w:leftChars="818" w:firstLine="1806" w:firstLineChars="500"/>
        <w:jc w:val="both"/>
        <w:textAlignment w:val="baseline"/>
        <w:rPr>
          <w:rFonts w:hint="eastAsia" w:ascii="宋体" w:hAnsi="宋体" w:eastAsia="宋体" w:cs="宋体"/>
          <w:color w:val="000000"/>
          <w:sz w:val="52"/>
          <w:szCs w:val="52"/>
          <w:highlight w:val="none"/>
          <w:lang w:val="zh-CN"/>
        </w:rPr>
      </w:pPr>
      <w:r>
        <w:rPr>
          <w:rFonts w:hint="eastAsia" w:ascii="宋体" w:hAnsi="宋体" w:eastAsia="宋体" w:cs="宋体"/>
          <w:b/>
          <w:bCs/>
          <w:snapToGrid w:val="0"/>
          <w:color w:val="auto"/>
          <w:spacing w:val="25"/>
          <w:kern w:val="0"/>
          <w:sz w:val="31"/>
          <w:szCs w:val="31"/>
          <w:lang w:eastAsia="en-US"/>
        </w:rPr>
        <w:t>202</w:t>
      </w:r>
      <w:r>
        <w:rPr>
          <w:rFonts w:hint="eastAsia" w:ascii="宋体" w:hAnsi="宋体" w:eastAsia="宋体" w:cs="宋体"/>
          <w:b/>
          <w:bCs/>
          <w:snapToGrid w:val="0"/>
          <w:color w:val="auto"/>
          <w:spacing w:val="25"/>
          <w:kern w:val="0"/>
          <w:sz w:val="31"/>
          <w:szCs w:val="31"/>
          <w:lang w:val="en-US" w:eastAsia="zh-CN"/>
        </w:rPr>
        <w:t>6</w:t>
      </w:r>
      <w:r>
        <w:rPr>
          <w:rFonts w:hint="eastAsia" w:ascii="宋体" w:hAnsi="宋体" w:eastAsia="宋体" w:cs="宋体"/>
          <w:b/>
          <w:bCs/>
          <w:snapToGrid w:val="0"/>
          <w:color w:val="auto"/>
          <w:spacing w:val="25"/>
          <w:kern w:val="0"/>
          <w:sz w:val="31"/>
          <w:szCs w:val="31"/>
          <w:lang w:eastAsia="en-US"/>
        </w:rPr>
        <w:t>年</w:t>
      </w:r>
      <w:r>
        <w:rPr>
          <w:rFonts w:hint="eastAsia" w:ascii="宋体" w:hAnsi="宋体" w:eastAsia="宋体" w:cs="宋体"/>
          <w:b/>
          <w:bCs/>
          <w:snapToGrid w:val="0"/>
          <w:color w:val="auto"/>
          <w:spacing w:val="25"/>
          <w:kern w:val="0"/>
          <w:sz w:val="31"/>
          <w:szCs w:val="31"/>
          <w:lang w:val="en-US" w:eastAsia="zh-CN"/>
        </w:rPr>
        <w:t>7</w:t>
      </w:r>
      <w:r>
        <w:rPr>
          <w:rFonts w:hint="eastAsia" w:ascii="宋体" w:hAnsi="宋体" w:eastAsia="宋体" w:cs="宋体"/>
          <w:b/>
          <w:bCs/>
          <w:snapToGrid w:val="0"/>
          <w:color w:val="auto"/>
          <w:spacing w:val="25"/>
          <w:kern w:val="0"/>
          <w:sz w:val="31"/>
          <w:szCs w:val="31"/>
          <w:lang w:eastAsia="en-US"/>
        </w:rPr>
        <w:t>月</w:t>
      </w:r>
    </w:p>
    <w:p w14:paraId="6119CAA8">
      <w:pPr>
        <w:pStyle w:val="15"/>
        <w:tabs>
          <w:tab w:val="right" w:leader="dot" w:pos="9214"/>
        </w:tabs>
        <w:spacing w:line="276" w:lineRule="auto"/>
        <w:ind w:right="84" w:rightChars="40"/>
        <w:jc w:val="center"/>
        <w:rPr>
          <w:rFonts w:hint="eastAsia" w:ascii="宋体" w:hAnsi="宋体" w:eastAsia="宋体" w:cs="宋体"/>
          <w:color w:val="000000"/>
          <w:sz w:val="52"/>
          <w:szCs w:val="52"/>
          <w:highlight w:val="none"/>
          <w:lang w:val="zh-CN"/>
        </w:rPr>
        <w:sectPr>
          <w:footerReference r:id="rId3" w:type="default"/>
          <w:pgSz w:w="11906" w:h="16838"/>
          <w:pgMar w:top="1440" w:right="1080" w:bottom="1440" w:left="1080" w:header="851" w:footer="992" w:gutter="0"/>
          <w:pgBorders>
            <w:top w:val="none" w:sz="0" w:space="0"/>
            <w:left w:val="none" w:sz="0" w:space="0"/>
            <w:bottom w:val="none" w:sz="0" w:space="0"/>
            <w:right w:val="none" w:sz="0" w:space="0"/>
          </w:pgBorders>
          <w:pgNumType w:fmt="decimal" w:start="1"/>
          <w:cols w:space="0" w:num="1"/>
          <w:rtlGutter w:val="0"/>
          <w:docGrid w:type="lines" w:linePitch="460" w:charSpace="0"/>
        </w:sectPr>
      </w:pPr>
    </w:p>
    <w:p w14:paraId="74E66F23">
      <w:pPr>
        <w:pStyle w:val="15"/>
        <w:tabs>
          <w:tab w:val="right" w:leader="dot" w:pos="9214"/>
        </w:tabs>
        <w:spacing w:line="276" w:lineRule="auto"/>
        <w:ind w:right="84" w:rightChars="40"/>
        <w:jc w:val="center"/>
        <w:rPr>
          <w:rFonts w:hint="eastAsia" w:ascii="宋体" w:hAnsi="宋体" w:eastAsia="宋体" w:cs="宋体"/>
          <w:color w:val="000000"/>
          <w:sz w:val="52"/>
          <w:szCs w:val="52"/>
          <w:highlight w:val="none"/>
          <w:lang w:val="zh-CN"/>
        </w:rPr>
      </w:pPr>
      <w:r>
        <w:rPr>
          <w:rFonts w:hint="eastAsia" w:ascii="宋体" w:hAnsi="宋体" w:eastAsia="宋体" w:cs="宋体"/>
          <w:color w:val="000000"/>
          <w:sz w:val="52"/>
          <w:szCs w:val="52"/>
          <w:highlight w:val="none"/>
          <w:lang w:val="zh-CN"/>
        </w:rPr>
        <w:t>目    录</w:t>
      </w:r>
    </w:p>
    <w:p w14:paraId="63102C5C">
      <w:pPr>
        <w:pStyle w:val="15"/>
        <w:tabs>
          <w:tab w:val="right" w:leader="dot" w:pos="8789"/>
        </w:tabs>
        <w:rPr>
          <w:rFonts w:hint="eastAsia" w:ascii="宋体" w:hAnsi="宋体" w:eastAsia="宋体" w:cs="宋体"/>
          <w:color w:val="000000"/>
          <w:sz w:val="32"/>
          <w:szCs w:val="32"/>
          <w:highlight w:val="none"/>
          <w:lang w:val="zh-CN"/>
        </w:rPr>
      </w:pPr>
    </w:p>
    <w:p w14:paraId="22C6439A">
      <w:pPr>
        <w:pStyle w:val="15"/>
        <w:tabs>
          <w:tab w:val="right" w:leader="dot" w:pos="10206"/>
        </w:tabs>
        <w:rPr>
          <w:color w:val="000000"/>
          <w:sz w:val="28"/>
          <w:szCs w:val="28"/>
          <w:highlight w:val="none"/>
        </w:rPr>
      </w:pPr>
      <w:r>
        <w:rPr>
          <w:rFonts w:hint="eastAsia" w:ascii="宋体" w:hAnsi="宋体" w:eastAsia="宋体" w:cs="宋体"/>
          <w:b w:val="0"/>
          <w:bCs w:val="0"/>
          <w:color w:val="000000"/>
          <w:sz w:val="28"/>
          <w:szCs w:val="28"/>
          <w:highlight w:val="none"/>
        </w:rPr>
        <w:fldChar w:fldCharType="begin"/>
      </w:r>
      <w:r>
        <w:rPr>
          <w:rFonts w:hint="eastAsia" w:ascii="宋体" w:hAnsi="宋体" w:eastAsia="宋体" w:cs="宋体"/>
          <w:b w:val="0"/>
          <w:bCs w:val="0"/>
          <w:color w:val="000000"/>
          <w:sz w:val="28"/>
          <w:szCs w:val="28"/>
          <w:highlight w:val="none"/>
        </w:rPr>
        <w:instrText xml:space="preserve">TOC \t "样式3,1" \h</w:instrText>
      </w:r>
      <w:r>
        <w:rPr>
          <w:rFonts w:hint="eastAsia" w:ascii="宋体" w:hAnsi="宋体" w:eastAsia="宋体" w:cs="宋体"/>
          <w:b w:val="0"/>
          <w:bCs w:val="0"/>
          <w:color w:val="000000"/>
          <w:sz w:val="28"/>
          <w:szCs w:val="28"/>
          <w:highlight w:val="none"/>
        </w:rPr>
        <w:fldChar w:fldCharType="separate"/>
      </w:r>
      <w:r>
        <w:rPr>
          <w:rFonts w:hint="eastAsia" w:ascii="宋体" w:hAnsi="宋体" w:eastAsia="宋体" w:cs="宋体"/>
          <w:bCs w:val="0"/>
          <w:color w:val="000000"/>
          <w:sz w:val="28"/>
          <w:szCs w:val="28"/>
          <w:highlight w:val="none"/>
        </w:rPr>
        <w:fldChar w:fldCharType="begin"/>
      </w:r>
      <w:r>
        <w:rPr>
          <w:rFonts w:hint="eastAsia" w:ascii="宋体" w:hAnsi="宋体" w:eastAsia="宋体" w:cs="宋体"/>
          <w:bCs w:val="0"/>
          <w:color w:val="000000"/>
          <w:sz w:val="28"/>
          <w:szCs w:val="28"/>
          <w:highlight w:val="none"/>
        </w:rPr>
        <w:instrText xml:space="preserve"> HYPERLINK \l _Toc6322 </w:instrText>
      </w:r>
      <w:r>
        <w:rPr>
          <w:rFonts w:hint="eastAsia" w:ascii="宋体" w:hAnsi="宋体" w:eastAsia="宋体" w:cs="宋体"/>
          <w:bCs w:val="0"/>
          <w:color w:val="000000"/>
          <w:sz w:val="28"/>
          <w:szCs w:val="28"/>
          <w:highlight w:val="none"/>
        </w:rPr>
        <w:fldChar w:fldCharType="separate"/>
      </w:r>
      <w:r>
        <w:rPr>
          <w:rFonts w:hint="eastAsia"/>
          <w:color w:val="000000"/>
          <w:sz w:val="28"/>
          <w:szCs w:val="28"/>
          <w:highlight w:val="none"/>
          <w:lang w:val="en-US" w:eastAsia="zh-CN"/>
        </w:rPr>
        <w:t>第一章  招标</w:t>
      </w:r>
      <w:r>
        <w:rPr>
          <w:rFonts w:hint="eastAsia"/>
          <w:color w:val="000000"/>
          <w:sz w:val="28"/>
          <w:szCs w:val="28"/>
          <w:highlight w:val="none"/>
          <w:lang w:eastAsia="zh-CN"/>
        </w:rPr>
        <w:t>公告</w:t>
      </w:r>
      <w:r>
        <w:rPr>
          <w:color w:val="000000"/>
          <w:sz w:val="28"/>
          <w:szCs w:val="28"/>
          <w:highlight w:val="none"/>
        </w:rPr>
        <w:tab/>
      </w:r>
      <w:r>
        <w:rPr>
          <w:rFonts w:hint="eastAsia"/>
          <w:color w:val="000000"/>
          <w:sz w:val="28"/>
          <w:szCs w:val="28"/>
          <w:highlight w:val="none"/>
          <w:lang w:val="en-US" w:eastAsia="zh-CN"/>
        </w:rPr>
        <w:t>1</w:t>
      </w:r>
      <w:r>
        <w:rPr>
          <w:rFonts w:hint="eastAsia" w:ascii="宋体" w:hAnsi="宋体" w:eastAsia="宋体" w:cs="宋体"/>
          <w:bCs w:val="0"/>
          <w:color w:val="000000"/>
          <w:sz w:val="28"/>
          <w:szCs w:val="28"/>
          <w:highlight w:val="none"/>
        </w:rPr>
        <w:fldChar w:fldCharType="end"/>
      </w:r>
    </w:p>
    <w:p w14:paraId="7C1F0D8A">
      <w:pPr>
        <w:pStyle w:val="15"/>
        <w:tabs>
          <w:tab w:val="right" w:leader="dot" w:pos="10206"/>
        </w:tabs>
        <w:rPr>
          <w:rFonts w:hint="eastAsia" w:eastAsia="宋体"/>
          <w:color w:val="000000"/>
          <w:sz w:val="28"/>
          <w:szCs w:val="28"/>
          <w:highlight w:val="none"/>
          <w:lang w:val="en-US" w:eastAsia="zh-CN"/>
        </w:rPr>
      </w:pPr>
      <w:r>
        <w:rPr>
          <w:rFonts w:hint="eastAsia" w:ascii="宋体" w:hAnsi="宋体" w:eastAsia="宋体" w:cs="宋体"/>
          <w:bCs w:val="0"/>
          <w:color w:val="000000"/>
          <w:sz w:val="28"/>
          <w:szCs w:val="28"/>
          <w:highlight w:val="none"/>
        </w:rPr>
        <w:fldChar w:fldCharType="begin"/>
      </w:r>
      <w:r>
        <w:rPr>
          <w:rFonts w:hint="eastAsia" w:ascii="宋体" w:hAnsi="宋体" w:eastAsia="宋体" w:cs="宋体"/>
          <w:bCs w:val="0"/>
          <w:color w:val="000000"/>
          <w:sz w:val="28"/>
          <w:szCs w:val="28"/>
          <w:highlight w:val="none"/>
        </w:rPr>
        <w:instrText xml:space="preserve"> HYPERLINK \l _Toc2139 </w:instrText>
      </w:r>
      <w:r>
        <w:rPr>
          <w:rFonts w:hint="eastAsia" w:ascii="宋体" w:hAnsi="宋体" w:eastAsia="宋体" w:cs="宋体"/>
          <w:bCs w:val="0"/>
          <w:color w:val="000000"/>
          <w:sz w:val="28"/>
          <w:szCs w:val="28"/>
          <w:highlight w:val="none"/>
        </w:rPr>
        <w:fldChar w:fldCharType="separate"/>
      </w:r>
      <w:r>
        <w:rPr>
          <w:rFonts w:hint="eastAsia"/>
          <w:bCs/>
          <w:color w:val="000000"/>
          <w:sz w:val="28"/>
          <w:szCs w:val="28"/>
          <w:highlight w:val="none"/>
        </w:rPr>
        <w:t xml:space="preserve">第二章  </w:t>
      </w:r>
      <w:r>
        <w:rPr>
          <w:rFonts w:hint="eastAsia"/>
          <w:bCs/>
          <w:color w:val="000000"/>
          <w:sz w:val="28"/>
          <w:szCs w:val="28"/>
          <w:highlight w:val="none"/>
          <w:lang w:val="en-US" w:eastAsia="zh-CN"/>
        </w:rPr>
        <w:t>投标人</w:t>
      </w:r>
      <w:r>
        <w:rPr>
          <w:rFonts w:hint="eastAsia"/>
          <w:bCs/>
          <w:color w:val="000000"/>
          <w:sz w:val="28"/>
          <w:szCs w:val="28"/>
          <w:highlight w:val="none"/>
        </w:rPr>
        <w:t>须知</w:t>
      </w:r>
      <w:r>
        <w:rPr>
          <w:color w:val="000000"/>
          <w:sz w:val="28"/>
          <w:szCs w:val="28"/>
          <w:highlight w:val="none"/>
        </w:rPr>
        <w:tab/>
      </w:r>
      <w:r>
        <w:rPr>
          <w:rFonts w:hint="eastAsia"/>
          <w:color w:val="000000"/>
          <w:sz w:val="28"/>
          <w:szCs w:val="28"/>
          <w:highlight w:val="none"/>
          <w:lang w:val="en-US" w:eastAsia="zh-CN"/>
        </w:rPr>
        <w:t>4</w:t>
      </w:r>
      <w:r>
        <w:rPr>
          <w:rFonts w:hint="eastAsia" w:ascii="宋体" w:hAnsi="宋体" w:eastAsia="宋体" w:cs="宋体"/>
          <w:bCs w:val="0"/>
          <w:color w:val="000000"/>
          <w:sz w:val="28"/>
          <w:szCs w:val="28"/>
          <w:highlight w:val="none"/>
        </w:rPr>
        <w:fldChar w:fldCharType="end"/>
      </w:r>
    </w:p>
    <w:p w14:paraId="74D94AC0">
      <w:pPr>
        <w:pStyle w:val="15"/>
        <w:tabs>
          <w:tab w:val="right" w:leader="dot" w:pos="10206"/>
        </w:tabs>
        <w:rPr>
          <w:rFonts w:hint="eastAsia" w:eastAsia="宋体"/>
          <w:color w:val="000000"/>
          <w:sz w:val="28"/>
          <w:szCs w:val="28"/>
          <w:highlight w:val="none"/>
          <w:lang w:val="en-US" w:eastAsia="zh-CN"/>
        </w:rPr>
      </w:pPr>
      <w:r>
        <w:rPr>
          <w:rFonts w:hint="eastAsia" w:ascii="宋体" w:hAnsi="宋体" w:eastAsia="宋体" w:cs="宋体"/>
          <w:bCs w:val="0"/>
          <w:color w:val="000000"/>
          <w:sz w:val="28"/>
          <w:szCs w:val="28"/>
          <w:highlight w:val="none"/>
        </w:rPr>
        <w:fldChar w:fldCharType="begin"/>
      </w:r>
      <w:r>
        <w:rPr>
          <w:rFonts w:hint="eastAsia" w:ascii="宋体" w:hAnsi="宋体" w:eastAsia="宋体" w:cs="宋体"/>
          <w:bCs w:val="0"/>
          <w:color w:val="000000"/>
          <w:sz w:val="28"/>
          <w:szCs w:val="28"/>
          <w:highlight w:val="none"/>
        </w:rPr>
        <w:instrText xml:space="preserve"> HYPERLINK \l _Toc10005 </w:instrText>
      </w:r>
      <w:r>
        <w:rPr>
          <w:rFonts w:hint="eastAsia" w:ascii="宋体" w:hAnsi="宋体" w:eastAsia="宋体" w:cs="宋体"/>
          <w:bCs w:val="0"/>
          <w:color w:val="000000"/>
          <w:sz w:val="28"/>
          <w:szCs w:val="28"/>
          <w:highlight w:val="none"/>
        </w:rPr>
        <w:fldChar w:fldCharType="separate"/>
      </w:r>
      <w:r>
        <w:rPr>
          <w:rFonts w:hint="eastAsia"/>
          <w:bCs/>
          <w:color w:val="000000"/>
          <w:sz w:val="28"/>
          <w:szCs w:val="28"/>
          <w:highlight w:val="none"/>
          <w:lang w:val="zh-CN"/>
        </w:rPr>
        <w:t>第三章</w:t>
      </w:r>
      <w:r>
        <w:rPr>
          <w:rFonts w:hint="eastAsia"/>
          <w:bCs/>
          <w:color w:val="000000"/>
          <w:sz w:val="28"/>
          <w:szCs w:val="28"/>
          <w:highlight w:val="none"/>
        </w:rPr>
        <w:t xml:space="preserve">  </w:t>
      </w:r>
      <w:r>
        <w:rPr>
          <w:rFonts w:hint="eastAsia"/>
          <w:bCs/>
          <w:color w:val="000000"/>
          <w:sz w:val="28"/>
          <w:szCs w:val="28"/>
          <w:highlight w:val="none"/>
          <w:lang w:val="en-US" w:eastAsia="zh-CN"/>
        </w:rPr>
        <w:t>政府采购合同</w:t>
      </w:r>
      <w:r>
        <w:rPr>
          <w:color w:val="000000"/>
          <w:sz w:val="28"/>
          <w:szCs w:val="28"/>
          <w:highlight w:val="none"/>
        </w:rPr>
        <w:tab/>
      </w:r>
      <w:r>
        <w:rPr>
          <w:rFonts w:hint="eastAsia"/>
          <w:color w:val="000000"/>
          <w:sz w:val="28"/>
          <w:szCs w:val="28"/>
          <w:highlight w:val="none"/>
          <w:lang w:val="en-US" w:eastAsia="zh-CN"/>
        </w:rPr>
        <w:t>1</w:t>
      </w:r>
      <w:r>
        <w:rPr>
          <w:rFonts w:hint="eastAsia" w:ascii="宋体" w:hAnsi="宋体" w:eastAsia="宋体" w:cs="宋体"/>
          <w:bCs w:val="0"/>
          <w:color w:val="000000"/>
          <w:sz w:val="28"/>
          <w:szCs w:val="28"/>
          <w:highlight w:val="none"/>
        </w:rPr>
        <w:fldChar w:fldCharType="end"/>
      </w:r>
      <w:r>
        <w:rPr>
          <w:rFonts w:hint="eastAsia" w:ascii="宋体" w:hAnsi="宋体" w:eastAsia="宋体" w:cs="宋体"/>
          <w:bCs w:val="0"/>
          <w:color w:val="000000"/>
          <w:sz w:val="28"/>
          <w:szCs w:val="28"/>
          <w:highlight w:val="none"/>
          <w:lang w:val="en-US" w:eastAsia="zh-CN"/>
        </w:rPr>
        <w:t>0</w:t>
      </w:r>
    </w:p>
    <w:p w14:paraId="15DF1E4C">
      <w:pPr>
        <w:pStyle w:val="15"/>
        <w:tabs>
          <w:tab w:val="right" w:leader="dot" w:pos="10206"/>
        </w:tabs>
        <w:rPr>
          <w:rFonts w:hint="eastAsia" w:eastAsia="宋体"/>
          <w:color w:val="000000"/>
          <w:sz w:val="28"/>
          <w:szCs w:val="28"/>
          <w:highlight w:val="none"/>
          <w:lang w:val="en-US" w:eastAsia="zh-CN"/>
        </w:rPr>
      </w:pPr>
      <w:r>
        <w:rPr>
          <w:rFonts w:hint="eastAsia" w:ascii="宋体" w:hAnsi="宋体" w:eastAsia="宋体" w:cs="宋体"/>
          <w:bCs w:val="0"/>
          <w:color w:val="000000"/>
          <w:sz w:val="28"/>
          <w:szCs w:val="28"/>
          <w:highlight w:val="none"/>
        </w:rPr>
        <w:fldChar w:fldCharType="begin"/>
      </w:r>
      <w:r>
        <w:rPr>
          <w:rFonts w:hint="eastAsia" w:ascii="宋体" w:hAnsi="宋体" w:eastAsia="宋体" w:cs="宋体"/>
          <w:bCs w:val="0"/>
          <w:color w:val="000000"/>
          <w:sz w:val="28"/>
          <w:szCs w:val="28"/>
          <w:highlight w:val="none"/>
        </w:rPr>
        <w:instrText xml:space="preserve"> HYPERLINK \l _Toc18994 </w:instrText>
      </w:r>
      <w:r>
        <w:rPr>
          <w:rFonts w:hint="eastAsia" w:ascii="宋体" w:hAnsi="宋体" w:eastAsia="宋体" w:cs="宋体"/>
          <w:bCs w:val="0"/>
          <w:color w:val="000000"/>
          <w:sz w:val="28"/>
          <w:szCs w:val="28"/>
          <w:highlight w:val="none"/>
        </w:rPr>
        <w:fldChar w:fldCharType="separate"/>
      </w:r>
      <w:r>
        <w:rPr>
          <w:rFonts w:hint="eastAsia"/>
          <w:color w:val="000000"/>
          <w:sz w:val="28"/>
          <w:szCs w:val="28"/>
          <w:highlight w:val="none"/>
          <w:lang w:val="zh-CN"/>
        </w:rPr>
        <w:t>第四章</w:t>
      </w:r>
      <w:r>
        <w:rPr>
          <w:rFonts w:hint="eastAsia"/>
          <w:color w:val="000000"/>
          <w:sz w:val="28"/>
          <w:szCs w:val="28"/>
          <w:highlight w:val="none"/>
        </w:rPr>
        <w:t xml:space="preserve">  </w:t>
      </w:r>
      <w:r>
        <w:rPr>
          <w:rFonts w:hint="eastAsia"/>
          <w:color w:val="000000"/>
          <w:sz w:val="28"/>
          <w:szCs w:val="28"/>
          <w:highlight w:val="none"/>
          <w:lang w:val="zh-CN"/>
        </w:rPr>
        <w:t>采购需求</w:t>
      </w:r>
      <w:r>
        <w:rPr>
          <w:color w:val="000000"/>
          <w:sz w:val="28"/>
          <w:szCs w:val="28"/>
          <w:highlight w:val="none"/>
        </w:rPr>
        <w:tab/>
      </w:r>
      <w:r>
        <w:rPr>
          <w:rFonts w:hint="eastAsia"/>
          <w:color w:val="000000"/>
          <w:sz w:val="28"/>
          <w:szCs w:val="28"/>
          <w:highlight w:val="none"/>
          <w:lang w:val="en-US" w:eastAsia="zh-CN"/>
        </w:rPr>
        <w:t>1</w:t>
      </w:r>
      <w:r>
        <w:rPr>
          <w:rFonts w:hint="eastAsia" w:ascii="宋体" w:hAnsi="宋体" w:eastAsia="宋体" w:cs="宋体"/>
          <w:bCs w:val="0"/>
          <w:color w:val="000000"/>
          <w:sz w:val="28"/>
          <w:szCs w:val="28"/>
          <w:highlight w:val="none"/>
        </w:rPr>
        <w:fldChar w:fldCharType="end"/>
      </w:r>
      <w:r>
        <w:rPr>
          <w:rFonts w:hint="eastAsia" w:ascii="宋体" w:hAnsi="宋体" w:eastAsia="宋体" w:cs="宋体"/>
          <w:bCs w:val="0"/>
          <w:color w:val="000000"/>
          <w:sz w:val="28"/>
          <w:szCs w:val="28"/>
          <w:highlight w:val="none"/>
          <w:lang w:val="en-US" w:eastAsia="zh-CN"/>
        </w:rPr>
        <w:t>9</w:t>
      </w:r>
    </w:p>
    <w:p w14:paraId="71CA1611">
      <w:pPr>
        <w:pStyle w:val="15"/>
        <w:tabs>
          <w:tab w:val="right" w:leader="dot" w:pos="10206"/>
        </w:tabs>
        <w:rPr>
          <w:rFonts w:hint="eastAsia" w:eastAsia="宋体"/>
          <w:color w:val="000000"/>
          <w:sz w:val="28"/>
          <w:szCs w:val="28"/>
          <w:highlight w:val="none"/>
          <w:lang w:val="en-US" w:eastAsia="zh-CN"/>
        </w:rPr>
      </w:pPr>
      <w:r>
        <w:rPr>
          <w:rFonts w:hint="eastAsia" w:ascii="宋体" w:hAnsi="宋体" w:eastAsia="宋体" w:cs="宋体"/>
          <w:bCs w:val="0"/>
          <w:color w:val="000000"/>
          <w:sz w:val="28"/>
          <w:szCs w:val="28"/>
          <w:highlight w:val="none"/>
        </w:rPr>
        <w:fldChar w:fldCharType="begin"/>
      </w:r>
      <w:r>
        <w:rPr>
          <w:rFonts w:hint="eastAsia" w:ascii="宋体" w:hAnsi="宋体" w:eastAsia="宋体" w:cs="宋体"/>
          <w:bCs w:val="0"/>
          <w:color w:val="000000"/>
          <w:sz w:val="28"/>
          <w:szCs w:val="28"/>
          <w:highlight w:val="none"/>
        </w:rPr>
        <w:instrText xml:space="preserve"> HYPERLINK \l _Toc18861 </w:instrText>
      </w:r>
      <w:r>
        <w:rPr>
          <w:rFonts w:hint="eastAsia" w:ascii="宋体" w:hAnsi="宋体" w:eastAsia="宋体" w:cs="宋体"/>
          <w:bCs w:val="0"/>
          <w:color w:val="000000"/>
          <w:sz w:val="28"/>
          <w:szCs w:val="28"/>
          <w:highlight w:val="none"/>
        </w:rPr>
        <w:fldChar w:fldCharType="separate"/>
      </w:r>
      <w:r>
        <w:rPr>
          <w:rFonts w:hint="eastAsia"/>
          <w:color w:val="000000"/>
          <w:sz w:val="28"/>
          <w:szCs w:val="28"/>
          <w:highlight w:val="none"/>
          <w:lang w:val="zh-CN"/>
        </w:rPr>
        <w:t>第五章</w:t>
      </w:r>
      <w:r>
        <w:rPr>
          <w:rFonts w:hint="eastAsia"/>
          <w:color w:val="000000"/>
          <w:sz w:val="28"/>
          <w:szCs w:val="28"/>
          <w:highlight w:val="none"/>
          <w:lang w:val="en-US" w:eastAsia="zh-CN"/>
        </w:rPr>
        <w:t xml:space="preserve">  </w:t>
      </w:r>
      <w:r>
        <w:rPr>
          <w:rFonts w:hint="eastAsia"/>
          <w:color w:val="000000"/>
          <w:sz w:val="28"/>
          <w:szCs w:val="28"/>
          <w:highlight w:val="none"/>
          <w:lang w:val="zh-CN"/>
        </w:rPr>
        <w:t>评标办法</w:t>
      </w:r>
      <w:r>
        <w:rPr>
          <w:color w:val="000000"/>
          <w:sz w:val="28"/>
          <w:szCs w:val="28"/>
          <w:highlight w:val="none"/>
        </w:rPr>
        <w:tab/>
      </w:r>
      <w:r>
        <w:rPr>
          <w:rFonts w:hint="eastAsia"/>
          <w:color w:val="000000"/>
          <w:sz w:val="28"/>
          <w:szCs w:val="28"/>
          <w:highlight w:val="none"/>
          <w:lang w:val="en-US" w:eastAsia="zh-CN"/>
        </w:rPr>
        <w:t>3</w:t>
      </w:r>
      <w:r>
        <w:rPr>
          <w:rFonts w:hint="eastAsia" w:ascii="宋体" w:hAnsi="宋体" w:eastAsia="宋体" w:cs="宋体"/>
          <w:bCs w:val="0"/>
          <w:color w:val="000000"/>
          <w:sz w:val="28"/>
          <w:szCs w:val="28"/>
          <w:highlight w:val="none"/>
        </w:rPr>
        <w:fldChar w:fldCharType="end"/>
      </w:r>
      <w:r>
        <w:rPr>
          <w:rFonts w:hint="eastAsia" w:ascii="宋体" w:hAnsi="宋体" w:eastAsia="宋体" w:cs="宋体"/>
          <w:bCs w:val="0"/>
          <w:color w:val="000000"/>
          <w:sz w:val="28"/>
          <w:szCs w:val="28"/>
          <w:highlight w:val="none"/>
          <w:lang w:val="en-US" w:eastAsia="zh-CN"/>
        </w:rPr>
        <w:t>6</w:t>
      </w:r>
    </w:p>
    <w:p w14:paraId="71CFE3AE">
      <w:pPr>
        <w:pStyle w:val="15"/>
        <w:tabs>
          <w:tab w:val="right" w:leader="dot" w:pos="10206"/>
        </w:tabs>
        <w:rPr>
          <w:rFonts w:hint="eastAsia" w:ascii="宋体" w:hAnsi="宋体" w:eastAsia="宋体" w:cs="宋体"/>
          <w:bCs w:val="0"/>
          <w:color w:val="000000"/>
          <w:sz w:val="28"/>
          <w:szCs w:val="28"/>
          <w:highlight w:val="none"/>
          <w:lang w:val="en-US" w:eastAsia="zh-CN"/>
        </w:rPr>
      </w:pPr>
      <w:r>
        <w:rPr>
          <w:rFonts w:hint="eastAsia" w:ascii="宋体" w:hAnsi="宋体" w:eastAsia="宋体" w:cs="宋体"/>
          <w:bCs w:val="0"/>
          <w:color w:val="000000"/>
          <w:sz w:val="28"/>
          <w:szCs w:val="28"/>
          <w:highlight w:val="none"/>
        </w:rPr>
        <w:fldChar w:fldCharType="begin"/>
      </w:r>
      <w:r>
        <w:rPr>
          <w:rFonts w:hint="eastAsia" w:ascii="宋体" w:hAnsi="宋体" w:eastAsia="宋体" w:cs="宋体"/>
          <w:bCs w:val="0"/>
          <w:color w:val="000000"/>
          <w:sz w:val="28"/>
          <w:szCs w:val="28"/>
          <w:highlight w:val="none"/>
        </w:rPr>
        <w:instrText xml:space="preserve"> HYPERLINK \l _Toc7350 </w:instrText>
      </w:r>
      <w:r>
        <w:rPr>
          <w:rFonts w:hint="eastAsia" w:ascii="宋体" w:hAnsi="宋体" w:eastAsia="宋体" w:cs="宋体"/>
          <w:bCs w:val="0"/>
          <w:color w:val="000000"/>
          <w:sz w:val="28"/>
          <w:szCs w:val="28"/>
          <w:highlight w:val="none"/>
        </w:rPr>
        <w:fldChar w:fldCharType="separate"/>
      </w:r>
      <w:r>
        <w:rPr>
          <w:rFonts w:hint="eastAsia"/>
          <w:bCs/>
          <w:color w:val="000000"/>
          <w:sz w:val="28"/>
          <w:szCs w:val="28"/>
          <w:highlight w:val="none"/>
          <w:lang w:val="zh-CN" w:eastAsia="zh-CN"/>
        </w:rPr>
        <w:t>第六章</w:t>
      </w:r>
      <w:r>
        <w:rPr>
          <w:rFonts w:hint="eastAsia"/>
          <w:bCs/>
          <w:color w:val="000000"/>
          <w:sz w:val="28"/>
          <w:szCs w:val="28"/>
          <w:highlight w:val="none"/>
          <w:lang w:val="en-US" w:eastAsia="zh-CN"/>
        </w:rPr>
        <w:t xml:space="preserve">  投标文件主要条款及格式样本</w:t>
      </w:r>
      <w:r>
        <w:rPr>
          <w:color w:val="000000"/>
          <w:sz w:val="28"/>
          <w:szCs w:val="28"/>
          <w:highlight w:val="none"/>
        </w:rPr>
        <w:tab/>
      </w:r>
      <w:r>
        <w:rPr>
          <w:rFonts w:hint="eastAsia"/>
          <w:color w:val="000000"/>
          <w:sz w:val="28"/>
          <w:szCs w:val="28"/>
          <w:highlight w:val="none"/>
          <w:lang w:val="en-US" w:eastAsia="zh-CN"/>
        </w:rPr>
        <w:t>4</w:t>
      </w:r>
      <w:r>
        <w:rPr>
          <w:rFonts w:hint="eastAsia" w:ascii="宋体" w:hAnsi="宋体" w:eastAsia="宋体" w:cs="宋体"/>
          <w:bCs w:val="0"/>
          <w:color w:val="000000"/>
          <w:sz w:val="28"/>
          <w:szCs w:val="28"/>
          <w:highlight w:val="none"/>
        </w:rPr>
        <w:fldChar w:fldCharType="end"/>
      </w:r>
      <w:r>
        <w:rPr>
          <w:rFonts w:hint="eastAsia" w:ascii="宋体" w:hAnsi="宋体" w:eastAsia="宋体" w:cs="宋体"/>
          <w:bCs w:val="0"/>
          <w:color w:val="000000"/>
          <w:sz w:val="28"/>
          <w:szCs w:val="28"/>
          <w:highlight w:val="none"/>
          <w:lang w:val="en-US" w:eastAsia="zh-CN"/>
        </w:rPr>
        <w:t>2</w:t>
      </w:r>
    </w:p>
    <w:p w14:paraId="16D85E8F">
      <w:pPr>
        <w:sectPr>
          <w:footerReference r:id="rId4" w:type="default"/>
          <w:pgSz w:w="11906" w:h="16838"/>
          <w:pgMar w:top="1440" w:right="1080" w:bottom="1440" w:left="1080" w:header="851" w:footer="992" w:gutter="0"/>
          <w:pgBorders>
            <w:top w:val="none" w:sz="0" w:space="0"/>
            <w:left w:val="none" w:sz="0" w:space="0"/>
            <w:bottom w:val="none" w:sz="0" w:space="0"/>
            <w:right w:val="none" w:sz="0" w:space="0"/>
          </w:pgBorders>
          <w:pgNumType w:fmt="decimal" w:start="1"/>
          <w:cols w:space="0" w:num="1"/>
          <w:rtlGutter w:val="0"/>
          <w:docGrid w:type="lines" w:linePitch="460" w:charSpace="0"/>
        </w:sectPr>
      </w:pPr>
    </w:p>
    <w:p w14:paraId="2EBDF466">
      <w:pPr>
        <w:pStyle w:val="29"/>
      </w:pPr>
    </w:p>
    <w:p w14:paraId="40E7B132">
      <w:pPr>
        <w:pStyle w:val="3"/>
        <w:keepNext w:val="0"/>
        <w:keepLines w:val="0"/>
        <w:pageBreakBefore w:val="0"/>
        <w:kinsoku/>
        <w:overflowPunct/>
        <w:topLinePunct w:val="0"/>
        <w:bidi w:val="0"/>
        <w:spacing w:line="360" w:lineRule="auto"/>
        <w:jc w:val="center"/>
        <w:textAlignment w:val="auto"/>
        <w:rPr>
          <w:rFonts w:hint="eastAsia" w:ascii="宋体" w:hAnsi="宋体" w:eastAsia="宋体" w:cs="宋体"/>
          <w:color w:val="auto"/>
          <w:highlight w:val="none"/>
        </w:rPr>
      </w:pPr>
      <w:r>
        <w:rPr>
          <w:rFonts w:hint="eastAsia" w:ascii="宋体" w:hAnsi="宋体" w:eastAsia="宋体" w:cs="宋体"/>
          <w:bCs w:val="0"/>
          <w:color w:val="000000"/>
          <w:sz w:val="28"/>
          <w:szCs w:val="28"/>
          <w:highlight w:val="none"/>
        </w:rPr>
        <w:fldChar w:fldCharType="end"/>
      </w:r>
      <w:bookmarkEnd w:id="0"/>
      <w:bookmarkEnd w:id="1"/>
      <w:bookmarkStart w:id="3" w:name="_Toc486863664"/>
      <w:r>
        <w:rPr>
          <w:rFonts w:hint="eastAsia" w:ascii="宋体" w:hAnsi="宋体" w:eastAsia="宋体" w:cs="宋体"/>
          <w:color w:val="auto"/>
          <w:highlight w:val="none"/>
          <w:lang w:eastAsia="zh-CN"/>
        </w:rPr>
        <w:t>第一章</w:t>
      </w: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招标</w:t>
      </w:r>
      <w:r>
        <w:rPr>
          <w:rFonts w:hint="eastAsia" w:ascii="宋体" w:hAnsi="宋体" w:eastAsia="宋体" w:cs="宋体"/>
          <w:color w:val="auto"/>
          <w:highlight w:val="none"/>
        </w:rPr>
        <w:t>公告</w:t>
      </w:r>
    </w:p>
    <w:p w14:paraId="1B19B188">
      <w:pPr>
        <w:keepNext w:val="0"/>
        <w:keepLines w:val="0"/>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项目概况</w:t>
      </w:r>
    </w:p>
    <w:p w14:paraId="35E17133">
      <w:pPr>
        <w:keepNext w:val="0"/>
        <w:keepLines w:val="0"/>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lang w:val="zh-CN" w:eastAsia="zh-CN"/>
        </w:rPr>
        <w:t>2026年前郭县义务教育薄弱环节改善与能力提升—教学计算机采购项目</w:t>
      </w:r>
      <w:r>
        <w:rPr>
          <w:rFonts w:hint="eastAsia" w:ascii="宋体" w:hAnsi="宋体" w:eastAsia="宋体" w:cs="宋体"/>
          <w:color w:val="auto"/>
          <w:sz w:val="24"/>
          <w:szCs w:val="24"/>
          <w:highlight w:val="none"/>
          <w:lang w:val="zh-CN" w:eastAsia="zh-CN"/>
        </w:rPr>
        <w:t>的潜在供应商应自行登录“政采云”平台（网址：http:// www.zcygov.cn）网上注册并下载获取</w:t>
      </w:r>
      <w:r>
        <w:rPr>
          <w:rFonts w:hint="eastAsia" w:ascii="宋体" w:hAnsi="宋体" w:eastAsia="宋体" w:cs="宋体"/>
          <w:color w:val="auto"/>
          <w:sz w:val="24"/>
          <w:szCs w:val="24"/>
          <w:highlight w:val="none"/>
          <w:lang w:val="en-US" w:eastAsia="zh-CN"/>
        </w:rPr>
        <w:t>招标文件</w:t>
      </w:r>
      <w:r>
        <w:rPr>
          <w:rFonts w:hint="eastAsia" w:ascii="宋体" w:hAnsi="宋体" w:eastAsia="宋体" w:cs="宋体"/>
          <w:color w:val="auto"/>
          <w:sz w:val="24"/>
          <w:szCs w:val="24"/>
          <w:highlight w:val="none"/>
          <w:lang w:val="zh-CN" w:eastAsia="zh-CN"/>
        </w:rPr>
        <w:t>，并于</w:t>
      </w:r>
      <w:r>
        <w:rPr>
          <w:rFonts w:hint="eastAsia" w:ascii="宋体" w:hAnsi="宋体" w:eastAsia="宋体" w:cs="宋体"/>
          <w:color w:val="auto"/>
          <w:sz w:val="24"/>
          <w:szCs w:val="24"/>
          <w:highlight w:val="none"/>
          <w:u w:val="single"/>
          <w:lang w:val="zh-CN" w:eastAsia="zh-CN"/>
        </w:rPr>
        <w:t>202</w:t>
      </w:r>
      <w:r>
        <w:rPr>
          <w:rFonts w:hint="eastAsia" w:ascii="宋体" w:hAnsi="宋体" w:eastAsia="宋体" w:cs="宋体"/>
          <w:color w:val="auto"/>
          <w:sz w:val="24"/>
          <w:szCs w:val="24"/>
          <w:highlight w:val="none"/>
          <w:u w:val="single"/>
          <w:lang w:val="en-US" w:eastAsia="zh-CN"/>
        </w:rPr>
        <w:t>6</w:t>
      </w:r>
      <w:r>
        <w:rPr>
          <w:rFonts w:hint="eastAsia" w:ascii="宋体" w:hAnsi="宋体" w:eastAsia="宋体" w:cs="宋体"/>
          <w:color w:val="auto"/>
          <w:sz w:val="24"/>
          <w:szCs w:val="24"/>
          <w:highlight w:val="none"/>
          <w:u w:val="single"/>
          <w:lang w:val="zh-CN" w:eastAsia="zh-CN"/>
        </w:rPr>
        <w:t>年</w:t>
      </w:r>
      <w:r>
        <w:rPr>
          <w:rFonts w:hint="eastAsia" w:ascii="宋体" w:hAnsi="宋体" w:eastAsia="宋体" w:cs="宋体"/>
          <w:color w:val="auto"/>
          <w:sz w:val="24"/>
          <w:szCs w:val="24"/>
          <w:highlight w:val="none"/>
          <w:u w:val="single"/>
          <w:lang w:val="en-US" w:eastAsia="zh-CN"/>
        </w:rPr>
        <w:t>8</w:t>
      </w:r>
      <w:r>
        <w:rPr>
          <w:rFonts w:hint="eastAsia" w:ascii="宋体" w:hAnsi="宋体" w:eastAsia="宋体" w:cs="宋体"/>
          <w:color w:val="auto"/>
          <w:sz w:val="24"/>
          <w:szCs w:val="24"/>
          <w:highlight w:val="none"/>
          <w:u w:val="single"/>
          <w:lang w:val="zh-CN" w:eastAsia="zh-CN"/>
        </w:rPr>
        <w:t>月</w:t>
      </w:r>
      <w:r>
        <w:rPr>
          <w:rFonts w:hint="eastAsia" w:ascii="宋体" w:hAnsi="宋体" w:eastAsia="宋体" w:cs="宋体"/>
          <w:color w:val="auto"/>
          <w:sz w:val="24"/>
          <w:szCs w:val="24"/>
          <w:highlight w:val="none"/>
          <w:u w:val="single"/>
          <w:lang w:val="en-US" w:eastAsia="zh-CN"/>
        </w:rPr>
        <w:t>12</w:t>
      </w:r>
      <w:r>
        <w:rPr>
          <w:rFonts w:hint="eastAsia" w:ascii="宋体" w:hAnsi="宋体" w:eastAsia="宋体" w:cs="宋体"/>
          <w:color w:val="auto"/>
          <w:sz w:val="24"/>
          <w:szCs w:val="24"/>
          <w:highlight w:val="none"/>
          <w:u w:val="single"/>
          <w:lang w:val="zh-CN" w:eastAsia="zh-CN"/>
        </w:rPr>
        <w:t>日</w:t>
      </w:r>
      <w:r>
        <w:rPr>
          <w:rFonts w:hint="eastAsia" w:ascii="宋体" w:hAnsi="宋体" w:eastAsia="宋体" w:cs="宋体"/>
          <w:color w:val="auto"/>
          <w:sz w:val="24"/>
          <w:szCs w:val="24"/>
          <w:highlight w:val="none"/>
          <w:u w:val="single"/>
          <w:lang w:val="en-US" w:eastAsia="zh-CN"/>
        </w:rPr>
        <w:t>9时00</w:t>
      </w:r>
      <w:r>
        <w:rPr>
          <w:rFonts w:hint="eastAsia" w:ascii="宋体" w:hAnsi="宋体" w:eastAsia="宋体" w:cs="宋体"/>
          <w:color w:val="auto"/>
          <w:sz w:val="24"/>
          <w:szCs w:val="24"/>
          <w:highlight w:val="none"/>
          <w:u w:val="single"/>
          <w:lang w:val="zh-CN" w:eastAsia="zh-CN"/>
        </w:rPr>
        <w:t>分（北京时间）</w:t>
      </w:r>
      <w:r>
        <w:rPr>
          <w:rFonts w:hint="eastAsia" w:ascii="宋体" w:hAnsi="宋体" w:eastAsia="宋体" w:cs="宋体"/>
          <w:color w:val="auto"/>
          <w:sz w:val="24"/>
          <w:szCs w:val="24"/>
          <w:highlight w:val="none"/>
          <w:lang w:val="zh-CN" w:eastAsia="zh-CN"/>
        </w:rPr>
        <w:t>前提交响应文件</w:t>
      </w:r>
      <w:r>
        <w:rPr>
          <w:rFonts w:hint="eastAsia" w:ascii="宋体" w:hAnsi="宋体" w:eastAsia="宋体" w:cs="宋体"/>
          <w:color w:val="auto"/>
          <w:sz w:val="24"/>
          <w:szCs w:val="24"/>
          <w:highlight w:val="none"/>
          <w:lang w:eastAsia="zh-CN"/>
        </w:rPr>
        <w:t>。</w:t>
      </w:r>
    </w:p>
    <w:p w14:paraId="7E2F7AE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一、项目基本情况</w:t>
      </w:r>
    </w:p>
    <w:p w14:paraId="44BDAFD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项目编号：采购计划-[2026]-00220-2026008</w:t>
      </w:r>
    </w:p>
    <w:p w14:paraId="66B5E190">
      <w:pPr>
        <w:keepNext w:val="0"/>
        <w:keepLines w:val="0"/>
        <w:pageBreakBefore w:val="0"/>
        <w:widowControl w:val="0"/>
        <w:kinsoku/>
        <w:wordWrap/>
        <w:overflowPunct/>
        <w:topLinePunct w:val="0"/>
        <w:autoSpaceDE/>
        <w:autoSpaceDN/>
        <w:bidi w:val="0"/>
        <w:adjustRightInd/>
        <w:snapToGrid/>
        <w:spacing w:line="360" w:lineRule="auto"/>
        <w:ind w:left="1679" w:leftChars="228" w:hanging="1200" w:hangingChars="5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项目名称：</w:t>
      </w:r>
      <w:r>
        <w:rPr>
          <w:rFonts w:hint="eastAsia" w:ascii="宋体" w:hAnsi="宋体" w:eastAsia="宋体" w:cs="宋体"/>
          <w:color w:val="auto"/>
          <w:sz w:val="24"/>
          <w:szCs w:val="24"/>
          <w:highlight w:val="none"/>
          <w:lang w:val="en-US" w:eastAsia="zh-CN"/>
        </w:rPr>
        <w:t>2026年前郭县义务教育薄弱环节改善与能力提升—教学计算机采购项目</w:t>
      </w:r>
    </w:p>
    <w:p w14:paraId="0CDBC65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采购方式</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公开招标</w:t>
      </w:r>
    </w:p>
    <w:p w14:paraId="129C85C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预算金额：</w:t>
      </w:r>
      <w:r>
        <w:rPr>
          <w:rFonts w:hint="eastAsia" w:ascii="宋体" w:hAnsi="宋体" w:eastAsia="宋体" w:cs="宋体"/>
          <w:color w:val="auto"/>
          <w:sz w:val="24"/>
          <w:szCs w:val="24"/>
          <w:highlight w:val="none"/>
          <w:lang w:val="en-US" w:eastAsia="zh-CN"/>
        </w:rPr>
        <w:t>2805120.00元</w:t>
      </w:r>
    </w:p>
    <w:p w14:paraId="70FB4C3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最高限价：</w:t>
      </w:r>
      <w:bookmarkStart w:id="4" w:name="_Toc35393799"/>
      <w:bookmarkStart w:id="5" w:name="_Toc35393630"/>
      <w:bookmarkStart w:id="6" w:name="_Toc28359013"/>
      <w:bookmarkStart w:id="7" w:name="_Toc28359090"/>
      <w:r>
        <w:rPr>
          <w:rFonts w:hint="eastAsia" w:ascii="宋体" w:hAnsi="宋体" w:eastAsia="宋体" w:cs="宋体"/>
          <w:color w:val="auto"/>
          <w:sz w:val="24"/>
          <w:szCs w:val="24"/>
          <w:highlight w:val="none"/>
          <w:lang w:val="en-US" w:eastAsia="zh-CN"/>
        </w:rPr>
        <w:t>2805120.00元</w:t>
      </w:r>
    </w:p>
    <w:p w14:paraId="414FF49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采购需求：</w:t>
      </w:r>
      <w:r>
        <w:rPr>
          <w:rFonts w:hint="eastAsia" w:ascii="宋体" w:hAnsi="宋体" w:eastAsia="宋体" w:cs="宋体"/>
          <w:color w:val="auto"/>
          <w:sz w:val="24"/>
          <w:szCs w:val="24"/>
          <w:highlight w:val="none"/>
          <w:lang w:val="en-US" w:eastAsia="zh-CN"/>
        </w:rPr>
        <w:t>台式计算机。详见招标文件“第四章 采购需求”。</w:t>
      </w:r>
    </w:p>
    <w:p w14:paraId="6C9CD13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合同履行期限：</w:t>
      </w:r>
      <w:r>
        <w:rPr>
          <w:rFonts w:hint="eastAsia" w:ascii="宋体" w:hAnsi="宋体" w:eastAsia="宋体" w:cs="宋体"/>
          <w:color w:val="auto"/>
          <w:sz w:val="24"/>
          <w:szCs w:val="24"/>
          <w:highlight w:val="none"/>
          <w:lang w:val="en-US" w:eastAsia="zh-CN"/>
        </w:rPr>
        <w:t>自合同签订起35日</w:t>
      </w:r>
    </w:p>
    <w:p w14:paraId="30E0ADC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服务标准：符合国家、行业现行质量验收合格标准。</w:t>
      </w:r>
    </w:p>
    <w:p w14:paraId="11FC4F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是否</w:t>
      </w:r>
      <w:r>
        <w:rPr>
          <w:rFonts w:hint="eastAsia" w:ascii="宋体" w:hAnsi="宋体" w:eastAsia="宋体" w:cs="宋体"/>
          <w:color w:val="auto"/>
          <w:sz w:val="24"/>
          <w:szCs w:val="24"/>
          <w:highlight w:val="none"/>
          <w:lang w:val="zh-CN" w:eastAsia="zh-CN"/>
        </w:rPr>
        <w:t>接受联合体投标：</w:t>
      </w:r>
      <w:r>
        <w:rPr>
          <w:rFonts w:hint="eastAsia" w:ascii="宋体" w:hAnsi="宋体" w:eastAsia="宋体" w:cs="宋体"/>
          <w:color w:val="auto"/>
          <w:sz w:val="24"/>
          <w:szCs w:val="24"/>
          <w:highlight w:val="none"/>
          <w:lang w:val="en-US" w:eastAsia="zh-CN"/>
        </w:rPr>
        <w:t>否</w:t>
      </w:r>
    </w:p>
    <w:bookmarkEnd w:id="4"/>
    <w:bookmarkEnd w:id="5"/>
    <w:bookmarkEnd w:id="6"/>
    <w:bookmarkEnd w:id="7"/>
    <w:p w14:paraId="55F5ABBD">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二、申请人的资格要求</w:t>
      </w:r>
    </w:p>
    <w:p w14:paraId="3312533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1.满足《中华人民共和国政府采购法》第二十二条和《中华人民共和国政府采购法实施条例》第十七条规定的条件。</w:t>
      </w:r>
    </w:p>
    <w:p w14:paraId="1EDD357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2.执行政府采购促进中小企业发展的相关政策</w:t>
      </w:r>
    </w:p>
    <w:p w14:paraId="769E7065">
      <w:pPr>
        <w:keepNext w:val="0"/>
        <w:keepLines w:val="0"/>
        <w:pageBreakBefore w:val="0"/>
        <w:widowControl w:val="0"/>
        <w:kinsoku/>
        <w:wordWrap/>
        <w:overflowPunct/>
        <w:topLinePunct w:val="0"/>
        <w:autoSpaceDE/>
        <w:autoSpaceDN/>
        <w:bidi w:val="0"/>
        <w:adjustRightInd/>
        <w:snapToGrid/>
        <w:spacing w:line="360" w:lineRule="auto"/>
        <w:ind w:firstLine="720" w:firstLineChars="3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本项目不专门面向中小企业采购。</w:t>
      </w:r>
    </w:p>
    <w:p w14:paraId="521F6B4F">
      <w:pPr>
        <w:keepNext w:val="0"/>
        <w:keepLines w:val="0"/>
        <w:pageBreakBefore w:val="0"/>
        <w:widowControl w:val="0"/>
        <w:kinsoku/>
        <w:wordWrap/>
        <w:overflowPunct/>
        <w:topLinePunct w:val="0"/>
        <w:autoSpaceDE/>
        <w:autoSpaceDN/>
        <w:bidi w:val="0"/>
        <w:adjustRightInd/>
        <w:snapToGrid/>
        <w:spacing w:line="360" w:lineRule="auto"/>
        <w:ind w:firstLine="720" w:firstLineChars="3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台式计算机：标的物所属行业制造业。</w:t>
      </w:r>
    </w:p>
    <w:p w14:paraId="27349C51">
      <w:pPr>
        <w:keepNext w:val="0"/>
        <w:keepLines w:val="0"/>
        <w:pageBreakBefore w:val="0"/>
        <w:widowControl w:val="0"/>
        <w:numPr>
          <w:ilvl w:val="0"/>
          <w:numId w:val="3"/>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本项目完全执行强制采购节能产品，优先采购环保产品的政策。</w:t>
      </w:r>
    </w:p>
    <w:p w14:paraId="26D7FD69">
      <w:pPr>
        <w:pStyle w:val="49"/>
        <w:numPr>
          <w:ilvl w:val="0"/>
          <w:numId w:val="0"/>
        </w:numPr>
        <w:ind w:left="540" w:leftChars="0"/>
        <w:rPr>
          <w:rFonts w:hint="default"/>
          <w:lang w:val="en-US" w:eastAsia="zh-CN"/>
        </w:rPr>
      </w:pPr>
    </w:p>
    <w:p w14:paraId="5C95BFCD">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auto"/>
          <w:sz w:val="24"/>
          <w:szCs w:val="24"/>
          <w:highlight w:val="none"/>
          <w:lang w:val="en-US" w:eastAsia="zh-CN"/>
        </w:rPr>
      </w:pPr>
      <w:bookmarkStart w:id="8" w:name="_Toc27679"/>
      <w:r>
        <w:rPr>
          <w:rFonts w:hint="eastAsia" w:ascii="宋体" w:hAnsi="宋体" w:eastAsia="宋体" w:cs="宋体"/>
          <w:b/>
          <w:bCs/>
          <w:color w:val="auto"/>
          <w:sz w:val="24"/>
          <w:szCs w:val="24"/>
          <w:highlight w:val="none"/>
          <w:lang w:val="en-US" w:eastAsia="zh-CN"/>
        </w:rPr>
        <w:t>三、获取采购文件</w:t>
      </w:r>
      <w:bookmarkEnd w:id="8"/>
    </w:p>
    <w:p w14:paraId="6BEE70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时间：2026年7月22日至2026年7月29日（上午0:00～12:00，下午12:00～23:59，北京时间，法定节假日除外）。</w:t>
      </w:r>
    </w:p>
    <w:p w14:paraId="43EC5E5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获取方式：本项目不发放纸质版采购文件。供应商可自行在“政采云”平台（http://www.zcygov.cn）下载采购文件（操作路径：登录“政采云”平台-项目采购-获取采购文件-找到本项目-点击“申请获取采购文件”），电子响应文件制作需要基于“政采云”平台获取的采购文件编制。</w:t>
      </w:r>
    </w:p>
    <w:p w14:paraId="75D802C3">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auto"/>
          <w:sz w:val="24"/>
          <w:szCs w:val="24"/>
          <w:highlight w:val="none"/>
          <w:lang w:val="en-US" w:eastAsia="zh-CN"/>
        </w:rPr>
      </w:pPr>
      <w:bookmarkStart w:id="9" w:name="_Toc2360"/>
      <w:r>
        <w:rPr>
          <w:rFonts w:hint="eastAsia" w:ascii="宋体" w:hAnsi="宋体" w:eastAsia="宋体" w:cs="宋体"/>
          <w:b/>
          <w:bCs/>
          <w:color w:val="auto"/>
          <w:sz w:val="24"/>
          <w:szCs w:val="24"/>
          <w:highlight w:val="none"/>
          <w:lang w:val="en-US" w:eastAsia="zh-CN"/>
        </w:rPr>
        <w:t>四、响应文件提交</w:t>
      </w:r>
      <w:bookmarkEnd w:id="9"/>
    </w:p>
    <w:p w14:paraId="4CF4E99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截止时间：2026年8月12日09时00分（北京时间）</w:t>
      </w:r>
    </w:p>
    <w:p w14:paraId="5F2E005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地点：政采云平台（网址：http:// www.zcygov.cn）。</w:t>
      </w:r>
    </w:p>
    <w:p w14:paraId="4B07A8D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投标文件提交方式：1.本项目为全流程电子化项目，通过“政采云”平台 (http://www.zcygov.cn) 实行在线电子投标，供应商应先安装“政采云投标客户端”（请自行前往“政采云”平台进行下载），并按照本项目招标文件和“政采云”平台的要求编制、加密投标文件后在投标文件提交截止时间前通过网络上传至“政采云”平台，供应商在“政采云”平台提交电子版投标文件时，请填写参加开启活动经办人联系方式。</w:t>
      </w:r>
    </w:p>
    <w:p w14:paraId="0D28CF4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2.电子投标文件制作需要基于“政采云”平台获取的招标文件进行制作，制作投标文件时需要完成CA与账号的绑定。未办理CA的供应商，请先免费申请CA，并完成CA与账号绑定，CA数字证书全省通办通用。</w:t>
      </w:r>
    </w:p>
    <w:p w14:paraId="5AF0357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未进行网上注册并办理CA认证的供应商将无法参与本次招标活动。</w:t>
      </w:r>
    </w:p>
    <w:p w14:paraId="417ADF4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五、公告期限</w:t>
      </w:r>
    </w:p>
    <w:p w14:paraId="13CC58E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自本公告发布之日起不少于5个工作日。</w:t>
      </w:r>
    </w:p>
    <w:p w14:paraId="3159496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六、其他补充事宜</w:t>
      </w:r>
    </w:p>
    <w:p w14:paraId="4480C63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en-US" w:eastAsia="zh-CN"/>
        </w:rPr>
        <w:t>1.拟参与本项目的供应商，首先在“政采云”平台上免费进行供应商注册（“政采云”供应商注册流程：https://middle.zcygov.cn/v-settle-front/registry），注册后可在“政采云”平台免费</w:t>
      </w:r>
      <w:r>
        <w:rPr>
          <w:rFonts w:hint="eastAsia" w:ascii="宋体" w:hAnsi="宋体" w:eastAsia="宋体" w:cs="宋体"/>
          <w:color w:val="auto"/>
          <w:sz w:val="24"/>
          <w:szCs w:val="24"/>
          <w:highlight w:val="none"/>
          <w:lang w:val="zh-CN" w:eastAsia="zh-CN"/>
        </w:rPr>
        <w:t>自行下载</w:t>
      </w:r>
      <w:r>
        <w:rPr>
          <w:rFonts w:hint="eastAsia" w:ascii="宋体" w:hAnsi="宋体" w:eastAsia="宋体" w:cs="宋体"/>
          <w:color w:val="auto"/>
          <w:sz w:val="24"/>
          <w:szCs w:val="24"/>
          <w:highlight w:val="none"/>
          <w:lang w:val="en-US" w:eastAsia="zh-CN"/>
        </w:rPr>
        <w:t>招标</w:t>
      </w:r>
      <w:r>
        <w:rPr>
          <w:rFonts w:hint="eastAsia" w:ascii="宋体" w:hAnsi="宋体" w:eastAsia="宋体" w:cs="宋体"/>
          <w:color w:val="auto"/>
          <w:sz w:val="24"/>
          <w:szCs w:val="24"/>
          <w:highlight w:val="none"/>
          <w:lang w:val="zh-CN" w:eastAsia="zh-CN"/>
        </w:rPr>
        <w:t>文件（下载地址：http://</w:t>
      </w:r>
      <w:r>
        <w:rPr>
          <w:rFonts w:hint="eastAsia" w:ascii="宋体" w:hAnsi="宋体" w:eastAsia="宋体" w:cs="宋体"/>
          <w:color w:val="auto"/>
          <w:sz w:val="24"/>
          <w:szCs w:val="24"/>
          <w:highlight w:val="none"/>
          <w:lang w:val="en-US" w:eastAsia="zh-CN"/>
        </w:rPr>
        <w:fldChar w:fldCharType="begin"/>
      </w:r>
      <w:r>
        <w:rPr>
          <w:rFonts w:hint="eastAsia" w:ascii="宋体" w:hAnsi="宋体" w:eastAsia="宋体" w:cs="宋体"/>
          <w:color w:val="auto"/>
          <w:sz w:val="24"/>
          <w:szCs w:val="24"/>
          <w:highlight w:val="none"/>
          <w:lang w:val="en-US" w:eastAsia="zh-CN"/>
        </w:rPr>
        <w:instrText xml:space="preserve"> HYPERLINK "http://www.zcygov.cn）征集文件。" </w:instrText>
      </w:r>
      <w:r>
        <w:rPr>
          <w:rFonts w:hint="eastAsia" w:ascii="宋体" w:hAnsi="宋体" w:eastAsia="宋体" w:cs="宋体"/>
          <w:color w:val="auto"/>
          <w:sz w:val="24"/>
          <w:szCs w:val="24"/>
          <w:highlight w:val="none"/>
          <w:lang w:val="en-US" w:eastAsia="zh-CN"/>
        </w:rPr>
        <w:fldChar w:fldCharType="separate"/>
      </w:r>
      <w:r>
        <w:rPr>
          <w:rFonts w:hint="eastAsia" w:ascii="宋体" w:hAnsi="宋体" w:eastAsia="宋体" w:cs="宋体"/>
          <w:color w:val="auto"/>
          <w:sz w:val="24"/>
          <w:szCs w:val="24"/>
          <w:highlight w:val="none"/>
          <w:lang w:val="en-US" w:eastAsia="zh-CN"/>
        </w:rPr>
        <w:t>www.zcygov.cn</w:t>
      </w:r>
      <w:r>
        <w:rPr>
          <w:rFonts w:hint="eastAsia" w:ascii="宋体" w:hAnsi="宋体" w:eastAsia="宋体" w:cs="宋体"/>
          <w:color w:val="auto"/>
          <w:sz w:val="24"/>
          <w:szCs w:val="24"/>
          <w:highlight w:val="none"/>
          <w:lang w:val="en-US" w:eastAsia="zh-CN"/>
        </w:rPr>
        <w:fldChar w:fldCharType="end"/>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val="zh-CN" w:eastAsia="zh-CN"/>
        </w:rPr>
        <w:t>下载</w:t>
      </w:r>
      <w:r>
        <w:rPr>
          <w:rFonts w:hint="eastAsia" w:ascii="宋体" w:hAnsi="宋体" w:eastAsia="宋体" w:cs="宋体"/>
          <w:color w:val="auto"/>
          <w:sz w:val="24"/>
          <w:szCs w:val="24"/>
          <w:highlight w:val="none"/>
          <w:lang w:val="en-US" w:eastAsia="zh-CN"/>
        </w:rPr>
        <w:t>谈判文件</w:t>
      </w:r>
      <w:r>
        <w:rPr>
          <w:rFonts w:hint="eastAsia" w:ascii="宋体" w:hAnsi="宋体" w:eastAsia="宋体" w:cs="宋体"/>
          <w:color w:val="auto"/>
          <w:sz w:val="24"/>
          <w:szCs w:val="24"/>
          <w:highlight w:val="none"/>
          <w:lang w:val="zh-CN" w:eastAsia="zh-CN"/>
        </w:rPr>
        <w:t>操作路径：登录“政采云”平台-</w:t>
      </w:r>
      <w:r>
        <w:rPr>
          <w:rFonts w:hint="eastAsia" w:ascii="宋体" w:hAnsi="宋体" w:eastAsia="宋体" w:cs="宋体"/>
          <w:color w:val="auto"/>
          <w:sz w:val="24"/>
          <w:szCs w:val="24"/>
          <w:highlight w:val="none"/>
          <w:lang w:val="en-US" w:eastAsia="zh-CN"/>
        </w:rPr>
        <w:t>登录账号-我的工作台-项目采购-获取采购文件</w:t>
      </w:r>
      <w:r>
        <w:rPr>
          <w:rFonts w:hint="eastAsia" w:ascii="宋体" w:hAnsi="宋体" w:eastAsia="宋体" w:cs="宋体"/>
          <w:color w:val="auto"/>
          <w:sz w:val="24"/>
          <w:szCs w:val="24"/>
          <w:highlight w:val="none"/>
          <w:lang w:val="zh-CN" w:eastAsia="zh-CN"/>
        </w:rPr>
        <w:t>-找到本项目-点击“申请获取文件”）。</w:t>
      </w:r>
    </w:p>
    <w:p w14:paraId="62E3FB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2.对谈判文件有质疑或需要澄清的应以书面材料提交，采购中心和采购人将根据各供应商提出的问题以书面形式予以答复，口头提交的问题不予答复。</w:t>
      </w:r>
    </w:p>
    <w:p w14:paraId="6FF1C35F">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3.本项目为全流程电子化项目，通过“政采云”平台(http://www.zcygov.cn)实行在线电子投标，供应商应先安装“政采云投标客户端”(请自行前往“政采云”平台进行下载，政采云投标客户端</w:t>
      </w:r>
      <w:r>
        <w:rPr>
          <w:rFonts w:hint="eastAsia" w:ascii="宋体" w:hAnsi="宋体" w:eastAsia="宋体" w:cs="宋体"/>
          <w:color w:val="auto"/>
          <w:sz w:val="24"/>
          <w:szCs w:val="24"/>
          <w:highlight w:val="none"/>
          <w:lang w:val="en-US" w:eastAsia="zh-Hans"/>
        </w:rPr>
        <w:t>及CA驱动下载地址：</w:t>
      </w:r>
      <w:r>
        <w:rPr>
          <w:rFonts w:hint="eastAsia" w:ascii="宋体" w:hAnsi="宋体" w:eastAsia="宋体" w:cs="宋体"/>
          <w:color w:val="auto"/>
          <w:sz w:val="24"/>
          <w:szCs w:val="24"/>
          <w:highlight w:val="none"/>
          <w:lang w:val="en-US" w:eastAsia="zh-CN"/>
        </w:rPr>
        <w:t>https://customer.zcygov.cn/CA-driver-download?utm=web-login-front.52cebfa2.0.0.04df4040034511edaac705fda12edb43)，并按照本项目谈判文件和“政采云”平台的要求编制、加密响应文件后在响应文件提交截止时间前通过网络上传至“政采云”平台，供应商在“政采云”平台提交电子版响应文件时，请填写参加开启活动经办人联系方式。</w:t>
      </w:r>
    </w:p>
    <w:p w14:paraId="36DDF66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val="zh-CN" w:eastAsia="zh-CN"/>
        </w:rPr>
        <w:t>电子</w:t>
      </w:r>
      <w:r>
        <w:rPr>
          <w:rFonts w:hint="eastAsia" w:ascii="宋体" w:hAnsi="宋体" w:eastAsia="宋体" w:cs="宋体"/>
          <w:color w:val="auto"/>
          <w:sz w:val="24"/>
          <w:szCs w:val="24"/>
          <w:highlight w:val="none"/>
          <w:lang w:val="en-US" w:eastAsia="zh-CN"/>
        </w:rPr>
        <w:t>响应文件</w:t>
      </w:r>
      <w:r>
        <w:rPr>
          <w:rFonts w:hint="eastAsia" w:ascii="宋体" w:hAnsi="宋体" w:eastAsia="宋体" w:cs="宋体"/>
          <w:color w:val="auto"/>
          <w:sz w:val="24"/>
          <w:szCs w:val="24"/>
          <w:highlight w:val="none"/>
          <w:lang w:val="zh-CN" w:eastAsia="zh-CN"/>
        </w:rPr>
        <w:t>制作需要基于“政采云”平台获取的</w:t>
      </w:r>
      <w:r>
        <w:rPr>
          <w:rFonts w:hint="eastAsia" w:ascii="宋体" w:hAnsi="宋体" w:eastAsia="宋体" w:cs="宋体"/>
          <w:color w:val="auto"/>
          <w:sz w:val="24"/>
          <w:szCs w:val="24"/>
          <w:highlight w:val="none"/>
          <w:lang w:val="en-US" w:eastAsia="zh-CN"/>
        </w:rPr>
        <w:t>谈判文件</w:t>
      </w:r>
      <w:r>
        <w:rPr>
          <w:rFonts w:hint="eastAsia" w:ascii="宋体" w:hAnsi="宋体" w:eastAsia="宋体" w:cs="宋体"/>
          <w:color w:val="auto"/>
          <w:sz w:val="24"/>
          <w:szCs w:val="24"/>
          <w:highlight w:val="none"/>
          <w:lang w:val="zh-CN" w:eastAsia="zh-CN"/>
        </w:rPr>
        <w:t>进行制作，</w:t>
      </w:r>
      <w:r>
        <w:rPr>
          <w:rFonts w:hint="eastAsia" w:ascii="宋体" w:hAnsi="宋体" w:eastAsia="宋体" w:cs="宋体"/>
          <w:color w:val="auto"/>
          <w:sz w:val="24"/>
          <w:szCs w:val="24"/>
          <w:highlight w:val="none"/>
          <w:lang w:val="en-US" w:eastAsia="zh-CN"/>
        </w:rPr>
        <w:t>制作响应文件时需要完成CA与账号的绑定。</w:t>
      </w:r>
    </w:p>
    <w:p w14:paraId="788B482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5.若对项目采购电子交易系统操作有疑问，可登录“政采云”平台（https://www.zcygov.cn/），点击右侧咨询小采，获取采小蜜智能服务管家帮助，或拨打政采云服务热线 400-881-7190或95763获取热线服务帮助。</w:t>
      </w:r>
    </w:p>
    <w:p w14:paraId="5B9B451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6.凡与本中心招投标活动有关的时间，均以前郭尔罗斯蒙古族自治县政府采购中心服务器显示的北京时间为准。</w:t>
      </w:r>
    </w:p>
    <w:bookmarkEnd w:id="3"/>
    <w:p w14:paraId="00DBA95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七、凡对本次采购提出询问，请按以下方式联系。</w:t>
      </w:r>
    </w:p>
    <w:p w14:paraId="37D6001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sz w:val="24"/>
          <w:szCs w:val="24"/>
          <w:lang w:eastAsia="zh-CN"/>
        </w:rPr>
      </w:pPr>
      <w:r>
        <w:rPr>
          <w:rFonts w:hint="eastAsia" w:ascii="Times New Roman" w:hAnsi="Times New Roman"/>
          <w:sz w:val="24"/>
          <w:szCs w:val="24"/>
          <w:lang w:eastAsia="zh-CN"/>
        </w:rPr>
        <w:t>1.采购人信息</w:t>
      </w:r>
    </w:p>
    <w:p w14:paraId="2BE0D13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sz w:val="24"/>
          <w:szCs w:val="24"/>
          <w:lang w:val="en-US" w:eastAsia="zh-CN"/>
        </w:rPr>
      </w:pPr>
      <w:r>
        <w:rPr>
          <w:rFonts w:hint="eastAsia" w:ascii="Times New Roman" w:hAnsi="Times New Roman"/>
          <w:sz w:val="24"/>
          <w:szCs w:val="24"/>
          <w:lang w:eastAsia="zh-CN"/>
        </w:rPr>
        <w:t>名    称：前郭尔罗斯蒙古族自治县</w:t>
      </w:r>
      <w:r>
        <w:rPr>
          <w:rFonts w:hint="eastAsia" w:ascii="Times New Roman" w:hAnsi="Times New Roman"/>
          <w:sz w:val="24"/>
          <w:szCs w:val="24"/>
          <w:lang w:val="en-US" w:eastAsia="zh-CN"/>
        </w:rPr>
        <w:t>教育技术装备办公室</w:t>
      </w:r>
    </w:p>
    <w:p w14:paraId="0D92CDB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sz w:val="24"/>
          <w:szCs w:val="24"/>
          <w:lang w:val="en-US" w:eastAsia="zh-CN"/>
        </w:rPr>
      </w:pPr>
      <w:r>
        <w:rPr>
          <w:rFonts w:hint="eastAsia" w:ascii="Times New Roman" w:hAnsi="Times New Roman"/>
          <w:sz w:val="24"/>
          <w:szCs w:val="24"/>
          <w:lang w:eastAsia="zh-CN"/>
        </w:rPr>
        <w:t>地    址：</w:t>
      </w:r>
      <w:r>
        <w:rPr>
          <w:rFonts w:hint="eastAsia" w:ascii="Times New Roman" w:hAnsi="Times New Roman"/>
          <w:sz w:val="24"/>
          <w:szCs w:val="24"/>
          <w:lang w:val="en-US" w:eastAsia="zh-CN"/>
        </w:rPr>
        <w:t>前郭县</w:t>
      </w:r>
    </w:p>
    <w:p w14:paraId="158DFF0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sz w:val="24"/>
          <w:szCs w:val="24"/>
          <w:lang w:val="en-US" w:eastAsia="zh-CN"/>
        </w:rPr>
      </w:pPr>
      <w:r>
        <w:rPr>
          <w:rFonts w:hint="eastAsia" w:ascii="Times New Roman" w:hAnsi="Times New Roman"/>
          <w:sz w:val="24"/>
          <w:szCs w:val="24"/>
          <w:lang w:val="en-US" w:eastAsia="zh-CN"/>
        </w:rPr>
        <w:t>项目联系人：杨智慧</w:t>
      </w:r>
    </w:p>
    <w:p w14:paraId="1764579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sz w:val="24"/>
          <w:szCs w:val="24"/>
          <w:lang w:val="en-US" w:eastAsia="zh-CN"/>
        </w:rPr>
      </w:pPr>
      <w:r>
        <w:rPr>
          <w:rFonts w:hint="eastAsia" w:ascii="Times New Roman" w:hAnsi="Times New Roman"/>
          <w:sz w:val="24"/>
          <w:szCs w:val="24"/>
          <w:lang w:eastAsia="zh-CN"/>
        </w:rPr>
        <w:t>联系方式：</w:t>
      </w:r>
      <w:r>
        <w:rPr>
          <w:rFonts w:hint="eastAsia" w:ascii="Times New Roman" w:hAnsi="Times New Roman"/>
          <w:sz w:val="24"/>
          <w:szCs w:val="24"/>
          <w:lang w:val="en-US" w:eastAsia="zh-CN"/>
        </w:rPr>
        <w:t>13843810398</w:t>
      </w:r>
    </w:p>
    <w:p w14:paraId="5227310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sz w:val="24"/>
          <w:szCs w:val="24"/>
          <w:lang w:eastAsia="zh-CN"/>
        </w:rPr>
      </w:pPr>
      <w:r>
        <w:rPr>
          <w:rFonts w:hint="eastAsia" w:ascii="Times New Roman" w:hAnsi="Times New Roman"/>
          <w:sz w:val="24"/>
          <w:szCs w:val="24"/>
          <w:lang w:eastAsia="zh-CN"/>
        </w:rPr>
        <w:t>2.采购代理机构信息</w:t>
      </w:r>
    </w:p>
    <w:p w14:paraId="38A4E81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sz w:val="24"/>
          <w:szCs w:val="24"/>
          <w:lang w:eastAsia="zh-CN"/>
        </w:rPr>
      </w:pPr>
      <w:r>
        <w:rPr>
          <w:rFonts w:hint="eastAsia" w:ascii="Times New Roman" w:hAnsi="Times New Roman"/>
          <w:sz w:val="24"/>
          <w:szCs w:val="24"/>
          <w:lang w:eastAsia="zh-CN"/>
        </w:rPr>
        <w:t>名    称：前郭尔罗斯蒙古族自治县政府采购中心</w:t>
      </w:r>
    </w:p>
    <w:p w14:paraId="700A61F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sz w:val="24"/>
          <w:szCs w:val="24"/>
          <w:lang w:eastAsia="zh-CN"/>
        </w:rPr>
      </w:pPr>
      <w:r>
        <w:rPr>
          <w:rFonts w:hint="eastAsia" w:ascii="Times New Roman" w:hAnsi="Times New Roman"/>
          <w:sz w:val="24"/>
          <w:szCs w:val="24"/>
          <w:lang w:eastAsia="zh-CN"/>
        </w:rPr>
        <w:t xml:space="preserve">地 </w:t>
      </w:r>
      <w:r>
        <w:rPr>
          <w:rFonts w:hint="eastAsia" w:ascii="Times New Roman" w:hAnsi="Times New Roman"/>
          <w:sz w:val="24"/>
          <w:szCs w:val="24"/>
          <w:lang w:val="en-US" w:eastAsia="zh-CN"/>
        </w:rPr>
        <w:t xml:space="preserve">   </w:t>
      </w:r>
      <w:r>
        <w:rPr>
          <w:rFonts w:hint="eastAsia" w:ascii="Times New Roman" w:hAnsi="Times New Roman"/>
          <w:sz w:val="24"/>
          <w:szCs w:val="24"/>
          <w:lang w:eastAsia="zh-CN"/>
        </w:rPr>
        <w:t>址：前郭尔罗斯蒙古族自治县政务服务运行保障中心3楼（松原市前郭县哈达大街与源江东路交汇金福名居综合楼）</w:t>
      </w:r>
    </w:p>
    <w:p w14:paraId="74A44E4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sz w:val="24"/>
          <w:szCs w:val="24"/>
          <w:lang w:val="en-US" w:eastAsia="zh-CN"/>
        </w:rPr>
      </w:pPr>
      <w:r>
        <w:rPr>
          <w:rFonts w:hint="eastAsia" w:ascii="Times New Roman" w:hAnsi="Times New Roman"/>
          <w:sz w:val="24"/>
          <w:szCs w:val="24"/>
          <w:lang w:eastAsia="zh-CN"/>
        </w:rPr>
        <w:t>项目联系人：</w:t>
      </w:r>
      <w:r>
        <w:rPr>
          <w:rFonts w:hint="eastAsia" w:ascii="Times New Roman" w:hAnsi="Times New Roman"/>
          <w:sz w:val="24"/>
          <w:szCs w:val="24"/>
          <w:lang w:val="en-US" w:eastAsia="zh-CN"/>
        </w:rPr>
        <w:t>赵媛媛</w:t>
      </w:r>
    </w:p>
    <w:p w14:paraId="1BAD88B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sz w:val="24"/>
          <w:szCs w:val="24"/>
          <w:lang w:eastAsia="zh-CN"/>
        </w:rPr>
      </w:pPr>
      <w:r>
        <w:rPr>
          <w:rFonts w:hint="eastAsia" w:ascii="Times New Roman" w:hAnsi="Times New Roman"/>
          <w:sz w:val="24"/>
          <w:szCs w:val="24"/>
          <w:lang w:eastAsia="zh-CN"/>
        </w:rPr>
        <w:t>联系方式：0438-6833101</w:t>
      </w:r>
    </w:p>
    <w:p w14:paraId="4C2EEE7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sz w:val="24"/>
          <w:szCs w:val="24"/>
          <w:lang w:eastAsia="zh-CN"/>
        </w:rPr>
        <w:sectPr>
          <w:footerReference r:id="rId6" w:type="first"/>
          <w:footerReference r:id="rId5" w:type="default"/>
          <w:pgSz w:w="11906" w:h="16838"/>
          <w:pgMar w:top="1440" w:right="1080" w:bottom="1440" w:left="1080" w:header="851" w:footer="992" w:gutter="0"/>
          <w:pgBorders>
            <w:top w:val="none" w:sz="0" w:space="0"/>
            <w:left w:val="none" w:sz="0" w:space="0"/>
            <w:bottom w:val="none" w:sz="0" w:space="0"/>
            <w:right w:val="none" w:sz="0" w:space="0"/>
          </w:pgBorders>
          <w:pgNumType w:fmt="decimal" w:start="1"/>
          <w:cols w:space="720" w:num="1"/>
          <w:titlePg/>
          <w:docGrid w:type="lines" w:linePitch="312" w:charSpace="0"/>
        </w:sectPr>
      </w:pPr>
      <w:r>
        <w:rPr>
          <w:rFonts w:hint="eastAsia" w:ascii="Times New Roman" w:hAnsi="Times New Roman"/>
          <w:sz w:val="24"/>
          <w:szCs w:val="24"/>
          <w:lang w:val="en-US" w:eastAsia="zh-CN"/>
        </w:rPr>
        <w:t>3监督</w:t>
      </w:r>
      <w:r>
        <w:rPr>
          <w:rFonts w:hint="eastAsia" w:ascii="Times New Roman" w:hAnsi="Times New Roman"/>
          <w:sz w:val="24"/>
          <w:szCs w:val="24"/>
          <w:lang w:eastAsia="zh-CN"/>
        </w:rPr>
        <w:t>部门：</w:t>
      </w:r>
      <w:r>
        <w:rPr>
          <w:rFonts w:hint="eastAsia" w:ascii="Times New Roman" w:hAnsi="Times New Roman"/>
          <w:sz w:val="24"/>
          <w:szCs w:val="24"/>
          <w:lang w:val="en-US" w:eastAsia="zh-CN"/>
        </w:rPr>
        <w:t>前郭尔罗斯蒙古族自治县</w:t>
      </w:r>
      <w:r>
        <w:rPr>
          <w:rFonts w:hint="eastAsia" w:ascii="Times New Roman" w:hAnsi="Times New Roman"/>
          <w:sz w:val="24"/>
          <w:szCs w:val="24"/>
          <w:lang w:eastAsia="zh-CN"/>
        </w:rPr>
        <w:t>财政局</w:t>
      </w:r>
    </w:p>
    <w:p w14:paraId="326C1DA1">
      <w:pPr>
        <w:pStyle w:val="3"/>
        <w:jc w:val="center"/>
        <w:rPr>
          <w:rFonts w:hint="eastAsia" w:asciiTheme="minorHAnsi" w:hAnsiTheme="minorHAnsi" w:eastAsiaTheme="minorEastAsia" w:cstheme="minorBidi"/>
          <w:b/>
          <w:bCs/>
          <w:color w:val="000000"/>
          <w:kern w:val="44"/>
          <w:sz w:val="44"/>
          <w:szCs w:val="44"/>
          <w:highlight w:val="none"/>
          <w:lang w:val="en-US" w:eastAsia="zh-CN" w:bidi="ar-SA"/>
        </w:rPr>
      </w:pPr>
      <w:r>
        <w:rPr>
          <w:rFonts w:hint="eastAsia" w:asciiTheme="minorHAnsi" w:hAnsiTheme="minorHAnsi" w:eastAsiaTheme="minorEastAsia" w:cstheme="minorBidi"/>
          <w:b/>
          <w:bCs/>
          <w:color w:val="000000"/>
          <w:kern w:val="44"/>
          <w:sz w:val="44"/>
          <w:szCs w:val="44"/>
          <w:highlight w:val="none"/>
          <w:lang w:val="en-US" w:eastAsia="zh-CN" w:bidi="ar-SA"/>
        </w:rPr>
        <w:t>第二章  投标人须知</w:t>
      </w:r>
    </w:p>
    <w:p w14:paraId="2A96EA9C">
      <w:pPr>
        <w:bidi w:val="0"/>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1．适用法律：本次招标适用法律法规为《中华人民共和国政府采购法》《政府采购货物和服务招标投标管理办法》及政府采购其他相关法规。</w:t>
      </w:r>
    </w:p>
    <w:p w14:paraId="575B43E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rPr>
      </w:pPr>
      <w:r>
        <w:rPr>
          <w:rFonts w:hint="eastAsia" w:ascii="Times New Roman" w:hAnsi="Times New Roman"/>
          <w:sz w:val="24"/>
          <w:szCs w:val="24"/>
        </w:rPr>
        <w:t>2．</w:t>
      </w:r>
      <w:r>
        <w:rPr>
          <w:rFonts w:hint="eastAsia" w:ascii="Times New Roman" w:hAnsi="Times New Roman"/>
          <w:b/>
          <w:bCs/>
          <w:sz w:val="24"/>
          <w:szCs w:val="24"/>
        </w:rPr>
        <w:t>定义</w:t>
      </w:r>
      <w:r>
        <w:rPr>
          <w:rFonts w:hint="eastAsia" w:ascii="Times New Roman" w:hAnsi="Times New Roman"/>
          <w:sz w:val="24"/>
          <w:szCs w:val="24"/>
        </w:rPr>
        <w:t>：</w:t>
      </w:r>
    </w:p>
    <w:p w14:paraId="200B9FA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rPr>
      </w:pPr>
      <w:r>
        <w:rPr>
          <w:rFonts w:hint="eastAsia" w:ascii="Times New Roman" w:hAnsi="Times New Roman"/>
          <w:sz w:val="24"/>
          <w:szCs w:val="24"/>
        </w:rPr>
        <w:t>2.1</w:t>
      </w:r>
      <w:r>
        <w:rPr>
          <w:rFonts w:hint="eastAsia" w:ascii="Times New Roman" w:hAnsi="Times New Roman"/>
          <w:sz w:val="24"/>
          <w:szCs w:val="24"/>
          <w:lang w:val="en-US" w:eastAsia="zh-CN"/>
        </w:rPr>
        <w:t xml:space="preserve"> </w:t>
      </w:r>
      <w:r>
        <w:rPr>
          <w:rFonts w:hint="eastAsia" w:ascii="Times New Roman" w:hAnsi="Times New Roman"/>
          <w:sz w:val="24"/>
          <w:szCs w:val="24"/>
        </w:rPr>
        <w:t>“招标人”指</w:t>
      </w:r>
      <w:r>
        <w:rPr>
          <w:rFonts w:hint="eastAsia" w:ascii="Times New Roman" w:hAnsi="Times New Roman"/>
          <w:sz w:val="24"/>
          <w:szCs w:val="24"/>
          <w:lang w:eastAsia="zh-CN"/>
        </w:rPr>
        <w:t>前郭尔罗斯蒙古族自治县政府采购中心</w:t>
      </w:r>
      <w:r>
        <w:rPr>
          <w:rFonts w:hint="eastAsia" w:ascii="Times New Roman" w:hAnsi="Times New Roman"/>
          <w:sz w:val="24"/>
          <w:szCs w:val="24"/>
        </w:rPr>
        <w:t>，负责采购活动的组织工作。</w:t>
      </w:r>
    </w:p>
    <w:p w14:paraId="7D57482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rPr>
      </w:pPr>
      <w:r>
        <w:rPr>
          <w:rFonts w:hint="eastAsia" w:ascii="Times New Roman" w:hAnsi="Times New Roman"/>
          <w:sz w:val="24"/>
          <w:szCs w:val="24"/>
        </w:rPr>
        <w:t>2.2</w:t>
      </w:r>
      <w:r>
        <w:rPr>
          <w:rFonts w:hint="eastAsia" w:ascii="Times New Roman" w:hAnsi="Times New Roman"/>
          <w:sz w:val="24"/>
          <w:szCs w:val="24"/>
          <w:lang w:val="en-US" w:eastAsia="zh-CN"/>
        </w:rPr>
        <w:t xml:space="preserve"> </w:t>
      </w:r>
      <w:r>
        <w:rPr>
          <w:rFonts w:hint="eastAsia" w:ascii="Times New Roman" w:hAnsi="Times New Roman"/>
          <w:sz w:val="24"/>
          <w:szCs w:val="24"/>
        </w:rPr>
        <w:t>“采购人”指</w:t>
      </w:r>
      <w:r>
        <w:rPr>
          <w:rFonts w:hint="eastAsia" w:ascii="Times New Roman" w:hAnsi="Times New Roman"/>
          <w:sz w:val="24"/>
          <w:szCs w:val="24"/>
          <w:lang w:eastAsia="zh-CN"/>
        </w:rPr>
        <w:t>前郭尔罗斯蒙古族自治县</w:t>
      </w:r>
      <w:r>
        <w:rPr>
          <w:rFonts w:hint="eastAsia" w:ascii="Times New Roman" w:hAnsi="Times New Roman"/>
          <w:sz w:val="24"/>
          <w:szCs w:val="24"/>
          <w:lang w:val="en-US" w:eastAsia="zh-CN"/>
        </w:rPr>
        <w:t>教育技术装备办公室</w:t>
      </w:r>
      <w:r>
        <w:rPr>
          <w:rFonts w:hint="eastAsia" w:ascii="Times New Roman" w:hAnsi="Times New Roman"/>
          <w:sz w:val="24"/>
          <w:szCs w:val="24"/>
        </w:rPr>
        <w:t>，负责采购项目的整体规划、采购需求设计和可行性论证，作为合同的</w:t>
      </w:r>
      <w:r>
        <w:rPr>
          <w:rFonts w:hint="eastAsia" w:ascii="Times New Roman" w:hAnsi="Times New Roman"/>
          <w:sz w:val="24"/>
          <w:szCs w:val="24"/>
          <w:lang w:eastAsia="zh-CN"/>
        </w:rPr>
        <w:t>需求</w:t>
      </w:r>
      <w:r>
        <w:rPr>
          <w:rFonts w:hint="eastAsia" w:ascii="Times New Roman" w:hAnsi="Times New Roman"/>
          <w:sz w:val="24"/>
          <w:szCs w:val="24"/>
        </w:rPr>
        <w:t>方，承担质疑答复，合同履行、验收、评价等义务。</w:t>
      </w:r>
    </w:p>
    <w:p w14:paraId="45A9004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rPr>
      </w:pPr>
      <w:r>
        <w:rPr>
          <w:rFonts w:hint="eastAsia" w:ascii="Times New Roman" w:hAnsi="Times New Roman"/>
          <w:sz w:val="24"/>
          <w:szCs w:val="24"/>
        </w:rPr>
        <w:t>2.3</w:t>
      </w:r>
      <w:r>
        <w:rPr>
          <w:rFonts w:hint="eastAsia" w:ascii="Times New Roman" w:hAnsi="Times New Roman"/>
          <w:sz w:val="24"/>
          <w:szCs w:val="24"/>
          <w:lang w:val="en-US" w:eastAsia="zh-CN"/>
        </w:rPr>
        <w:t xml:space="preserve"> </w:t>
      </w:r>
      <w:r>
        <w:rPr>
          <w:rFonts w:hint="eastAsia" w:ascii="Times New Roman" w:hAnsi="Times New Roman"/>
          <w:sz w:val="24"/>
          <w:szCs w:val="24"/>
        </w:rPr>
        <w:t>“招标内容”详见招标文件</w:t>
      </w:r>
      <w:r>
        <w:rPr>
          <w:rFonts w:hint="eastAsia" w:ascii="Times New Roman" w:hAnsi="Times New Roman"/>
          <w:sz w:val="24"/>
          <w:szCs w:val="24"/>
          <w:lang w:eastAsia="zh-CN"/>
        </w:rPr>
        <w:t>“</w:t>
      </w:r>
      <w:r>
        <w:rPr>
          <w:rFonts w:hint="eastAsia" w:ascii="Times New Roman" w:hAnsi="Times New Roman"/>
          <w:sz w:val="24"/>
          <w:szCs w:val="24"/>
        </w:rPr>
        <w:t>第四章 采购需求</w:t>
      </w:r>
      <w:r>
        <w:rPr>
          <w:rFonts w:hint="eastAsia" w:ascii="Times New Roman" w:hAnsi="Times New Roman"/>
          <w:sz w:val="24"/>
          <w:szCs w:val="24"/>
          <w:lang w:eastAsia="zh-CN"/>
        </w:rPr>
        <w:t>”</w:t>
      </w:r>
      <w:r>
        <w:rPr>
          <w:rFonts w:hint="eastAsia" w:ascii="Times New Roman" w:hAnsi="Times New Roman"/>
          <w:sz w:val="24"/>
          <w:szCs w:val="24"/>
        </w:rPr>
        <w:t>。</w:t>
      </w:r>
    </w:p>
    <w:p w14:paraId="1C4D3BC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rPr>
      </w:pPr>
      <w:r>
        <w:rPr>
          <w:rFonts w:hint="eastAsia" w:ascii="Times New Roman" w:hAnsi="Times New Roman"/>
          <w:sz w:val="24"/>
          <w:szCs w:val="24"/>
          <w:highlight w:val="none"/>
        </w:rPr>
        <w:t>2.4</w:t>
      </w:r>
      <w:r>
        <w:rPr>
          <w:rFonts w:hint="eastAsia" w:ascii="Times New Roman" w:hAnsi="Times New Roman"/>
          <w:sz w:val="24"/>
          <w:szCs w:val="24"/>
          <w:highlight w:val="none"/>
          <w:lang w:val="en-US" w:eastAsia="zh-CN"/>
        </w:rPr>
        <w:t xml:space="preserve"> </w:t>
      </w:r>
      <w:r>
        <w:rPr>
          <w:rFonts w:hint="eastAsia" w:ascii="Times New Roman" w:hAnsi="Times New Roman"/>
          <w:sz w:val="24"/>
          <w:szCs w:val="24"/>
          <w:highlight w:val="none"/>
        </w:rPr>
        <w:t>“投标人”指响应本招标文件参加投标的供应商</w:t>
      </w:r>
      <w:r>
        <w:rPr>
          <w:rFonts w:hint="eastAsia" w:ascii="Times New Roman" w:hAnsi="Times New Roman"/>
          <w:sz w:val="24"/>
          <w:szCs w:val="24"/>
        </w:rPr>
        <w:t>。</w:t>
      </w:r>
    </w:p>
    <w:p w14:paraId="303943FF">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Times New Roman" w:hAnsi="Times New Roman"/>
          <w:sz w:val="24"/>
          <w:szCs w:val="24"/>
        </w:rPr>
      </w:pPr>
      <w:r>
        <w:rPr>
          <w:rFonts w:hint="eastAsia" w:ascii="Times New Roman" w:hAnsi="Times New Roman" w:eastAsiaTheme="minorEastAsia" w:cstheme="minorBidi"/>
          <w:kern w:val="2"/>
          <w:sz w:val="24"/>
          <w:szCs w:val="24"/>
          <w:lang w:val="en-US" w:eastAsia="zh-CN" w:bidi="ar-SA"/>
        </w:rPr>
        <w:t>3．</w:t>
      </w:r>
      <w:r>
        <w:rPr>
          <w:rFonts w:hint="eastAsia" w:ascii="Times New Roman" w:hAnsi="Times New Roman"/>
          <w:b/>
          <w:bCs/>
          <w:sz w:val="24"/>
          <w:szCs w:val="24"/>
        </w:rPr>
        <w:t>投标费用：</w:t>
      </w:r>
      <w:r>
        <w:rPr>
          <w:rFonts w:hint="eastAsia" w:ascii="Times New Roman" w:hAnsi="Times New Roman"/>
          <w:sz w:val="24"/>
          <w:szCs w:val="24"/>
        </w:rPr>
        <w:t>投标人应自行承担所有与编写和提交投标文件有关的费用，无论投标的结果如何，招标人和采购人在任何情况下均无义务和责任承担这些费用。</w:t>
      </w:r>
    </w:p>
    <w:p w14:paraId="004AD088">
      <w:pPr>
        <w:keepNext w:val="0"/>
        <w:keepLines w:val="0"/>
        <w:pageBreakBefore w:val="0"/>
        <w:widowControl w:val="0"/>
        <w:kinsoku/>
        <w:wordWrap/>
        <w:overflowPunct/>
        <w:topLinePunct w:val="0"/>
        <w:autoSpaceDE/>
        <w:autoSpaceDN/>
        <w:bidi w:val="0"/>
        <w:adjustRightInd/>
        <w:snapToGrid/>
        <w:ind w:firstLine="482" w:firstLineChars="200"/>
        <w:textAlignment w:val="auto"/>
        <w:rPr>
          <w:rFonts w:hint="eastAsia" w:ascii="Times New Roman" w:hAnsi="Times New Roman"/>
          <w:sz w:val="24"/>
          <w:szCs w:val="24"/>
        </w:rPr>
      </w:pPr>
      <w:r>
        <w:rPr>
          <w:rFonts w:hint="eastAsia" w:ascii="Times New Roman" w:hAnsi="Times New Roman"/>
          <w:b/>
          <w:bCs/>
          <w:sz w:val="24"/>
          <w:szCs w:val="24"/>
        </w:rPr>
        <w:t>4.招标文件：</w:t>
      </w:r>
    </w:p>
    <w:p w14:paraId="5700ACA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highlight w:val="none"/>
        </w:rPr>
      </w:pPr>
      <w:r>
        <w:rPr>
          <w:rFonts w:hint="eastAsia" w:ascii="Times New Roman" w:hAnsi="Times New Roman"/>
          <w:sz w:val="24"/>
          <w:szCs w:val="24"/>
          <w:highlight w:val="none"/>
        </w:rPr>
        <w:t>4.1招标文件的构成</w:t>
      </w:r>
    </w:p>
    <w:p w14:paraId="7F9D947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highlight w:val="none"/>
          <w:lang w:eastAsia="zh-CN"/>
        </w:rPr>
      </w:pPr>
      <w:r>
        <w:rPr>
          <w:rFonts w:hint="eastAsia" w:ascii="Times New Roman" w:hAnsi="Times New Roman"/>
          <w:sz w:val="24"/>
          <w:szCs w:val="24"/>
          <w:highlight w:val="none"/>
          <w:lang w:val="en-US" w:eastAsia="zh-CN"/>
        </w:rPr>
        <w:t>第一章 招标</w:t>
      </w:r>
      <w:r>
        <w:rPr>
          <w:rFonts w:hint="eastAsia" w:ascii="Times New Roman" w:hAnsi="Times New Roman"/>
          <w:sz w:val="24"/>
          <w:szCs w:val="24"/>
          <w:highlight w:val="none"/>
          <w:lang w:eastAsia="zh-CN"/>
        </w:rPr>
        <w:t>公告</w:t>
      </w:r>
    </w:p>
    <w:p w14:paraId="7F633BB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highlight w:val="none"/>
          <w:lang w:eastAsia="zh-CN"/>
        </w:rPr>
      </w:pPr>
      <w:r>
        <w:rPr>
          <w:rFonts w:hint="eastAsia" w:ascii="Times New Roman" w:hAnsi="Times New Roman"/>
          <w:sz w:val="24"/>
          <w:szCs w:val="24"/>
          <w:highlight w:val="none"/>
          <w:lang w:eastAsia="zh-CN"/>
        </w:rPr>
        <w:t>第二章 投标人须知</w:t>
      </w:r>
    </w:p>
    <w:p w14:paraId="1E49208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highlight w:val="none"/>
          <w:lang w:eastAsia="zh-CN"/>
        </w:rPr>
      </w:pPr>
      <w:r>
        <w:rPr>
          <w:rFonts w:hint="eastAsia" w:ascii="Times New Roman" w:hAnsi="Times New Roman"/>
          <w:sz w:val="24"/>
          <w:szCs w:val="24"/>
          <w:highlight w:val="none"/>
          <w:lang w:eastAsia="zh-CN"/>
        </w:rPr>
        <w:t>第三章 合同条款及格式</w:t>
      </w:r>
    </w:p>
    <w:p w14:paraId="7F4B1D9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highlight w:val="none"/>
          <w:lang w:eastAsia="zh-CN"/>
        </w:rPr>
      </w:pPr>
      <w:r>
        <w:rPr>
          <w:rFonts w:hint="eastAsia" w:ascii="Times New Roman" w:hAnsi="Times New Roman"/>
          <w:sz w:val="24"/>
          <w:szCs w:val="24"/>
          <w:highlight w:val="none"/>
          <w:lang w:eastAsia="zh-CN"/>
        </w:rPr>
        <w:t>第四章 采购需求</w:t>
      </w:r>
    </w:p>
    <w:p w14:paraId="25DDD38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highlight w:val="none"/>
          <w:lang w:val="zh-CN" w:eastAsia="zh-CN"/>
        </w:rPr>
      </w:pPr>
      <w:r>
        <w:rPr>
          <w:rFonts w:hint="eastAsia" w:ascii="Times New Roman" w:hAnsi="Times New Roman"/>
          <w:sz w:val="24"/>
          <w:szCs w:val="24"/>
          <w:highlight w:val="none"/>
          <w:lang w:val="zh-CN" w:eastAsia="zh-CN"/>
        </w:rPr>
        <w:t>第</w:t>
      </w:r>
      <w:r>
        <w:rPr>
          <w:rFonts w:hint="eastAsia" w:ascii="Times New Roman" w:hAnsi="Times New Roman"/>
          <w:sz w:val="24"/>
          <w:szCs w:val="24"/>
          <w:highlight w:val="none"/>
          <w:lang w:val="en-US" w:eastAsia="zh-CN"/>
        </w:rPr>
        <w:t>五</w:t>
      </w:r>
      <w:r>
        <w:rPr>
          <w:rFonts w:hint="eastAsia" w:ascii="Times New Roman" w:hAnsi="Times New Roman"/>
          <w:sz w:val="24"/>
          <w:szCs w:val="24"/>
          <w:highlight w:val="none"/>
          <w:lang w:val="zh-CN" w:eastAsia="zh-CN"/>
        </w:rPr>
        <w:t>章 评标办法</w:t>
      </w:r>
    </w:p>
    <w:p w14:paraId="2D0D231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ascii="Times New Roman" w:hAnsi="Times New Roman"/>
          <w:sz w:val="24"/>
          <w:szCs w:val="24"/>
          <w:highlight w:val="none"/>
          <w:lang w:val="en-US" w:eastAsia="zh-CN"/>
        </w:rPr>
      </w:pPr>
      <w:r>
        <w:rPr>
          <w:rFonts w:hint="eastAsia" w:ascii="Times New Roman" w:hAnsi="Times New Roman"/>
          <w:sz w:val="24"/>
          <w:szCs w:val="24"/>
          <w:highlight w:val="none"/>
          <w:lang w:val="en-US" w:eastAsia="zh-CN"/>
        </w:rPr>
        <w:t>第六章 投标文件主要条款及格式样本</w:t>
      </w:r>
    </w:p>
    <w:p w14:paraId="52EB544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highlight w:val="none"/>
        </w:rPr>
      </w:pPr>
      <w:r>
        <w:rPr>
          <w:rFonts w:hint="eastAsia" w:ascii="Times New Roman" w:hAnsi="Times New Roman"/>
          <w:sz w:val="24"/>
          <w:szCs w:val="24"/>
        </w:rPr>
        <w:t>4.2</w:t>
      </w:r>
      <w:r>
        <w:rPr>
          <w:rFonts w:hint="eastAsia" w:ascii="Times New Roman" w:hAnsi="Times New Roman"/>
          <w:sz w:val="24"/>
          <w:szCs w:val="24"/>
          <w:highlight w:val="none"/>
        </w:rPr>
        <w:t xml:space="preserve"> 投标人应认真阅读招标文件中所有事项、格式、条款和规范等要求。如果投标人没有按照招标文件要求提交全部文件资料或投标文件没有对招标文件在各方面都做出实质性响应，是投标人的风险。</w:t>
      </w:r>
    </w:p>
    <w:p w14:paraId="2B4198EE">
      <w:pPr>
        <w:keepNext w:val="0"/>
        <w:keepLines w:val="0"/>
        <w:pageBreakBefore w:val="0"/>
        <w:widowControl w:val="0"/>
        <w:kinsoku/>
        <w:wordWrap/>
        <w:overflowPunct/>
        <w:topLinePunct w:val="0"/>
        <w:autoSpaceDE/>
        <w:autoSpaceDN/>
        <w:bidi w:val="0"/>
        <w:adjustRightInd/>
        <w:snapToGrid/>
        <w:ind w:firstLine="482" w:firstLineChars="200"/>
        <w:textAlignment w:val="auto"/>
        <w:rPr>
          <w:rFonts w:hint="eastAsia" w:ascii="Times New Roman" w:hAnsi="Times New Roman"/>
          <w:b/>
          <w:bCs/>
          <w:sz w:val="24"/>
          <w:szCs w:val="24"/>
          <w:highlight w:val="none"/>
        </w:rPr>
      </w:pPr>
      <w:r>
        <w:rPr>
          <w:rFonts w:hint="eastAsia" w:ascii="Times New Roman" w:hAnsi="Times New Roman"/>
          <w:b/>
          <w:bCs/>
          <w:sz w:val="24"/>
          <w:szCs w:val="24"/>
          <w:highlight w:val="none"/>
        </w:rPr>
        <w:t>5. 招标文件的澄清和修改</w:t>
      </w:r>
    </w:p>
    <w:p w14:paraId="61C1687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highlight w:val="none"/>
        </w:rPr>
      </w:pPr>
      <w:r>
        <w:rPr>
          <w:rFonts w:hint="eastAsia" w:ascii="Times New Roman" w:hAnsi="Times New Roman"/>
          <w:sz w:val="24"/>
          <w:szCs w:val="24"/>
          <w:highlight w:val="none"/>
        </w:rPr>
        <w:t>5.1任何对招标文件提出质疑、要求澄清的投标人，均应以书面形式在收到采购文件之日起7个工作日以内通知前郭县政府采购中心或采购人。书面形式是指投标人出具正式公函（原件），公函上要有投标人的公章和联系人、联系方式，传真件、复印件均不是有效文件。前郭县政府采购中心将协同采购人对投标人要求澄清的内容以书面形式予以答复。必要时，组织相关专家召开答疑会，答疑会形成的共识意见将以变更公告形式通报每个报名参加投标的潜在投标人，答复中不包括问题的来源。未参加答疑会的投标人，视为接受答疑会形成的意见，所有资料归档保存。</w:t>
      </w:r>
    </w:p>
    <w:p w14:paraId="59C64F8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highlight w:val="none"/>
        </w:rPr>
      </w:pPr>
      <w:r>
        <w:rPr>
          <w:rFonts w:hint="eastAsia" w:ascii="Times New Roman" w:hAnsi="Times New Roman"/>
          <w:sz w:val="24"/>
          <w:szCs w:val="24"/>
          <w:highlight w:val="none"/>
          <w:lang w:val="en-US" w:eastAsia="zh-CN"/>
        </w:rPr>
        <w:t xml:space="preserve">5.2 </w:t>
      </w:r>
      <w:r>
        <w:rPr>
          <w:rFonts w:hint="eastAsia" w:ascii="Times New Roman" w:hAnsi="Times New Roman"/>
          <w:sz w:val="24"/>
          <w:szCs w:val="24"/>
          <w:highlight w:val="none"/>
        </w:rPr>
        <w:t>投标人在规定的时间内未对招标文件澄清或提出疑问的，前郭县政府采购中心将视其为同意。</w:t>
      </w:r>
    </w:p>
    <w:p w14:paraId="279B95B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highlight w:val="none"/>
        </w:rPr>
      </w:pPr>
      <w:r>
        <w:rPr>
          <w:rFonts w:hint="eastAsia" w:ascii="Times New Roman" w:hAnsi="Times New Roman"/>
          <w:sz w:val="24"/>
          <w:szCs w:val="24"/>
          <w:highlight w:val="none"/>
        </w:rPr>
        <w:t>5.</w:t>
      </w:r>
      <w:r>
        <w:rPr>
          <w:rFonts w:hint="eastAsia" w:ascii="Times New Roman" w:hAnsi="Times New Roman"/>
          <w:sz w:val="24"/>
          <w:szCs w:val="24"/>
          <w:highlight w:val="none"/>
          <w:lang w:val="en-US" w:eastAsia="zh-CN"/>
        </w:rPr>
        <w:t>3</w:t>
      </w:r>
      <w:r>
        <w:rPr>
          <w:rFonts w:hint="eastAsia" w:ascii="Times New Roman" w:hAnsi="Times New Roman"/>
          <w:sz w:val="24"/>
          <w:szCs w:val="24"/>
          <w:highlight w:val="none"/>
        </w:rPr>
        <w:t xml:space="preserve"> 招标人可在投标截止时间15日前（含）对招标文件进行修改、补充。招标文件的修改、补充文件将在发布招标公告的媒体上公告。</w:t>
      </w:r>
    </w:p>
    <w:p w14:paraId="372FC28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highlight w:val="none"/>
        </w:rPr>
      </w:pPr>
      <w:r>
        <w:rPr>
          <w:rFonts w:hint="eastAsia" w:ascii="Times New Roman" w:hAnsi="Times New Roman"/>
          <w:sz w:val="24"/>
          <w:szCs w:val="24"/>
          <w:highlight w:val="none"/>
        </w:rPr>
        <w:t>5.</w:t>
      </w:r>
      <w:r>
        <w:rPr>
          <w:rFonts w:hint="eastAsia" w:ascii="Times New Roman" w:hAnsi="Times New Roman"/>
          <w:sz w:val="24"/>
          <w:szCs w:val="24"/>
          <w:highlight w:val="none"/>
          <w:lang w:val="en-US" w:eastAsia="zh-CN"/>
        </w:rPr>
        <w:t>4</w:t>
      </w:r>
      <w:r>
        <w:rPr>
          <w:rFonts w:hint="eastAsia" w:ascii="Times New Roman" w:hAnsi="Times New Roman"/>
          <w:sz w:val="24"/>
          <w:szCs w:val="24"/>
          <w:highlight w:val="none"/>
        </w:rPr>
        <w:t xml:space="preserve"> 招标文件的澄清、修改、补充文件均构成招标文件的组成部分，对所有投标人具有约束力。</w:t>
      </w:r>
    </w:p>
    <w:p w14:paraId="4FC4A71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highlight w:val="none"/>
        </w:rPr>
      </w:pPr>
      <w:r>
        <w:rPr>
          <w:rFonts w:hint="eastAsia" w:ascii="Times New Roman" w:hAnsi="Times New Roman"/>
          <w:sz w:val="24"/>
          <w:szCs w:val="24"/>
          <w:highlight w:val="none"/>
        </w:rPr>
        <w:t>5.</w:t>
      </w:r>
      <w:r>
        <w:rPr>
          <w:rFonts w:hint="eastAsia" w:ascii="Times New Roman" w:hAnsi="Times New Roman"/>
          <w:sz w:val="24"/>
          <w:szCs w:val="24"/>
          <w:highlight w:val="none"/>
          <w:lang w:val="en-US" w:eastAsia="zh-CN"/>
        </w:rPr>
        <w:t>5</w:t>
      </w:r>
      <w:r>
        <w:rPr>
          <w:rFonts w:hint="eastAsia" w:ascii="Times New Roman" w:hAnsi="Times New Roman"/>
          <w:sz w:val="24"/>
          <w:szCs w:val="24"/>
          <w:highlight w:val="none"/>
        </w:rPr>
        <w:t xml:space="preserve"> 在投标截止时间十五日以前，无论出于何种原因，前郭县政府采购中心或采购人可以主动地或在解答投标人提出的疑问时对招标文件进行修改</w:t>
      </w:r>
      <w:r>
        <w:rPr>
          <w:rFonts w:hint="eastAsia" w:ascii="Times New Roman" w:hAnsi="Times New Roman"/>
          <w:sz w:val="24"/>
          <w:szCs w:val="24"/>
          <w:highlight w:val="none"/>
          <w:lang w:eastAsia="zh-CN"/>
        </w:rPr>
        <w:t>（</w:t>
      </w:r>
      <w:r>
        <w:rPr>
          <w:rFonts w:hint="eastAsia" w:ascii="Times New Roman" w:hAnsi="Times New Roman"/>
          <w:sz w:val="24"/>
          <w:szCs w:val="24"/>
          <w:highlight w:val="none"/>
        </w:rPr>
        <w:t>修改内容将在发布招标公告的网站及报名系统中发布，投标单位需随时关注，未能及时看到相关信息而导致的投标失败由投标人自行承担</w:t>
      </w:r>
      <w:r>
        <w:rPr>
          <w:rFonts w:hint="eastAsia" w:ascii="Times New Roman" w:hAnsi="Times New Roman"/>
          <w:sz w:val="24"/>
          <w:szCs w:val="24"/>
          <w:highlight w:val="none"/>
          <w:lang w:eastAsia="zh-CN"/>
        </w:rPr>
        <w:t>）</w:t>
      </w:r>
      <w:r>
        <w:rPr>
          <w:rFonts w:hint="eastAsia" w:ascii="Times New Roman" w:hAnsi="Times New Roman"/>
          <w:sz w:val="24"/>
          <w:szCs w:val="24"/>
          <w:highlight w:val="none"/>
        </w:rPr>
        <w:t>。</w:t>
      </w:r>
    </w:p>
    <w:p w14:paraId="644588B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highlight w:val="none"/>
        </w:rPr>
      </w:pPr>
      <w:r>
        <w:rPr>
          <w:rFonts w:hint="eastAsia" w:ascii="Times New Roman" w:hAnsi="Times New Roman"/>
          <w:sz w:val="24"/>
          <w:szCs w:val="24"/>
          <w:highlight w:val="none"/>
          <w:lang w:val="en-US" w:eastAsia="zh-CN"/>
        </w:rPr>
        <w:t xml:space="preserve">5.6 </w:t>
      </w:r>
      <w:r>
        <w:rPr>
          <w:rFonts w:hint="eastAsia" w:ascii="Times New Roman" w:hAnsi="Times New Roman"/>
          <w:sz w:val="24"/>
          <w:szCs w:val="24"/>
          <w:highlight w:val="none"/>
        </w:rPr>
        <w:t>因对招标文件进行修改投标截止时间不足15日的，为使投标人准备投标时有充足时间对招标文件的修改部分进行研究，前郭县政府采购中心或采购人可适当推迟投标截止期，延长投标截止时间的公告将在发布招标公告的媒体上。</w:t>
      </w:r>
    </w:p>
    <w:p w14:paraId="65A6F4FB">
      <w:pPr>
        <w:keepNext w:val="0"/>
        <w:keepLines w:val="0"/>
        <w:pageBreakBefore w:val="0"/>
        <w:widowControl w:val="0"/>
        <w:kinsoku/>
        <w:wordWrap/>
        <w:overflowPunct/>
        <w:topLinePunct w:val="0"/>
        <w:autoSpaceDE/>
        <w:autoSpaceDN/>
        <w:bidi w:val="0"/>
        <w:adjustRightInd/>
        <w:snapToGrid/>
        <w:ind w:firstLine="482" w:firstLineChars="200"/>
        <w:textAlignment w:val="auto"/>
        <w:rPr>
          <w:rFonts w:hint="eastAsia" w:ascii="Times New Roman" w:hAnsi="Times New Roman"/>
          <w:b/>
          <w:bCs/>
          <w:sz w:val="24"/>
          <w:szCs w:val="24"/>
          <w:highlight w:val="none"/>
        </w:rPr>
      </w:pPr>
      <w:r>
        <w:rPr>
          <w:rFonts w:hint="eastAsia" w:ascii="Times New Roman" w:hAnsi="Times New Roman"/>
          <w:b/>
          <w:bCs/>
          <w:sz w:val="24"/>
          <w:szCs w:val="24"/>
          <w:highlight w:val="none"/>
          <w:lang w:val="en-US" w:eastAsia="zh-CN"/>
        </w:rPr>
        <w:t>6</w:t>
      </w:r>
      <w:r>
        <w:rPr>
          <w:rFonts w:hint="eastAsia" w:ascii="Times New Roman" w:hAnsi="Times New Roman"/>
          <w:b/>
          <w:bCs/>
          <w:sz w:val="24"/>
          <w:szCs w:val="24"/>
          <w:highlight w:val="none"/>
        </w:rPr>
        <w:t>. 投标文件的编制</w:t>
      </w:r>
    </w:p>
    <w:p w14:paraId="068CDA7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highlight w:val="none"/>
        </w:rPr>
      </w:pPr>
      <w:r>
        <w:rPr>
          <w:rFonts w:hint="eastAsia" w:ascii="Times New Roman" w:hAnsi="Times New Roman"/>
          <w:sz w:val="24"/>
          <w:szCs w:val="24"/>
          <w:highlight w:val="none"/>
          <w:lang w:val="en-US" w:eastAsia="zh-CN"/>
        </w:rPr>
        <w:t>6</w:t>
      </w:r>
      <w:r>
        <w:rPr>
          <w:rFonts w:hint="eastAsia" w:ascii="Times New Roman" w:hAnsi="Times New Roman"/>
          <w:sz w:val="24"/>
          <w:szCs w:val="24"/>
          <w:highlight w:val="none"/>
        </w:rPr>
        <w:t>.1 投标语言：投标文件以及投标人与招标人就有关投标的来往函电均使用中文。</w:t>
      </w:r>
    </w:p>
    <w:p w14:paraId="5592E4B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highlight w:val="none"/>
        </w:rPr>
      </w:pPr>
      <w:r>
        <w:rPr>
          <w:rFonts w:hint="eastAsia" w:ascii="Times New Roman" w:hAnsi="Times New Roman"/>
          <w:sz w:val="24"/>
          <w:szCs w:val="24"/>
          <w:highlight w:val="none"/>
          <w:lang w:val="en-US" w:eastAsia="zh-CN"/>
        </w:rPr>
        <w:t>6</w:t>
      </w:r>
      <w:r>
        <w:rPr>
          <w:rFonts w:hint="eastAsia" w:ascii="Times New Roman" w:hAnsi="Times New Roman"/>
          <w:sz w:val="24"/>
          <w:szCs w:val="24"/>
          <w:highlight w:val="none"/>
        </w:rPr>
        <w:t>.2 计量单位：中华人民共和国法定计量单位。</w:t>
      </w:r>
    </w:p>
    <w:p w14:paraId="5E0F2B1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highlight w:val="none"/>
          <w:lang w:val="en-US" w:eastAsia="zh-CN"/>
        </w:rPr>
      </w:pPr>
      <w:r>
        <w:rPr>
          <w:rFonts w:hint="eastAsia" w:ascii="Times New Roman" w:hAnsi="Times New Roman"/>
          <w:sz w:val="24"/>
          <w:szCs w:val="24"/>
          <w:highlight w:val="none"/>
          <w:lang w:val="en-US" w:eastAsia="zh-CN"/>
        </w:rPr>
        <w:t>6</w:t>
      </w:r>
      <w:r>
        <w:rPr>
          <w:rFonts w:hint="eastAsia" w:ascii="Times New Roman" w:hAnsi="Times New Roman"/>
          <w:sz w:val="24"/>
          <w:szCs w:val="24"/>
          <w:highlight w:val="none"/>
        </w:rPr>
        <w:t>.3</w:t>
      </w:r>
      <w:r>
        <w:rPr>
          <w:rFonts w:hint="eastAsia" w:ascii="Times New Roman" w:hAnsi="Times New Roman"/>
          <w:sz w:val="24"/>
          <w:szCs w:val="24"/>
          <w:highlight w:val="none"/>
          <w:lang w:val="en-US" w:eastAsia="zh-CN"/>
        </w:rPr>
        <w:t>.1投标人应使用“政采云电子投标客户端”软件按招标文件要求制作投标文件，并将加密版投标文件上传至政采云平台系统。开标时需使用编制文件的CA数字证书进行解密。</w:t>
      </w:r>
    </w:p>
    <w:p w14:paraId="660AB2A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highlight w:val="none"/>
          <w:lang w:val="en-US" w:eastAsia="zh-CN"/>
        </w:rPr>
      </w:pPr>
      <w:r>
        <w:rPr>
          <w:rFonts w:hint="eastAsia" w:ascii="Times New Roman" w:hAnsi="Times New Roman"/>
          <w:sz w:val="24"/>
          <w:szCs w:val="24"/>
          <w:highlight w:val="none"/>
          <w:lang w:val="en-US" w:eastAsia="zh-CN"/>
        </w:rPr>
        <w:t>6.3.2电子投标文件中反应投标人资格审查的图片、扫描件、文字描述等，必须清晰可见，因上传材料不清晰，导致被否决投标，后果由投标人自行承担。</w:t>
      </w:r>
    </w:p>
    <w:p w14:paraId="7CAE51C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highlight w:val="none"/>
          <w:lang w:val="en-US" w:eastAsia="zh-CN"/>
        </w:rPr>
      </w:pPr>
      <w:r>
        <w:rPr>
          <w:rFonts w:hint="eastAsia" w:ascii="Times New Roman" w:hAnsi="Times New Roman"/>
          <w:sz w:val="24"/>
          <w:szCs w:val="24"/>
          <w:highlight w:val="none"/>
          <w:lang w:val="en-US" w:eastAsia="zh-CN"/>
        </w:rPr>
        <w:t>6.3.3投标文件制作过程中如有疑问或故障，可登录“政采云”平台（https://www.zcygov.cn/），点击右侧咨询小采，获取采小蜜智能服务管家帮助，或拨打95763获取帮助。</w:t>
      </w:r>
    </w:p>
    <w:p w14:paraId="5A9A17F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highlight w:val="none"/>
          <w:lang w:val="en-US" w:eastAsia="zh-CN"/>
        </w:rPr>
      </w:pPr>
      <w:r>
        <w:rPr>
          <w:rFonts w:hint="eastAsia" w:ascii="Times New Roman" w:hAnsi="Times New Roman"/>
          <w:sz w:val="24"/>
          <w:szCs w:val="24"/>
          <w:highlight w:val="none"/>
          <w:lang w:val="en-US" w:eastAsia="zh-CN"/>
        </w:rPr>
        <w:t>6.3.4电子版投标文件的文件制作机器码（文件制作机器码是以电脑的网卡MAC地址、硬盘序列号、CPU序列号、主板序列号、以及工具标识号五大特征组成），若出现不同投标人之间文件制作机器码相同的情形，视为投标人之间串通投标，予以否决其投标，并由行政主管部门依据法律法规及相关规定，予以严肃处罚，并纳入信用考核。</w:t>
      </w:r>
    </w:p>
    <w:p w14:paraId="243D88FD">
      <w:pPr>
        <w:keepNext w:val="0"/>
        <w:keepLines w:val="0"/>
        <w:pageBreakBefore w:val="0"/>
        <w:widowControl w:val="0"/>
        <w:kinsoku/>
        <w:wordWrap/>
        <w:overflowPunct/>
        <w:topLinePunct w:val="0"/>
        <w:autoSpaceDE/>
        <w:autoSpaceDN/>
        <w:bidi w:val="0"/>
        <w:adjustRightInd/>
        <w:snapToGrid/>
        <w:ind w:firstLine="520" w:firstLineChars="200"/>
        <w:textAlignment w:val="auto"/>
        <w:rPr>
          <w:rFonts w:hint="eastAsia" w:ascii="Times New Roman" w:hAnsi="Times New Roman" w:eastAsiaTheme="minorEastAsia" w:cstheme="minorBidi"/>
          <w:bCs/>
          <w:spacing w:val="10"/>
          <w:kern w:val="2"/>
          <w:sz w:val="24"/>
          <w:szCs w:val="24"/>
          <w:highlight w:val="none"/>
          <w:lang w:val="en-US" w:eastAsia="zh-CN" w:bidi="ar-SA"/>
        </w:rPr>
      </w:pPr>
      <w:r>
        <w:rPr>
          <w:rFonts w:hint="eastAsia" w:ascii="Times New Roman" w:hAnsi="Times New Roman" w:cstheme="minorBidi"/>
          <w:bCs/>
          <w:spacing w:val="10"/>
          <w:kern w:val="2"/>
          <w:sz w:val="24"/>
          <w:szCs w:val="24"/>
          <w:highlight w:val="none"/>
          <w:lang w:val="en-US" w:eastAsia="zh-CN" w:bidi="ar-SA"/>
        </w:rPr>
        <w:t>6</w:t>
      </w:r>
      <w:r>
        <w:rPr>
          <w:rFonts w:hint="eastAsia" w:ascii="Times New Roman" w:hAnsi="Times New Roman" w:eastAsiaTheme="minorEastAsia" w:cstheme="minorBidi"/>
          <w:bCs/>
          <w:spacing w:val="10"/>
          <w:kern w:val="2"/>
          <w:sz w:val="24"/>
          <w:szCs w:val="24"/>
          <w:highlight w:val="none"/>
          <w:lang w:val="en-US" w:eastAsia="zh-CN" w:bidi="ar-SA"/>
        </w:rPr>
        <w:t>.</w:t>
      </w:r>
      <w:r>
        <w:rPr>
          <w:rFonts w:hint="eastAsia" w:ascii="Times New Roman" w:hAnsi="Times New Roman" w:cstheme="minorBidi"/>
          <w:bCs/>
          <w:spacing w:val="10"/>
          <w:kern w:val="2"/>
          <w:sz w:val="24"/>
          <w:szCs w:val="24"/>
          <w:highlight w:val="none"/>
          <w:lang w:val="en-US" w:eastAsia="zh-CN" w:bidi="ar-SA"/>
        </w:rPr>
        <w:t>4</w:t>
      </w:r>
      <w:r>
        <w:rPr>
          <w:rFonts w:hint="eastAsia" w:ascii="Times New Roman" w:hAnsi="Times New Roman" w:eastAsiaTheme="minorEastAsia" w:cstheme="minorBidi"/>
          <w:bCs/>
          <w:spacing w:val="10"/>
          <w:kern w:val="2"/>
          <w:sz w:val="24"/>
          <w:szCs w:val="24"/>
          <w:highlight w:val="none"/>
          <w:lang w:val="en-US" w:eastAsia="zh-CN" w:bidi="ar-SA"/>
        </w:rPr>
        <w:t xml:space="preserve"> </w:t>
      </w:r>
      <w:r>
        <w:rPr>
          <w:rFonts w:hint="eastAsia" w:ascii="Times New Roman" w:hAnsi="Times New Roman"/>
          <w:sz w:val="24"/>
          <w:szCs w:val="24"/>
          <w:highlight w:val="none"/>
        </w:rPr>
        <w:t>投标人必须保证投标文件所提供的全部资料真实可靠，并接受采购人或前郭县政府采购中心对其中任何资料进一步核实的要求。如果因为投标文件填报的内容不详，或没有提供招标</w:t>
      </w:r>
      <w:r>
        <w:rPr>
          <w:rFonts w:hint="eastAsia" w:ascii="Times New Roman" w:hAnsi="Times New Roman" w:eastAsiaTheme="minorEastAsia" w:cstheme="minorBidi"/>
          <w:bCs/>
          <w:spacing w:val="10"/>
          <w:kern w:val="2"/>
          <w:sz w:val="24"/>
          <w:szCs w:val="24"/>
          <w:highlight w:val="none"/>
          <w:lang w:val="en-US" w:eastAsia="zh-CN" w:bidi="ar-SA"/>
        </w:rPr>
        <w:t>文件中所要求的全部资料及数据，或提供虚假文件，由此造成的后果由投标人自负。</w:t>
      </w:r>
    </w:p>
    <w:p w14:paraId="18CCEA8A">
      <w:pPr>
        <w:pStyle w:val="15"/>
        <w:rPr>
          <w:rFonts w:hint="eastAsia"/>
          <w:lang w:val="en-US" w:eastAsia="zh-CN"/>
        </w:rPr>
      </w:pPr>
    </w:p>
    <w:p w14:paraId="060D597D">
      <w:pPr>
        <w:keepNext w:val="0"/>
        <w:keepLines w:val="0"/>
        <w:pageBreakBefore w:val="0"/>
        <w:widowControl w:val="0"/>
        <w:kinsoku/>
        <w:wordWrap/>
        <w:overflowPunct/>
        <w:topLinePunct w:val="0"/>
        <w:autoSpaceDE/>
        <w:autoSpaceDN/>
        <w:bidi w:val="0"/>
        <w:adjustRightInd/>
        <w:snapToGrid/>
        <w:ind w:firstLine="522" w:firstLineChars="200"/>
        <w:textAlignment w:val="auto"/>
        <w:rPr>
          <w:rFonts w:hint="eastAsia" w:ascii="Times New Roman" w:hAnsi="Times New Roman" w:eastAsiaTheme="minorEastAsia" w:cstheme="minorBidi"/>
          <w:b/>
          <w:bCs w:val="0"/>
          <w:spacing w:val="10"/>
          <w:kern w:val="2"/>
          <w:sz w:val="24"/>
          <w:szCs w:val="24"/>
          <w:highlight w:val="none"/>
          <w:lang w:val="en-US" w:eastAsia="zh-CN" w:bidi="ar-SA"/>
        </w:rPr>
      </w:pPr>
      <w:r>
        <w:rPr>
          <w:rFonts w:hint="eastAsia" w:ascii="Times New Roman" w:hAnsi="Times New Roman" w:eastAsiaTheme="minorEastAsia" w:cstheme="minorBidi"/>
          <w:b/>
          <w:bCs w:val="0"/>
          <w:spacing w:val="10"/>
          <w:kern w:val="2"/>
          <w:sz w:val="24"/>
          <w:szCs w:val="24"/>
          <w:highlight w:val="none"/>
          <w:lang w:val="en-US" w:eastAsia="zh-CN" w:bidi="ar-SA"/>
        </w:rPr>
        <w:t>7. 投标文件构成</w:t>
      </w:r>
    </w:p>
    <w:p w14:paraId="0810112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highlight w:val="none"/>
          <w:lang w:val="en-US" w:eastAsia="zh-CN"/>
        </w:rPr>
      </w:pPr>
      <w:r>
        <w:rPr>
          <w:rFonts w:hint="eastAsia" w:ascii="Times New Roman" w:hAnsi="Times New Roman"/>
          <w:sz w:val="24"/>
          <w:szCs w:val="24"/>
          <w:highlight w:val="none"/>
          <w:lang w:val="en-US" w:eastAsia="zh-CN"/>
        </w:rPr>
        <w:t>一、投标函</w:t>
      </w:r>
    </w:p>
    <w:p w14:paraId="3C1760B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highlight w:val="none"/>
          <w:lang w:val="en-US" w:eastAsia="zh-CN"/>
        </w:rPr>
      </w:pPr>
      <w:r>
        <w:rPr>
          <w:rFonts w:hint="eastAsia" w:ascii="Times New Roman" w:hAnsi="Times New Roman"/>
          <w:sz w:val="24"/>
          <w:szCs w:val="24"/>
          <w:highlight w:val="none"/>
          <w:lang w:val="en-US" w:eastAsia="zh-CN"/>
        </w:rPr>
        <w:t>二、法定代表人身份证明</w:t>
      </w:r>
    </w:p>
    <w:p w14:paraId="2BD2B04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highlight w:val="none"/>
          <w:lang w:val="en-US" w:eastAsia="zh-CN"/>
        </w:rPr>
      </w:pPr>
      <w:r>
        <w:rPr>
          <w:rFonts w:hint="eastAsia" w:ascii="Times New Roman" w:hAnsi="Times New Roman"/>
          <w:sz w:val="24"/>
          <w:szCs w:val="24"/>
          <w:highlight w:val="none"/>
          <w:lang w:val="en-US" w:eastAsia="zh-CN"/>
        </w:rPr>
        <w:t>三、法定代表人授权书（法定代表人投标的可不提供）</w:t>
      </w:r>
    </w:p>
    <w:p w14:paraId="261A853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highlight w:val="none"/>
          <w:lang w:val="en-US" w:eastAsia="zh-CN"/>
        </w:rPr>
      </w:pPr>
      <w:r>
        <w:rPr>
          <w:rFonts w:hint="eastAsia" w:ascii="Times New Roman" w:hAnsi="Times New Roman"/>
          <w:sz w:val="24"/>
          <w:szCs w:val="24"/>
          <w:highlight w:val="none"/>
          <w:lang w:val="en-US" w:eastAsia="zh-CN"/>
        </w:rPr>
        <w:t>四、投标人资格资信证明</w:t>
      </w:r>
    </w:p>
    <w:p w14:paraId="0CB2BF4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highlight w:val="none"/>
          <w:lang w:val="en-US" w:eastAsia="zh-CN"/>
        </w:rPr>
      </w:pPr>
      <w:r>
        <w:rPr>
          <w:rFonts w:hint="eastAsia" w:ascii="Times New Roman" w:hAnsi="Times New Roman"/>
          <w:sz w:val="24"/>
          <w:szCs w:val="24"/>
          <w:highlight w:val="none"/>
          <w:lang w:val="en-US" w:eastAsia="zh-CN"/>
        </w:rPr>
        <w:t>五、开标一览表</w:t>
      </w:r>
    </w:p>
    <w:p w14:paraId="2CA71CA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highlight w:val="none"/>
          <w:lang w:val="en-US" w:eastAsia="zh-CN"/>
        </w:rPr>
      </w:pPr>
      <w:r>
        <w:rPr>
          <w:rFonts w:hint="eastAsia" w:ascii="Times New Roman" w:hAnsi="Times New Roman"/>
          <w:sz w:val="24"/>
          <w:szCs w:val="24"/>
          <w:highlight w:val="none"/>
          <w:lang w:val="en-US" w:eastAsia="zh-CN"/>
        </w:rPr>
        <w:t>六、投标报价明细表</w:t>
      </w:r>
    </w:p>
    <w:p w14:paraId="0DB858C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highlight w:val="none"/>
          <w:lang w:val="en-US" w:eastAsia="zh-CN"/>
        </w:rPr>
      </w:pPr>
      <w:r>
        <w:rPr>
          <w:rFonts w:hint="eastAsia" w:ascii="Times New Roman" w:hAnsi="Times New Roman"/>
          <w:sz w:val="24"/>
          <w:szCs w:val="24"/>
          <w:highlight w:val="none"/>
          <w:lang w:val="en-US" w:eastAsia="zh-CN"/>
        </w:rPr>
        <w:t>七、类似项目业绩一览表</w:t>
      </w:r>
    </w:p>
    <w:p w14:paraId="0B21459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ascii="Times New Roman" w:hAnsi="Times New Roman"/>
          <w:sz w:val="24"/>
          <w:szCs w:val="24"/>
          <w:highlight w:val="none"/>
          <w:lang w:val="en-US" w:eastAsia="zh-CN"/>
        </w:rPr>
      </w:pPr>
      <w:r>
        <w:rPr>
          <w:rFonts w:hint="eastAsia" w:ascii="Times New Roman" w:hAnsi="Times New Roman"/>
          <w:sz w:val="24"/>
          <w:szCs w:val="24"/>
          <w:highlight w:val="none"/>
          <w:lang w:val="en-US" w:eastAsia="zh-CN"/>
        </w:rPr>
        <w:t>八、其他资料</w:t>
      </w:r>
    </w:p>
    <w:p w14:paraId="319FD892">
      <w:pPr>
        <w:keepNext w:val="0"/>
        <w:keepLines w:val="0"/>
        <w:pageBreakBefore w:val="0"/>
        <w:widowControl w:val="0"/>
        <w:kinsoku/>
        <w:wordWrap/>
        <w:overflowPunct/>
        <w:topLinePunct w:val="0"/>
        <w:autoSpaceDE/>
        <w:autoSpaceDN/>
        <w:bidi w:val="0"/>
        <w:adjustRightInd/>
        <w:snapToGrid/>
        <w:ind w:firstLine="482" w:firstLineChars="200"/>
        <w:textAlignment w:val="auto"/>
        <w:rPr>
          <w:rFonts w:hint="eastAsia" w:ascii="Times New Roman" w:hAnsi="Times New Roman"/>
          <w:b/>
          <w:bCs/>
          <w:sz w:val="24"/>
          <w:szCs w:val="24"/>
          <w:highlight w:val="none"/>
        </w:rPr>
      </w:pPr>
      <w:r>
        <w:rPr>
          <w:rFonts w:hint="eastAsia" w:ascii="Times New Roman" w:hAnsi="Times New Roman"/>
          <w:b/>
          <w:bCs/>
          <w:sz w:val="24"/>
          <w:szCs w:val="24"/>
          <w:highlight w:val="none"/>
        </w:rPr>
        <w:t>8. 投标报价</w:t>
      </w:r>
    </w:p>
    <w:p w14:paraId="6EE9CC1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highlight w:val="none"/>
          <w:lang w:eastAsia="zh-CN"/>
        </w:rPr>
      </w:pPr>
      <w:r>
        <w:rPr>
          <w:rFonts w:hint="eastAsia" w:ascii="Times New Roman" w:hAnsi="Times New Roman"/>
          <w:sz w:val="24"/>
          <w:szCs w:val="24"/>
          <w:highlight w:val="none"/>
        </w:rPr>
        <w:t>8.1投标人的报价应当包括满足本次招标全部采购需求。除招标文件另有规定外，所有投标均应以人民币报价。投标人的投标报价应遵守</w:t>
      </w:r>
      <w:r>
        <w:rPr>
          <w:rFonts w:hint="eastAsia" w:ascii="Times New Roman" w:hAnsi="Times New Roman"/>
          <w:sz w:val="24"/>
          <w:szCs w:val="24"/>
          <w:highlight w:val="none"/>
          <w:lang w:eastAsia="zh-CN"/>
        </w:rPr>
        <w:t>《</w:t>
      </w:r>
      <w:r>
        <w:rPr>
          <w:rFonts w:hint="eastAsia" w:ascii="Times New Roman" w:hAnsi="Times New Roman"/>
          <w:sz w:val="24"/>
          <w:szCs w:val="24"/>
          <w:highlight w:val="none"/>
        </w:rPr>
        <w:t>中华人民共和国价格法</w:t>
      </w:r>
      <w:r>
        <w:rPr>
          <w:rFonts w:hint="eastAsia" w:ascii="Times New Roman" w:hAnsi="Times New Roman"/>
          <w:sz w:val="24"/>
          <w:szCs w:val="24"/>
          <w:highlight w:val="none"/>
          <w:lang w:eastAsia="zh-CN"/>
        </w:rPr>
        <w:t>》。</w:t>
      </w:r>
    </w:p>
    <w:p w14:paraId="366EDB9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highlight w:val="none"/>
        </w:rPr>
      </w:pPr>
      <w:r>
        <w:rPr>
          <w:rFonts w:hint="eastAsia" w:ascii="Times New Roman" w:hAnsi="Times New Roman"/>
          <w:sz w:val="24"/>
          <w:szCs w:val="24"/>
          <w:highlight w:val="none"/>
        </w:rPr>
        <w:t>8.2投标人报价超过招标文件规定的预算金额或者分项、分包最高限价，其投标将被认定为投标无效。</w:t>
      </w:r>
    </w:p>
    <w:p w14:paraId="4BAB5BF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highlight w:val="none"/>
        </w:rPr>
      </w:pPr>
      <w:r>
        <w:rPr>
          <w:rFonts w:hint="eastAsia" w:ascii="Times New Roman" w:hAnsi="Times New Roman"/>
          <w:sz w:val="24"/>
          <w:szCs w:val="24"/>
          <w:highlight w:val="none"/>
        </w:rPr>
        <w:t>8.3投标报价在合同履行过程中是固定不变的，不得以任何理由予以变更。</w:t>
      </w:r>
    </w:p>
    <w:p w14:paraId="4CC236C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highlight w:val="none"/>
        </w:rPr>
      </w:pPr>
      <w:r>
        <w:rPr>
          <w:rFonts w:hint="eastAsia" w:ascii="Times New Roman" w:hAnsi="Times New Roman"/>
          <w:sz w:val="24"/>
          <w:szCs w:val="24"/>
          <w:highlight w:val="none"/>
        </w:rPr>
        <w:t>任何包含价格调整要求的投标，其投标将被认定为投标无效。</w:t>
      </w:r>
    </w:p>
    <w:p w14:paraId="3072ADD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highlight w:val="none"/>
        </w:rPr>
      </w:pPr>
      <w:r>
        <w:rPr>
          <w:rFonts w:hint="eastAsia" w:ascii="Times New Roman" w:hAnsi="Times New Roman"/>
          <w:sz w:val="24"/>
          <w:szCs w:val="24"/>
          <w:highlight w:val="none"/>
        </w:rPr>
        <w:t>8.4评标委员会认为投标人的报价明显低于其他通过符合性审查投标人的</w:t>
      </w:r>
      <w:r>
        <w:rPr>
          <w:rFonts w:hint="eastAsia" w:ascii="Times New Roman" w:hAnsi="Times New Roman"/>
          <w:sz w:val="24"/>
          <w:szCs w:val="24"/>
          <w:highlight w:val="none"/>
          <w:lang w:val="en-US" w:eastAsia="zh-CN"/>
        </w:rPr>
        <w:t>报价</w:t>
      </w:r>
      <w:r>
        <w:rPr>
          <w:rFonts w:hint="eastAsia" w:ascii="Times New Roman" w:hAnsi="Times New Roman"/>
          <w:sz w:val="24"/>
          <w:szCs w:val="24"/>
          <w:highlight w:val="none"/>
        </w:rPr>
        <w:t>，有可能影响产品</w:t>
      </w:r>
      <w:r>
        <w:rPr>
          <w:rFonts w:hint="eastAsia" w:ascii="Times New Roman" w:hAnsi="Times New Roman"/>
          <w:sz w:val="24"/>
          <w:szCs w:val="24"/>
          <w:highlight w:val="none"/>
          <w:lang w:eastAsia="zh-CN"/>
        </w:rPr>
        <w:t>（</w:t>
      </w:r>
      <w:r>
        <w:rPr>
          <w:rFonts w:hint="eastAsia" w:ascii="Times New Roman" w:hAnsi="Times New Roman"/>
          <w:sz w:val="24"/>
          <w:szCs w:val="24"/>
          <w:highlight w:val="none"/>
          <w:lang w:val="en-US" w:eastAsia="zh-CN"/>
        </w:rPr>
        <w:t>服务</w:t>
      </w:r>
      <w:r>
        <w:rPr>
          <w:rFonts w:hint="eastAsia" w:ascii="Times New Roman" w:hAnsi="Times New Roman"/>
          <w:sz w:val="24"/>
          <w:szCs w:val="24"/>
          <w:highlight w:val="none"/>
          <w:lang w:eastAsia="zh-CN"/>
        </w:rPr>
        <w:t>）</w:t>
      </w:r>
      <w:r>
        <w:rPr>
          <w:rFonts w:hint="eastAsia" w:ascii="Times New Roman" w:hAnsi="Times New Roman"/>
          <w:sz w:val="24"/>
          <w:szCs w:val="24"/>
          <w:highlight w:val="none"/>
        </w:rPr>
        <w:t>质量或者不能诚信履约的，应当要求其在合理的时间内提供书面说明，必要时提交相关证明材料;投标人不能证明其报价合理性的，其投标将被认定为投标无效。</w:t>
      </w:r>
    </w:p>
    <w:p w14:paraId="702BF54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highlight w:val="none"/>
        </w:rPr>
      </w:pPr>
      <w:r>
        <w:rPr>
          <w:rFonts w:hint="eastAsia" w:ascii="Times New Roman" w:hAnsi="Times New Roman"/>
          <w:sz w:val="24"/>
          <w:szCs w:val="24"/>
          <w:highlight w:val="none"/>
        </w:rPr>
        <w:t>8.5采购人不接受具有附加条件的报价。</w:t>
      </w:r>
    </w:p>
    <w:p w14:paraId="505C5D6F">
      <w:pPr>
        <w:keepNext w:val="0"/>
        <w:keepLines w:val="0"/>
        <w:pageBreakBefore w:val="0"/>
        <w:widowControl w:val="0"/>
        <w:kinsoku/>
        <w:wordWrap/>
        <w:overflowPunct/>
        <w:topLinePunct w:val="0"/>
        <w:autoSpaceDE/>
        <w:autoSpaceDN/>
        <w:bidi w:val="0"/>
        <w:adjustRightInd/>
        <w:snapToGrid/>
        <w:ind w:firstLine="482" w:firstLineChars="200"/>
        <w:textAlignment w:val="auto"/>
        <w:rPr>
          <w:rFonts w:hint="eastAsia" w:ascii="Times New Roman" w:hAnsi="Times New Roman"/>
          <w:sz w:val="24"/>
          <w:szCs w:val="24"/>
        </w:rPr>
      </w:pPr>
      <w:r>
        <w:rPr>
          <w:rFonts w:hint="eastAsia" w:ascii="Times New Roman" w:hAnsi="Times New Roman"/>
          <w:b/>
          <w:bCs/>
          <w:sz w:val="24"/>
          <w:szCs w:val="24"/>
          <w:highlight w:val="none"/>
        </w:rPr>
        <w:t>9. 投标保证金</w:t>
      </w:r>
      <w:r>
        <w:rPr>
          <w:rFonts w:hint="eastAsia" w:ascii="Times New Roman" w:hAnsi="Times New Roman"/>
          <w:b/>
          <w:bCs/>
          <w:sz w:val="24"/>
          <w:szCs w:val="24"/>
          <w:highlight w:val="none"/>
          <w:lang w:eastAsia="zh-CN"/>
        </w:rPr>
        <w:t>：</w:t>
      </w:r>
      <w:r>
        <w:rPr>
          <w:rFonts w:hint="eastAsia" w:ascii="Times New Roman" w:hAnsi="Times New Roman"/>
          <w:sz w:val="24"/>
          <w:szCs w:val="24"/>
          <w:highlight w:val="none"/>
          <w:lang w:val="en-US" w:eastAsia="zh-CN"/>
        </w:rPr>
        <w:t>无</w:t>
      </w:r>
    </w:p>
    <w:p w14:paraId="5919C38B">
      <w:pPr>
        <w:keepNext w:val="0"/>
        <w:keepLines w:val="0"/>
        <w:pageBreakBefore w:val="0"/>
        <w:widowControl w:val="0"/>
        <w:kinsoku/>
        <w:wordWrap/>
        <w:overflowPunct/>
        <w:topLinePunct w:val="0"/>
        <w:autoSpaceDE/>
        <w:autoSpaceDN/>
        <w:bidi w:val="0"/>
        <w:adjustRightInd/>
        <w:snapToGrid/>
        <w:ind w:firstLine="482" w:firstLineChars="200"/>
        <w:textAlignment w:val="auto"/>
        <w:rPr>
          <w:rFonts w:hint="eastAsia" w:ascii="Times New Roman" w:hAnsi="Times New Roman"/>
          <w:b/>
          <w:bCs/>
          <w:sz w:val="24"/>
          <w:szCs w:val="24"/>
        </w:rPr>
      </w:pPr>
      <w:r>
        <w:rPr>
          <w:rFonts w:hint="eastAsia" w:ascii="Times New Roman" w:hAnsi="Times New Roman"/>
          <w:b/>
          <w:bCs/>
          <w:sz w:val="24"/>
          <w:szCs w:val="24"/>
        </w:rPr>
        <w:t>10. 投标有效期</w:t>
      </w:r>
    </w:p>
    <w:p w14:paraId="4AF9ACB2">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rPr>
      </w:pPr>
      <w:r>
        <w:rPr>
          <w:rFonts w:hint="eastAsia" w:ascii="Times New Roman" w:hAnsi="Times New Roman"/>
          <w:sz w:val="24"/>
          <w:szCs w:val="24"/>
        </w:rPr>
        <w:t>10.1 投标有效期为自开标之时起90天。投标文件在这个规定期限内应保持有效。</w:t>
      </w:r>
    </w:p>
    <w:p w14:paraId="075FAC82">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rPr>
      </w:pPr>
      <w:r>
        <w:rPr>
          <w:rFonts w:hint="eastAsia" w:ascii="Times New Roman" w:hAnsi="Times New Roman"/>
          <w:sz w:val="24"/>
          <w:szCs w:val="24"/>
        </w:rPr>
        <w:t>10.2 在特殊情况下，招标人可与投标人协商延长投标有效期。这种要求和答复都应以书面形式进行。投标人可以拒绝接受延期要求而不会被没收投标保证金。同意延长投标有效期的投标人除按照招标人要求修改投标文件的有效期外，不能修改投标文件的其他内容。</w:t>
      </w:r>
    </w:p>
    <w:p w14:paraId="3040B6E6">
      <w:pPr>
        <w:keepNext w:val="0"/>
        <w:keepLines w:val="0"/>
        <w:pageBreakBefore w:val="0"/>
        <w:widowControl w:val="0"/>
        <w:kinsoku/>
        <w:wordWrap/>
        <w:overflowPunct/>
        <w:topLinePunct w:val="0"/>
        <w:autoSpaceDE/>
        <w:autoSpaceDN/>
        <w:bidi w:val="0"/>
        <w:adjustRightInd/>
        <w:snapToGrid/>
        <w:ind w:firstLine="482" w:firstLineChars="200"/>
        <w:textAlignment w:val="auto"/>
        <w:rPr>
          <w:rFonts w:hint="eastAsia" w:ascii="Times New Roman" w:hAnsi="Times New Roman"/>
          <w:b/>
          <w:bCs/>
          <w:sz w:val="24"/>
          <w:szCs w:val="24"/>
          <w:highlight w:val="none"/>
        </w:rPr>
      </w:pPr>
      <w:r>
        <w:rPr>
          <w:rFonts w:hint="eastAsia" w:ascii="Times New Roman" w:hAnsi="Times New Roman"/>
          <w:b/>
          <w:bCs/>
          <w:sz w:val="24"/>
          <w:szCs w:val="24"/>
          <w:highlight w:val="none"/>
        </w:rPr>
        <w:t>11. 投标文件的式样和签署</w:t>
      </w:r>
    </w:p>
    <w:p w14:paraId="144EE92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highlight w:val="yellow"/>
        </w:rPr>
      </w:pPr>
      <w:r>
        <w:rPr>
          <w:rFonts w:hint="eastAsia" w:ascii="Times New Roman" w:hAnsi="Times New Roman"/>
          <w:sz w:val="24"/>
          <w:szCs w:val="24"/>
          <w:highlight w:val="none"/>
        </w:rPr>
        <w:t>11.1 投标人应按招标文件中提供的投标文件格式编写投标文件</w:t>
      </w:r>
      <w:r>
        <w:rPr>
          <w:rFonts w:hint="eastAsia" w:ascii="Times New Roman" w:hAnsi="Times New Roman"/>
          <w:sz w:val="24"/>
          <w:szCs w:val="24"/>
          <w:highlight w:val="none"/>
          <w:lang w:eastAsia="zh-CN"/>
        </w:rPr>
        <w:t>，</w:t>
      </w:r>
      <w:r>
        <w:rPr>
          <w:rFonts w:hint="eastAsia" w:ascii="Times New Roman" w:hAnsi="Times New Roman"/>
          <w:sz w:val="24"/>
          <w:szCs w:val="24"/>
          <w:highlight w:val="none"/>
        </w:rPr>
        <w:t>招标文件中凡要求签署和/或加盖公章的，均须由投标人的法定代表人或其授权代理人手书签字和/或加盖投标人公章。投标文件由法定代表人签署的，须与其投标人营业执照相符；由授权代理人签署的，须提交以书面形式出具的《法定代表人授权书》（按规定的格式提交）。</w:t>
      </w:r>
    </w:p>
    <w:p w14:paraId="542EC0EF">
      <w:pPr>
        <w:keepNext w:val="0"/>
        <w:keepLines w:val="0"/>
        <w:pageBreakBefore w:val="0"/>
        <w:widowControl w:val="0"/>
        <w:kinsoku/>
        <w:wordWrap/>
        <w:overflowPunct/>
        <w:topLinePunct w:val="0"/>
        <w:autoSpaceDE/>
        <w:autoSpaceDN/>
        <w:bidi w:val="0"/>
        <w:adjustRightInd/>
        <w:snapToGrid/>
        <w:ind w:firstLine="482" w:firstLineChars="200"/>
        <w:textAlignment w:val="auto"/>
        <w:rPr>
          <w:rFonts w:hint="eastAsia" w:ascii="Times New Roman" w:hAnsi="Times New Roman"/>
          <w:b/>
          <w:bCs/>
          <w:sz w:val="24"/>
          <w:szCs w:val="24"/>
          <w:highlight w:val="none"/>
        </w:rPr>
      </w:pPr>
      <w:r>
        <w:rPr>
          <w:rFonts w:hint="eastAsia" w:ascii="Times New Roman" w:hAnsi="Times New Roman"/>
          <w:b/>
          <w:bCs/>
          <w:sz w:val="24"/>
          <w:szCs w:val="24"/>
          <w:highlight w:val="none"/>
        </w:rPr>
        <w:t>12. 投标文件的修改和撤回</w:t>
      </w:r>
    </w:p>
    <w:p w14:paraId="34EC174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highlight w:val="none"/>
        </w:rPr>
      </w:pPr>
      <w:r>
        <w:rPr>
          <w:rFonts w:hint="eastAsia" w:ascii="Times New Roman" w:hAnsi="Times New Roman"/>
          <w:sz w:val="24"/>
          <w:szCs w:val="24"/>
          <w:highlight w:val="none"/>
        </w:rPr>
        <w:t>12.1 投标人在递交投标文件后，可以修改或撤回其投标文件，但招标人必须在规定的投标截止时间之前收到投标人的修改或撤回的书面申请。</w:t>
      </w:r>
    </w:p>
    <w:p w14:paraId="09C69D8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highlight w:val="none"/>
        </w:rPr>
      </w:pPr>
      <w:r>
        <w:rPr>
          <w:rFonts w:hint="eastAsia" w:ascii="Times New Roman" w:hAnsi="Times New Roman"/>
          <w:sz w:val="24"/>
          <w:szCs w:val="24"/>
          <w:highlight w:val="none"/>
        </w:rPr>
        <w:t>12.2 投标人的修改或撤回通知书应按对投标文件的规定一样进行编制、密封、标记和递交，并标明“修改”或“撤回”字样。</w:t>
      </w:r>
    </w:p>
    <w:p w14:paraId="4C17045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highlight w:val="none"/>
        </w:rPr>
      </w:pPr>
      <w:r>
        <w:rPr>
          <w:rFonts w:hint="eastAsia" w:ascii="Times New Roman" w:hAnsi="Times New Roman"/>
          <w:sz w:val="24"/>
          <w:szCs w:val="24"/>
          <w:highlight w:val="none"/>
        </w:rPr>
        <w:t>12.3 在投标截止时间（开标时间）之后，投标人不得对其投标书</w:t>
      </w:r>
      <w:r>
        <w:rPr>
          <w:rFonts w:hint="eastAsia" w:ascii="Times New Roman" w:hAnsi="Times New Roman"/>
          <w:sz w:val="24"/>
          <w:szCs w:val="24"/>
          <w:highlight w:val="none"/>
          <w:lang w:eastAsia="zh-CN"/>
        </w:rPr>
        <w:t>作</w:t>
      </w:r>
      <w:r>
        <w:rPr>
          <w:rFonts w:hint="eastAsia" w:ascii="Times New Roman" w:hAnsi="Times New Roman"/>
          <w:sz w:val="24"/>
          <w:szCs w:val="24"/>
          <w:highlight w:val="none"/>
        </w:rPr>
        <w:t>任何修改（包括开标一览表的内容）。</w:t>
      </w:r>
    </w:p>
    <w:p w14:paraId="2BE9FC4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highlight w:val="none"/>
        </w:rPr>
      </w:pPr>
      <w:r>
        <w:rPr>
          <w:rFonts w:hint="eastAsia" w:ascii="Times New Roman" w:hAnsi="Times New Roman"/>
          <w:sz w:val="24"/>
          <w:szCs w:val="24"/>
          <w:highlight w:val="none"/>
        </w:rPr>
        <w:t>12.4 从开标之时起，至投标有效期期满之间的这段时间内，投标人不得撤回其投标。与其他供应商恶意串通而撤回投标的，按照《中华人民共和国政府采购法》第七十七条的规定处理。</w:t>
      </w:r>
    </w:p>
    <w:p w14:paraId="484EAC5C">
      <w:pPr>
        <w:keepNext w:val="0"/>
        <w:keepLines w:val="0"/>
        <w:pageBreakBefore w:val="0"/>
        <w:widowControl w:val="0"/>
        <w:kinsoku/>
        <w:wordWrap/>
        <w:overflowPunct/>
        <w:topLinePunct w:val="0"/>
        <w:autoSpaceDE/>
        <w:autoSpaceDN/>
        <w:bidi w:val="0"/>
        <w:adjustRightInd/>
        <w:snapToGrid/>
        <w:ind w:firstLine="482" w:firstLineChars="200"/>
        <w:textAlignment w:val="auto"/>
        <w:rPr>
          <w:rFonts w:hint="eastAsia" w:ascii="Times New Roman" w:hAnsi="Times New Roman"/>
          <w:b/>
          <w:bCs/>
          <w:sz w:val="24"/>
          <w:szCs w:val="24"/>
        </w:rPr>
      </w:pPr>
      <w:r>
        <w:rPr>
          <w:rFonts w:hint="eastAsia" w:ascii="Times New Roman" w:hAnsi="Times New Roman"/>
          <w:b/>
          <w:bCs/>
          <w:sz w:val="24"/>
          <w:szCs w:val="24"/>
        </w:rPr>
        <w:t>13. 投标</w:t>
      </w:r>
    </w:p>
    <w:p w14:paraId="3CE4CFF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highlight w:val="none"/>
        </w:rPr>
      </w:pPr>
      <w:r>
        <w:rPr>
          <w:rFonts w:hint="eastAsia" w:ascii="Times New Roman" w:hAnsi="Times New Roman"/>
          <w:sz w:val="24"/>
          <w:szCs w:val="24"/>
          <w:highlight w:val="none"/>
        </w:rPr>
        <w:t>13.1本项目采用全流程电子化采购，需通过政采云平台（https://www.zcygov.cn/）递交电子</w:t>
      </w:r>
      <w:r>
        <w:rPr>
          <w:rFonts w:hint="eastAsia" w:ascii="Times New Roman" w:hAnsi="Times New Roman"/>
          <w:sz w:val="24"/>
          <w:szCs w:val="24"/>
          <w:highlight w:val="none"/>
          <w:lang w:val="en-US" w:eastAsia="zh-CN"/>
        </w:rPr>
        <w:t>投标</w:t>
      </w:r>
      <w:r>
        <w:rPr>
          <w:rFonts w:hint="eastAsia" w:ascii="Times New Roman" w:hAnsi="Times New Roman"/>
          <w:sz w:val="24"/>
          <w:szCs w:val="24"/>
          <w:highlight w:val="none"/>
        </w:rPr>
        <w:t>文件，供应商无需到现场。操作流程：供应商在政府采购云平台网注册入库成为正式供应商后，在平台上按《政府采购项目电子交易管理操作指南-供应商》进行操作。若对项目采购电子交易系统操作有疑问，可登录“政采云”平台（https://www.zcygov.cn/）点击右侧咨询小采，获取采小蜜智能服务管家帮助，或拨打政采云服务热线 400-881-7190或95763获取热线服务帮助。</w:t>
      </w:r>
    </w:p>
    <w:p w14:paraId="2C5AC3C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highlight w:val="none"/>
        </w:rPr>
      </w:pPr>
      <w:r>
        <w:rPr>
          <w:rFonts w:hint="eastAsia" w:ascii="Times New Roman" w:hAnsi="Times New Roman"/>
          <w:sz w:val="24"/>
          <w:szCs w:val="24"/>
          <w:highlight w:val="none"/>
        </w:rPr>
        <w:t>13.</w:t>
      </w:r>
      <w:r>
        <w:rPr>
          <w:rFonts w:hint="eastAsia" w:ascii="Times New Roman" w:hAnsi="Times New Roman"/>
          <w:sz w:val="24"/>
          <w:szCs w:val="24"/>
          <w:highlight w:val="none"/>
          <w:lang w:val="en-US" w:eastAsia="zh-CN"/>
        </w:rPr>
        <w:t>2</w:t>
      </w:r>
      <w:r>
        <w:rPr>
          <w:rFonts w:hint="eastAsia" w:ascii="Times New Roman" w:hAnsi="Times New Roman"/>
          <w:sz w:val="24"/>
          <w:szCs w:val="24"/>
          <w:highlight w:val="none"/>
        </w:rPr>
        <w:t xml:space="preserve"> 投标供应商不足3家或者通过资格审查或者符合性审查的投标人不足三家的，招标人</w:t>
      </w:r>
      <w:r>
        <w:rPr>
          <w:rFonts w:hint="eastAsia" w:ascii="Times New Roman" w:hAnsi="Times New Roman"/>
          <w:sz w:val="24"/>
          <w:szCs w:val="24"/>
          <w:highlight w:val="none"/>
          <w:lang w:val="en-US" w:eastAsia="zh-CN"/>
        </w:rPr>
        <w:t>将</w:t>
      </w:r>
      <w:r>
        <w:rPr>
          <w:rFonts w:hint="eastAsia" w:ascii="Times New Roman" w:hAnsi="Times New Roman"/>
          <w:sz w:val="24"/>
          <w:szCs w:val="24"/>
          <w:highlight w:val="none"/>
        </w:rPr>
        <w:t>终止</w:t>
      </w:r>
      <w:r>
        <w:rPr>
          <w:rFonts w:hint="eastAsia" w:ascii="Times New Roman" w:hAnsi="Times New Roman"/>
          <w:sz w:val="24"/>
          <w:szCs w:val="24"/>
          <w:highlight w:val="none"/>
          <w:lang w:val="en-US" w:eastAsia="zh-CN"/>
        </w:rPr>
        <w:t>此次</w:t>
      </w:r>
      <w:r>
        <w:rPr>
          <w:rFonts w:hint="eastAsia" w:ascii="Times New Roman" w:hAnsi="Times New Roman"/>
          <w:sz w:val="24"/>
          <w:szCs w:val="24"/>
          <w:highlight w:val="none"/>
        </w:rPr>
        <w:t>采购活动</w:t>
      </w:r>
      <w:r>
        <w:rPr>
          <w:rFonts w:hint="eastAsia" w:ascii="Times New Roman" w:hAnsi="Times New Roman"/>
          <w:sz w:val="24"/>
          <w:szCs w:val="24"/>
          <w:highlight w:val="none"/>
          <w:lang w:eastAsia="zh-CN"/>
        </w:rPr>
        <w:t>，</w:t>
      </w:r>
      <w:r>
        <w:rPr>
          <w:rFonts w:hint="eastAsia" w:ascii="Times New Roman" w:hAnsi="Times New Roman"/>
          <w:sz w:val="24"/>
          <w:szCs w:val="24"/>
          <w:highlight w:val="none"/>
          <w:lang w:val="en-US" w:eastAsia="zh-CN"/>
        </w:rPr>
        <w:t>并</w:t>
      </w:r>
      <w:r>
        <w:rPr>
          <w:rFonts w:hint="eastAsia" w:ascii="Times New Roman" w:hAnsi="Times New Roman"/>
          <w:sz w:val="24"/>
          <w:szCs w:val="24"/>
          <w:highlight w:val="none"/>
        </w:rPr>
        <w:t>重新招标</w:t>
      </w:r>
      <w:r>
        <w:rPr>
          <w:rFonts w:hint="eastAsia" w:ascii="Times New Roman" w:hAnsi="Times New Roman"/>
          <w:sz w:val="24"/>
          <w:szCs w:val="24"/>
          <w:highlight w:val="none"/>
          <w:lang w:eastAsia="zh-CN"/>
        </w:rPr>
        <w:t>。</w:t>
      </w:r>
    </w:p>
    <w:p w14:paraId="1CF9506C">
      <w:pPr>
        <w:keepNext w:val="0"/>
        <w:keepLines w:val="0"/>
        <w:pageBreakBefore w:val="0"/>
        <w:widowControl w:val="0"/>
        <w:kinsoku/>
        <w:wordWrap/>
        <w:overflowPunct/>
        <w:topLinePunct w:val="0"/>
        <w:autoSpaceDE/>
        <w:autoSpaceDN/>
        <w:bidi w:val="0"/>
        <w:adjustRightInd/>
        <w:snapToGrid/>
        <w:ind w:firstLine="482" w:firstLineChars="200"/>
        <w:textAlignment w:val="auto"/>
        <w:rPr>
          <w:rFonts w:hint="eastAsia" w:ascii="Times New Roman" w:hAnsi="Times New Roman"/>
          <w:b/>
          <w:bCs/>
          <w:sz w:val="24"/>
          <w:szCs w:val="24"/>
          <w:highlight w:val="none"/>
        </w:rPr>
      </w:pPr>
      <w:r>
        <w:rPr>
          <w:rFonts w:hint="eastAsia" w:ascii="Times New Roman" w:hAnsi="Times New Roman"/>
          <w:b/>
          <w:bCs/>
          <w:sz w:val="24"/>
          <w:szCs w:val="24"/>
          <w:highlight w:val="none"/>
        </w:rPr>
        <w:t>14. 开标</w:t>
      </w:r>
    </w:p>
    <w:p w14:paraId="2E12CBA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highlight w:val="none"/>
        </w:rPr>
      </w:pPr>
      <w:r>
        <w:rPr>
          <w:rFonts w:hint="eastAsia" w:ascii="Times New Roman" w:hAnsi="Times New Roman"/>
          <w:sz w:val="24"/>
          <w:szCs w:val="24"/>
          <w:highlight w:val="none"/>
        </w:rPr>
        <w:t>1</w:t>
      </w:r>
      <w:r>
        <w:rPr>
          <w:rFonts w:hint="eastAsia" w:ascii="Times New Roman" w:hAnsi="Times New Roman"/>
          <w:sz w:val="24"/>
          <w:szCs w:val="24"/>
          <w:highlight w:val="none"/>
          <w:lang w:val="en-US" w:eastAsia="zh-CN"/>
        </w:rPr>
        <w:t>4</w:t>
      </w:r>
      <w:r>
        <w:rPr>
          <w:rFonts w:hint="eastAsia" w:ascii="Times New Roman" w:hAnsi="Times New Roman"/>
          <w:sz w:val="24"/>
          <w:szCs w:val="24"/>
          <w:highlight w:val="none"/>
        </w:rPr>
        <w:t>.1开标由</w:t>
      </w:r>
      <w:r>
        <w:rPr>
          <w:rFonts w:hint="eastAsia" w:ascii="Times New Roman" w:hAnsi="Times New Roman"/>
          <w:sz w:val="24"/>
          <w:szCs w:val="24"/>
          <w:highlight w:val="none"/>
          <w:lang w:val="en-US" w:eastAsia="zh-CN"/>
        </w:rPr>
        <w:t>前郭县</w:t>
      </w:r>
      <w:r>
        <w:rPr>
          <w:rFonts w:hint="eastAsia" w:ascii="Times New Roman" w:hAnsi="Times New Roman"/>
          <w:sz w:val="24"/>
          <w:szCs w:val="24"/>
          <w:highlight w:val="none"/>
        </w:rPr>
        <w:t>政府采购中心主持，投标人务必于开标前提前登录系统。</w:t>
      </w:r>
    </w:p>
    <w:p w14:paraId="0AC27CB2">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highlight w:val="none"/>
          <w:lang w:val="en-US" w:eastAsia="zh-CN"/>
        </w:rPr>
      </w:pPr>
      <w:r>
        <w:rPr>
          <w:rFonts w:hint="eastAsia" w:ascii="Times New Roman" w:hAnsi="Times New Roman"/>
          <w:sz w:val="24"/>
          <w:szCs w:val="24"/>
          <w:highlight w:val="none"/>
          <w:lang w:val="en-US" w:eastAsia="zh-CN"/>
        </w:rPr>
        <w:t>本项目采用“政采云”平台（http:// www.zcygov.cn）不见面开标大厅进行远程采购活动。</w:t>
      </w:r>
    </w:p>
    <w:p w14:paraId="3C22D1F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highlight w:val="none"/>
          <w:lang w:val="en-US" w:eastAsia="zh-CN"/>
        </w:rPr>
      </w:pPr>
      <w:r>
        <w:rPr>
          <w:rFonts w:hint="eastAsia" w:ascii="Times New Roman" w:hAnsi="Times New Roman"/>
          <w:sz w:val="24"/>
          <w:szCs w:val="24"/>
          <w:highlight w:val="none"/>
          <w:lang w:val="en-US" w:eastAsia="zh-CN"/>
        </w:rPr>
        <w:t>响应文件远程解密方式：</w:t>
      </w:r>
    </w:p>
    <w:p w14:paraId="26768C8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highlight w:val="none"/>
          <w:lang w:val="en-US" w:eastAsia="zh-CN"/>
        </w:rPr>
      </w:pPr>
      <w:r>
        <w:rPr>
          <w:rFonts w:hint="eastAsia" w:ascii="Times New Roman" w:hAnsi="Times New Roman"/>
          <w:sz w:val="24"/>
          <w:szCs w:val="24"/>
          <w:highlight w:val="none"/>
          <w:lang w:val="en-US" w:eastAsia="zh-CN"/>
        </w:rPr>
        <w:t>（1）公布供应商名单后30分钟内，由供应商持制作该电子响应文件的相同数字证书（CA锁）及电脑进行远程解密（各供应商在响应文件提交截止时间前及“政采云”系统公布供应商名单前，不要提前进行远程解密）。</w:t>
      </w:r>
    </w:p>
    <w:p w14:paraId="4DA4F1B2">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highlight w:val="none"/>
          <w:lang w:val="en-US" w:eastAsia="zh-CN"/>
        </w:rPr>
      </w:pPr>
      <w:r>
        <w:rPr>
          <w:rFonts w:hint="eastAsia" w:ascii="Times New Roman" w:hAnsi="Times New Roman"/>
          <w:sz w:val="24"/>
          <w:szCs w:val="24"/>
          <w:highlight w:val="none"/>
          <w:lang w:val="en-US" w:eastAsia="zh-CN"/>
        </w:rPr>
        <w:t>（2）因供应商自身原因未能按时完成解密的，视为逾期未提交响应文件，其响应无效。</w:t>
      </w:r>
    </w:p>
    <w:p w14:paraId="2F115E3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highlight w:val="none"/>
        </w:rPr>
      </w:pPr>
      <w:r>
        <w:rPr>
          <w:rFonts w:hint="eastAsia" w:ascii="Times New Roman" w:hAnsi="Times New Roman"/>
          <w:sz w:val="24"/>
          <w:szCs w:val="24"/>
          <w:highlight w:val="none"/>
        </w:rPr>
        <w:t>1</w:t>
      </w:r>
      <w:r>
        <w:rPr>
          <w:rFonts w:hint="eastAsia" w:ascii="Times New Roman" w:hAnsi="Times New Roman"/>
          <w:sz w:val="24"/>
          <w:szCs w:val="24"/>
          <w:highlight w:val="none"/>
          <w:lang w:val="en-US" w:eastAsia="zh-CN"/>
        </w:rPr>
        <w:t>4</w:t>
      </w:r>
      <w:r>
        <w:rPr>
          <w:rFonts w:hint="eastAsia" w:ascii="Times New Roman" w:hAnsi="Times New Roman"/>
          <w:sz w:val="24"/>
          <w:szCs w:val="24"/>
          <w:highlight w:val="none"/>
        </w:rPr>
        <w:t>.2开标时，由招标方工作人员按照投标人电子投标文件解密后的开标记录，</w:t>
      </w:r>
      <w:r>
        <w:rPr>
          <w:spacing w:val="2"/>
          <w:sz w:val="24"/>
          <w:szCs w:val="24"/>
        </w:rPr>
        <w:t>将按照投标人提交的“开标一览表</w:t>
      </w:r>
      <w:r>
        <w:rPr>
          <w:spacing w:val="-83"/>
          <w:sz w:val="24"/>
          <w:szCs w:val="24"/>
        </w:rPr>
        <w:t xml:space="preserve"> </w:t>
      </w:r>
      <w:r>
        <w:rPr>
          <w:spacing w:val="2"/>
          <w:sz w:val="24"/>
          <w:szCs w:val="24"/>
        </w:rPr>
        <w:t>”，当众宣读投</w:t>
      </w:r>
      <w:r>
        <w:rPr>
          <w:spacing w:val="1"/>
          <w:sz w:val="24"/>
          <w:szCs w:val="24"/>
        </w:rPr>
        <w:t>标人名</w:t>
      </w:r>
      <w:r>
        <w:rPr>
          <w:spacing w:val="-1"/>
          <w:sz w:val="24"/>
          <w:szCs w:val="24"/>
        </w:rPr>
        <w:t>称、投标价格、服务期限</w:t>
      </w:r>
      <w:r>
        <w:rPr>
          <w:rFonts w:hint="eastAsia"/>
          <w:spacing w:val="-1"/>
          <w:sz w:val="24"/>
          <w:szCs w:val="24"/>
          <w:lang w:val="en-US" w:eastAsia="zh-CN"/>
        </w:rPr>
        <w:t>等</w:t>
      </w:r>
      <w:r>
        <w:rPr>
          <w:rFonts w:hint="eastAsia" w:ascii="Times New Roman" w:hAnsi="Times New Roman"/>
          <w:sz w:val="24"/>
          <w:szCs w:val="24"/>
          <w:highlight w:val="none"/>
        </w:rPr>
        <w:t>内容。</w:t>
      </w:r>
    </w:p>
    <w:p w14:paraId="1F5F145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highlight w:val="none"/>
        </w:rPr>
      </w:pPr>
      <w:r>
        <w:rPr>
          <w:rFonts w:hint="eastAsia" w:ascii="Times New Roman" w:hAnsi="Times New Roman"/>
          <w:sz w:val="24"/>
          <w:szCs w:val="24"/>
          <w:highlight w:val="none"/>
        </w:rPr>
        <w:t>1</w:t>
      </w:r>
      <w:r>
        <w:rPr>
          <w:rFonts w:hint="eastAsia" w:ascii="Times New Roman" w:hAnsi="Times New Roman"/>
          <w:sz w:val="24"/>
          <w:szCs w:val="24"/>
          <w:highlight w:val="none"/>
          <w:lang w:val="en-US" w:eastAsia="zh-CN"/>
        </w:rPr>
        <w:t>4</w:t>
      </w:r>
      <w:r>
        <w:rPr>
          <w:rFonts w:hint="eastAsia" w:ascii="Times New Roman" w:hAnsi="Times New Roman"/>
          <w:sz w:val="24"/>
          <w:szCs w:val="24"/>
          <w:highlight w:val="none"/>
        </w:rPr>
        <w:t>.3开标过程应当由招标方负责记录随采购文件一并存档。</w:t>
      </w:r>
    </w:p>
    <w:p w14:paraId="7C710AC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highlight w:val="none"/>
        </w:rPr>
      </w:pPr>
      <w:r>
        <w:rPr>
          <w:rFonts w:hint="eastAsia" w:ascii="Times New Roman" w:hAnsi="Times New Roman"/>
          <w:sz w:val="24"/>
          <w:szCs w:val="24"/>
          <w:highlight w:val="none"/>
        </w:rPr>
        <w:t>1</w:t>
      </w:r>
      <w:r>
        <w:rPr>
          <w:rFonts w:hint="eastAsia" w:ascii="Times New Roman" w:hAnsi="Times New Roman"/>
          <w:sz w:val="24"/>
          <w:szCs w:val="24"/>
          <w:highlight w:val="none"/>
          <w:lang w:val="en-US" w:eastAsia="zh-CN"/>
        </w:rPr>
        <w:t>4</w:t>
      </w:r>
      <w:r>
        <w:rPr>
          <w:rFonts w:hint="eastAsia" w:ascii="Times New Roman" w:hAnsi="Times New Roman"/>
          <w:sz w:val="24"/>
          <w:szCs w:val="24"/>
          <w:highlight w:val="none"/>
        </w:rPr>
        <w:t>.4投标人代表对开标过程和开标记录有疑义，以及认为采购人、采购代理机构相关工作人员有需要回避的情形的，应</w:t>
      </w:r>
      <w:r>
        <w:rPr>
          <w:rFonts w:hint="eastAsia" w:ascii="Times New Roman" w:hAnsi="Times New Roman"/>
          <w:sz w:val="24"/>
          <w:szCs w:val="24"/>
          <w:highlight w:val="none"/>
          <w:lang w:val="en-US" w:eastAsia="zh-CN"/>
        </w:rPr>
        <w:t>当场</w:t>
      </w:r>
      <w:r>
        <w:rPr>
          <w:rFonts w:hint="eastAsia" w:ascii="Times New Roman" w:hAnsi="Times New Roman"/>
          <w:sz w:val="24"/>
          <w:szCs w:val="24"/>
          <w:highlight w:val="none"/>
        </w:rPr>
        <w:t>提出询问或者回避申请。</w:t>
      </w:r>
    </w:p>
    <w:p w14:paraId="47437350">
      <w:pPr>
        <w:keepNext w:val="0"/>
        <w:keepLines w:val="0"/>
        <w:pageBreakBefore w:val="0"/>
        <w:widowControl w:val="0"/>
        <w:kinsoku/>
        <w:wordWrap/>
        <w:overflowPunct/>
        <w:topLinePunct w:val="0"/>
        <w:autoSpaceDE/>
        <w:autoSpaceDN/>
        <w:bidi w:val="0"/>
        <w:adjustRightInd/>
        <w:snapToGrid/>
        <w:ind w:firstLine="482" w:firstLineChars="200"/>
        <w:textAlignment w:val="auto"/>
        <w:rPr>
          <w:rFonts w:hint="eastAsia"/>
          <w:b/>
          <w:bCs/>
        </w:rPr>
      </w:pPr>
      <w:r>
        <w:rPr>
          <w:rFonts w:hint="eastAsia" w:ascii="Times New Roman" w:hAnsi="Times New Roman"/>
          <w:b/>
          <w:bCs/>
          <w:sz w:val="24"/>
          <w:szCs w:val="24"/>
          <w:highlight w:val="none"/>
          <w:lang w:val="en-US" w:eastAsia="zh-CN"/>
        </w:rPr>
        <w:t>15</w:t>
      </w:r>
      <w:r>
        <w:rPr>
          <w:rFonts w:hint="eastAsia" w:asciiTheme="minorHAnsi" w:hAnsiTheme="minorHAnsi" w:eastAsiaTheme="minorEastAsia" w:cstheme="minorBidi"/>
          <w:b/>
          <w:bCs/>
          <w:kern w:val="2"/>
          <w:sz w:val="21"/>
          <w:szCs w:val="24"/>
          <w:lang w:val="en-US" w:eastAsia="zh-CN" w:bidi="ar-SA"/>
        </w:rPr>
        <w:t>.</w:t>
      </w:r>
      <w:r>
        <w:rPr>
          <w:rFonts w:hint="eastAsia" w:cstheme="minorBidi"/>
          <w:b/>
          <w:bCs/>
          <w:kern w:val="2"/>
          <w:sz w:val="21"/>
          <w:szCs w:val="24"/>
          <w:lang w:val="en-US" w:eastAsia="zh-CN" w:bidi="ar-SA"/>
        </w:rPr>
        <w:t xml:space="preserve"> </w:t>
      </w:r>
      <w:r>
        <w:rPr>
          <w:rFonts w:hint="eastAsia" w:ascii="Times New Roman" w:hAnsi="Times New Roman"/>
          <w:b/>
          <w:bCs/>
          <w:sz w:val="24"/>
          <w:szCs w:val="24"/>
        </w:rPr>
        <w:t>评标过程的保密性</w:t>
      </w:r>
    </w:p>
    <w:p w14:paraId="3E8E7CC8">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rPr>
      </w:pPr>
      <w:r>
        <w:rPr>
          <w:rFonts w:hint="eastAsia" w:ascii="Times New Roman" w:hAnsi="Times New Roman"/>
          <w:sz w:val="24"/>
          <w:szCs w:val="24"/>
        </w:rPr>
        <w:t>公开开标后，直至向中标的投标人授予合同时止，除按招标文件规定予以公开的评标结果外，凡与审查、澄清、评价和比较投标有关的资料以</w:t>
      </w:r>
      <w:r>
        <w:rPr>
          <w:rFonts w:hint="eastAsia" w:ascii="Times New Roman" w:hAnsi="Times New Roman"/>
          <w:sz w:val="24"/>
          <w:szCs w:val="24"/>
          <w:highlight w:val="none"/>
        </w:rPr>
        <w:t>及</w:t>
      </w:r>
      <w:r>
        <w:rPr>
          <w:rFonts w:hint="eastAsia" w:ascii="Times New Roman" w:hAnsi="Times New Roman"/>
          <w:sz w:val="24"/>
          <w:szCs w:val="24"/>
          <w:highlight w:val="none"/>
          <w:lang w:eastAsia="zh-CN"/>
        </w:rPr>
        <w:t>投标</w:t>
      </w:r>
      <w:r>
        <w:rPr>
          <w:rFonts w:hint="eastAsia" w:ascii="Times New Roman" w:hAnsi="Times New Roman"/>
          <w:sz w:val="24"/>
          <w:szCs w:val="24"/>
          <w:highlight w:val="none"/>
        </w:rPr>
        <w:t>意</w:t>
      </w:r>
      <w:r>
        <w:rPr>
          <w:rFonts w:hint="eastAsia" w:ascii="Times New Roman" w:hAnsi="Times New Roman"/>
          <w:sz w:val="24"/>
          <w:szCs w:val="24"/>
        </w:rPr>
        <w:t>见等，均不得向投标人及与评标无关的其他人透露。</w:t>
      </w:r>
    </w:p>
    <w:p w14:paraId="1957983B">
      <w:pPr>
        <w:keepNext w:val="0"/>
        <w:keepLines w:val="0"/>
        <w:pageBreakBefore w:val="0"/>
        <w:widowControl w:val="0"/>
        <w:kinsoku/>
        <w:wordWrap/>
        <w:overflowPunct/>
        <w:topLinePunct w:val="0"/>
        <w:autoSpaceDE/>
        <w:autoSpaceDN/>
        <w:bidi w:val="0"/>
        <w:adjustRightInd/>
        <w:snapToGrid/>
        <w:ind w:firstLine="482" w:firstLineChars="200"/>
        <w:textAlignment w:val="auto"/>
        <w:rPr>
          <w:rFonts w:hint="eastAsia" w:ascii="Times New Roman" w:hAnsi="Times New Roman"/>
          <w:b/>
          <w:bCs/>
          <w:sz w:val="24"/>
          <w:szCs w:val="24"/>
        </w:rPr>
      </w:pPr>
      <w:r>
        <w:rPr>
          <w:rFonts w:hint="eastAsia" w:ascii="Times New Roman" w:hAnsi="Times New Roman"/>
          <w:b/>
          <w:bCs/>
          <w:sz w:val="24"/>
          <w:szCs w:val="24"/>
        </w:rPr>
        <w:t>16. 评标</w:t>
      </w:r>
    </w:p>
    <w:p w14:paraId="593188F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highlight w:val="none"/>
        </w:rPr>
      </w:pPr>
      <w:r>
        <w:rPr>
          <w:rFonts w:hint="eastAsia" w:ascii="Times New Roman" w:hAnsi="Times New Roman"/>
          <w:sz w:val="24"/>
          <w:szCs w:val="24"/>
          <w:highlight w:val="none"/>
        </w:rPr>
        <w:t>16.1评标委员会由采购人代表、有关技术和经济等方面的专家组成，共5人。</w:t>
      </w:r>
    </w:p>
    <w:p w14:paraId="37F2D6F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highlight w:val="none"/>
        </w:rPr>
      </w:pPr>
      <w:r>
        <w:rPr>
          <w:rFonts w:hint="eastAsia" w:ascii="Times New Roman" w:hAnsi="Times New Roman"/>
          <w:sz w:val="24"/>
          <w:szCs w:val="24"/>
          <w:highlight w:val="none"/>
        </w:rPr>
        <w:t>16.2专家由招标人从专家库中随机抽取。评标委员会根据本招标文件规定的程序、方法和标准进行评标，负责完成评标的全过程直至评定中标人。</w:t>
      </w:r>
    </w:p>
    <w:p w14:paraId="012AB2C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highlight w:val="none"/>
        </w:rPr>
      </w:pPr>
      <w:r>
        <w:rPr>
          <w:rFonts w:hint="eastAsia" w:ascii="Times New Roman" w:hAnsi="Times New Roman"/>
          <w:sz w:val="24"/>
          <w:szCs w:val="24"/>
          <w:highlight w:val="none"/>
        </w:rPr>
        <w:t>16.3评标委员会可以要求投标人对投标文件有关事项作出澄清或者说明。</w:t>
      </w:r>
    </w:p>
    <w:p w14:paraId="297A180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highlight w:val="none"/>
        </w:rPr>
      </w:pPr>
      <w:r>
        <w:rPr>
          <w:rFonts w:hint="eastAsia" w:ascii="Times New Roman" w:hAnsi="Times New Roman"/>
          <w:sz w:val="24"/>
          <w:szCs w:val="24"/>
          <w:highlight w:val="none"/>
        </w:rPr>
        <w:t>16.4开标后直至发出中标通知书止，评标委员会对于投标文件的审查、澄清、评价及评标建议、定标决议等内容不得向投标方或其他有关人员</w:t>
      </w:r>
      <w:r>
        <w:rPr>
          <w:rFonts w:hint="eastAsia" w:ascii="Times New Roman" w:hAnsi="Times New Roman"/>
          <w:sz w:val="24"/>
          <w:szCs w:val="24"/>
          <w:highlight w:val="none"/>
          <w:lang w:eastAsia="zh-CN"/>
        </w:rPr>
        <w:t>透露</w:t>
      </w:r>
      <w:r>
        <w:rPr>
          <w:rFonts w:hint="eastAsia" w:ascii="Times New Roman" w:hAnsi="Times New Roman"/>
          <w:sz w:val="24"/>
          <w:szCs w:val="24"/>
          <w:highlight w:val="none"/>
        </w:rPr>
        <w:t>。</w:t>
      </w:r>
    </w:p>
    <w:p w14:paraId="602DD6B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highlight w:val="none"/>
        </w:rPr>
      </w:pPr>
      <w:r>
        <w:rPr>
          <w:rFonts w:hint="eastAsia" w:ascii="Times New Roman" w:hAnsi="Times New Roman"/>
          <w:sz w:val="24"/>
          <w:szCs w:val="24"/>
          <w:highlight w:val="none"/>
        </w:rPr>
        <w:t>16.5在评标过程中，评标委员会发现投标人以他人的名义投标、串通投标、以行贿手段谋取中标或者以其他弄虚作假方式投标的，该投标人的投标将被拒绝。</w:t>
      </w:r>
    </w:p>
    <w:p w14:paraId="3D9C923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highlight w:val="none"/>
        </w:rPr>
      </w:pPr>
      <w:r>
        <w:rPr>
          <w:rFonts w:hint="eastAsia" w:ascii="Times New Roman" w:hAnsi="Times New Roman"/>
          <w:sz w:val="24"/>
          <w:szCs w:val="24"/>
          <w:highlight w:val="none"/>
        </w:rPr>
        <w:t>16.6评标原则</w:t>
      </w:r>
    </w:p>
    <w:p w14:paraId="4944E9E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highlight w:val="none"/>
        </w:rPr>
      </w:pPr>
      <w:r>
        <w:rPr>
          <w:rFonts w:hint="eastAsia" w:ascii="Times New Roman" w:hAnsi="Times New Roman"/>
          <w:sz w:val="24"/>
          <w:szCs w:val="24"/>
          <w:highlight w:val="none"/>
        </w:rPr>
        <w:t>评标委员会将严格按照招标文件的要求和条件进行评标。</w:t>
      </w:r>
    </w:p>
    <w:p w14:paraId="753BAB55">
      <w:pPr>
        <w:keepNext w:val="0"/>
        <w:keepLines w:val="0"/>
        <w:pageBreakBefore w:val="0"/>
        <w:widowControl w:val="0"/>
        <w:kinsoku/>
        <w:wordWrap/>
        <w:overflowPunct/>
        <w:topLinePunct w:val="0"/>
        <w:autoSpaceDE/>
        <w:autoSpaceDN/>
        <w:bidi w:val="0"/>
        <w:adjustRightInd/>
        <w:snapToGrid/>
        <w:ind w:firstLine="482" w:firstLineChars="200"/>
        <w:textAlignment w:val="auto"/>
        <w:rPr>
          <w:rFonts w:hint="eastAsia" w:ascii="Times New Roman" w:hAnsi="Times New Roman"/>
          <w:b/>
          <w:bCs/>
          <w:sz w:val="24"/>
          <w:szCs w:val="24"/>
          <w:highlight w:val="none"/>
        </w:rPr>
      </w:pPr>
      <w:r>
        <w:rPr>
          <w:rFonts w:hint="eastAsia" w:ascii="Times New Roman" w:hAnsi="Times New Roman"/>
          <w:b/>
          <w:bCs/>
          <w:sz w:val="24"/>
          <w:szCs w:val="24"/>
          <w:highlight w:val="none"/>
          <w:lang w:val="en-US" w:eastAsia="zh-CN"/>
        </w:rPr>
        <w:t xml:space="preserve">17 </w:t>
      </w:r>
      <w:r>
        <w:rPr>
          <w:rFonts w:hint="eastAsia" w:ascii="Times New Roman" w:hAnsi="Times New Roman"/>
          <w:b/>
          <w:bCs/>
          <w:sz w:val="24"/>
          <w:szCs w:val="24"/>
          <w:highlight w:val="none"/>
        </w:rPr>
        <w:t>“双盲”评审</w:t>
      </w:r>
    </w:p>
    <w:p w14:paraId="1DE353C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highlight w:val="none"/>
          <w:lang w:val="en-US" w:eastAsia="zh-CN"/>
        </w:rPr>
      </w:pPr>
      <w:r>
        <w:rPr>
          <w:rFonts w:hint="eastAsia" w:ascii="Times New Roman" w:hAnsi="Times New Roman"/>
          <w:sz w:val="24"/>
          <w:szCs w:val="24"/>
          <w:highlight w:val="none"/>
          <w:lang w:val="en-US" w:eastAsia="zh-CN"/>
        </w:rPr>
        <w:t>本项目采用“双盲”评审，即评标专家“盲抽”和“盲评”，投标文件的技术标部分采用“暗标”形式，投标人应严格按照“第六章 投标文件主要条款及格式样本”中的要求编制技术标。如果技术标出现能识别投标人的内容，经评标委员会确定后，将否决其投标。</w:t>
      </w:r>
    </w:p>
    <w:p w14:paraId="7E144AE7">
      <w:pPr>
        <w:keepNext w:val="0"/>
        <w:keepLines w:val="0"/>
        <w:pageBreakBefore w:val="0"/>
        <w:widowControl w:val="0"/>
        <w:kinsoku/>
        <w:wordWrap/>
        <w:overflowPunct/>
        <w:topLinePunct w:val="0"/>
        <w:autoSpaceDE/>
        <w:autoSpaceDN/>
        <w:bidi w:val="0"/>
        <w:adjustRightInd/>
        <w:snapToGrid/>
        <w:ind w:firstLine="482" w:firstLineChars="200"/>
        <w:textAlignment w:val="auto"/>
        <w:rPr>
          <w:rFonts w:hint="eastAsia" w:ascii="Times New Roman" w:hAnsi="Times New Roman"/>
          <w:b/>
          <w:bCs/>
          <w:sz w:val="24"/>
          <w:szCs w:val="24"/>
          <w:highlight w:val="none"/>
          <w:lang w:val="en-US" w:eastAsia="zh-CN"/>
        </w:rPr>
      </w:pPr>
      <w:r>
        <w:rPr>
          <w:rFonts w:hint="eastAsia" w:ascii="Times New Roman" w:hAnsi="Times New Roman"/>
          <w:b/>
          <w:bCs/>
          <w:sz w:val="24"/>
          <w:szCs w:val="24"/>
          <w:highlight w:val="none"/>
          <w:lang w:val="en-US" w:eastAsia="zh-CN"/>
        </w:rPr>
        <w:t>18.技术方案要求</w:t>
      </w:r>
    </w:p>
    <w:p w14:paraId="26DE35BC">
      <w:pPr>
        <w:keepNext w:val="0"/>
        <w:keepLines w:val="0"/>
        <w:pageBreakBefore w:val="0"/>
        <w:widowControl w:val="0"/>
        <w:kinsoku/>
        <w:wordWrap/>
        <w:overflowPunct/>
        <w:topLinePunct w:val="0"/>
        <w:autoSpaceDE/>
        <w:autoSpaceDN/>
        <w:bidi w:val="0"/>
        <w:adjustRightInd/>
        <w:snapToGrid/>
        <w:ind w:firstLine="482" w:firstLineChars="200"/>
        <w:textAlignment w:val="auto"/>
        <w:rPr>
          <w:rFonts w:hint="eastAsia" w:ascii="Times New Roman" w:hAnsi="Times New Roman"/>
          <w:b w:val="0"/>
          <w:bCs w:val="0"/>
          <w:sz w:val="24"/>
          <w:szCs w:val="24"/>
          <w:highlight w:val="none"/>
          <w:lang w:val="en-US" w:eastAsia="zh-CN"/>
        </w:rPr>
      </w:pPr>
      <w:r>
        <w:rPr>
          <w:rFonts w:hint="eastAsia" w:ascii="Times New Roman" w:hAnsi="Times New Roman"/>
          <w:b/>
          <w:bCs/>
          <w:sz w:val="24"/>
          <w:szCs w:val="24"/>
          <w:highlight w:val="none"/>
          <w:lang w:val="en-US" w:eastAsia="zh-CN"/>
        </w:rPr>
        <w:t>18.1</w:t>
      </w:r>
      <w:r>
        <w:rPr>
          <w:rFonts w:hint="eastAsia" w:ascii="Times New Roman" w:hAnsi="Times New Roman"/>
          <w:b w:val="0"/>
          <w:bCs w:val="0"/>
          <w:sz w:val="24"/>
          <w:szCs w:val="24"/>
          <w:highlight w:val="none"/>
          <w:lang w:val="en-US" w:eastAsia="zh-CN"/>
        </w:rPr>
        <w:t>技术方案采用暗标“盲评”评审方式</w:t>
      </w:r>
    </w:p>
    <w:p w14:paraId="0023425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b w:val="0"/>
          <w:bCs w:val="0"/>
          <w:sz w:val="24"/>
          <w:szCs w:val="24"/>
          <w:highlight w:val="none"/>
          <w:lang w:val="en-US" w:eastAsia="zh-CN"/>
        </w:rPr>
      </w:pPr>
      <w:r>
        <w:rPr>
          <w:rFonts w:hint="eastAsia" w:ascii="Times New Roman" w:hAnsi="Times New Roman"/>
          <w:b w:val="0"/>
          <w:bCs w:val="0"/>
          <w:sz w:val="24"/>
          <w:szCs w:val="24"/>
          <w:highlight w:val="none"/>
          <w:lang w:val="en-US" w:eastAsia="zh-CN"/>
        </w:rPr>
        <w:t>18.2技术方案（技术标）编制要求详见招标文件</w:t>
      </w:r>
    </w:p>
    <w:p w14:paraId="35A9340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b w:val="0"/>
          <w:bCs w:val="0"/>
          <w:sz w:val="24"/>
          <w:szCs w:val="24"/>
          <w:highlight w:val="none"/>
          <w:lang w:val="en-US" w:eastAsia="zh-CN"/>
        </w:rPr>
      </w:pPr>
      <w:r>
        <w:rPr>
          <w:rFonts w:hint="eastAsia" w:ascii="Times New Roman" w:hAnsi="Times New Roman"/>
          <w:b w:val="0"/>
          <w:bCs w:val="0"/>
          <w:sz w:val="24"/>
          <w:szCs w:val="24"/>
          <w:highlight w:val="none"/>
          <w:lang w:val="en-US" w:eastAsia="zh-CN"/>
        </w:rPr>
        <w:t>18.3不符合上述要求的，经评标委员会讨论，为无效投标。</w:t>
      </w:r>
    </w:p>
    <w:p w14:paraId="691713F3">
      <w:pPr>
        <w:keepNext w:val="0"/>
        <w:keepLines w:val="0"/>
        <w:pageBreakBefore w:val="0"/>
        <w:widowControl w:val="0"/>
        <w:kinsoku/>
        <w:wordWrap/>
        <w:overflowPunct/>
        <w:topLinePunct w:val="0"/>
        <w:autoSpaceDE/>
        <w:autoSpaceDN/>
        <w:bidi w:val="0"/>
        <w:adjustRightInd/>
        <w:snapToGrid/>
        <w:ind w:firstLine="482" w:firstLineChars="200"/>
        <w:textAlignment w:val="auto"/>
        <w:rPr>
          <w:rFonts w:hint="eastAsia" w:ascii="Times New Roman" w:hAnsi="Times New Roman"/>
          <w:b/>
          <w:bCs/>
          <w:sz w:val="24"/>
          <w:szCs w:val="24"/>
          <w:highlight w:val="none"/>
        </w:rPr>
      </w:pPr>
      <w:r>
        <w:rPr>
          <w:rFonts w:hint="eastAsia" w:ascii="Times New Roman" w:hAnsi="Times New Roman"/>
          <w:b/>
          <w:bCs/>
          <w:sz w:val="24"/>
          <w:szCs w:val="24"/>
          <w:highlight w:val="none"/>
          <w:lang w:val="en-US" w:eastAsia="zh-CN"/>
        </w:rPr>
        <w:t>19</w:t>
      </w:r>
      <w:r>
        <w:rPr>
          <w:rFonts w:hint="eastAsia" w:ascii="Times New Roman" w:hAnsi="Times New Roman"/>
          <w:b/>
          <w:bCs/>
          <w:sz w:val="24"/>
          <w:szCs w:val="24"/>
          <w:highlight w:val="none"/>
        </w:rPr>
        <w:t>.签订合同</w:t>
      </w:r>
    </w:p>
    <w:p w14:paraId="75C6A1F2">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highlight w:val="none"/>
        </w:rPr>
      </w:pPr>
      <w:r>
        <w:rPr>
          <w:rFonts w:hint="eastAsia" w:ascii="Times New Roman" w:hAnsi="Times New Roman"/>
          <w:sz w:val="24"/>
          <w:szCs w:val="24"/>
          <w:highlight w:val="none"/>
          <w:lang w:val="en-US" w:eastAsia="zh-CN"/>
        </w:rPr>
        <w:t>19.</w:t>
      </w:r>
      <w:r>
        <w:rPr>
          <w:rFonts w:hint="eastAsia" w:ascii="Times New Roman" w:hAnsi="Times New Roman"/>
          <w:sz w:val="24"/>
          <w:szCs w:val="24"/>
          <w:highlight w:val="none"/>
        </w:rPr>
        <w:t>1 招标人将在公告中标结果的同时向中标人发出《中标通知书》。中标通知书是合同的组成部分，对采购人和中标人均具有法律约束力。</w:t>
      </w:r>
    </w:p>
    <w:p w14:paraId="6BCA8E3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highlight w:val="none"/>
        </w:rPr>
      </w:pPr>
      <w:r>
        <w:rPr>
          <w:rFonts w:hint="eastAsia" w:ascii="Times New Roman" w:hAnsi="Times New Roman"/>
          <w:sz w:val="24"/>
          <w:szCs w:val="24"/>
          <w:highlight w:val="none"/>
          <w:lang w:val="en-US" w:eastAsia="zh-CN"/>
        </w:rPr>
        <w:t>19</w:t>
      </w:r>
      <w:r>
        <w:rPr>
          <w:rFonts w:hint="eastAsia" w:ascii="Times New Roman" w:hAnsi="Times New Roman"/>
          <w:sz w:val="24"/>
          <w:szCs w:val="24"/>
          <w:highlight w:val="none"/>
        </w:rPr>
        <w:t>.2 中标通知书发出后，采购人改变中标结果的，或者中标人放弃中标</w:t>
      </w:r>
      <w:r>
        <w:rPr>
          <w:rFonts w:hint="eastAsia" w:ascii="Times New Roman" w:hAnsi="Times New Roman"/>
          <w:sz w:val="24"/>
          <w:szCs w:val="24"/>
          <w:highlight w:val="none"/>
          <w:lang w:eastAsia="zh-CN"/>
        </w:rPr>
        <w:t>项目</w:t>
      </w:r>
      <w:r>
        <w:rPr>
          <w:rFonts w:hint="eastAsia" w:ascii="Times New Roman" w:hAnsi="Times New Roman"/>
          <w:sz w:val="24"/>
          <w:szCs w:val="24"/>
          <w:highlight w:val="none"/>
        </w:rPr>
        <w:t>的，应当依法承担法律责任。</w:t>
      </w:r>
    </w:p>
    <w:p w14:paraId="58D0ACA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highlight w:val="none"/>
        </w:rPr>
      </w:pPr>
      <w:r>
        <w:rPr>
          <w:rFonts w:hint="eastAsia" w:ascii="Times New Roman" w:hAnsi="Times New Roman"/>
          <w:sz w:val="24"/>
          <w:szCs w:val="24"/>
          <w:highlight w:val="none"/>
          <w:lang w:val="en-US" w:eastAsia="zh-CN"/>
        </w:rPr>
        <w:t>19</w:t>
      </w:r>
      <w:r>
        <w:rPr>
          <w:rFonts w:hint="eastAsia" w:ascii="Times New Roman" w:hAnsi="Times New Roman"/>
          <w:sz w:val="24"/>
          <w:szCs w:val="24"/>
          <w:highlight w:val="none"/>
        </w:rPr>
        <w:t>.3 中标人应按中标通知书规定的时间与采购人和招标人签订合同。如果中标人未在规定的时间内签署合同，视为自动放弃中标资格，列入不良行为记录名单，在一至三年内禁止参加政府采购活动并予以公告。投标人在被评标委员会评定为中标人之后、中标通知书发出之前放弃中标的，按本条规定处理。</w:t>
      </w:r>
    </w:p>
    <w:p w14:paraId="3C4C0EB6">
      <w:pPr>
        <w:keepNext w:val="0"/>
        <w:keepLines w:val="0"/>
        <w:pageBreakBefore w:val="0"/>
        <w:widowControl w:val="0"/>
        <w:kinsoku/>
        <w:wordWrap/>
        <w:overflowPunct/>
        <w:topLinePunct w:val="0"/>
        <w:autoSpaceDE/>
        <w:autoSpaceDN/>
        <w:bidi w:val="0"/>
        <w:adjustRightInd/>
        <w:snapToGrid/>
        <w:ind w:firstLine="482" w:firstLineChars="200"/>
        <w:textAlignment w:val="auto"/>
        <w:rPr>
          <w:rFonts w:hint="eastAsia" w:ascii="Times New Roman" w:hAnsi="Times New Roman"/>
          <w:b/>
          <w:bCs/>
          <w:sz w:val="24"/>
          <w:szCs w:val="24"/>
          <w:highlight w:val="none"/>
        </w:rPr>
      </w:pPr>
      <w:r>
        <w:rPr>
          <w:rFonts w:hint="eastAsia" w:ascii="Times New Roman" w:hAnsi="Times New Roman"/>
          <w:b/>
          <w:bCs/>
          <w:sz w:val="24"/>
          <w:szCs w:val="24"/>
          <w:highlight w:val="none"/>
          <w:lang w:val="en-US" w:eastAsia="zh-CN"/>
        </w:rPr>
        <w:t>20.</w:t>
      </w:r>
      <w:r>
        <w:rPr>
          <w:rFonts w:hint="eastAsia" w:ascii="Times New Roman" w:hAnsi="Times New Roman"/>
          <w:b/>
          <w:bCs/>
          <w:sz w:val="24"/>
          <w:szCs w:val="24"/>
          <w:highlight w:val="none"/>
        </w:rPr>
        <w:t>保密和披露</w:t>
      </w:r>
    </w:p>
    <w:p w14:paraId="5A7917B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highlight w:val="none"/>
        </w:rPr>
      </w:pPr>
      <w:r>
        <w:rPr>
          <w:rFonts w:hint="eastAsia" w:ascii="Times New Roman" w:hAnsi="Times New Roman"/>
          <w:sz w:val="24"/>
          <w:szCs w:val="24"/>
          <w:highlight w:val="none"/>
          <w:lang w:val="en-US" w:eastAsia="zh-CN"/>
        </w:rPr>
        <w:t>20</w:t>
      </w:r>
      <w:r>
        <w:rPr>
          <w:rFonts w:hint="eastAsia" w:ascii="Times New Roman" w:hAnsi="Times New Roman"/>
          <w:sz w:val="24"/>
          <w:szCs w:val="24"/>
          <w:highlight w:val="none"/>
        </w:rPr>
        <w:t>.1 投标人自下载招标文件之日起，须承诺承担本招标</w:t>
      </w:r>
      <w:r>
        <w:rPr>
          <w:rFonts w:hint="eastAsia" w:ascii="Times New Roman" w:hAnsi="Times New Roman"/>
          <w:sz w:val="24"/>
          <w:szCs w:val="24"/>
          <w:highlight w:val="none"/>
          <w:lang w:eastAsia="zh-CN"/>
        </w:rPr>
        <w:t>项目</w:t>
      </w:r>
      <w:r>
        <w:rPr>
          <w:rFonts w:hint="eastAsia" w:ascii="Times New Roman" w:hAnsi="Times New Roman"/>
          <w:sz w:val="24"/>
          <w:szCs w:val="24"/>
          <w:highlight w:val="none"/>
        </w:rPr>
        <w:t>的保密义务，不得将因本次招标获得的信息向第三人</w:t>
      </w:r>
      <w:r>
        <w:rPr>
          <w:rFonts w:hint="eastAsia" w:ascii="Times New Roman" w:hAnsi="Times New Roman"/>
          <w:sz w:val="24"/>
          <w:szCs w:val="24"/>
          <w:highlight w:val="none"/>
          <w:lang w:eastAsia="zh-CN"/>
        </w:rPr>
        <w:t>外泄</w:t>
      </w:r>
      <w:r>
        <w:rPr>
          <w:rFonts w:hint="eastAsia" w:ascii="Times New Roman" w:hAnsi="Times New Roman"/>
          <w:sz w:val="24"/>
          <w:szCs w:val="24"/>
          <w:highlight w:val="none"/>
        </w:rPr>
        <w:t>。</w:t>
      </w:r>
    </w:p>
    <w:p w14:paraId="5DC4666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highlight w:val="none"/>
        </w:rPr>
      </w:pPr>
      <w:r>
        <w:rPr>
          <w:rFonts w:hint="eastAsia" w:ascii="Times New Roman" w:hAnsi="Times New Roman"/>
          <w:sz w:val="24"/>
          <w:szCs w:val="24"/>
          <w:highlight w:val="none"/>
          <w:lang w:val="en-US" w:eastAsia="zh-CN"/>
        </w:rPr>
        <w:t>20</w:t>
      </w:r>
      <w:r>
        <w:rPr>
          <w:rFonts w:hint="eastAsia" w:ascii="Times New Roman" w:hAnsi="Times New Roman"/>
          <w:sz w:val="24"/>
          <w:szCs w:val="24"/>
          <w:highlight w:val="none"/>
        </w:rPr>
        <w:t>.2 招标人有权将投标人提供的所有资料向其他政府部门或有关的非政府机构负责评审标书的人员或与评标有关的人员披露。</w:t>
      </w:r>
    </w:p>
    <w:p w14:paraId="08A63C99">
      <w:pPr>
        <w:keepNext w:val="0"/>
        <w:keepLines w:val="0"/>
        <w:pageBreakBefore w:val="0"/>
        <w:widowControl w:val="0"/>
        <w:kinsoku/>
        <w:wordWrap/>
        <w:overflowPunct/>
        <w:topLinePunct w:val="0"/>
        <w:autoSpaceDE/>
        <w:autoSpaceDN/>
        <w:bidi w:val="0"/>
        <w:adjustRightInd/>
        <w:snapToGrid/>
        <w:ind w:firstLine="482" w:firstLineChars="200"/>
        <w:textAlignment w:val="auto"/>
        <w:rPr>
          <w:rFonts w:hint="eastAsia" w:ascii="Times New Roman" w:hAnsi="Times New Roman"/>
          <w:b/>
          <w:bCs/>
          <w:sz w:val="24"/>
          <w:szCs w:val="24"/>
          <w:highlight w:val="none"/>
        </w:rPr>
      </w:pPr>
      <w:r>
        <w:rPr>
          <w:rFonts w:hint="eastAsia" w:ascii="Times New Roman" w:hAnsi="Times New Roman"/>
          <w:b/>
          <w:bCs/>
          <w:sz w:val="24"/>
          <w:szCs w:val="24"/>
          <w:highlight w:val="none"/>
        </w:rPr>
        <w:t>2</w:t>
      </w:r>
      <w:r>
        <w:rPr>
          <w:rFonts w:hint="eastAsia" w:ascii="Times New Roman" w:hAnsi="Times New Roman"/>
          <w:b/>
          <w:bCs/>
          <w:sz w:val="24"/>
          <w:szCs w:val="24"/>
          <w:highlight w:val="none"/>
          <w:lang w:val="en-US" w:eastAsia="zh-CN"/>
        </w:rPr>
        <w:t>1</w:t>
      </w:r>
      <w:r>
        <w:rPr>
          <w:rFonts w:hint="eastAsia" w:ascii="Times New Roman" w:hAnsi="Times New Roman"/>
          <w:b/>
          <w:bCs/>
          <w:sz w:val="24"/>
          <w:szCs w:val="24"/>
          <w:highlight w:val="none"/>
        </w:rPr>
        <w:t>.投诉</w:t>
      </w:r>
    </w:p>
    <w:p w14:paraId="1D3A0DD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highlight w:val="none"/>
        </w:rPr>
      </w:pPr>
      <w:r>
        <w:rPr>
          <w:rFonts w:hint="eastAsia" w:ascii="Times New Roman" w:hAnsi="Times New Roman"/>
          <w:sz w:val="24"/>
          <w:szCs w:val="24"/>
          <w:highlight w:val="none"/>
        </w:rPr>
        <w:t>投标人和其他利害关系人认为本次招标活动违反</w:t>
      </w:r>
      <w:r>
        <w:rPr>
          <w:rFonts w:hint="eastAsia" w:ascii="Times New Roman" w:hAnsi="Times New Roman"/>
          <w:sz w:val="24"/>
          <w:szCs w:val="24"/>
          <w:highlight w:val="none"/>
          <w:lang w:eastAsia="zh-CN"/>
        </w:rPr>
        <w:t>法律法规</w:t>
      </w:r>
      <w:r>
        <w:rPr>
          <w:rFonts w:hint="eastAsia" w:ascii="Times New Roman" w:hAnsi="Times New Roman"/>
          <w:sz w:val="24"/>
          <w:szCs w:val="24"/>
          <w:highlight w:val="none"/>
        </w:rPr>
        <w:t>和规章规定的，有权向有关行政监督部门投诉。</w:t>
      </w:r>
    </w:p>
    <w:p w14:paraId="5A9A285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sz w:val="24"/>
          <w:szCs w:val="24"/>
        </w:rPr>
      </w:pPr>
    </w:p>
    <w:p w14:paraId="74C58DDC">
      <w:pPr>
        <w:pStyle w:val="16"/>
        <w:shd w:val="clear" w:color="auto" w:fill="FFFFFF"/>
        <w:wordWrap w:val="0"/>
        <w:topLinePunct/>
        <w:spacing w:before="0" w:beforeAutospacing="0" w:after="0" w:afterAutospacing="0" w:line="360" w:lineRule="auto"/>
        <w:jc w:val="both"/>
        <w:rPr>
          <w:rFonts w:hint="eastAsia" w:hAnsi="宋体"/>
          <w:color w:val="000000"/>
          <w:highlight w:val="none"/>
          <w:shd w:val="clear" w:color="auto" w:fill="FFFFFF"/>
        </w:rPr>
        <w:sectPr>
          <w:footerReference r:id="rId7" w:type="default"/>
          <w:pgSz w:w="11906" w:h="16838"/>
          <w:pgMar w:top="1440" w:right="1080" w:bottom="1440" w:left="1080" w:header="851" w:footer="992" w:gutter="0"/>
          <w:pgBorders>
            <w:top w:val="none" w:sz="0" w:space="0"/>
            <w:left w:val="none" w:sz="0" w:space="0"/>
            <w:bottom w:val="none" w:sz="0" w:space="0"/>
            <w:right w:val="none" w:sz="0" w:space="0"/>
          </w:pgBorders>
          <w:pgNumType w:fmt="decimal"/>
          <w:cols w:space="0" w:num="1"/>
          <w:rtlGutter w:val="0"/>
          <w:docGrid w:type="lines" w:linePitch="460" w:charSpace="0"/>
        </w:sectPr>
      </w:pPr>
    </w:p>
    <w:p w14:paraId="11FEE353">
      <w:pPr>
        <w:pStyle w:val="2"/>
        <w:numPr>
          <w:ilvl w:val="0"/>
          <w:numId w:val="4"/>
        </w:numPr>
        <w:bidi w:val="0"/>
        <w:jc w:val="center"/>
        <w:rPr>
          <w:rStyle w:val="31"/>
          <w:rFonts w:hint="eastAsia"/>
          <w:b/>
          <w:bCs/>
          <w:color w:val="000000"/>
          <w:highlight w:val="none"/>
          <w:lang w:val="zh-CN"/>
        </w:rPr>
      </w:pPr>
      <w:bookmarkStart w:id="10" w:name="_Toc10005"/>
      <w:r>
        <w:rPr>
          <w:rStyle w:val="31"/>
          <w:rFonts w:hint="eastAsia"/>
          <w:b/>
          <w:bCs/>
          <w:color w:val="000000"/>
          <w:highlight w:val="none"/>
        </w:rPr>
        <w:t xml:space="preserve"> </w:t>
      </w:r>
      <w:bookmarkEnd w:id="10"/>
      <w:r>
        <w:rPr>
          <w:rStyle w:val="31"/>
          <w:rFonts w:hint="eastAsia"/>
          <w:b/>
          <w:bCs/>
          <w:color w:val="000000"/>
          <w:highlight w:val="none"/>
          <w:lang w:val="zh-CN"/>
        </w:rPr>
        <w:t>政府采购合同</w:t>
      </w:r>
    </w:p>
    <w:p w14:paraId="3C7BEE42">
      <w:pPr>
        <w:spacing w:line="242" w:lineRule="auto"/>
        <w:rPr>
          <w:rFonts w:ascii="Arial"/>
          <w:sz w:val="21"/>
        </w:rPr>
      </w:pPr>
    </w:p>
    <w:p w14:paraId="435879B5">
      <w:pPr>
        <w:spacing w:line="242" w:lineRule="auto"/>
        <w:rPr>
          <w:rFonts w:ascii="Arial"/>
          <w:sz w:val="21"/>
        </w:rPr>
      </w:pPr>
    </w:p>
    <w:p w14:paraId="371DF594">
      <w:pPr>
        <w:pStyle w:val="9"/>
        <w:spacing w:before="91" w:line="220" w:lineRule="auto"/>
        <w:jc w:val="center"/>
        <w:rPr>
          <w:sz w:val="28"/>
          <w:szCs w:val="28"/>
        </w:rPr>
      </w:pPr>
      <w:r>
        <w:rPr>
          <w:b/>
          <w:bCs/>
          <w:spacing w:val="-7"/>
          <w:sz w:val="28"/>
          <w:szCs w:val="28"/>
        </w:rPr>
        <w:t>（</w:t>
      </w:r>
      <w:r>
        <w:rPr>
          <w:rFonts w:hint="eastAsia"/>
          <w:b/>
          <w:bCs/>
          <w:spacing w:val="-7"/>
          <w:sz w:val="28"/>
          <w:szCs w:val="28"/>
          <w:lang w:val="en-US" w:eastAsia="zh-CN"/>
        </w:rPr>
        <w:t>货物</w:t>
      </w:r>
      <w:r>
        <w:rPr>
          <w:b/>
          <w:bCs/>
          <w:spacing w:val="-7"/>
          <w:sz w:val="28"/>
          <w:szCs w:val="28"/>
        </w:rPr>
        <w:t>类）</w:t>
      </w:r>
    </w:p>
    <w:p w14:paraId="42D5C822">
      <w:pPr>
        <w:spacing w:line="251" w:lineRule="auto"/>
        <w:rPr>
          <w:rFonts w:ascii="Arial"/>
          <w:sz w:val="21"/>
        </w:rPr>
      </w:pPr>
    </w:p>
    <w:p w14:paraId="7F5C469A">
      <w:pPr>
        <w:spacing w:line="251" w:lineRule="auto"/>
        <w:rPr>
          <w:rFonts w:ascii="Arial"/>
          <w:sz w:val="21"/>
        </w:rPr>
      </w:pPr>
    </w:p>
    <w:p w14:paraId="6D76B9D5">
      <w:pPr>
        <w:spacing w:line="251" w:lineRule="auto"/>
        <w:rPr>
          <w:rFonts w:ascii="Arial"/>
          <w:sz w:val="21"/>
        </w:rPr>
      </w:pPr>
    </w:p>
    <w:p w14:paraId="271882B9">
      <w:pPr>
        <w:pStyle w:val="9"/>
        <w:numPr>
          <w:ilvl w:val="0"/>
          <w:numId w:val="5"/>
        </w:numPr>
        <w:spacing w:before="78" w:line="219" w:lineRule="auto"/>
        <w:jc w:val="center"/>
        <w:outlineLvl w:val="1"/>
        <w:rPr>
          <w:b/>
          <w:bCs/>
          <w:spacing w:val="-3"/>
          <w:sz w:val="24"/>
          <w:szCs w:val="24"/>
        </w:rPr>
      </w:pPr>
      <w:bookmarkStart w:id="11" w:name="bookmark102"/>
      <w:bookmarkEnd w:id="11"/>
      <w:bookmarkStart w:id="12" w:name="_Toc22507"/>
      <w:r>
        <w:rPr>
          <w:b/>
          <w:bCs/>
          <w:spacing w:val="-3"/>
          <w:sz w:val="24"/>
          <w:szCs w:val="24"/>
        </w:rPr>
        <w:t>合同书</w:t>
      </w:r>
      <w:bookmarkEnd w:id="12"/>
    </w:p>
    <w:p w14:paraId="51CE9170">
      <w:pPr>
        <w:jc w:val="center"/>
        <w:rPr>
          <w:rFonts w:hint="eastAsia"/>
          <w:u w:val="none" w:color="auto"/>
          <w:lang w:val="zh-CN"/>
        </w:rPr>
      </w:pPr>
      <w:r>
        <w:rPr>
          <w:rFonts w:hint="eastAsia"/>
          <w:sz w:val="21"/>
          <w:szCs w:val="21"/>
          <w:highlight w:val="none"/>
          <w:u w:val="none" w:color="auto"/>
          <w:lang w:val="en-US" w:eastAsia="zh-CN"/>
        </w:rPr>
        <w:t>（此合同为模板，具体可根据实际情况签订）</w:t>
      </w:r>
    </w:p>
    <w:p w14:paraId="03B99EBE">
      <w:pPr>
        <w:pStyle w:val="9"/>
        <w:numPr>
          <w:ilvl w:val="0"/>
          <w:numId w:val="0"/>
        </w:numPr>
        <w:spacing w:before="78" w:line="219" w:lineRule="auto"/>
        <w:jc w:val="both"/>
        <w:outlineLvl w:val="1"/>
        <w:rPr>
          <w:b/>
          <w:bCs/>
          <w:spacing w:val="-3"/>
          <w:sz w:val="24"/>
          <w:szCs w:val="24"/>
        </w:rPr>
      </w:pPr>
    </w:p>
    <w:p w14:paraId="1CC75B4F">
      <w:pPr>
        <w:spacing w:line="247" w:lineRule="auto"/>
        <w:rPr>
          <w:rFonts w:ascii="Arial"/>
          <w:sz w:val="21"/>
        </w:rPr>
      </w:pPr>
    </w:p>
    <w:p w14:paraId="58ECFC31">
      <w:pPr>
        <w:spacing w:line="247" w:lineRule="auto"/>
        <w:rPr>
          <w:rFonts w:ascii="Arial"/>
          <w:sz w:val="21"/>
        </w:rPr>
      </w:pPr>
    </w:p>
    <w:p w14:paraId="489112EA">
      <w:pPr>
        <w:spacing w:line="247" w:lineRule="auto"/>
        <w:rPr>
          <w:rFonts w:ascii="Arial"/>
          <w:sz w:val="21"/>
        </w:rPr>
      </w:pPr>
    </w:p>
    <w:p w14:paraId="63563FCC">
      <w:pPr>
        <w:spacing w:line="247" w:lineRule="auto"/>
        <w:rPr>
          <w:rFonts w:ascii="Arial"/>
          <w:sz w:val="21"/>
        </w:rPr>
      </w:pPr>
    </w:p>
    <w:p w14:paraId="074F010F">
      <w:pPr>
        <w:spacing w:line="247" w:lineRule="auto"/>
        <w:rPr>
          <w:rFonts w:ascii="Arial"/>
          <w:sz w:val="21"/>
        </w:rPr>
      </w:pPr>
    </w:p>
    <w:p w14:paraId="7F530708">
      <w:pPr>
        <w:spacing w:line="247" w:lineRule="auto"/>
        <w:rPr>
          <w:rFonts w:ascii="Arial"/>
          <w:sz w:val="21"/>
        </w:rPr>
      </w:pPr>
    </w:p>
    <w:p w14:paraId="627395BC">
      <w:pPr>
        <w:spacing w:line="247" w:lineRule="auto"/>
        <w:rPr>
          <w:rFonts w:ascii="Arial"/>
          <w:sz w:val="21"/>
        </w:rPr>
      </w:pPr>
    </w:p>
    <w:p w14:paraId="4CF2D7FA">
      <w:pPr>
        <w:spacing w:line="247" w:lineRule="auto"/>
        <w:rPr>
          <w:rFonts w:ascii="Arial"/>
          <w:sz w:val="21"/>
        </w:rPr>
      </w:pPr>
    </w:p>
    <w:p w14:paraId="33065042">
      <w:pPr>
        <w:spacing w:line="247" w:lineRule="auto"/>
        <w:rPr>
          <w:rFonts w:ascii="Arial"/>
          <w:sz w:val="21"/>
        </w:rPr>
      </w:pPr>
    </w:p>
    <w:p w14:paraId="51184248">
      <w:pPr>
        <w:spacing w:line="247" w:lineRule="auto"/>
        <w:rPr>
          <w:rFonts w:ascii="Arial"/>
          <w:sz w:val="21"/>
        </w:rPr>
      </w:pPr>
    </w:p>
    <w:p w14:paraId="2D37B862">
      <w:pPr>
        <w:pStyle w:val="9"/>
        <w:spacing w:before="81" w:line="212" w:lineRule="auto"/>
        <w:ind w:left="987"/>
        <w:rPr>
          <w:sz w:val="25"/>
          <w:szCs w:val="25"/>
        </w:rPr>
      </w:pPr>
      <w:r>
        <w:rPr>
          <w:spacing w:val="-7"/>
          <w:sz w:val="24"/>
          <w:szCs w:val="24"/>
        </w:rPr>
        <w:t>项目名称</w:t>
      </w:r>
      <w:r>
        <w:rPr>
          <w:spacing w:val="-6"/>
          <w:sz w:val="24"/>
          <w:szCs w:val="24"/>
        </w:rPr>
        <w:t>：</w:t>
      </w:r>
      <w:r>
        <w:rPr>
          <w:sz w:val="24"/>
          <w:szCs w:val="24"/>
          <w:u w:val="single" w:color="auto"/>
        </w:rPr>
        <w:t xml:space="preserve">    </w:t>
      </w:r>
      <w:r>
        <w:rPr>
          <w:rFonts w:hint="eastAsia"/>
          <w:sz w:val="24"/>
          <w:szCs w:val="24"/>
          <w:u w:val="single" w:color="auto"/>
          <w:lang w:val="en-US" w:eastAsia="zh-CN"/>
        </w:rPr>
        <w:t xml:space="preserve">                             </w:t>
      </w:r>
      <w:r>
        <w:rPr>
          <w:sz w:val="24"/>
          <w:szCs w:val="24"/>
          <w:u w:val="single" w:color="auto"/>
        </w:rPr>
        <w:t xml:space="preserve">  </w:t>
      </w:r>
    </w:p>
    <w:p w14:paraId="3D824D11">
      <w:pPr>
        <w:spacing w:line="377" w:lineRule="auto"/>
        <w:rPr>
          <w:rFonts w:ascii="Arial"/>
          <w:sz w:val="21"/>
        </w:rPr>
      </w:pPr>
    </w:p>
    <w:p w14:paraId="684C43DD">
      <w:pPr>
        <w:pStyle w:val="9"/>
        <w:spacing w:before="78" w:line="219" w:lineRule="auto"/>
        <w:ind w:left="987"/>
        <w:rPr>
          <w:sz w:val="24"/>
          <w:szCs w:val="24"/>
        </w:rPr>
      </w:pPr>
      <w:r>
        <w:rPr>
          <w:spacing w:val="-3"/>
          <w:sz w:val="24"/>
          <w:szCs w:val="24"/>
        </w:rPr>
        <w:t>项目编号：</w:t>
      </w:r>
      <w:r>
        <w:rPr>
          <w:sz w:val="24"/>
          <w:szCs w:val="24"/>
          <w:u w:val="single" w:color="auto"/>
        </w:rPr>
        <w:t xml:space="preserve">   </w:t>
      </w:r>
      <w:r>
        <w:rPr>
          <w:rFonts w:hint="eastAsia"/>
          <w:sz w:val="24"/>
          <w:szCs w:val="24"/>
          <w:u w:val="single" w:color="auto"/>
          <w:lang w:val="en-US" w:eastAsia="zh-CN"/>
        </w:rPr>
        <w:t xml:space="preserve">                             </w:t>
      </w:r>
      <w:r>
        <w:rPr>
          <w:sz w:val="24"/>
          <w:szCs w:val="24"/>
          <w:u w:val="single" w:color="auto"/>
        </w:rPr>
        <w:t xml:space="preserve">   </w:t>
      </w:r>
    </w:p>
    <w:p w14:paraId="2147F127">
      <w:pPr>
        <w:spacing w:line="378" w:lineRule="auto"/>
        <w:rPr>
          <w:rFonts w:ascii="Arial"/>
          <w:sz w:val="21"/>
        </w:rPr>
      </w:pPr>
    </w:p>
    <w:p w14:paraId="5F8BC1F1">
      <w:pPr>
        <w:pStyle w:val="9"/>
        <w:spacing w:before="78" w:line="219" w:lineRule="auto"/>
        <w:ind w:left="1014"/>
        <w:rPr>
          <w:sz w:val="24"/>
          <w:szCs w:val="24"/>
        </w:rPr>
      </w:pPr>
      <w:r>
        <w:rPr>
          <w:spacing w:val="-7"/>
          <w:sz w:val="24"/>
          <w:szCs w:val="24"/>
        </w:rPr>
        <w:t>甲方（采购人</w:t>
      </w:r>
      <w:r>
        <w:rPr>
          <w:spacing w:val="-60"/>
          <w:sz w:val="24"/>
          <w:szCs w:val="24"/>
        </w:rPr>
        <w:t>）：</w:t>
      </w:r>
      <w:r>
        <w:rPr>
          <w:sz w:val="24"/>
          <w:szCs w:val="24"/>
          <w:u w:val="single" w:color="auto"/>
        </w:rPr>
        <w:t xml:space="preserve">                              </w:t>
      </w:r>
    </w:p>
    <w:p w14:paraId="50E3DE54">
      <w:pPr>
        <w:spacing w:line="378" w:lineRule="auto"/>
        <w:rPr>
          <w:rFonts w:ascii="Arial"/>
          <w:sz w:val="21"/>
        </w:rPr>
      </w:pPr>
    </w:p>
    <w:p w14:paraId="607E4FD3">
      <w:pPr>
        <w:pStyle w:val="9"/>
        <w:spacing w:before="78" w:line="219" w:lineRule="auto"/>
        <w:ind w:left="1006"/>
        <w:rPr>
          <w:sz w:val="24"/>
          <w:szCs w:val="24"/>
        </w:rPr>
      </w:pPr>
      <w:r>
        <w:rPr>
          <w:spacing w:val="-5"/>
          <w:sz w:val="24"/>
          <w:szCs w:val="24"/>
        </w:rPr>
        <w:t>乙方（成交供应商</w:t>
      </w:r>
      <w:r>
        <w:rPr>
          <w:spacing w:val="-57"/>
          <w:sz w:val="24"/>
          <w:szCs w:val="24"/>
        </w:rPr>
        <w:t>）：</w:t>
      </w:r>
      <w:r>
        <w:rPr>
          <w:sz w:val="24"/>
          <w:szCs w:val="24"/>
          <w:u w:val="single" w:color="auto"/>
        </w:rPr>
        <w:t xml:space="preserve">                          </w:t>
      </w:r>
    </w:p>
    <w:p w14:paraId="6CC6D17B">
      <w:pPr>
        <w:spacing w:line="379" w:lineRule="auto"/>
        <w:rPr>
          <w:rFonts w:ascii="Arial"/>
          <w:sz w:val="21"/>
        </w:rPr>
      </w:pPr>
    </w:p>
    <w:p w14:paraId="4F2D7FA8">
      <w:pPr>
        <w:pStyle w:val="9"/>
        <w:spacing w:before="78" w:line="222" w:lineRule="auto"/>
        <w:ind w:left="983"/>
        <w:rPr>
          <w:sz w:val="24"/>
          <w:szCs w:val="24"/>
        </w:rPr>
      </w:pPr>
      <w:r>
        <w:rPr>
          <w:spacing w:val="-3"/>
          <w:sz w:val="24"/>
          <w:szCs w:val="24"/>
        </w:rPr>
        <w:t>签订地：</w:t>
      </w:r>
      <w:r>
        <w:rPr>
          <w:sz w:val="24"/>
          <w:szCs w:val="24"/>
          <w:u w:val="single" w:color="auto"/>
        </w:rPr>
        <w:t xml:space="preserve">                                     </w:t>
      </w:r>
    </w:p>
    <w:p w14:paraId="0AEF260C">
      <w:pPr>
        <w:spacing w:line="375" w:lineRule="auto"/>
        <w:rPr>
          <w:rFonts w:ascii="Arial"/>
          <w:sz w:val="21"/>
        </w:rPr>
      </w:pPr>
    </w:p>
    <w:p w14:paraId="67A5DC38">
      <w:pPr>
        <w:pStyle w:val="9"/>
        <w:spacing w:before="79" w:line="219" w:lineRule="auto"/>
        <w:ind w:left="983"/>
        <w:rPr>
          <w:sz w:val="24"/>
          <w:szCs w:val="24"/>
        </w:rPr>
      </w:pPr>
      <w:r>
        <w:rPr>
          <w:spacing w:val="-2"/>
          <w:sz w:val="24"/>
          <w:szCs w:val="24"/>
        </w:rPr>
        <w:t>签订日期：</w:t>
      </w:r>
      <w:r>
        <w:rPr>
          <w:spacing w:val="-2"/>
          <w:sz w:val="24"/>
          <w:szCs w:val="24"/>
          <w:u w:val="single" w:color="auto"/>
        </w:rPr>
        <w:t xml:space="preserve">               </w:t>
      </w:r>
      <w:r>
        <w:rPr>
          <w:spacing w:val="-100"/>
          <w:sz w:val="24"/>
          <w:szCs w:val="24"/>
        </w:rPr>
        <w:t xml:space="preserve"> </w:t>
      </w:r>
      <w:r>
        <w:rPr>
          <w:spacing w:val="-2"/>
          <w:sz w:val="24"/>
          <w:szCs w:val="24"/>
        </w:rPr>
        <w:t>年</w:t>
      </w:r>
      <w:r>
        <w:rPr>
          <w:sz w:val="24"/>
          <w:szCs w:val="24"/>
          <w:u w:val="single" w:color="auto"/>
        </w:rPr>
        <w:t xml:space="preserve">       </w:t>
      </w:r>
      <w:r>
        <w:rPr>
          <w:spacing w:val="-105"/>
          <w:sz w:val="24"/>
          <w:szCs w:val="24"/>
        </w:rPr>
        <w:t xml:space="preserve"> </w:t>
      </w:r>
      <w:r>
        <w:rPr>
          <w:spacing w:val="-2"/>
          <w:sz w:val="24"/>
          <w:szCs w:val="24"/>
        </w:rPr>
        <w:t>月</w:t>
      </w:r>
      <w:r>
        <w:rPr>
          <w:sz w:val="24"/>
          <w:szCs w:val="24"/>
          <w:u w:val="single" w:color="auto"/>
        </w:rPr>
        <w:t xml:space="preserve">       </w:t>
      </w:r>
      <w:r>
        <w:rPr>
          <w:spacing w:val="-69"/>
          <w:sz w:val="24"/>
          <w:szCs w:val="24"/>
        </w:rPr>
        <w:t xml:space="preserve"> </w:t>
      </w:r>
      <w:r>
        <w:rPr>
          <w:spacing w:val="-2"/>
          <w:sz w:val="24"/>
          <w:szCs w:val="24"/>
        </w:rPr>
        <w:t>日</w:t>
      </w:r>
    </w:p>
    <w:p w14:paraId="4C6AA0F8">
      <w:pPr>
        <w:spacing w:line="219" w:lineRule="auto"/>
        <w:rPr>
          <w:sz w:val="24"/>
          <w:szCs w:val="24"/>
        </w:rPr>
        <w:sectPr>
          <w:headerReference r:id="rId8" w:type="default"/>
          <w:footerReference r:id="rId9" w:type="default"/>
          <w:pgSz w:w="11906" w:h="16839"/>
          <w:pgMar w:top="1440" w:right="1080" w:bottom="1440" w:left="1080" w:header="829" w:footer="1200" w:gutter="0"/>
          <w:pgNumType w:fmt="decimal"/>
          <w:cols w:space="720" w:num="1"/>
        </w:sectPr>
      </w:pPr>
    </w:p>
    <w:p w14:paraId="47C60938">
      <w:pPr>
        <w:spacing w:line="308" w:lineRule="auto"/>
        <w:rPr>
          <w:rFonts w:ascii="Arial"/>
          <w:sz w:val="21"/>
        </w:rPr>
      </w:pPr>
    </w:p>
    <w:p w14:paraId="7DE5018F">
      <w:pPr>
        <w:spacing w:line="309" w:lineRule="auto"/>
        <w:jc w:val="both"/>
        <w:rPr>
          <w:rFonts w:ascii="Arial"/>
          <w:sz w:val="21"/>
        </w:rPr>
      </w:pPr>
    </w:p>
    <w:p w14:paraId="3A3C1C1A">
      <w:pPr>
        <w:pStyle w:val="9"/>
        <w:tabs>
          <w:tab w:val="left" w:pos="1265"/>
        </w:tabs>
        <w:spacing w:before="78" w:line="360" w:lineRule="auto"/>
        <w:ind w:left="121" w:right="112" w:firstLine="425"/>
        <w:jc w:val="both"/>
        <w:rPr>
          <w:sz w:val="24"/>
          <w:szCs w:val="24"/>
        </w:rPr>
      </w:pPr>
      <w:r>
        <w:rPr>
          <w:sz w:val="24"/>
          <w:szCs w:val="24"/>
          <w:u w:val="single" w:color="auto"/>
        </w:rPr>
        <w:tab/>
      </w:r>
      <w:r>
        <w:rPr>
          <w:spacing w:val="-2"/>
          <w:sz w:val="24"/>
          <w:szCs w:val="24"/>
        </w:rPr>
        <w:t>（以下简称：甲方）通过</w:t>
      </w:r>
      <w:r>
        <w:rPr>
          <w:spacing w:val="-2"/>
          <w:sz w:val="24"/>
          <w:szCs w:val="24"/>
          <w:u w:val="single" w:color="auto"/>
        </w:rPr>
        <w:t xml:space="preserve">      </w:t>
      </w:r>
      <w:r>
        <w:rPr>
          <w:spacing w:val="-102"/>
          <w:sz w:val="24"/>
          <w:szCs w:val="24"/>
        </w:rPr>
        <w:t xml:space="preserve"> </w:t>
      </w:r>
      <w:r>
        <w:rPr>
          <w:spacing w:val="-2"/>
          <w:sz w:val="24"/>
          <w:szCs w:val="24"/>
        </w:rPr>
        <w:t>组织的</w:t>
      </w:r>
      <w:r>
        <w:rPr>
          <w:rFonts w:hint="eastAsia"/>
          <w:spacing w:val="-2"/>
          <w:sz w:val="24"/>
          <w:szCs w:val="24"/>
          <w:lang w:val="en-US" w:eastAsia="zh-CN"/>
        </w:rPr>
        <w:t>公开招标</w:t>
      </w:r>
      <w:r>
        <w:rPr>
          <w:spacing w:val="-2"/>
          <w:sz w:val="24"/>
          <w:szCs w:val="24"/>
        </w:rPr>
        <w:t>采购活动，经</w:t>
      </w:r>
      <w:r>
        <w:rPr>
          <w:rFonts w:hint="eastAsia"/>
          <w:spacing w:val="-1"/>
          <w:sz w:val="24"/>
          <w:szCs w:val="24"/>
          <w:lang w:val="en-US" w:eastAsia="zh-CN"/>
        </w:rPr>
        <w:t>评审</w:t>
      </w:r>
      <w:r>
        <w:rPr>
          <w:spacing w:val="-1"/>
          <w:sz w:val="24"/>
          <w:szCs w:val="24"/>
        </w:rPr>
        <w:t>小组评定</w:t>
      </w:r>
      <w:r>
        <w:rPr>
          <w:spacing w:val="-36"/>
          <w:sz w:val="24"/>
          <w:szCs w:val="24"/>
        </w:rPr>
        <w:t>，</w:t>
      </w:r>
      <w:r>
        <w:rPr>
          <w:sz w:val="24"/>
          <w:szCs w:val="24"/>
          <w:u w:val="single" w:color="auto"/>
        </w:rPr>
        <w:t xml:space="preserve">      </w:t>
      </w:r>
      <w:r>
        <w:rPr>
          <w:spacing w:val="-36"/>
          <w:sz w:val="24"/>
          <w:szCs w:val="24"/>
        </w:rPr>
        <w:t>（</w:t>
      </w:r>
      <w:r>
        <w:rPr>
          <w:spacing w:val="-1"/>
          <w:sz w:val="24"/>
          <w:szCs w:val="24"/>
        </w:rPr>
        <w:t>以下简称：乙方）为本项目成交供应商，现按照</w:t>
      </w:r>
      <w:r>
        <w:rPr>
          <w:spacing w:val="-2"/>
          <w:sz w:val="24"/>
          <w:szCs w:val="24"/>
        </w:rPr>
        <w:t>采购文</w:t>
      </w:r>
      <w:r>
        <w:rPr>
          <w:spacing w:val="-1"/>
          <w:sz w:val="24"/>
          <w:szCs w:val="24"/>
        </w:rPr>
        <w:t>件确定的事项签订本合同。</w:t>
      </w:r>
    </w:p>
    <w:p w14:paraId="7F465ED5">
      <w:pPr>
        <w:pStyle w:val="9"/>
        <w:spacing w:line="360" w:lineRule="auto"/>
        <w:ind w:left="123" w:right="50" w:firstLine="433"/>
        <w:jc w:val="both"/>
        <w:rPr>
          <w:sz w:val="24"/>
          <w:szCs w:val="24"/>
        </w:rPr>
      </w:pPr>
      <w:r>
        <w:rPr>
          <w:spacing w:val="-9"/>
          <w:sz w:val="24"/>
          <w:szCs w:val="24"/>
        </w:rPr>
        <w:t>根据《中华人民共和国民法典》、《中华人民共和国政府采购法》等相关法律</w:t>
      </w:r>
      <w:r>
        <w:rPr>
          <w:spacing w:val="-8"/>
          <w:sz w:val="24"/>
          <w:szCs w:val="24"/>
        </w:rPr>
        <w:t>法规之规定，按照平等、自愿、公平和诚实信用的原则，经甲方和乙方协商一致，</w:t>
      </w:r>
      <w:r>
        <w:rPr>
          <w:spacing w:val="-1"/>
          <w:sz w:val="24"/>
          <w:szCs w:val="24"/>
        </w:rPr>
        <w:t>约定以下合同条款，以兹共同遵守、全面履行。</w:t>
      </w:r>
    </w:p>
    <w:p w14:paraId="0531366A">
      <w:pPr>
        <w:pStyle w:val="9"/>
        <w:spacing w:line="219" w:lineRule="auto"/>
        <w:ind w:left="576"/>
        <w:jc w:val="both"/>
        <w:outlineLvl w:val="2"/>
        <w:rPr>
          <w:sz w:val="24"/>
          <w:szCs w:val="24"/>
        </w:rPr>
      </w:pPr>
      <w:r>
        <w:rPr>
          <w:b/>
          <w:bCs/>
          <w:spacing w:val="-5"/>
          <w:sz w:val="24"/>
          <w:szCs w:val="24"/>
        </w:rPr>
        <w:t>1.1</w:t>
      </w:r>
      <w:r>
        <w:rPr>
          <w:spacing w:val="-5"/>
          <w:sz w:val="24"/>
          <w:szCs w:val="24"/>
        </w:rPr>
        <w:t xml:space="preserve"> </w:t>
      </w:r>
      <w:r>
        <w:rPr>
          <w:b/>
          <w:bCs/>
          <w:spacing w:val="-5"/>
          <w:sz w:val="24"/>
          <w:szCs w:val="24"/>
        </w:rPr>
        <w:t>合同组成部分</w:t>
      </w:r>
    </w:p>
    <w:p w14:paraId="7FDABCB0">
      <w:pPr>
        <w:pStyle w:val="9"/>
        <w:spacing w:before="182" w:line="360" w:lineRule="auto"/>
        <w:ind w:left="126" w:right="104" w:firstLine="437"/>
        <w:jc w:val="both"/>
        <w:rPr>
          <w:sz w:val="24"/>
          <w:szCs w:val="24"/>
        </w:rPr>
      </w:pPr>
      <w:r>
        <w:rPr>
          <w:spacing w:val="-2"/>
          <w:sz w:val="24"/>
          <w:szCs w:val="24"/>
        </w:rPr>
        <w:t>下列文件为本合同的组成部分，并构成一个整体，需综合解释、相互补充。</w:t>
      </w:r>
      <w:r>
        <w:rPr>
          <w:spacing w:val="-3"/>
          <w:sz w:val="24"/>
          <w:szCs w:val="24"/>
        </w:rPr>
        <w:t>如果下列文件内容出现不一致的情形，那么在保证按照采购文件确定的事</w:t>
      </w:r>
      <w:r>
        <w:rPr>
          <w:spacing w:val="-4"/>
          <w:sz w:val="24"/>
          <w:szCs w:val="24"/>
        </w:rPr>
        <w:t>项前提</w:t>
      </w:r>
      <w:r>
        <w:rPr>
          <w:spacing w:val="-1"/>
          <w:sz w:val="24"/>
          <w:szCs w:val="24"/>
        </w:rPr>
        <w:t>下，组成本合同的多个文件的优先适用顺序如下：</w:t>
      </w:r>
    </w:p>
    <w:p w14:paraId="04154B20">
      <w:pPr>
        <w:pStyle w:val="9"/>
        <w:spacing w:line="218" w:lineRule="auto"/>
        <w:ind w:left="574"/>
        <w:jc w:val="both"/>
        <w:rPr>
          <w:sz w:val="24"/>
          <w:szCs w:val="24"/>
        </w:rPr>
      </w:pPr>
      <w:r>
        <w:rPr>
          <w:spacing w:val="-2"/>
          <w:sz w:val="24"/>
          <w:szCs w:val="24"/>
        </w:rPr>
        <w:t>1.1.1</w:t>
      </w:r>
      <w:r>
        <w:rPr>
          <w:spacing w:val="-49"/>
          <w:sz w:val="24"/>
          <w:szCs w:val="24"/>
        </w:rPr>
        <w:t xml:space="preserve"> </w:t>
      </w:r>
      <w:r>
        <w:rPr>
          <w:spacing w:val="-2"/>
          <w:sz w:val="24"/>
          <w:szCs w:val="24"/>
        </w:rPr>
        <w:t>本合同及其补充合同、变更协议；</w:t>
      </w:r>
    </w:p>
    <w:p w14:paraId="2C4EDD0D">
      <w:pPr>
        <w:pStyle w:val="9"/>
        <w:spacing w:before="183" w:line="219" w:lineRule="auto"/>
        <w:ind w:left="574"/>
        <w:jc w:val="both"/>
        <w:rPr>
          <w:sz w:val="24"/>
          <w:szCs w:val="24"/>
        </w:rPr>
      </w:pPr>
      <w:r>
        <w:rPr>
          <w:spacing w:val="-4"/>
          <w:sz w:val="24"/>
          <w:szCs w:val="24"/>
        </w:rPr>
        <w:t>1.1.2</w:t>
      </w:r>
      <w:r>
        <w:rPr>
          <w:spacing w:val="-45"/>
          <w:sz w:val="24"/>
          <w:szCs w:val="24"/>
        </w:rPr>
        <w:t xml:space="preserve"> </w:t>
      </w:r>
      <w:r>
        <w:rPr>
          <w:spacing w:val="-4"/>
          <w:sz w:val="24"/>
          <w:szCs w:val="24"/>
        </w:rPr>
        <w:t>成交通知书；</w:t>
      </w:r>
    </w:p>
    <w:p w14:paraId="29947926">
      <w:pPr>
        <w:pStyle w:val="9"/>
        <w:spacing w:before="184" w:line="219" w:lineRule="auto"/>
        <w:ind w:left="574"/>
        <w:jc w:val="both"/>
        <w:rPr>
          <w:sz w:val="24"/>
          <w:szCs w:val="24"/>
        </w:rPr>
      </w:pPr>
      <w:r>
        <w:rPr>
          <w:spacing w:val="-3"/>
          <w:sz w:val="24"/>
          <w:szCs w:val="24"/>
        </w:rPr>
        <w:t>1.1.3</w:t>
      </w:r>
      <w:r>
        <w:rPr>
          <w:spacing w:val="-37"/>
          <w:sz w:val="24"/>
          <w:szCs w:val="24"/>
        </w:rPr>
        <w:t xml:space="preserve"> </w:t>
      </w:r>
      <w:r>
        <w:rPr>
          <w:spacing w:val="-3"/>
          <w:sz w:val="24"/>
          <w:szCs w:val="24"/>
        </w:rPr>
        <w:t>响应文件（含澄清或者说明文件</w:t>
      </w:r>
      <w:r>
        <w:rPr>
          <w:spacing w:val="-65"/>
          <w:sz w:val="24"/>
          <w:szCs w:val="24"/>
        </w:rPr>
        <w:t>）；</w:t>
      </w:r>
    </w:p>
    <w:p w14:paraId="7E3ADC2D">
      <w:pPr>
        <w:pStyle w:val="9"/>
        <w:spacing w:before="184" w:line="219" w:lineRule="auto"/>
        <w:ind w:left="574"/>
        <w:jc w:val="both"/>
        <w:rPr>
          <w:sz w:val="24"/>
          <w:szCs w:val="24"/>
        </w:rPr>
      </w:pPr>
      <w:r>
        <w:rPr>
          <w:spacing w:val="-2"/>
          <w:sz w:val="24"/>
          <w:szCs w:val="24"/>
        </w:rPr>
        <w:t>1.1.4</w:t>
      </w:r>
      <w:r>
        <w:rPr>
          <w:spacing w:val="-48"/>
          <w:sz w:val="24"/>
          <w:szCs w:val="24"/>
        </w:rPr>
        <w:t xml:space="preserve"> </w:t>
      </w:r>
      <w:r>
        <w:rPr>
          <w:spacing w:val="-2"/>
          <w:sz w:val="24"/>
          <w:szCs w:val="24"/>
        </w:rPr>
        <w:t>谈判文件（含澄清或者修改文件</w:t>
      </w:r>
      <w:r>
        <w:rPr>
          <w:spacing w:val="-62"/>
          <w:w w:val="97"/>
          <w:sz w:val="24"/>
          <w:szCs w:val="24"/>
        </w:rPr>
        <w:t>）；</w:t>
      </w:r>
    </w:p>
    <w:p w14:paraId="279635D6">
      <w:pPr>
        <w:pStyle w:val="9"/>
        <w:spacing w:before="182" w:line="219" w:lineRule="auto"/>
        <w:ind w:left="574"/>
        <w:jc w:val="both"/>
        <w:rPr>
          <w:sz w:val="24"/>
          <w:szCs w:val="24"/>
        </w:rPr>
      </w:pPr>
      <w:r>
        <w:rPr>
          <w:spacing w:val="-3"/>
          <w:sz w:val="24"/>
          <w:szCs w:val="24"/>
        </w:rPr>
        <w:t>1.1.5</w:t>
      </w:r>
      <w:r>
        <w:rPr>
          <w:spacing w:val="-47"/>
          <w:sz w:val="24"/>
          <w:szCs w:val="24"/>
        </w:rPr>
        <w:t xml:space="preserve"> </w:t>
      </w:r>
      <w:r>
        <w:rPr>
          <w:spacing w:val="-3"/>
          <w:sz w:val="24"/>
          <w:szCs w:val="24"/>
        </w:rPr>
        <w:t>其他相关采购文件。</w:t>
      </w:r>
    </w:p>
    <w:p w14:paraId="3F0D0BAC">
      <w:pPr>
        <w:ind w:firstLine="480" w:firstLineChars="200"/>
        <w:rPr>
          <w:rFonts w:hint="eastAsia"/>
          <w:sz w:val="24"/>
          <w:szCs w:val="24"/>
          <w:highlight w:val="none"/>
        </w:rPr>
      </w:pPr>
      <w:r>
        <w:rPr>
          <w:rFonts w:hint="eastAsia"/>
          <w:sz w:val="24"/>
          <w:szCs w:val="24"/>
          <w:highlight w:val="none"/>
        </w:rPr>
        <w:t xml:space="preserve"> 1.</w:t>
      </w:r>
      <w:r>
        <w:rPr>
          <w:rFonts w:hint="eastAsia"/>
          <w:sz w:val="24"/>
          <w:szCs w:val="24"/>
          <w:highlight w:val="none"/>
          <w:lang w:val="en-US" w:eastAsia="zh-CN"/>
        </w:rPr>
        <w:t>2</w:t>
      </w:r>
      <w:r>
        <w:rPr>
          <w:rFonts w:hint="eastAsia"/>
          <w:sz w:val="24"/>
          <w:szCs w:val="24"/>
          <w:highlight w:val="none"/>
        </w:rPr>
        <w:t>合同标的：</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2"/>
        <w:gridCol w:w="1382"/>
        <w:gridCol w:w="1382"/>
        <w:gridCol w:w="1438"/>
        <w:gridCol w:w="1494"/>
        <w:gridCol w:w="1495"/>
      </w:tblGrid>
      <w:tr w14:paraId="086EB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0" w:type="dxa"/>
            <w:vAlign w:val="center"/>
          </w:tcPr>
          <w:p w14:paraId="55385B78">
            <w:pPr>
              <w:jc w:val="center"/>
              <w:rPr>
                <w:rFonts w:hint="eastAsia"/>
                <w:sz w:val="24"/>
                <w:szCs w:val="24"/>
                <w:highlight w:val="none"/>
                <w:vertAlign w:val="baseline"/>
              </w:rPr>
            </w:pPr>
            <w:r>
              <w:rPr>
                <w:rFonts w:hint="eastAsia"/>
                <w:sz w:val="24"/>
                <w:szCs w:val="24"/>
                <w:highlight w:val="none"/>
              </w:rPr>
              <w:t>货物名称</w:t>
            </w:r>
          </w:p>
        </w:tc>
        <w:tc>
          <w:tcPr>
            <w:tcW w:w="1660" w:type="dxa"/>
            <w:vAlign w:val="center"/>
          </w:tcPr>
          <w:p w14:paraId="63612EA8">
            <w:pPr>
              <w:jc w:val="center"/>
              <w:rPr>
                <w:rFonts w:hint="eastAsia"/>
                <w:sz w:val="24"/>
                <w:szCs w:val="24"/>
                <w:highlight w:val="none"/>
                <w:vertAlign w:val="baseline"/>
              </w:rPr>
            </w:pPr>
            <w:r>
              <w:rPr>
                <w:rFonts w:hint="eastAsia"/>
                <w:sz w:val="24"/>
                <w:szCs w:val="24"/>
                <w:highlight w:val="none"/>
              </w:rPr>
              <w:t>品牌型号</w:t>
            </w:r>
          </w:p>
        </w:tc>
        <w:tc>
          <w:tcPr>
            <w:tcW w:w="1660" w:type="dxa"/>
            <w:vAlign w:val="center"/>
          </w:tcPr>
          <w:p w14:paraId="45F86FD6">
            <w:pPr>
              <w:jc w:val="center"/>
              <w:rPr>
                <w:rFonts w:hint="eastAsia"/>
                <w:sz w:val="24"/>
                <w:szCs w:val="24"/>
                <w:highlight w:val="none"/>
                <w:vertAlign w:val="baseline"/>
              </w:rPr>
            </w:pPr>
            <w:r>
              <w:rPr>
                <w:rFonts w:hint="eastAsia"/>
                <w:sz w:val="24"/>
                <w:szCs w:val="24"/>
                <w:highlight w:val="none"/>
              </w:rPr>
              <w:t>详细配置及主要技术参数</w:t>
            </w:r>
          </w:p>
        </w:tc>
        <w:tc>
          <w:tcPr>
            <w:tcW w:w="1660" w:type="dxa"/>
            <w:vAlign w:val="center"/>
          </w:tcPr>
          <w:p w14:paraId="6D6E0E02">
            <w:pPr>
              <w:jc w:val="center"/>
              <w:rPr>
                <w:rFonts w:hint="eastAsia"/>
                <w:sz w:val="24"/>
                <w:szCs w:val="24"/>
                <w:highlight w:val="none"/>
              </w:rPr>
            </w:pPr>
            <w:r>
              <w:rPr>
                <w:rFonts w:hint="eastAsia"/>
                <w:sz w:val="24"/>
                <w:szCs w:val="24"/>
                <w:highlight w:val="none"/>
              </w:rPr>
              <w:t>数量</w:t>
            </w:r>
          </w:p>
          <w:p w14:paraId="530DD60E">
            <w:pPr>
              <w:jc w:val="center"/>
              <w:rPr>
                <w:rFonts w:hint="eastAsia" w:eastAsiaTheme="minorEastAsia"/>
                <w:sz w:val="24"/>
                <w:szCs w:val="24"/>
                <w:highlight w:val="none"/>
                <w:lang w:eastAsia="zh-CN"/>
              </w:rPr>
            </w:pPr>
            <w:r>
              <w:rPr>
                <w:rFonts w:hint="eastAsia" w:eastAsiaTheme="minorEastAsia"/>
                <w:sz w:val="24"/>
                <w:szCs w:val="24"/>
                <w:highlight w:val="none"/>
                <w:lang w:eastAsia="zh-CN"/>
              </w:rPr>
              <w:t>（</w:t>
            </w:r>
            <w:r>
              <w:rPr>
                <w:rFonts w:hint="eastAsia" w:asciiTheme="minorHAnsi" w:eastAsiaTheme="minorEastAsia"/>
                <w:sz w:val="24"/>
                <w:szCs w:val="24"/>
                <w:highlight w:val="none"/>
                <w:lang w:val="en-US" w:eastAsia="zh-CN"/>
              </w:rPr>
              <w:t>单位</w:t>
            </w:r>
            <w:r>
              <w:rPr>
                <w:rFonts w:hint="eastAsia" w:eastAsiaTheme="minorEastAsia"/>
                <w:sz w:val="24"/>
                <w:szCs w:val="24"/>
                <w:highlight w:val="none"/>
                <w:lang w:eastAsia="zh-CN"/>
              </w:rPr>
              <w:t>）</w:t>
            </w:r>
          </w:p>
        </w:tc>
        <w:tc>
          <w:tcPr>
            <w:tcW w:w="1661" w:type="dxa"/>
            <w:vAlign w:val="center"/>
          </w:tcPr>
          <w:p w14:paraId="7D391512">
            <w:pPr>
              <w:jc w:val="center"/>
              <w:rPr>
                <w:rFonts w:hint="eastAsia"/>
                <w:sz w:val="24"/>
                <w:szCs w:val="24"/>
                <w:highlight w:val="none"/>
              </w:rPr>
            </w:pPr>
            <w:r>
              <w:rPr>
                <w:rFonts w:hint="eastAsia"/>
                <w:sz w:val="24"/>
                <w:szCs w:val="24"/>
                <w:highlight w:val="none"/>
              </w:rPr>
              <w:t>单价</w:t>
            </w:r>
          </w:p>
          <w:p w14:paraId="3AC4187A">
            <w:pPr>
              <w:jc w:val="center"/>
              <w:rPr>
                <w:rFonts w:hint="eastAsia"/>
                <w:sz w:val="24"/>
                <w:szCs w:val="24"/>
                <w:highlight w:val="none"/>
                <w:vertAlign w:val="baseline"/>
              </w:rPr>
            </w:pPr>
            <w:r>
              <w:rPr>
                <w:rFonts w:hint="eastAsia" w:eastAsiaTheme="minorEastAsia"/>
                <w:sz w:val="24"/>
                <w:szCs w:val="24"/>
                <w:highlight w:val="none"/>
                <w:lang w:eastAsia="zh-CN"/>
              </w:rPr>
              <w:t>（</w:t>
            </w:r>
            <w:r>
              <w:rPr>
                <w:rFonts w:hint="eastAsia"/>
                <w:sz w:val="24"/>
                <w:szCs w:val="24"/>
                <w:highlight w:val="none"/>
              </w:rPr>
              <w:t>元</w:t>
            </w:r>
            <w:r>
              <w:rPr>
                <w:rFonts w:hint="eastAsia" w:eastAsiaTheme="minorEastAsia"/>
                <w:sz w:val="24"/>
                <w:szCs w:val="24"/>
                <w:highlight w:val="none"/>
                <w:lang w:eastAsia="zh-CN"/>
              </w:rPr>
              <w:t>）</w:t>
            </w:r>
          </w:p>
        </w:tc>
        <w:tc>
          <w:tcPr>
            <w:tcW w:w="1661" w:type="dxa"/>
            <w:vAlign w:val="center"/>
          </w:tcPr>
          <w:p w14:paraId="0A6F468C">
            <w:pPr>
              <w:jc w:val="center"/>
              <w:rPr>
                <w:rFonts w:hint="eastAsia"/>
                <w:sz w:val="24"/>
                <w:szCs w:val="24"/>
                <w:highlight w:val="none"/>
              </w:rPr>
            </w:pPr>
            <w:r>
              <w:rPr>
                <w:rFonts w:hint="eastAsia"/>
                <w:sz w:val="24"/>
                <w:szCs w:val="24"/>
                <w:highlight w:val="none"/>
              </w:rPr>
              <w:t>合计</w:t>
            </w:r>
          </w:p>
          <w:p w14:paraId="086A9F30">
            <w:pPr>
              <w:jc w:val="center"/>
              <w:rPr>
                <w:rFonts w:hint="eastAsia"/>
                <w:sz w:val="24"/>
                <w:szCs w:val="24"/>
                <w:highlight w:val="none"/>
                <w:vertAlign w:val="baseline"/>
              </w:rPr>
            </w:pPr>
            <w:r>
              <w:rPr>
                <w:rFonts w:hint="eastAsia" w:eastAsiaTheme="minorEastAsia"/>
                <w:sz w:val="24"/>
                <w:szCs w:val="24"/>
                <w:highlight w:val="none"/>
                <w:lang w:eastAsia="zh-CN"/>
              </w:rPr>
              <w:t>（</w:t>
            </w:r>
            <w:r>
              <w:rPr>
                <w:rFonts w:hint="eastAsia"/>
                <w:sz w:val="24"/>
                <w:szCs w:val="24"/>
                <w:highlight w:val="none"/>
              </w:rPr>
              <w:t>元</w:t>
            </w:r>
            <w:r>
              <w:rPr>
                <w:rFonts w:hint="eastAsia" w:eastAsiaTheme="minorEastAsia"/>
                <w:sz w:val="24"/>
                <w:szCs w:val="24"/>
                <w:highlight w:val="none"/>
                <w:lang w:eastAsia="zh-CN"/>
              </w:rPr>
              <w:t>）</w:t>
            </w:r>
          </w:p>
        </w:tc>
      </w:tr>
      <w:tr w14:paraId="69088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0" w:type="dxa"/>
          </w:tcPr>
          <w:p w14:paraId="73CEAEBC">
            <w:pPr>
              <w:rPr>
                <w:rFonts w:hint="eastAsia"/>
                <w:sz w:val="24"/>
                <w:szCs w:val="24"/>
                <w:highlight w:val="none"/>
                <w:vertAlign w:val="baseline"/>
              </w:rPr>
            </w:pPr>
          </w:p>
        </w:tc>
        <w:tc>
          <w:tcPr>
            <w:tcW w:w="1660" w:type="dxa"/>
          </w:tcPr>
          <w:p w14:paraId="1837E81D">
            <w:pPr>
              <w:rPr>
                <w:rFonts w:hint="eastAsia"/>
                <w:sz w:val="24"/>
                <w:szCs w:val="24"/>
                <w:highlight w:val="none"/>
                <w:vertAlign w:val="baseline"/>
              </w:rPr>
            </w:pPr>
          </w:p>
        </w:tc>
        <w:tc>
          <w:tcPr>
            <w:tcW w:w="1660" w:type="dxa"/>
          </w:tcPr>
          <w:p w14:paraId="46F56B49">
            <w:pPr>
              <w:rPr>
                <w:rFonts w:hint="eastAsia"/>
                <w:sz w:val="24"/>
                <w:szCs w:val="24"/>
                <w:highlight w:val="none"/>
                <w:vertAlign w:val="baseline"/>
              </w:rPr>
            </w:pPr>
          </w:p>
        </w:tc>
        <w:tc>
          <w:tcPr>
            <w:tcW w:w="1660" w:type="dxa"/>
          </w:tcPr>
          <w:p w14:paraId="5245A80B">
            <w:pPr>
              <w:rPr>
                <w:rFonts w:hint="eastAsia"/>
                <w:sz w:val="24"/>
                <w:szCs w:val="24"/>
                <w:highlight w:val="none"/>
                <w:vertAlign w:val="baseline"/>
              </w:rPr>
            </w:pPr>
          </w:p>
        </w:tc>
        <w:tc>
          <w:tcPr>
            <w:tcW w:w="1661" w:type="dxa"/>
          </w:tcPr>
          <w:p w14:paraId="1172D115">
            <w:pPr>
              <w:rPr>
                <w:rFonts w:hint="eastAsia"/>
                <w:sz w:val="24"/>
                <w:szCs w:val="24"/>
                <w:highlight w:val="none"/>
                <w:vertAlign w:val="baseline"/>
              </w:rPr>
            </w:pPr>
          </w:p>
        </w:tc>
        <w:tc>
          <w:tcPr>
            <w:tcW w:w="1661" w:type="dxa"/>
          </w:tcPr>
          <w:p w14:paraId="2AA534EB">
            <w:pPr>
              <w:rPr>
                <w:rFonts w:hint="eastAsia"/>
                <w:sz w:val="24"/>
                <w:szCs w:val="24"/>
                <w:highlight w:val="none"/>
                <w:vertAlign w:val="baseline"/>
              </w:rPr>
            </w:pPr>
          </w:p>
        </w:tc>
      </w:tr>
      <w:tr w14:paraId="204E3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0" w:type="dxa"/>
          </w:tcPr>
          <w:p w14:paraId="0FAEC7D7">
            <w:pPr>
              <w:rPr>
                <w:rFonts w:hint="eastAsia"/>
                <w:sz w:val="24"/>
                <w:szCs w:val="24"/>
                <w:highlight w:val="none"/>
                <w:vertAlign w:val="baseline"/>
              </w:rPr>
            </w:pPr>
          </w:p>
        </w:tc>
        <w:tc>
          <w:tcPr>
            <w:tcW w:w="1660" w:type="dxa"/>
          </w:tcPr>
          <w:p w14:paraId="467787E7">
            <w:pPr>
              <w:rPr>
                <w:rFonts w:hint="eastAsia"/>
                <w:sz w:val="24"/>
                <w:szCs w:val="24"/>
                <w:highlight w:val="none"/>
                <w:vertAlign w:val="baseline"/>
              </w:rPr>
            </w:pPr>
          </w:p>
        </w:tc>
        <w:tc>
          <w:tcPr>
            <w:tcW w:w="1660" w:type="dxa"/>
          </w:tcPr>
          <w:p w14:paraId="061FAAB8">
            <w:pPr>
              <w:rPr>
                <w:rFonts w:hint="eastAsia"/>
                <w:sz w:val="24"/>
                <w:szCs w:val="24"/>
                <w:highlight w:val="none"/>
                <w:vertAlign w:val="baseline"/>
              </w:rPr>
            </w:pPr>
          </w:p>
        </w:tc>
        <w:tc>
          <w:tcPr>
            <w:tcW w:w="1660" w:type="dxa"/>
          </w:tcPr>
          <w:p w14:paraId="470C3402">
            <w:pPr>
              <w:rPr>
                <w:rFonts w:hint="eastAsia"/>
                <w:sz w:val="24"/>
                <w:szCs w:val="24"/>
                <w:highlight w:val="none"/>
                <w:vertAlign w:val="baseline"/>
              </w:rPr>
            </w:pPr>
          </w:p>
        </w:tc>
        <w:tc>
          <w:tcPr>
            <w:tcW w:w="1661" w:type="dxa"/>
          </w:tcPr>
          <w:p w14:paraId="37F2ACD6">
            <w:pPr>
              <w:rPr>
                <w:rFonts w:hint="eastAsia"/>
                <w:sz w:val="24"/>
                <w:szCs w:val="24"/>
                <w:highlight w:val="none"/>
                <w:vertAlign w:val="baseline"/>
              </w:rPr>
            </w:pPr>
          </w:p>
        </w:tc>
        <w:tc>
          <w:tcPr>
            <w:tcW w:w="1661" w:type="dxa"/>
          </w:tcPr>
          <w:p w14:paraId="4C2A138F">
            <w:pPr>
              <w:rPr>
                <w:rFonts w:hint="eastAsia"/>
                <w:sz w:val="24"/>
                <w:szCs w:val="24"/>
                <w:highlight w:val="none"/>
                <w:vertAlign w:val="baseline"/>
              </w:rPr>
            </w:pPr>
          </w:p>
        </w:tc>
      </w:tr>
      <w:tr w14:paraId="56D9B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0" w:type="dxa"/>
          </w:tcPr>
          <w:p w14:paraId="6AA49AAC">
            <w:pPr>
              <w:rPr>
                <w:rFonts w:hint="eastAsia"/>
                <w:sz w:val="24"/>
                <w:szCs w:val="24"/>
                <w:highlight w:val="none"/>
                <w:vertAlign w:val="baseline"/>
              </w:rPr>
            </w:pPr>
          </w:p>
        </w:tc>
        <w:tc>
          <w:tcPr>
            <w:tcW w:w="1660" w:type="dxa"/>
          </w:tcPr>
          <w:p w14:paraId="32ADD97E">
            <w:pPr>
              <w:rPr>
                <w:rFonts w:hint="eastAsia"/>
                <w:sz w:val="24"/>
                <w:szCs w:val="24"/>
                <w:highlight w:val="none"/>
                <w:vertAlign w:val="baseline"/>
              </w:rPr>
            </w:pPr>
          </w:p>
        </w:tc>
        <w:tc>
          <w:tcPr>
            <w:tcW w:w="1660" w:type="dxa"/>
          </w:tcPr>
          <w:p w14:paraId="6A4BBBE9">
            <w:pPr>
              <w:rPr>
                <w:rFonts w:hint="eastAsia"/>
                <w:sz w:val="24"/>
                <w:szCs w:val="24"/>
                <w:highlight w:val="none"/>
                <w:vertAlign w:val="baseline"/>
              </w:rPr>
            </w:pPr>
          </w:p>
        </w:tc>
        <w:tc>
          <w:tcPr>
            <w:tcW w:w="1660" w:type="dxa"/>
          </w:tcPr>
          <w:p w14:paraId="4A207040">
            <w:pPr>
              <w:rPr>
                <w:rFonts w:hint="eastAsia"/>
                <w:sz w:val="24"/>
                <w:szCs w:val="24"/>
                <w:highlight w:val="none"/>
                <w:vertAlign w:val="baseline"/>
              </w:rPr>
            </w:pPr>
          </w:p>
        </w:tc>
        <w:tc>
          <w:tcPr>
            <w:tcW w:w="1661" w:type="dxa"/>
          </w:tcPr>
          <w:p w14:paraId="285509D9">
            <w:pPr>
              <w:rPr>
                <w:rFonts w:hint="eastAsia"/>
                <w:sz w:val="24"/>
                <w:szCs w:val="24"/>
                <w:highlight w:val="none"/>
                <w:vertAlign w:val="baseline"/>
              </w:rPr>
            </w:pPr>
          </w:p>
        </w:tc>
        <w:tc>
          <w:tcPr>
            <w:tcW w:w="1661" w:type="dxa"/>
          </w:tcPr>
          <w:p w14:paraId="1ECAD631">
            <w:pPr>
              <w:rPr>
                <w:rFonts w:hint="eastAsia"/>
                <w:sz w:val="24"/>
                <w:szCs w:val="24"/>
                <w:highlight w:val="none"/>
                <w:vertAlign w:val="baseline"/>
              </w:rPr>
            </w:pPr>
          </w:p>
        </w:tc>
      </w:tr>
      <w:tr w14:paraId="0C872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0" w:type="dxa"/>
          </w:tcPr>
          <w:p w14:paraId="0E5CC3B3">
            <w:pPr>
              <w:rPr>
                <w:rFonts w:hint="eastAsia"/>
                <w:sz w:val="24"/>
                <w:szCs w:val="24"/>
                <w:highlight w:val="none"/>
                <w:vertAlign w:val="baseline"/>
              </w:rPr>
            </w:pPr>
          </w:p>
        </w:tc>
        <w:tc>
          <w:tcPr>
            <w:tcW w:w="1660" w:type="dxa"/>
          </w:tcPr>
          <w:p w14:paraId="64451E8A">
            <w:pPr>
              <w:rPr>
                <w:rFonts w:hint="eastAsia"/>
                <w:sz w:val="24"/>
                <w:szCs w:val="24"/>
                <w:highlight w:val="none"/>
                <w:vertAlign w:val="baseline"/>
              </w:rPr>
            </w:pPr>
          </w:p>
        </w:tc>
        <w:tc>
          <w:tcPr>
            <w:tcW w:w="1660" w:type="dxa"/>
          </w:tcPr>
          <w:p w14:paraId="4BA2B131">
            <w:pPr>
              <w:rPr>
                <w:rFonts w:hint="eastAsia"/>
                <w:sz w:val="24"/>
                <w:szCs w:val="24"/>
                <w:highlight w:val="none"/>
                <w:vertAlign w:val="baseline"/>
              </w:rPr>
            </w:pPr>
          </w:p>
        </w:tc>
        <w:tc>
          <w:tcPr>
            <w:tcW w:w="1660" w:type="dxa"/>
          </w:tcPr>
          <w:p w14:paraId="38E08A53">
            <w:pPr>
              <w:rPr>
                <w:rFonts w:hint="eastAsia"/>
                <w:sz w:val="24"/>
                <w:szCs w:val="24"/>
                <w:highlight w:val="none"/>
                <w:vertAlign w:val="baseline"/>
              </w:rPr>
            </w:pPr>
          </w:p>
        </w:tc>
        <w:tc>
          <w:tcPr>
            <w:tcW w:w="1661" w:type="dxa"/>
          </w:tcPr>
          <w:p w14:paraId="4F14E486">
            <w:pPr>
              <w:rPr>
                <w:rFonts w:hint="eastAsia"/>
                <w:sz w:val="24"/>
                <w:szCs w:val="24"/>
                <w:highlight w:val="none"/>
                <w:vertAlign w:val="baseline"/>
              </w:rPr>
            </w:pPr>
          </w:p>
        </w:tc>
        <w:tc>
          <w:tcPr>
            <w:tcW w:w="1661" w:type="dxa"/>
          </w:tcPr>
          <w:p w14:paraId="28A7BD83">
            <w:pPr>
              <w:rPr>
                <w:rFonts w:hint="eastAsia"/>
                <w:sz w:val="24"/>
                <w:szCs w:val="24"/>
                <w:highlight w:val="none"/>
                <w:vertAlign w:val="baseline"/>
              </w:rPr>
            </w:pPr>
          </w:p>
        </w:tc>
      </w:tr>
    </w:tbl>
    <w:p w14:paraId="72628F06">
      <w:pPr>
        <w:pStyle w:val="9"/>
        <w:spacing w:before="183" w:line="218" w:lineRule="auto"/>
        <w:ind w:left="576"/>
        <w:jc w:val="both"/>
        <w:outlineLvl w:val="2"/>
        <w:rPr>
          <w:sz w:val="24"/>
          <w:szCs w:val="24"/>
        </w:rPr>
      </w:pPr>
      <w:r>
        <w:rPr>
          <w:b/>
          <w:bCs/>
          <w:spacing w:val="-10"/>
          <w:sz w:val="24"/>
          <w:szCs w:val="24"/>
        </w:rPr>
        <w:t>1.3</w:t>
      </w:r>
      <w:r>
        <w:rPr>
          <w:spacing w:val="11"/>
          <w:sz w:val="24"/>
          <w:szCs w:val="24"/>
        </w:rPr>
        <w:t xml:space="preserve"> </w:t>
      </w:r>
      <w:r>
        <w:rPr>
          <w:b/>
          <w:bCs/>
          <w:spacing w:val="-10"/>
          <w:sz w:val="24"/>
          <w:szCs w:val="24"/>
        </w:rPr>
        <w:t>价款</w:t>
      </w:r>
    </w:p>
    <w:p w14:paraId="3395AD29">
      <w:pPr>
        <w:pStyle w:val="9"/>
        <w:spacing w:before="185" w:line="316" w:lineRule="auto"/>
        <w:ind w:left="558" w:right="224" w:hanging="1"/>
        <w:jc w:val="both"/>
        <w:rPr>
          <w:sz w:val="24"/>
          <w:szCs w:val="24"/>
        </w:rPr>
      </w:pPr>
      <w:r>
        <w:rPr>
          <w:spacing w:val="-12"/>
          <w:sz w:val="24"/>
          <w:szCs w:val="24"/>
        </w:rPr>
        <w:t>本合同总价为：￥</w:t>
      </w:r>
      <w:r>
        <w:rPr>
          <w:spacing w:val="-87"/>
          <w:sz w:val="24"/>
          <w:szCs w:val="24"/>
        </w:rPr>
        <w:t xml:space="preserve"> </w:t>
      </w:r>
      <w:r>
        <w:rPr>
          <w:sz w:val="24"/>
          <w:szCs w:val="24"/>
          <w:u w:val="single" w:color="auto"/>
        </w:rPr>
        <w:t xml:space="preserve">           </w:t>
      </w:r>
      <w:r>
        <w:rPr>
          <w:spacing w:val="-108"/>
          <w:sz w:val="24"/>
          <w:szCs w:val="24"/>
        </w:rPr>
        <w:t xml:space="preserve"> </w:t>
      </w:r>
      <w:r>
        <w:rPr>
          <w:spacing w:val="-12"/>
          <w:sz w:val="24"/>
          <w:szCs w:val="24"/>
        </w:rPr>
        <w:t>元（大写：人民币</w:t>
      </w:r>
      <w:r>
        <w:rPr>
          <w:spacing w:val="7"/>
          <w:sz w:val="24"/>
          <w:szCs w:val="24"/>
          <w:u w:val="single" w:color="auto"/>
        </w:rPr>
        <w:t xml:space="preserve">                </w:t>
      </w:r>
      <w:r>
        <w:rPr>
          <w:spacing w:val="-101"/>
          <w:sz w:val="24"/>
          <w:szCs w:val="24"/>
        </w:rPr>
        <w:t xml:space="preserve"> </w:t>
      </w:r>
      <w:r>
        <w:rPr>
          <w:spacing w:val="-12"/>
          <w:sz w:val="24"/>
          <w:szCs w:val="24"/>
        </w:rPr>
        <w:t>元）。</w:t>
      </w:r>
      <w:r>
        <w:rPr>
          <w:spacing w:val="-3"/>
          <w:sz w:val="24"/>
          <w:szCs w:val="24"/>
        </w:rPr>
        <w:t>分项价格：</w:t>
      </w:r>
    </w:p>
    <w:tbl>
      <w:tblPr>
        <w:tblStyle w:val="40"/>
        <w:tblW w:w="828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50"/>
        <w:gridCol w:w="4258"/>
        <w:gridCol w:w="3076"/>
      </w:tblGrid>
      <w:tr w14:paraId="0E7766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6" w:hRule="atLeast"/>
        </w:trPr>
        <w:tc>
          <w:tcPr>
            <w:tcW w:w="950" w:type="dxa"/>
            <w:vAlign w:val="top"/>
          </w:tcPr>
          <w:p w14:paraId="74E2CFCB">
            <w:pPr>
              <w:pStyle w:val="39"/>
              <w:spacing w:before="70" w:line="221" w:lineRule="auto"/>
              <w:ind w:left="245"/>
              <w:jc w:val="both"/>
            </w:pPr>
            <w:r>
              <w:rPr>
                <w:spacing w:val="-5"/>
              </w:rPr>
              <w:t>序号</w:t>
            </w:r>
          </w:p>
        </w:tc>
        <w:tc>
          <w:tcPr>
            <w:tcW w:w="4258" w:type="dxa"/>
            <w:vAlign w:val="top"/>
          </w:tcPr>
          <w:p w14:paraId="1F9A3E6C">
            <w:pPr>
              <w:pStyle w:val="39"/>
              <w:spacing w:before="70" w:line="220" w:lineRule="auto"/>
              <w:ind w:left="1798"/>
              <w:jc w:val="both"/>
            </w:pPr>
            <w:r>
              <w:rPr>
                <w:spacing w:val="-4"/>
              </w:rPr>
              <w:t>分项名称</w:t>
            </w:r>
          </w:p>
        </w:tc>
        <w:tc>
          <w:tcPr>
            <w:tcW w:w="3076" w:type="dxa"/>
            <w:vAlign w:val="top"/>
          </w:tcPr>
          <w:p w14:paraId="18032E3B">
            <w:pPr>
              <w:pStyle w:val="39"/>
              <w:spacing w:before="70" w:line="218" w:lineRule="auto"/>
              <w:ind w:left="1214"/>
              <w:jc w:val="both"/>
            </w:pPr>
            <w:r>
              <w:rPr>
                <w:spacing w:val="-4"/>
              </w:rPr>
              <w:t>分项价格</w:t>
            </w:r>
          </w:p>
        </w:tc>
      </w:tr>
      <w:tr w14:paraId="42CEBC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2" w:hRule="atLeast"/>
        </w:trPr>
        <w:tc>
          <w:tcPr>
            <w:tcW w:w="950" w:type="dxa"/>
            <w:vAlign w:val="top"/>
          </w:tcPr>
          <w:p w14:paraId="54F66E87">
            <w:pPr>
              <w:pStyle w:val="39"/>
              <w:spacing w:before="39" w:line="241" w:lineRule="auto"/>
              <w:ind w:left="444"/>
              <w:jc w:val="both"/>
            </w:pPr>
            <w:r>
              <w:t>1</w:t>
            </w:r>
          </w:p>
        </w:tc>
        <w:tc>
          <w:tcPr>
            <w:tcW w:w="4258" w:type="dxa"/>
            <w:vAlign w:val="top"/>
          </w:tcPr>
          <w:p w14:paraId="3293F7A2">
            <w:pPr>
              <w:jc w:val="both"/>
              <w:rPr>
                <w:rFonts w:ascii="Arial"/>
                <w:sz w:val="21"/>
              </w:rPr>
            </w:pPr>
          </w:p>
        </w:tc>
        <w:tc>
          <w:tcPr>
            <w:tcW w:w="3076" w:type="dxa"/>
            <w:vAlign w:val="top"/>
          </w:tcPr>
          <w:p w14:paraId="0A5F9974">
            <w:pPr>
              <w:jc w:val="both"/>
              <w:rPr>
                <w:rFonts w:ascii="Arial"/>
                <w:sz w:val="21"/>
              </w:rPr>
            </w:pPr>
          </w:p>
        </w:tc>
      </w:tr>
      <w:tr w14:paraId="345771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3" w:hRule="atLeast"/>
        </w:trPr>
        <w:tc>
          <w:tcPr>
            <w:tcW w:w="950" w:type="dxa"/>
            <w:vAlign w:val="top"/>
          </w:tcPr>
          <w:p w14:paraId="76ED4275">
            <w:pPr>
              <w:pStyle w:val="39"/>
              <w:spacing w:before="42" w:line="241" w:lineRule="auto"/>
              <w:ind w:left="429"/>
              <w:jc w:val="both"/>
            </w:pPr>
            <w:r>
              <w:t>2</w:t>
            </w:r>
          </w:p>
        </w:tc>
        <w:tc>
          <w:tcPr>
            <w:tcW w:w="4258" w:type="dxa"/>
            <w:vAlign w:val="top"/>
          </w:tcPr>
          <w:p w14:paraId="0D466E88">
            <w:pPr>
              <w:jc w:val="both"/>
              <w:rPr>
                <w:rFonts w:ascii="Arial"/>
                <w:sz w:val="21"/>
              </w:rPr>
            </w:pPr>
          </w:p>
        </w:tc>
        <w:tc>
          <w:tcPr>
            <w:tcW w:w="3076" w:type="dxa"/>
            <w:vAlign w:val="top"/>
          </w:tcPr>
          <w:p w14:paraId="713314E8">
            <w:pPr>
              <w:jc w:val="both"/>
              <w:rPr>
                <w:rFonts w:ascii="Arial"/>
                <w:sz w:val="21"/>
              </w:rPr>
            </w:pPr>
          </w:p>
        </w:tc>
      </w:tr>
      <w:tr w14:paraId="4A775B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3" w:hRule="atLeast"/>
        </w:trPr>
        <w:tc>
          <w:tcPr>
            <w:tcW w:w="950" w:type="dxa"/>
            <w:vAlign w:val="top"/>
          </w:tcPr>
          <w:p w14:paraId="3FD74ED2">
            <w:pPr>
              <w:pStyle w:val="39"/>
              <w:spacing w:before="42"/>
              <w:ind w:left="431"/>
              <w:jc w:val="both"/>
            </w:pPr>
            <w:r>
              <w:t>3</w:t>
            </w:r>
          </w:p>
        </w:tc>
        <w:tc>
          <w:tcPr>
            <w:tcW w:w="4258" w:type="dxa"/>
            <w:vAlign w:val="top"/>
          </w:tcPr>
          <w:p w14:paraId="6D308220">
            <w:pPr>
              <w:jc w:val="both"/>
              <w:rPr>
                <w:rFonts w:ascii="Arial"/>
                <w:sz w:val="21"/>
              </w:rPr>
            </w:pPr>
          </w:p>
        </w:tc>
        <w:tc>
          <w:tcPr>
            <w:tcW w:w="3076" w:type="dxa"/>
            <w:vAlign w:val="top"/>
          </w:tcPr>
          <w:p w14:paraId="01F79A24">
            <w:pPr>
              <w:jc w:val="both"/>
              <w:rPr>
                <w:rFonts w:ascii="Arial"/>
                <w:sz w:val="21"/>
              </w:rPr>
            </w:pPr>
          </w:p>
        </w:tc>
      </w:tr>
      <w:tr w14:paraId="65AEAE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3" w:hRule="atLeast"/>
        </w:trPr>
        <w:tc>
          <w:tcPr>
            <w:tcW w:w="950" w:type="dxa"/>
            <w:vAlign w:val="top"/>
          </w:tcPr>
          <w:p w14:paraId="706ED43A">
            <w:pPr>
              <w:pStyle w:val="39"/>
              <w:spacing w:before="44" w:line="318" w:lineRule="exact"/>
              <w:ind w:left="261"/>
              <w:jc w:val="both"/>
            </w:pPr>
            <w:r>
              <w:rPr>
                <w:spacing w:val="-13"/>
                <w:position w:val="1"/>
              </w:rPr>
              <w:t>……</w:t>
            </w:r>
          </w:p>
        </w:tc>
        <w:tc>
          <w:tcPr>
            <w:tcW w:w="4258" w:type="dxa"/>
            <w:vAlign w:val="top"/>
          </w:tcPr>
          <w:p w14:paraId="2938633C">
            <w:pPr>
              <w:jc w:val="both"/>
              <w:rPr>
                <w:rFonts w:ascii="Arial"/>
                <w:sz w:val="21"/>
              </w:rPr>
            </w:pPr>
          </w:p>
        </w:tc>
        <w:tc>
          <w:tcPr>
            <w:tcW w:w="3076" w:type="dxa"/>
            <w:vAlign w:val="top"/>
          </w:tcPr>
          <w:p w14:paraId="3294BFD7">
            <w:pPr>
              <w:jc w:val="both"/>
              <w:rPr>
                <w:rFonts w:ascii="Arial"/>
                <w:sz w:val="21"/>
              </w:rPr>
            </w:pPr>
          </w:p>
        </w:tc>
      </w:tr>
      <w:tr w14:paraId="7F24C3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3" w:hRule="atLeast"/>
        </w:trPr>
        <w:tc>
          <w:tcPr>
            <w:tcW w:w="5208" w:type="dxa"/>
            <w:gridSpan w:val="2"/>
            <w:vAlign w:val="top"/>
          </w:tcPr>
          <w:p w14:paraId="133147FD">
            <w:pPr>
              <w:jc w:val="center"/>
              <w:rPr>
                <w:rFonts w:hint="default" w:ascii="Arial" w:eastAsia="宋体"/>
                <w:sz w:val="21"/>
                <w:lang w:val="en-US" w:eastAsia="zh-CN"/>
              </w:rPr>
            </w:pPr>
            <w:r>
              <w:rPr>
                <w:rFonts w:hint="eastAsia" w:eastAsia="宋体"/>
                <w:sz w:val="24"/>
                <w:szCs w:val="24"/>
                <w:lang w:val="en-US" w:eastAsia="zh-CN"/>
              </w:rPr>
              <w:t>总价</w:t>
            </w:r>
          </w:p>
        </w:tc>
        <w:tc>
          <w:tcPr>
            <w:tcW w:w="3076" w:type="dxa"/>
            <w:vAlign w:val="top"/>
          </w:tcPr>
          <w:p w14:paraId="56D7D035">
            <w:pPr>
              <w:jc w:val="both"/>
              <w:rPr>
                <w:rFonts w:ascii="Arial"/>
                <w:sz w:val="21"/>
              </w:rPr>
            </w:pPr>
          </w:p>
        </w:tc>
      </w:tr>
    </w:tbl>
    <w:p w14:paraId="2E7A63BA">
      <w:pPr>
        <w:pStyle w:val="9"/>
        <w:spacing w:before="116" w:line="219" w:lineRule="auto"/>
        <w:ind w:left="576"/>
        <w:jc w:val="both"/>
        <w:outlineLvl w:val="2"/>
        <w:rPr>
          <w:sz w:val="24"/>
          <w:szCs w:val="24"/>
        </w:rPr>
      </w:pPr>
      <w:r>
        <w:rPr>
          <w:b/>
          <w:bCs/>
          <w:spacing w:val="-4"/>
          <w:sz w:val="24"/>
          <w:szCs w:val="24"/>
        </w:rPr>
        <w:t>1.4</w:t>
      </w:r>
      <w:r>
        <w:rPr>
          <w:spacing w:val="-4"/>
          <w:sz w:val="24"/>
          <w:szCs w:val="24"/>
        </w:rPr>
        <w:t xml:space="preserve"> </w:t>
      </w:r>
      <w:r>
        <w:rPr>
          <w:b/>
          <w:bCs/>
          <w:spacing w:val="-4"/>
          <w:sz w:val="24"/>
          <w:szCs w:val="24"/>
        </w:rPr>
        <w:t>付款方式和发票开具方式</w:t>
      </w:r>
    </w:p>
    <w:p w14:paraId="2D2B4251">
      <w:pPr>
        <w:pStyle w:val="9"/>
        <w:spacing w:before="183" w:line="219" w:lineRule="auto"/>
        <w:ind w:firstLine="460" w:firstLineChars="200"/>
        <w:jc w:val="both"/>
        <w:rPr>
          <w:sz w:val="24"/>
          <w:szCs w:val="24"/>
          <w:u w:val="single" w:color="auto"/>
        </w:rPr>
      </w:pPr>
      <w:r>
        <w:rPr>
          <w:spacing w:val="-5"/>
          <w:sz w:val="24"/>
          <w:szCs w:val="24"/>
        </w:rPr>
        <w:t>1.4.1</w:t>
      </w:r>
      <w:r>
        <w:rPr>
          <w:spacing w:val="-50"/>
          <w:sz w:val="24"/>
          <w:szCs w:val="24"/>
        </w:rPr>
        <w:t xml:space="preserve"> </w:t>
      </w:r>
      <w:r>
        <w:rPr>
          <w:spacing w:val="-5"/>
          <w:sz w:val="24"/>
          <w:szCs w:val="24"/>
        </w:rPr>
        <w:t>付款方式</w:t>
      </w:r>
      <w:r>
        <w:rPr>
          <w:spacing w:val="3"/>
          <w:sz w:val="24"/>
          <w:szCs w:val="24"/>
        </w:rPr>
        <w:t>：</w:t>
      </w:r>
      <w:r>
        <w:rPr>
          <w:sz w:val="24"/>
          <w:szCs w:val="24"/>
          <w:u w:val="single" w:color="auto"/>
        </w:rPr>
        <w:t xml:space="preserve">                                                </w:t>
      </w:r>
    </w:p>
    <w:p w14:paraId="0EA6638A">
      <w:pPr>
        <w:pStyle w:val="9"/>
        <w:spacing w:before="78" w:line="219" w:lineRule="auto"/>
        <w:ind w:firstLine="464" w:firstLineChars="200"/>
        <w:jc w:val="both"/>
        <w:rPr>
          <w:sz w:val="24"/>
          <w:szCs w:val="24"/>
        </w:rPr>
      </w:pPr>
      <w:r>
        <w:rPr>
          <w:spacing w:val="-4"/>
          <w:sz w:val="24"/>
          <w:szCs w:val="24"/>
        </w:rPr>
        <w:t>1.4.2</w:t>
      </w:r>
      <w:r>
        <w:rPr>
          <w:spacing w:val="-37"/>
          <w:sz w:val="24"/>
          <w:szCs w:val="24"/>
        </w:rPr>
        <w:t xml:space="preserve"> </w:t>
      </w:r>
      <w:r>
        <w:rPr>
          <w:spacing w:val="-4"/>
          <w:sz w:val="24"/>
          <w:szCs w:val="24"/>
        </w:rPr>
        <w:t>发票开具方式：</w:t>
      </w:r>
      <w:r>
        <w:rPr>
          <w:sz w:val="24"/>
          <w:szCs w:val="24"/>
          <w:u w:val="single" w:color="auto"/>
        </w:rPr>
        <w:t xml:space="preserve">                                            </w:t>
      </w:r>
      <w:r>
        <w:rPr>
          <w:spacing w:val="-4"/>
          <w:sz w:val="24"/>
          <w:szCs w:val="24"/>
        </w:rPr>
        <w:t>。</w:t>
      </w:r>
    </w:p>
    <w:p w14:paraId="22D4FB6D">
      <w:pPr>
        <w:pStyle w:val="9"/>
        <w:spacing w:before="183" w:line="219" w:lineRule="auto"/>
        <w:ind w:left="478"/>
        <w:jc w:val="both"/>
        <w:outlineLvl w:val="2"/>
        <w:rPr>
          <w:sz w:val="24"/>
          <w:szCs w:val="24"/>
        </w:rPr>
      </w:pPr>
      <w:r>
        <w:rPr>
          <w:b/>
          <w:bCs/>
          <w:spacing w:val="-4"/>
          <w:sz w:val="24"/>
          <w:szCs w:val="24"/>
        </w:rPr>
        <w:t>1.5</w:t>
      </w:r>
      <w:r>
        <w:rPr>
          <w:spacing w:val="-4"/>
          <w:sz w:val="24"/>
          <w:szCs w:val="24"/>
        </w:rPr>
        <w:t xml:space="preserve"> </w:t>
      </w:r>
      <w:r>
        <w:rPr>
          <w:rFonts w:hint="eastAsia"/>
          <w:b/>
          <w:bCs/>
          <w:spacing w:val="-4"/>
          <w:sz w:val="24"/>
          <w:szCs w:val="24"/>
          <w:lang w:val="en-US" w:eastAsia="zh-CN"/>
        </w:rPr>
        <w:t>交货时间</w:t>
      </w:r>
      <w:r>
        <w:rPr>
          <w:b/>
          <w:bCs/>
          <w:spacing w:val="-4"/>
          <w:sz w:val="24"/>
          <w:szCs w:val="24"/>
        </w:rPr>
        <w:t>、地点和方式</w:t>
      </w:r>
    </w:p>
    <w:p w14:paraId="6A7F6C59">
      <w:pPr>
        <w:keepNext w:val="0"/>
        <w:keepLines w:val="0"/>
        <w:pageBreakBefore w:val="0"/>
        <w:widowControl w:val="0"/>
        <w:kinsoku/>
        <w:wordWrap/>
        <w:overflowPunct/>
        <w:topLinePunct w:val="0"/>
        <w:autoSpaceDE/>
        <w:autoSpaceDN/>
        <w:bidi w:val="0"/>
        <w:adjustRightInd/>
        <w:snapToGrid/>
        <w:ind w:firstLine="460" w:firstLineChars="200"/>
        <w:textAlignment w:val="auto"/>
        <w:rPr>
          <w:rFonts w:hint="eastAsia"/>
          <w:sz w:val="24"/>
          <w:szCs w:val="24"/>
          <w:highlight w:val="none"/>
        </w:rPr>
      </w:pPr>
      <w:r>
        <w:rPr>
          <w:spacing w:val="-5"/>
          <w:sz w:val="24"/>
          <w:szCs w:val="24"/>
        </w:rPr>
        <w:t>1.5.1</w:t>
      </w:r>
      <w:r>
        <w:rPr>
          <w:spacing w:val="-50"/>
          <w:sz w:val="24"/>
          <w:szCs w:val="24"/>
        </w:rPr>
        <w:t xml:space="preserve"> </w:t>
      </w:r>
      <w:r>
        <w:rPr>
          <w:rFonts w:hint="eastAsia"/>
          <w:sz w:val="24"/>
          <w:szCs w:val="24"/>
          <w:highlight w:val="none"/>
        </w:rPr>
        <w:t>交货时间：合同订立后</w:t>
      </w:r>
      <w:r>
        <w:rPr>
          <w:rFonts w:hint="eastAsia"/>
          <w:sz w:val="24"/>
          <w:szCs w:val="24"/>
          <w:highlight w:val="none"/>
          <w:u w:val="single"/>
        </w:rPr>
        <w:t xml:space="preserve">     </w:t>
      </w:r>
      <w:r>
        <w:rPr>
          <w:rFonts w:hint="eastAsia"/>
          <w:sz w:val="24"/>
          <w:szCs w:val="24"/>
          <w:highlight w:val="none"/>
        </w:rPr>
        <w:t>天。所有货物安装调试完毕、验收合格并交付给需方的日期为交货时间。</w:t>
      </w:r>
    </w:p>
    <w:p w14:paraId="719F96BB">
      <w:pPr>
        <w:keepNext w:val="0"/>
        <w:keepLines w:val="0"/>
        <w:pageBreakBefore w:val="0"/>
        <w:widowControl w:val="0"/>
        <w:kinsoku/>
        <w:wordWrap/>
        <w:overflowPunct/>
        <w:topLinePunct w:val="0"/>
        <w:autoSpaceDE/>
        <w:autoSpaceDN/>
        <w:bidi w:val="0"/>
        <w:adjustRightInd/>
        <w:snapToGrid/>
        <w:ind w:firstLine="460" w:firstLineChars="200"/>
        <w:textAlignment w:val="auto"/>
        <w:rPr>
          <w:rFonts w:hint="eastAsia" w:eastAsiaTheme="minorEastAsia"/>
          <w:sz w:val="24"/>
          <w:szCs w:val="24"/>
          <w:highlight w:val="none"/>
          <w:lang w:eastAsia="zh-CN"/>
        </w:rPr>
      </w:pPr>
      <w:r>
        <w:rPr>
          <w:spacing w:val="-5"/>
          <w:sz w:val="24"/>
          <w:szCs w:val="24"/>
        </w:rPr>
        <w:t>1.5.2</w:t>
      </w:r>
      <w:r>
        <w:rPr>
          <w:spacing w:val="-50"/>
          <w:sz w:val="24"/>
          <w:szCs w:val="24"/>
        </w:rPr>
        <w:t xml:space="preserve"> </w:t>
      </w:r>
      <w:r>
        <w:rPr>
          <w:rFonts w:hint="eastAsia"/>
          <w:sz w:val="24"/>
          <w:szCs w:val="24"/>
          <w:highlight w:val="none"/>
        </w:rPr>
        <w:t>交货地点：</w:t>
      </w:r>
      <w:r>
        <w:rPr>
          <w:rFonts w:hint="eastAsia"/>
          <w:sz w:val="24"/>
          <w:szCs w:val="24"/>
          <w:highlight w:val="none"/>
          <w:u w:val="single"/>
          <w:lang w:val="en-US" w:eastAsia="zh-CN"/>
        </w:rPr>
        <w:t xml:space="preserve">                 </w:t>
      </w:r>
      <w:r>
        <w:rPr>
          <w:rFonts w:hint="eastAsia"/>
          <w:sz w:val="24"/>
          <w:szCs w:val="24"/>
          <w:highlight w:val="none"/>
          <w:u w:val="single"/>
        </w:rPr>
        <w:t xml:space="preserve">  </w:t>
      </w:r>
      <w:r>
        <w:rPr>
          <w:rFonts w:hint="eastAsia"/>
          <w:sz w:val="24"/>
          <w:szCs w:val="24"/>
          <w:highlight w:val="none"/>
          <w:u w:val="single"/>
          <w:lang w:eastAsia="zh-CN"/>
        </w:rPr>
        <w:t>。</w:t>
      </w:r>
    </w:p>
    <w:p w14:paraId="6BC2B41E">
      <w:pPr>
        <w:keepNext w:val="0"/>
        <w:keepLines w:val="0"/>
        <w:pageBreakBefore w:val="0"/>
        <w:widowControl w:val="0"/>
        <w:kinsoku/>
        <w:wordWrap/>
        <w:overflowPunct/>
        <w:topLinePunct w:val="0"/>
        <w:autoSpaceDE/>
        <w:autoSpaceDN/>
        <w:bidi w:val="0"/>
        <w:adjustRightInd/>
        <w:snapToGrid/>
        <w:ind w:left="943" w:leftChars="228" w:hanging="464" w:hangingChars="200"/>
        <w:textAlignment w:val="auto"/>
        <w:rPr>
          <w:sz w:val="24"/>
          <w:szCs w:val="24"/>
        </w:rPr>
      </w:pPr>
      <w:r>
        <w:rPr>
          <w:spacing w:val="-4"/>
          <w:sz w:val="24"/>
          <w:szCs w:val="24"/>
        </w:rPr>
        <w:t>1.5.3</w:t>
      </w:r>
      <w:r>
        <w:rPr>
          <w:spacing w:val="-45"/>
          <w:sz w:val="24"/>
          <w:szCs w:val="24"/>
        </w:rPr>
        <w:t xml:space="preserve"> </w:t>
      </w:r>
      <w:r>
        <w:rPr>
          <w:rFonts w:hint="eastAsia"/>
          <w:sz w:val="24"/>
          <w:szCs w:val="24"/>
          <w:highlight w:val="none"/>
        </w:rPr>
        <w:t>交货方式：供方负责将货物安全完好运抵交货地点、安装调试并保证验收合格。</w:t>
      </w:r>
    </w:p>
    <w:p w14:paraId="0A18C96F">
      <w:pPr>
        <w:pStyle w:val="9"/>
        <w:spacing w:before="183" w:line="219" w:lineRule="auto"/>
        <w:ind w:left="478"/>
        <w:jc w:val="both"/>
        <w:outlineLvl w:val="2"/>
        <w:rPr>
          <w:sz w:val="24"/>
          <w:szCs w:val="24"/>
        </w:rPr>
      </w:pPr>
      <w:r>
        <w:rPr>
          <w:b/>
          <w:bCs/>
          <w:spacing w:val="-5"/>
          <w:sz w:val="24"/>
          <w:szCs w:val="24"/>
        </w:rPr>
        <w:t>1.6</w:t>
      </w:r>
      <w:r>
        <w:rPr>
          <w:spacing w:val="-5"/>
          <w:sz w:val="24"/>
          <w:szCs w:val="24"/>
        </w:rPr>
        <w:t xml:space="preserve"> </w:t>
      </w:r>
      <w:r>
        <w:rPr>
          <w:b/>
          <w:bCs/>
          <w:spacing w:val="-5"/>
          <w:sz w:val="24"/>
          <w:szCs w:val="24"/>
        </w:rPr>
        <w:t>违约责任</w:t>
      </w:r>
    </w:p>
    <w:p w14:paraId="168BB056">
      <w:pPr>
        <w:pStyle w:val="9"/>
        <w:spacing w:before="181" w:line="332" w:lineRule="auto"/>
        <w:ind w:left="23" w:right="61" w:firstLine="452"/>
        <w:jc w:val="both"/>
        <w:rPr>
          <w:sz w:val="24"/>
          <w:szCs w:val="24"/>
        </w:rPr>
      </w:pPr>
      <w:r>
        <w:rPr>
          <w:spacing w:val="-1"/>
          <w:sz w:val="24"/>
          <w:szCs w:val="24"/>
        </w:rPr>
        <w:t>1.6.1</w:t>
      </w:r>
      <w:r>
        <w:rPr>
          <w:spacing w:val="-36"/>
          <w:sz w:val="24"/>
          <w:szCs w:val="24"/>
        </w:rPr>
        <w:t xml:space="preserve"> </w:t>
      </w:r>
      <w:r>
        <w:rPr>
          <w:spacing w:val="-1"/>
          <w:sz w:val="24"/>
          <w:szCs w:val="24"/>
        </w:rPr>
        <w:t>除不可抗力外，如果乙方没有按照本合同约定的期</w:t>
      </w:r>
      <w:r>
        <w:rPr>
          <w:spacing w:val="-2"/>
          <w:sz w:val="24"/>
          <w:szCs w:val="24"/>
        </w:rPr>
        <w:t>限、地点和方式履</w:t>
      </w:r>
      <w:r>
        <w:rPr>
          <w:spacing w:val="-3"/>
          <w:sz w:val="24"/>
          <w:szCs w:val="24"/>
        </w:rPr>
        <w:t>行，那么甲方可要求乙方支付违约金，违约金按每迟延履行一日的应提供而未提</w:t>
      </w:r>
      <w:r>
        <w:rPr>
          <w:sz w:val="24"/>
          <w:szCs w:val="24"/>
        </w:rPr>
        <w:t>供服务价格的</w:t>
      </w:r>
      <w:r>
        <w:rPr>
          <w:sz w:val="24"/>
          <w:szCs w:val="24"/>
          <w:u w:val="single" w:color="auto"/>
        </w:rPr>
        <w:t xml:space="preserve">    </w:t>
      </w:r>
      <w:r>
        <w:rPr>
          <w:spacing w:val="-116"/>
          <w:sz w:val="24"/>
          <w:szCs w:val="24"/>
        </w:rPr>
        <w:t xml:space="preserve"> </w:t>
      </w:r>
      <w:r>
        <w:rPr>
          <w:sz w:val="24"/>
          <w:szCs w:val="24"/>
        </w:rPr>
        <w:t>%计算，最高限额为本合同总价的</w:t>
      </w:r>
      <w:r>
        <w:rPr>
          <w:sz w:val="24"/>
          <w:szCs w:val="24"/>
          <w:u w:val="single" w:color="auto"/>
        </w:rPr>
        <w:t xml:space="preserve">     </w:t>
      </w:r>
      <w:r>
        <w:rPr>
          <w:spacing w:val="-117"/>
          <w:sz w:val="24"/>
          <w:szCs w:val="24"/>
        </w:rPr>
        <w:t xml:space="preserve"> </w:t>
      </w:r>
      <w:r>
        <w:rPr>
          <w:sz w:val="24"/>
          <w:szCs w:val="24"/>
        </w:rPr>
        <w:t>%；迟延履行的违约金</w:t>
      </w:r>
      <w:r>
        <w:rPr>
          <w:spacing w:val="-3"/>
          <w:sz w:val="24"/>
          <w:szCs w:val="24"/>
        </w:rPr>
        <w:t>计算数额达到前述最高限额之日起，甲方有权在要求乙方支付违约金的同时，书</w:t>
      </w:r>
      <w:r>
        <w:rPr>
          <w:spacing w:val="-1"/>
          <w:sz w:val="24"/>
          <w:szCs w:val="24"/>
        </w:rPr>
        <w:t>面通知乙方解除本合同；</w:t>
      </w:r>
    </w:p>
    <w:p w14:paraId="163FC25D">
      <w:pPr>
        <w:pStyle w:val="9"/>
        <w:spacing w:before="185" w:line="332" w:lineRule="auto"/>
        <w:ind w:left="23" w:right="61" w:firstLine="452"/>
        <w:jc w:val="both"/>
        <w:rPr>
          <w:sz w:val="24"/>
          <w:szCs w:val="24"/>
        </w:rPr>
      </w:pPr>
      <w:r>
        <w:rPr>
          <w:spacing w:val="-1"/>
          <w:sz w:val="24"/>
          <w:szCs w:val="24"/>
        </w:rPr>
        <w:t>1.6.2</w:t>
      </w:r>
      <w:r>
        <w:rPr>
          <w:spacing w:val="-36"/>
          <w:sz w:val="24"/>
          <w:szCs w:val="24"/>
        </w:rPr>
        <w:t xml:space="preserve"> </w:t>
      </w:r>
      <w:r>
        <w:rPr>
          <w:spacing w:val="-1"/>
          <w:sz w:val="24"/>
          <w:szCs w:val="24"/>
        </w:rPr>
        <w:t>除不可抗力外，如果甲方没有按照本合同约定的付</w:t>
      </w:r>
      <w:r>
        <w:rPr>
          <w:spacing w:val="-2"/>
          <w:sz w:val="24"/>
          <w:szCs w:val="24"/>
        </w:rPr>
        <w:t>款方式付款，那么</w:t>
      </w:r>
      <w:r>
        <w:rPr>
          <w:sz w:val="24"/>
          <w:szCs w:val="24"/>
        </w:rPr>
        <w:t>乙方可要求甲方支付违约金，违约金按每迟延付款一日的应付而未付款的</w:t>
      </w:r>
      <w:r>
        <w:rPr>
          <w:spacing w:val="-110"/>
          <w:sz w:val="24"/>
          <w:szCs w:val="24"/>
        </w:rPr>
        <w:t xml:space="preserve"> </w:t>
      </w:r>
      <w:r>
        <w:rPr>
          <w:sz w:val="24"/>
          <w:szCs w:val="24"/>
          <w:u w:val="single" w:color="auto"/>
        </w:rPr>
        <w:t xml:space="preserve">    </w:t>
      </w:r>
      <w:r>
        <w:rPr>
          <w:spacing w:val="-114"/>
          <w:sz w:val="24"/>
          <w:szCs w:val="24"/>
        </w:rPr>
        <w:t xml:space="preserve"> </w:t>
      </w:r>
      <w:r>
        <w:rPr>
          <w:sz w:val="24"/>
          <w:szCs w:val="24"/>
        </w:rPr>
        <w:t>%</w:t>
      </w:r>
      <w:r>
        <w:rPr>
          <w:spacing w:val="-3"/>
          <w:sz w:val="24"/>
          <w:szCs w:val="24"/>
        </w:rPr>
        <w:t>计算，最高限额为本合同总价的</w:t>
      </w:r>
      <w:r>
        <w:rPr>
          <w:spacing w:val="-3"/>
          <w:sz w:val="24"/>
          <w:szCs w:val="24"/>
          <w:u w:val="single" w:color="auto"/>
        </w:rPr>
        <w:t xml:space="preserve">     </w:t>
      </w:r>
      <w:r>
        <w:rPr>
          <w:spacing w:val="-3"/>
          <w:sz w:val="24"/>
          <w:szCs w:val="24"/>
        </w:rPr>
        <w:t>%；迟延付款的违约金计算数额达到前述最高限额之日起，乙方有权在要求甲方支付违约金的同时，书面通知甲方解除本合</w:t>
      </w:r>
      <w:r>
        <w:rPr>
          <w:spacing w:val="-5"/>
          <w:sz w:val="24"/>
          <w:szCs w:val="24"/>
        </w:rPr>
        <w:t>同；</w:t>
      </w:r>
    </w:p>
    <w:p w14:paraId="6EC9B814">
      <w:pPr>
        <w:pStyle w:val="9"/>
        <w:spacing w:before="184" w:line="336" w:lineRule="auto"/>
        <w:ind w:left="23" w:right="29" w:firstLine="452"/>
        <w:jc w:val="both"/>
        <w:rPr>
          <w:sz w:val="24"/>
          <w:szCs w:val="24"/>
        </w:rPr>
      </w:pPr>
      <w:r>
        <w:rPr>
          <w:spacing w:val="-1"/>
          <w:sz w:val="24"/>
          <w:szCs w:val="24"/>
        </w:rPr>
        <w:t>1.6.3</w:t>
      </w:r>
      <w:r>
        <w:rPr>
          <w:spacing w:val="-36"/>
          <w:sz w:val="24"/>
          <w:szCs w:val="24"/>
        </w:rPr>
        <w:t xml:space="preserve"> </w:t>
      </w:r>
      <w:r>
        <w:rPr>
          <w:spacing w:val="-1"/>
          <w:sz w:val="24"/>
          <w:szCs w:val="24"/>
        </w:rPr>
        <w:t>除不可抗力外，任何一方未能履行本合同约定的其</w:t>
      </w:r>
      <w:r>
        <w:rPr>
          <w:spacing w:val="-2"/>
          <w:sz w:val="24"/>
          <w:szCs w:val="24"/>
        </w:rPr>
        <w:t>他主要义务，</w:t>
      </w:r>
      <w:r>
        <w:rPr>
          <w:spacing w:val="-2"/>
          <w:sz w:val="24"/>
          <w:szCs w:val="24"/>
          <w:highlight w:val="none"/>
        </w:rPr>
        <w:t>经催</w:t>
      </w:r>
      <w:r>
        <w:rPr>
          <w:spacing w:val="-3"/>
          <w:sz w:val="24"/>
          <w:szCs w:val="24"/>
          <w:highlight w:val="none"/>
        </w:rPr>
        <w:t>告后</w:t>
      </w:r>
      <w:r>
        <w:rPr>
          <w:spacing w:val="-3"/>
          <w:sz w:val="24"/>
          <w:szCs w:val="24"/>
        </w:rPr>
        <w:t>在合理期限内仍未履行的，或者任何一方有其他违约行为致使不能实现合同目的的，或者任何一方有腐败行为（即：提供或给予或接受或索取任何财物或其</w:t>
      </w:r>
      <w:r>
        <w:rPr>
          <w:spacing w:val="4"/>
          <w:sz w:val="24"/>
          <w:szCs w:val="24"/>
        </w:rPr>
        <w:t>他好处或者采取其他不正当手段影响对方当事人在合同签订、履行过程中的行</w:t>
      </w:r>
      <w:r>
        <w:rPr>
          <w:spacing w:val="-3"/>
          <w:sz w:val="24"/>
          <w:szCs w:val="24"/>
        </w:rPr>
        <w:t>为）或者欺诈行为（即：以谎报事实或者隐瞒真相的方法来影响对方当事人在合</w:t>
      </w:r>
      <w:r>
        <w:rPr>
          <w:spacing w:val="-2"/>
          <w:sz w:val="24"/>
          <w:szCs w:val="24"/>
        </w:rPr>
        <w:t>同签订、履行过程中的行为）的，对方当事人可以书面通知违约方解除本合</w:t>
      </w:r>
      <w:r>
        <w:rPr>
          <w:spacing w:val="-3"/>
          <w:sz w:val="24"/>
          <w:szCs w:val="24"/>
        </w:rPr>
        <w:t>同；</w:t>
      </w:r>
    </w:p>
    <w:p w14:paraId="36702F3D">
      <w:pPr>
        <w:pStyle w:val="9"/>
        <w:spacing w:before="183" w:line="332" w:lineRule="auto"/>
        <w:ind w:left="22" w:right="61" w:firstLine="453"/>
        <w:jc w:val="both"/>
        <w:rPr>
          <w:sz w:val="24"/>
          <w:szCs w:val="24"/>
        </w:rPr>
      </w:pPr>
      <w:r>
        <w:rPr>
          <w:spacing w:val="-1"/>
          <w:sz w:val="24"/>
          <w:szCs w:val="24"/>
        </w:rPr>
        <w:t>1.6.4</w:t>
      </w:r>
      <w:r>
        <w:rPr>
          <w:spacing w:val="-44"/>
          <w:sz w:val="24"/>
          <w:szCs w:val="24"/>
        </w:rPr>
        <w:t xml:space="preserve"> </w:t>
      </w:r>
      <w:r>
        <w:rPr>
          <w:spacing w:val="-1"/>
          <w:sz w:val="24"/>
          <w:szCs w:val="24"/>
        </w:rPr>
        <w:t>任何一方按照前述约定要求违约方支付违约金的同时，仍有权要求违</w:t>
      </w:r>
      <w:r>
        <w:rPr>
          <w:spacing w:val="-3"/>
          <w:sz w:val="24"/>
          <w:szCs w:val="24"/>
        </w:rPr>
        <w:t>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w:t>
      </w:r>
      <w:r>
        <w:rPr>
          <w:spacing w:val="-1"/>
          <w:sz w:val="24"/>
          <w:szCs w:val="24"/>
        </w:rPr>
        <w:t>救济方式均不视为其放弃了其他法定或者约定的权利救济方式；</w:t>
      </w:r>
    </w:p>
    <w:p w14:paraId="38BED2F6">
      <w:pPr>
        <w:pStyle w:val="9"/>
        <w:spacing w:before="183" w:line="289" w:lineRule="auto"/>
        <w:ind w:left="22" w:firstLine="453"/>
        <w:jc w:val="both"/>
        <w:rPr>
          <w:sz w:val="24"/>
          <w:szCs w:val="24"/>
        </w:rPr>
      </w:pPr>
      <w:r>
        <w:rPr>
          <w:spacing w:val="-6"/>
          <w:sz w:val="24"/>
          <w:szCs w:val="24"/>
        </w:rPr>
        <w:t>1.6.5</w:t>
      </w:r>
      <w:r>
        <w:rPr>
          <w:spacing w:val="-36"/>
          <w:sz w:val="24"/>
          <w:szCs w:val="24"/>
        </w:rPr>
        <w:t xml:space="preserve"> </w:t>
      </w:r>
      <w:r>
        <w:rPr>
          <w:spacing w:val="-6"/>
          <w:sz w:val="24"/>
          <w:szCs w:val="24"/>
        </w:rPr>
        <w:t>除前述约定外，除不可抗力外，任何一方未能履行本合同约定的</w:t>
      </w:r>
      <w:r>
        <w:rPr>
          <w:spacing w:val="-7"/>
          <w:sz w:val="24"/>
          <w:szCs w:val="24"/>
        </w:rPr>
        <w:t>义务，</w:t>
      </w:r>
      <w:r>
        <w:rPr>
          <w:spacing w:val="-3"/>
          <w:sz w:val="24"/>
          <w:szCs w:val="24"/>
        </w:rPr>
        <w:t>对方当事人均有权要求继续履行、采取补救措施或者赔偿损失等，且对方当事人</w:t>
      </w:r>
      <w:r>
        <w:rPr>
          <w:rFonts w:hint="eastAsia"/>
          <w:spacing w:val="-3"/>
          <w:sz w:val="24"/>
          <w:szCs w:val="24"/>
          <w:lang w:eastAsia="zh-CN"/>
        </w:rPr>
        <w:t>、</w:t>
      </w:r>
      <w:r>
        <w:rPr>
          <w:spacing w:val="-2"/>
          <w:sz w:val="24"/>
          <w:szCs w:val="24"/>
        </w:rPr>
        <w:t>行使的任何权利救济方式均不视为其放弃了其他法定或者约定的权</w:t>
      </w:r>
      <w:r>
        <w:rPr>
          <w:spacing w:val="-3"/>
          <w:sz w:val="24"/>
          <w:szCs w:val="24"/>
        </w:rPr>
        <w:t>利救济方式；</w:t>
      </w:r>
    </w:p>
    <w:p w14:paraId="78F8D26F">
      <w:pPr>
        <w:pStyle w:val="9"/>
        <w:spacing w:before="184" w:line="313" w:lineRule="auto"/>
        <w:ind w:left="27" w:right="35" w:firstLine="448"/>
        <w:jc w:val="both"/>
        <w:rPr>
          <w:sz w:val="24"/>
          <w:szCs w:val="24"/>
        </w:rPr>
      </w:pPr>
      <w:r>
        <w:rPr>
          <w:spacing w:val="-1"/>
          <w:sz w:val="24"/>
          <w:szCs w:val="24"/>
        </w:rPr>
        <w:t>1.6.6</w:t>
      </w:r>
      <w:r>
        <w:rPr>
          <w:spacing w:val="-44"/>
          <w:sz w:val="24"/>
          <w:szCs w:val="24"/>
        </w:rPr>
        <w:t xml:space="preserve"> </w:t>
      </w:r>
      <w:r>
        <w:rPr>
          <w:spacing w:val="-1"/>
          <w:sz w:val="24"/>
          <w:szCs w:val="24"/>
        </w:rPr>
        <w:t>如果出现政府采购监督管理部门在处理投诉事项期间，书面通知甲方</w:t>
      </w:r>
      <w:r>
        <w:rPr>
          <w:spacing w:val="-3"/>
          <w:sz w:val="24"/>
          <w:szCs w:val="24"/>
        </w:rPr>
        <w:t>暂停采购活动的情形，或者询问或质疑事项可能影响成交结果的，导致甲</w:t>
      </w:r>
      <w:r>
        <w:rPr>
          <w:spacing w:val="-4"/>
          <w:sz w:val="24"/>
          <w:szCs w:val="24"/>
        </w:rPr>
        <w:t>方中止</w:t>
      </w:r>
      <w:r>
        <w:rPr>
          <w:spacing w:val="-1"/>
          <w:sz w:val="24"/>
          <w:szCs w:val="24"/>
        </w:rPr>
        <w:t>履行合同的情形，均不视为甲方违约。</w:t>
      </w:r>
    </w:p>
    <w:p w14:paraId="63D327D9">
      <w:pPr>
        <w:pStyle w:val="9"/>
        <w:spacing w:before="182" w:line="332" w:lineRule="auto"/>
        <w:ind w:left="22" w:firstLine="453"/>
        <w:jc w:val="both"/>
        <w:rPr>
          <w:sz w:val="24"/>
          <w:szCs w:val="24"/>
        </w:rPr>
      </w:pPr>
      <w:r>
        <w:rPr>
          <w:spacing w:val="-1"/>
          <w:sz w:val="24"/>
          <w:szCs w:val="24"/>
        </w:rPr>
        <w:t>1.6.7</w:t>
      </w:r>
      <w:r>
        <w:rPr>
          <w:spacing w:val="-32"/>
          <w:sz w:val="24"/>
          <w:szCs w:val="24"/>
        </w:rPr>
        <w:t xml:space="preserve"> </w:t>
      </w:r>
      <w:r>
        <w:rPr>
          <w:spacing w:val="-1"/>
          <w:sz w:val="24"/>
          <w:szCs w:val="24"/>
        </w:rPr>
        <w:t>因甲方未按合同约定支付价款、未按合同</w:t>
      </w:r>
      <w:r>
        <w:rPr>
          <w:spacing w:val="-2"/>
          <w:sz w:val="24"/>
          <w:szCs w:val="24"/>
        </w:rPr>
        <w:t>约定受领标的物、擅自解除合同、逾期退还履约保证金导致乙方遭受的直接损失，乙方可向甲方申请赔偿，赔偿金额由双方协商一致；针对因政策变化等原因不能签订合同或解除合同时，</w:t>
      </w:r>
      <w:r>
        <w:rPr>
          <w:spacing w:val="-3"/>
          <w:sz w:val="24"/>
          <w:szCs w:val="24"/>
        </w:rPr>
        <w:t>造成乙方合法利益受损的情形，可以给予乙方合理补偿，补偿金额不得超过乙方</w:t>
      </w:r>
      <w:r>
        <w:rPr>
          <w:spacing w:val="-2"/>
          <w:sz w:val="24"/>
          <w:szCs w:val="24"/>
        </w:rPr>
        <w:t>的直接损失。</w:t>
      </w:r>
    </w:p>
    <w:p w14:paraId="16A577BE">
      <w:pPr>
        <w:pStyle w:val="9"/>
        <w:spacing w:before="181" w:line="219" w:lineRule="auto"/>
        <w:ind w:left="478"/>
        <w:jc w:val="both"/>
        <w:outlineLvl w:val="2"/>
        <w:rPr>
          <w:sz w:val="24"/>
          <w:szCs w:val="24"/>
        </w:rPr>
      </w:pPr>
      <w:r>
        <w:rPr>
          <w:b/>
          <w:bCs/>
          <w:spacing w:val="-5"/>
          <w:sz w:val="24"/>
          <w:szCs w:val="24"/>
        </w:rPr>
        <w:t>1.7</w:t>
      </w:r>
      <w:r>
        <w:rPr>
          <w:spacing w:val="-5"/>
          <w:sz w:val="24"/>
          <w:szCs w:val="24"/>
        </w:rPr>
        <w:t xml:space="preserve"> </w:t>
      </w:r>
      <w:r>
        <w:rPr>
          <w:b/>
          <w:bCs/>
          <w:spacing w:val="-5"/>
          <w:sz w:val="24"/>
          <w:szCs w:val="24"/>
        </w:rPr>
        <w:t>合同争议的解决</w:t>
      </w:r>
    </w:p>
    <w:p w14:paraId="5AA77B03">
      <w:pPr>
        <w:pStyle w:val="9"/>
        <w:spacing w:before="183" w:line="360" w:lineRule="auto"/>
        <w:ind w:left="30" w:right="1" w:firstLine="427"/>
        <w:jc w:val="both"/>
        <w:rPr>
          <w:sz w:val="24"/>
          <w:szCs w:val="24"/>
        </w:rPr>
      </w:pPr>
      <w:r>
        <w:rPr>
          <w:spacing w:val="6"/>
          <w:sz w:val="24"/>
          <w:szCs w:val="24"/>
        </w:rPr>
        <w:t>本合同履行过程中发生的任何争议，双方当事</w:t>
      </w:r>
      <w:r>
        <w:rPr>
          <w:spacing w:val="5"/>
          <w:sz w:val="24"/>
          <w:szCs w:val="24"/>
        </w:rPr>
        <w:t>人均可通过和解或者调解解</w:t>
      </w:r>
      <w:r>
        <w:rPr>
          <w:spacing w:val="-3"/>
          <w:sz w:val="24"/>
          <w:szCs w:val="24"/>
        </w:rPr>
        <w:t>决；不愿和解、调解或者和解、调解不成的，可以选择下列第</w:t>
      </w:r>
      <w:r>
        <w:rPr>
          <w:spacing w:val="-109"/>
          <w:sz w:val="24"/>
          <w:szCs w:val="24"/>
        </w:rPr>
        <w:t xml:space="preserve"> </w:t>
      </w:r>
      <w:r>
        <w:rPr>
          <w:sz w:val="24"/>
          <w:szCs w:val="24"/>
          <w:u w:val="single" w:color="auto"/>
        </w:rPr>
        <w:t xml:space="preserve">    </w:t>
      </w:r>
      <w:r>
        <w:rPr>
          <w:spacing w:val="-110"/>
          <w:sz w:val="24"/>
          <w:szCs w:val="24"/>
        </w:rPr>
        <w:t xml:space="preserve"> </w:t>
      </w:r>
      <w:r>
        <w:rPr>
          <w:spacing w:val="-3"/>
          <w:sz w:val="24"/>
          <w:szCs w:val="24"/>
        </w:rPr>
        <w:t>种方式解决：</w:t>
      </w:r>
    </w:p>
    <w:p w14:paraId="43097121">
      <w:pPr>
        <w:pStyle w:val="9"/>
        <w:spacing w:before="1" w:line="289" w:lineRule="auto"/>
        <w:ind w:left="24" w:right="37" w:firstLine="451"/>
        <w:jc w:val="both"/>
        <w:rPr>
          <w:sz w:val="24"/>
          <w:szCs w:val="24"/>
        </w:rPr>
      </w:pPr>
      <w:r>
        <w:rPr>
          <w:spacing w:val="-2"/>
          <w:sz w:val="24"/>
          <w:szCs w:val="24"/>
        </w:rPr>
        <w:t>1.7.1</w:t>
      </w:r>
      <w:r>
        <w:rPr>
          <w:spacing w:val="-36"/>
          <w:sz w:val="24"/>
          <w:szCs w:val="24"/>
        </w:rPr>
        <w:t xml:space="preserve"> </w:t>
      </w:r>
      <w:r>
        <w:rPr>
          <w:spacing w:val="-2"/>
          <w:sz w:val="24"/>
          <w:szCs w:val="24"/>
        </w:rPr>
        <w:t>将争议提交</w:t>
      </w:r>
      <w:r>
        <w:rPr>
          <w:spacing w:val="-119"/>
          <w:sz w:val="24"/>
          <w:szCs w:val="24"/>
        </w:rPr>
        <w:t xml:space="preserve"> </w:t>
      </w:r>
      <w:r>
        <w:rPr>
          <w:sz w:val="24"/>
          <w:szCs w:val="24"/>
          <w:u w:val="single" w:color="auto"/>
        </w:rPr>
        <w:t xml:space="preserve">              </w:t>
      </w:r>
      <w:r>
        <w:rPr>
          <w:spacing w:val="-108"/>
          <w:sz w:val="24"/>
          <w:szCs w:val="24"/>
        </w:rPr>
        <w:t xml:space="preserve"> </w:t>
      </w:r>
      <w:r>
        <w:rPr>
          <w:spacing w:val="-2"/>
          <w:sz w:val="24"/>
          <w:szCs w:val="24"/>
        </w:rPr>
        <w:t>仲裁委员会依申请仲裁时其现行有效的仲裁规则裁决；</w:t>
      </w:r>
    </w:p>
    <w:p w14:paraId="014ED18C">
      <w:pPr>
        <w:pStyle w:val="9"/>
        <w:spacing w:before="183" w:line="220" w:lineRule="auto"/>
        <w:ind w:left="475"/>
        <w:jc w:val="both"/>
        <w:rPr>
          <w:sz w:val="24"/>
          <w:szCs w:val="24"/>
        </w:rPr>
      </w:pPr>
      <w:r>
        <w:rPr>
          <w:spacing w:val="-6"/>
          <w:sz w:val="24"/>
          <w:szCs w:val="24"/>
        </w:rPr>
        <w:t>1.7.2</w:t>
      </w:r>
      <w:r>
        <w:rPr>
          <w:spacing w:val="-22"/>
          <w:sz w:val="24"/>
          <w:szCs w:val="24"/>
        </w:rPr>
        <w:t xml:space="preserve"> </w:t>
      </w:r>
      <w:r>
        <w:rPr>
          <w:spacing w:val="-6"/>
          <w:sz w:val="24"/>
          <w:szCs w:val="24"/>
        </w:rPr>
        <w:t>向</w:t>
      </w:r>
      <w:r>
        <w:rPr>
          <w:spacing w:val="5"/>
          <w:sz w:val="24"/>
          <w:szCs w:val="24"/>
          <w:u w:val="single" w:color="auto"/>
        </w:rPr>
        <w:t xml:space="preserve">                       </w:t>
      </w:r>
      <w:r>
        <w:rPr>
          <w:spacing w:val="-104"/>
          <w:sz w:val="24"/>
          <w:szCs w:val="24"/>
        </w:rPr>
        <w:t xml:space="preserve"> </w:t>
      </w:r>
      <w:r>
        <w:rPr>
          <w:spacing w:val="-6"/>
          <w:sz w:val="24"/>
          <w:szCs w:val="24"/>
        </w:rPr>
        <w:t>人民法院起诉。</w:t>
      </w:r>
    </w:p>
    <w:p w14:paraId="42E9B763">
      <w:pPr>
        <w:pStyle w:val="9"/>
        <w:spacing w:before="182" w:line="220" w:lineRule="auto"/>
        <w:ind w:left="478"/>
        <w:jc w:val="both"/>
        <w:outlineLvl w:val="2"/>
        <w:rPr>
          <w:sz w:val="24"/>
          <w:szCs w:val="24"/>
        </w:rPr>
      </w:pPr>
      <w:r>
        <w:rPr>
          <w:b/>
          <w:bCs/>
          <w:spacing w:val="-8"/>
          <w:sz w:val="24"/>
          <w:szCs w:val="24"/>
        </w:rPr>
        <w:t>1.8</w:t>
      </w:r>
      <w:r>
        <w:rPr>
          <w:spacing w:val="15"/>
          <w:sz w:val="24"/>
          <w:szCs w:val="24"/>
        </w:rPr>
        <w:t xml:space="preserve"> </w:t>
      </w:r>
      <w:r>
        <w:rPr>
          <w:b/>
          <w:bCs/>
          <w:spacing w:val="-8"/>
          <w:sz w:val="24"/>
          <w:szCs w:val="24"/>
        </w:rPr>
        <w:t>合同生效</w:t>
      </w:r>
    </w:p>
    <w:p w14:paraId="3E4440A2">
      <w:pPr>
        <w:pStyle w:val="9"/>
        <w:spacing w:before="182" w:line="219" w:lineRule="auto"/>
        <w:ind w:left="458"/>
        <w:jc w:val="both"/>
        <w:rPr>
          <w:sz w:val="24"/>
          <w:szCs w:val="24"/>
        </w:rPr>
      </w:pPr>
      <w:r>
        <w:rPr>
          <w:spacing w:val="-1"/>
          <w:sz w:val="24"/>
          <w:szCs w:val="24"/>
        </w:rPr>
        <w:t>本合同自双方当事人盖章时生效。</w:t>
      </w:r>
    </w:p>
    <w:p w14:paraId="60B2FF7E">
      <w:pPr>
        <w:spacing w:line="284" w:lineRule="auto"/>
        <w:rPr>
          <w:rFonts w:ascii="Arial"/>
          <w:sz w:val="21"/>
        </w:rPr>
      </w:pPr>
    </w:p>
    <w:p w14:paraId="3C5C851F">
      <w:pPr>
        <w:spacing w:line="284" w:lineRule="auto"/>
        <w:rPr>
          <w:rFonts w:ascii="Arial"/>
          <w:sz w:val="21"/>
        </w:rPr>
      </w:pPr>
    </w:p>
    <w:p w14:paraId="7C7F9718">
      <w:pPr>
        <w:spacing w:line="285" w:lineRule="auto"/>
        <w:rPr>
          <w:rFonts w:ascii="Arial"/>
          <w:sz w:val="21"/>
        </w:rPr>
      </w:pPr>
    </w:p>
    <w:p w14:paraId="75EEB6F5">
      <w:pPr>
        <w:pStyle w:val="9"/>
        <w:spacing w:before="78" w:line="219" w:lineRule="auto"/>
        <w:ind w:left="54"/>
        <w:rPr>
          <w:sz w:val="24"/>
          <w:szCs w:val="24"/>
        </w:rPr>
      </w:pPr>
      <w:r>
        <w:rPr>
          <w:spacing w:val="2"/>
          <w:sz w:val="24"/>
          <w:szCs w:val="24"/>
        </w:rPr>
        <w:t>甲    方</w:t>
      </w:r>
      <w:r>
        <w:rPr>
          <w:spacing w:val="-25"/>
          <w:sz w:val="24"/>
          <w:szCs w:val="24"/>
        </w:rPr>
        <w:t>：</w:t>
      </w:r>
      <w:r>
        <w:rPr>
          <w:spacing w:val="40"/>
          <w:sz w:val="24"/>
          <w:szCs w:val="24"/>
          <w:u w:val="single" w:color="auto"/>
        </w:rPr>
        <w:t xml:space="preserve">   </w:t>
      </w:r>
      <w:r>
        <w:rPr>
          <w:spacing w:val="-25"/>
          <w:sz w:val="24"/>
          <w:szCs w:val="24"/>
          <w:u w:val="single" w:color="auto"/>
        </w:rPr>
        <w:t>（</w:t>
      </w:r>
      <w:r>
        <w:rPr>
          <w:spacing w:val="2"/>
          <w:sz w:val="24"/>
          <w:szCs w:val="24"/>
          <w:u w:val="single" w:color="auto"/>
        </w:rPr>
        <w:t xml:space="preserve">单位盖章）     </w:t>
      </w:r>
      <w:r>
        <w:rPr>
          <w:spacing w:val="2"/>
          <w:sz w:val="24"/>
          <w:szCs w:val="24"/>
        </w:rPr>
        <w:t xml:space="preserve">        </w:t>
      </w:r>
      <w:r>
        <w:rPr>
          <w:spacing w:val="1"/>
          <w:sz w:val="24"/>
          <w:szCs w:val="24"/>
        </w:rPr>
        <w:t xml:space="preserve"> 乙方</w:t>
      </w:r>
      <w:r>
        <w:rPr>
          <w:spacing w:val="-25"/>
          <w:sz w:val="24"/>
          <w:szCs w:val="24"/>
        </w:rPr>
        <w:t>：</w:t>
      </w:r>
      <w:r>
        <w:rPr>
          <w:spacing w:val="40"/>
          <w:sz w:val="24"/>
          <w:szCs w:val="24"/>
          <w:u w:val="single" w:color="auto"/>
        </w:rPr>
        <w:t xml:space="preserve">   </w:t>
      </w:r>
      <w:r>
        <w:rPr>
          <w:spacing w:val="-25"/>
          <w:sz w:val="24"/>
          <w:szCs w:val="24"/>
          <w:u w:val="single" w:color="auto"/>
        </w:rPr>
        <w:t>（</w:t>
      </w:r>
      <w:r>
        <w:rPr>
          <w:spacing w:val="1"/>
          <w:sz w:val="24"/>
          <w:szCs w:val="24"/>
          <w:u w:val="single" w:color="auto"/>
        </w:rPr>
        <w:t>单位盖章）</w:t>
      </w:r>
      <w:r>
        <w:rPr>
          <w:sz w:val="24"/>
          <w:szCs w:val="24"/>
          <w:u w:val="single" w:color="auto"/>
        </w:rPr>
        <w:t xml:space="preserve">      </w:t>
      </w:r>
    </w:p>
    <w:p w14:paraId="44AD8B05">
      <w:pPr>
        <w:pStyle w:val="9"/>
        <w:spacing w:before="276" w:line="219" w:lineRule="auto"/>
        <w:ind w:left="24"/>
        <w:rPr>
          <w:sz w:val="24"/>
          <w:szCs w:val="24"/>
        </w:rPr>
      </w:pPr>
      <w:r>
        <w:rPr>
          <w:sz w:val="24"/>
          <w:szCs w:val="24"/>
        </w:rPr>
        <w:t xml:space="preserve">法定代表人                        </w:t>
      </w:r>
      <w:r>
        <w:rPr>
          <w:spacing w:val="-1"/>
          <w:sz w:val="24"/>
          <w:szCs w:val="24"/>
        </w:rPr>
        <w:t xml:space="preserve">      </w:t>
      </w:r>
      <w:r>
        <w:rPr>
          <w:rFonts w:hint="eastAsia"/>
          <w:spacing w:val="-1"/>
          <w:sz w:val="24"/>
          <w:szCs w:val="24"/>
          <w:lang w:val="en-US" w:eastAsia="zh-CN"/>
        </w:rPr>
        <w:t xml:space="preserve"> </w:t>
      </w:r>
      <w:r>
        <w:rPr>
          <w:spacing w:val="-1"/>
          <w:sz w:val="24"/>
          <w:szCs w:val="24"/>
        </w:rPr>
        <w:t>法定代表人</w:t>
      </w:r>
    </w:p>
    <w:p w14:paraId="40CEF012">
      <w:pPr>
        <w:pStyle w:val="9"/>
        <w:spacing w:before="274" w:line="219" w:lineRule="auto"/>
        <w:ind w:left="26"/>
        <w:rPr>
          <w:sz w:val="24"/>
          <w:szCs w:val="24"/>
        </w:rPr>
      </w:pPr>
      <w:r>
        <w:rPr>
          <w:spacing w:val="-2"/>
          <w:sz w:val="24"/>
          <w:szCs w:val="24"/>
        </w:rPr>
        <w:t>或授权代表（签字</w:t>
      </w:r>
      <w:r>
        <w:rPr>
          <w:spacing w:val="-63"/>
          <w:w w:val="98"/>
          <w:sz w:val="24"/>
          <w:szCs w:val="24"/>
        </w:rPr>
        <w:t>）：</w:t>
      </w:r>
      <w:r>
        <w:rPr>
          <w:spacing w:val="1"/>
          <w:sz w:val="24"/>
          <w:szCs w:val="24"/>
        </w:rPr>
        <w:t xml:space="preserve">                     </w:t>
      </w:r>
      <w:r>
        <w:rPr>
          <w:rFonts w:hint="eastAsia"/>
          <w:spacing w:val="1"/>
          <w:sz w:val="24"/>
          <w:szCs w:val="24"/>
          <w:lang w:val="en-US" w:eastAsia="zh-CN"/>
        </w:rPr>
        <w:t xml:space="preserve"> </w:t>
      </w:r>
      <w:r>
        <w:rPr>
          <w:spacing w:val="-2"/>
          <w:sz w:val="24"/>
          <w:szCs w:val="24"/>
        </w:rPr>
        <w:t>或授权代表（签字</w:t>
      </w:r>
      <w:r>
        <w:rPr>
          <w:spacing w:val="-63"/>
          <w:w w:val="98"/>
          <w:sz w:val="24"/>
          <w:szCs w:val="24"/>
        </w:rPr>
        <w:t>）：</w:t>
      </w:r>
    </w:p>
    <w:p w14:paraId="1EC59B18">
      <w:pPr>
        <w:pStyle w:val="9"/>
        <w:spacing w:before="277" w:line="219" w:lineRule="auto"/>
        <w:ind w:left="34"/>
        <w:rPr>
          <w:sz w:val="24"/>
          <w:szCs w:val="24"/>
        </w:rPr>
      </w:pPr>
      <w:r>
        <w:rPr>
          <w:spacing w:val="-7"/>
          <w:sz w:val="24"/>
          <w:szCs w:val="24"/>
        </w:rPr>
        <w:t>时间：</w:t>
      </w:r>
      <w:r>
        <w:rPr>
          <w:spacing w:val="1"/>
          <w:sz w:val="24"/>
          <w:szCs w:val="24"/>
          <w:u w:val="single" w:color="auto"/>
        </w:rPr>
        <w:t xml:space="preserve">      </w:t>
      </w:r>
      <w:r>
        <w:rPr>
          <w:spacing w:val="-107"/>
          <w:sz w:val="24"/>
          <w:szCs w:val="24"/>
        </w:rPr>
        <w:t xml:space="preserve"> </w:t>
      </w:r>
      <w:r>
        <w:rPr>
          <w:spacing w:val="-7"/>
          <w:sz w:val="24"/>
          <w:szCs w:val="24"/>
        </w:rPr>
        <w:t>年</w:t>
      </w:r>
      <w:r>
        <w:rPr>
          <w:spacing w:val="-7"/>
          <w:sz w:val="24"/>
          <w:szCs w:val="24"/>
          <w:u w:val="single" w:color="auto"/>
        </w:rPr>
        <w:t xml:space="preserve">    </w:t>
      </w:r>
      <w:r>
        <w:rPr>
          <w:spacing w:val="-105"/>
          <w:sz w:val="24"/>
          <w:szCs w:val="24"/>
        </w:rPr>
        <w:t xml:space="preserve"> </w:t>
      </w:r>
      <w:r>
        <w:rPr>
          <w:spacing w:val="-7"/>
          <w:sz w:val="24"/>
          <w:szCs w:val="24"/>
        </w:rPr>
        <w:t>月</w:t>
      </w:r>
      <w:r>
        <w:rPr>
          <w:sz w:val="24"/>
          <w:szCs w:val="24"/>
          <w:u w:val="single" w:color="auto"/>
        </w:rPr>
        <w:t xml:space="preserve">    </w:t>
      </w:r>
      <w:r>
        <w:rPr>
          <w:spacing w:val="-70"/>
          <w:sz w:val="24"/>
          <w:szCs w:val="24"/>
        </w:rPr>
        <w:t xml:space="preserve"> </w:t>
      </w:r>
      <w:r>
        <w:rPr>
          <w:spacing w:val="-7"/>
          <w:sz w:val="24"/>
          <w:szCs w:val="24"/>
        </w:rPr>
        <w:t xml:space="preserve">日             </w:t>
      </w:r>
      <w:r>
        <w:rPr>
          <w:rFonts w:hint="eastAsia"/>
          <w:spacing w:val="-7"/>
          <w:sz w:val="24"/>
          <w:szCs w:val="24"/>
          <w:lang w:val="en-US" w:eastAsia="zh-CN"/>
        </w:rPr>
        <w:t xml:space="preserve"> </w:t>
      </w:r>
      <w:r>
        <w:rPr>
          <w:spacing w:val="-7"/>
          <w:sz w:val="24"/>
          <w:szCs w:val="24"/>
        </w:rPr>
        <w:t xml:space="preserve"> </w:t>
      </w:r>
      <w:r>
        <w:rPr>
          <w:rFonts w:hint="eastAsia"/>
          <w:spacing w:val="-7"/>
          <w:sz w:val="24"/>
          <w:szCs w:val="24"/>
          <w:lang w:val="en-US" w:eastAsia="zh-CN"/>
        </w:rPr>
        <w:t xml:space="preserve"> </w:t>
      </w:r>
      <w:r>
        <w:rPr>
          <w:spacing w:val="-7"/>
          <w:sz w:val="24"/>
          <w:szCs w:val="24"/>
        </w:rPr>
        <w:t xml:space="preserve"> 时间：</w:t>
      </w:r>
      <w:r>
        <w:rPr>
          <w:sz w:val="24"/>
          <w:szCs w:val="24"/>
          <w:u w:val="single" w:color="auto"/>
        </w:rPr>
        <w:t xml:space="preserve">      </w:t>
      </w:r>
      <w:r>
        <w:rPr>
          <w:spacing w:val="-109"/>
          <w:sz w:val="24"/>
          <w:szCs w:val="24"/>
        </w:rPr>
        <w:t xml:space="preserve"> </w:t>
      </w:r>
      <w:r>
        <w:rPr>
          <w:spacing w:val="-7"/>
          <w:sz w:val="24"/>
          <w:szCs w:val="24"/>
        </w:rPr>
        <w:t>年</w:t>
      </w:r>
      <w:r>
        <w:rPr>
          <w:spacing w:val="-7"/>
          <w:sz w:val="24"/>
          <w:szCs w:val="24"/>
          <w:u w:val="single" w:color="auto"/>
        </w:rPr>
        <w:t xml:space="preserve">    </w:t>
      </w:r>
      <w:r>
        <w:rPr>
          <w:spacing w:val="-105"/>
          <w:sz w:val="24"/>
          <w:szCs w:val="24"/>
        </w:rPr>
        <w:t xml:space="preserve"> </w:t>
      </w:r>
      <w:r>
        <w:rPr>
          <w:spacing w:val="-7"/>
          <w:sz w:val="24"/>
          <w:szCs w:val="24"/>
        </w:rPr>
        <w:t>月</w:t>
      </w:r>
      <w:r>
        <w:rPr>
          <w:sz w:val="24"/>
          <w:szCs w:val="24"/>
          <w:u w:val="single" w:color="auto"/>
        </w:rPr>
        <w:t xml:space="preserve">    </w:t>
      </w:r>
      <w:r>
        <w:rPr>
          <w:spacing w:val="-70"/>
          <w:sz w:val="24"/>
          <w:szCs w:val="24"/>
        </w:rPr>
        <w:t xml:space="preserve"> </w:t>
      </w:r>
      <w:r>
        <w:rPr>
          <w:spacing w:val="-7"/>
          <w:sz w:val="24"/>
          <w:szCs w:val="24"/>
        </w:rPr>
        <w:t>日</w:t>
      </w:r>
    </w:p>
    <w:p w14:paraId="21058B30">
      <w:pPr>
        <w:pStyle w:val="9"/>
        <w:spacing w:before="275" w:line="219" w:lineRule="auto"/>
        <w:ind w:left="4846"/>
        <w:outlineLvl w:val="9"/>
        <w:rPr>
          <w:sz w:val="24"/>
          <w:szCs w:val="24"/>
        </w:rPr>
      </w:pPr>
      <w:bookmarkStart w:id="13" w:name="_Toc23829"/>
      <w:r>
        <w:rPr>
          <w:spacing w:val="-6"/>
          <w:sz w:val="24"/>
          <w:szCs w:val="24"/>
        </w:rPr>
        <w:t>乙方账户信息</w:t>
      </w:r>
      <w:bookmarkEnd w:id="13"/>
    </w:p>
    <w:p w14:paraId="79FD036C">
      <w:pPr>
        <w:pStyle w:val="9"/>
        <w:spacing w:before="274" w:line="220" w:lineRule="auto"/>
        <w:ind w:left="4824"/>
        <w:rPr>
          <w:sz w:val="24"/>
          <w:szCs w:val="24"/>
        </w:rPr>
      </w:pPr>
      <w:r>
        <w:rPr>
          <w:spacing w:val="-4"/>
          <w:sz w:val="24"/>
          <w:szCs w:val="24"/>
        </w:rPr>
        <w:t>户名：</w:t>
      </w:r>
      <w:r>
        <w:rPr>
          <w:sz w:val="24"/>
          <w:szCs w:val="24"/>
          <w:u w:val="single" w:color="auto"/>
        </w:rPr>
        <w:t xml:space="preserve">                    </w:t>
      </w:r>
    </w:p>
    <w:p w14:paraId="6A1A53BA">
      <w:pPr>
        <w:pStyle w:val="9"/>
        <w:spacing w:before="275" w:line="221" w:lineRule="auto"/>
        <w:ind w:left="4827"/>
        <w:rPr>
          <w:sz w:val="24"/>
          <w:szCs w:val="24"/>
        </w:rPr>
      </w:pPr>
      <w:r>
        <w:rPr>
          <w:spacing w:val="-5"/>
          <w:sz w:val="24"/>
          <w:szCs w:val="24"/>
        </w:rPr>
        <w:t>账号：</w:t>
      </w:r>
      <w:r>
        <w:rPr>
          <w:sz w:val="24"/>
          <w:szCs w:val="24"/>
          <w:u w:val="single" w:color="auto"/>
        </w:rPr>
        <w:t xml:space="preserve">                    </w:t>
      </w:r>
    </w:p>
    <w:p w14:paraId="08F17B78">
      <w:pPr>
        <w:pStyle w:val="9"/>
        <w:spacing w:before="272" w:line="220" w:lineRule="auto"/>
        <w:ind w:left="4824"/>
        <w:rPr>
          <w:sz w:val="24"/>
          <w:szCs w:val="24"/>
        </w:rPr>
      </w:pPr>
      <w:r>
        <w:rPr>
          <w:spacing w:val="-3"/>
          <w:sz w:val="24"/>
          <w:szCs w:val="24"/>
        </w:rPr>
        <w:t>开户银行：</w:t>
      </w:r>
      <w:r>
        <w:rPr>
          <w:sz w:val="24"/>
          <w:szCs w:val="24"/>
          <w:u w:val="single" w:color="auto"/>
        </w:rPr>
        <w:t xml:space="preserve">                </w:t>
      </w:r>
    </w:p>
    <w:p w14:paraId="0CF629E0">
      <w:pPr>
        <w:spacing w:line="220" w:lineRule="auto"/>
        <w:rPr>
          <w:sz w:val="24"/>
          <w:szCs w:val="24"/>
        </w:rPr>
      </w:pPr>
    </w:p>
    <w:p w14:paraId="031C9B6D">
      <w:pPr>
        <w:pStyle w:val="27"/>
        <w:rPr>
          <w:sz w:val="21"/>
          <w:szCs w:val="21"/>
          <w:highlight w:val="none"/>
        </w:rPr>
        <w:sectPr>
          <w:headerReference r:id="rId10" w:type="default"/>
          <w:footerReference r:id="rId11" w:type="default"/>
          <w:pgSz w:w="11906" w:h="16839"/>
          <w:pgMar w:top="1166" w:right="1764" w:bottom="1362" w:left="1785" w:header="829" w:footer="1200" w:gutter="0"/>
          <w:pgNumType w:fmt="decimal"/>
          <w:cols w:space="720" w:num="1"/>
        </w:sectPr>
      </w:pPr>
    </w:p>
    <w:p w14:paraId="3B8323C6">
      <w:pPr>
        <w:pStyle w:val="9"/>
        <w:spacing w:before="78" w:line="219" w:lineRule="auto"/>
        <w:outlineLvl w:val="1"/>
        <w:rPr>
          <w:sz w:val="24"/>
          <w:szCs w:val="24"/>
        </w:rPr>
      </w:pPr>
      <w:bookmarkStart w:id="14" w:name="_Toc22926"/>
      <w:r>
        <w:rPr>
          <w:b/>
          <w:bCs/>
          <w:spacing w:val="-3"/>
          <w:sz w:val="24"/>
          <w:szCs w:val="24"/>
        </w:rPr>
        <w:t>第二部分</w:t>
      </w:r>
      <w:r>
        <w:rPr>
          <w:spacing w:val="-3"/>
          <w:sz w:val="24"/>
          <w:szCs w:val="24"/>
        </w:rPr>
        <w:t xml:space="preserve"> </w:t>
      </w:r>
      <w:r>
        <w:rPr>
          <w:b/>
          <w:bCs/>
          <w:spacing w:val="-3"/>
          <w:sz w:val="24"/>
          <w:szCs w:val="24"/>
        </w:rPr>
        <w:t>合同一般条款</w:t>
      </w:r>
      <w:bookmarkEnd w:id="14"/>
    </w:p>
    <w:p w14:paraId="5336C678">
      <w:pPr>
        <w:pStyle w:val="9"/>
        <w:spacing w:before="182" w:line="220" w:lineRule="auto"/>
        <w:ind w:left="463"/>
        <w:jc w:val="both"/>
        <w:outlineLvl w:val="2"/>
        <w:rPr>
          <w:sz w:val="24"/>
          <w:szCs w:val="24"/>
        </w:rPr>
      </w:pPr>
      <w:r>
        <w:rPr>
          <w:b/>
          <w:bCs/>
          <w:spacing w:val="-8"/>
          <w:sz w:val="24"/>
          <w:szCs w:val="24"/>
        </w:rPr>
        <w:t>2.1</w:t>
      </w:r>
      <w:r>
        <w:rPr>
          <w:spacing w:val="16"/>
          <w:sz w:val="24"/>
          <w:szCs w:val="24"/>
        </w:rPr>
        <w:t xml:space="preserve"> </w:t>
      </w:r>
      <w:r>
        <w:rPr>
          <w:b/>
          <w:bCs/>
          <w:spacing w:val="-8"/>
          <w:sz w:val="24"/>
          <w:szCs w:val="24"/>
        </w:rPr>
        <w:t>定义</w:t>
      </w:r>
    </w:p>
    <w:p w14:paraId="62CB5138">
      <w:pPr>
        <w:pStyle w:val="9"/>
        <w:spacing w:before="181" w:line="219" w:lineRule="auto"/>
        <w:ind w:left="458"/>
        <w:jc w:val="both"/>
        <w:rPr>
          <w:sz w:val="24"/>
          <w:szCs w:val="24"/>
        </w:rPr>
      </w:pPr>
      <w:r>
        <w:rPr>
          <w:spacing w:val="-1"/>
          <w:sz w:val="24"/>
          <w:szCs w:val="24"/>
        </w:rPr>
        <w:t>本合同中的下列词语应按以下内容进行解释：</w:t>
      </w:r>
    </w:p>
    <w:p w14:paraId="2864EC56">
      <w:pPr>
        <w:pStyle w:val="9"/>
        <w:spacing w:before="184" w:line="289" w:lineRule="auto"/>
        <w:ind w:left="25" w:right="27" w:firstLine="435"/>
        <w:jc w:val="both"/>
        <w:rPr>
          <w:sz w:val="24"/>
          <w:szCs w:val="24"/>
        </w:rPr>
      </w:pPr>
      <w:r>
        <w:rPr>
          <w:spacing w:val="1"/>
          <w:sz w:val="24"/>
          <w:szCs w:val="24"/>
        </w:rPr>
        <w:t>2.1.1“合同”系指采购人和成交供应商签订的载</w:t>
      </w:r>
      <w:r>
        <w:rPr>
          <w:sz w:val="24"/>
          <w:szCs w:val="24"/>
        </w:rPr>
        <w:t>明双方当事人所达成的协</w:t>
      </w:r>
      <w:r>
        <w:rPr>
          <w:spacing w:val="-1"/>
          <w:sz w:val="24"/>
          <w:szCs w:val="24"/>
        </w:rPr>
        <w:t>议，并包括所有的附件、附录和构成合同的其他文件。</w:t>
      </w:r>
    </w:p>
    <w:p w14:paraId="3F7CB701">
      <w:pPr>
        <w:pStyle w:val="9"/>
        <w:spacing w:before="184" w:line="289" w:lineRule="auto"/>
        <w:ind w:left="22" w:right="86" w:firstLine="438"/>
        <w:jc w:val="both"/>
        <w:rPr>
          <w:sz w:val="24"/>
          <w:szCs w:val="24"/>
        </w:rPr>
      </w:pPr>
      <w:r>
        <w:rPr>
          <w:spacing w:val="-1"/>
          <w:sz w:val="24"/>
          <w:szCs w:val="24"/>
        </w:rPr>
        <w:t>2.1.2“合同价”系指根据合同约定，成交供应商在完全履行合同义务后，采购人应支付给成交供应商的价格。</w:t>
      </w:r>
    </w:p>
    <w:p w14:paraId="0E677596">
      <w:pPr>
        <w:pStyle w:val="9"/>
        <w:spacing w:before="185" w:line="313" w:lineRule="auto"/>
        <w:ind w:left="22" w:right="27" w:firstLine="438"/>
        <w:jc w:val="both"/>
        <w:rPr>
          <w:sz w:val="24"/>
          <w:szCs w:val="24"/>
          <w:highlight w:val="none"/>
        </w:rPr>
      </w:pPr>
      <w:r>
        <w:rPr>
          <w:spacing w:val="1"/>
          <w:sz w:val="24"/>
          <w:szCs w:val="24"/>
          <w:highlight w:val="none"/>
        </w:rPr>
        <w:t>2.1.3“服务”系指成交供应商根据合同约定应向</w:t>
      </w:r>
      <w:r>
        <w:rPr>
          <w:sz w:val="24"/>
          <w:szCs w:val="24"/>
          <w:highlight w:val="none"/>
        </w:rPr>
        <w:t>采购人履行的除货物和工</w:t>
      </w:r>
      <w:r>
        <w:rPr>
          <w:spacing w:val="-3"/>
          <w:sz w:val="24"/>
          <w:szCs w:val="24"/>
          <w:highlight w:val="none"/>
        </w:rPr>
        <w:t>程以外的其他政府采购对象，包括采购人自身需要的服务和向社会公众提供的公共服务。</w:t>
      </w:r>
    </w:p>
    <w:p w14:paraId="5C88555E">
      <w:pPr>
        <w:pStyle w:val="9"/>
        <w:spacing w:before="184" w:line="289" w:lineRule="auto"/>
        <w:ind w:left="22" w:right="27" w:firstLine="438"/>
        <w:jc w:val="both"/>
        <w:rPr>
          <w:sz w:val="24"/>
          <w:szCs w:val="24"/>
        </w:rPr>
      </w:pPr>
      <w:r>
        <w:rPr>
          <w:spacing w:val="-1"/>
          <w:sz w:val="24"/>
          <w:szCs w:val="24"/>
        </w:rPr>
        <w:t>2.1.4“甲方”系指与成交供应商签署合同的采购人</w:t>
      </w:r>
      <w:r>
        <w:rPr>
          <w:spacing w:val="-1"/>
          <w:sz w:val="24"/>
          <w:szCs w:val="24"/>
          <w:highlight w:val="none"/>
        </w:rPr>
        <w:t>；采购人委托集中采购</w:t>
      </w:r>
      <w:r>
        <w:rPr>
          <w:sz w:val="24"/>
          <w:szCs w:val="24"/>
          <w:highlight w:val="none"/>
        </w:rPr>
        <w:t>机构代表其与乙方签订合同的，采购人的授权</w:t>
      </w:r>
      <w:r>
        <w:rPr>
          <w:spacing w:val="-1"/>
          <w:sz w:val="24"/>
          <w:szCs w:val="24"/>
          <w:highlight w:val="none"/>
        </w:rPr>
        <w:t>委托书作为合同附件</w:t>
      </w:r>
      <w:r>
        <w:rPr>
          <w:spacing w:val="-1"/>
          <w:sz w:val="24"/>
          <w:szCs w:val="24"/>
        </w:rPr>
        <w:t>。</w:t>
      </w:r>
    </w:p>
    <w:p w14:paraId="11BFB2ED">
      <w:pPr>
        <w:pStyle w:val="9"/>
        <w:spacing w:before="183" w:line="325" w:lineRule="auto"/>
        <w:ind w:left="23" w:right="27" w:firstLine="437"/>
        <w:jc w:val="both"/>
        <w:rPr>
          <w:sz w:val="24"/>
          <w:szCs w:val="24"/>
        </w:rPr>
      </w:pPr>
      <w:r>
        <w:rPr>
          <w:sz w:val="24"/>
          <w:szCs w:val="24"/>
        </w:rPr>
        <w:t>2.1.5“乙方”系指根据合同约定提供</w:t>
      </w:r>
      <w:r>
        <w:rPr>
          <w:rFonts w:hint="eastAsia"/>
          <w:sz w:val="24"/>
          <w:szCs w:val="24"/>
          <w:lang w:val="en-US" w:eastAsia="zh-CN"/>
        </w:rPr>
        <w:t>货物</w:t>
      </w:r>
      <w:r>
        <w:rPr>
          <w:sz w:val="24"/>
          <w:szCs w:val="24"/>
        </w:rPr>
        <w:t>的成</w:t>
      </w:r>
      <w:r>
        <w:rPr>
          <w:spacing w:val="-1"/>
          <w:sz w:val="24"/>
          <w:szCs w:val="24"/>
        </w:rPr>
        <w:t>交供应商；</w:t>
      </w:r>
    </w:p>
    <w:p w14:paraId="286DB423">
      <w:pPr>
        <w:pStyle w:val="9"/>
        <w:spacing w:before="182" w:line="219" w:lineRule="auto"/>
        <w:ind w:left="460"/>
        <w:jc w:val="both"/>
        <w:rPr>
          <w:sz w:val="24"/>
          <w:szCs w:val="24"/>
        </w:rPr>
      </w:pPr>
      <w:r>
        <w:rPr>
          <w:spacing w:val="-2"/>
          <w:sz w:val="24"/>
          <w:szCs w:val="24"/>
        </w:rPr>
        <w:t>2.1.6“现场”系指合同约定提供</w:t>
      </w:r>
      <w:r>
        <w:rPr>
          <w:rFonts w:hint="eastAsia"/>
          <w:spacing w:val="-2"/>
          <w:sz w:val="24"/>
          <w:szCs w:val="24"/>
          <w:lang w:val="en-US" w:eastAsia="zh-CN"/>
        </w:rPr>
        <w:t>货物</w:t>
      </w:r>
      <w:r>
        <w:rPr>
          <w:spacing w:val="-2"/>
          <w:sz w:val="24"/>
          <w:szCs w:val="24"/>
        </w:rPr>
        <w:t>的地点。</w:t>
      </w:r>
    </w:p>
    <w:p w14:paraId="6F1CC4A6">
      <w:pPr>
        <w:pStyle w:val="9"/>
        <w:spacing w:before="184" w:line="219" w:lineRule="auto"/>
        <w:ind w:left="463"/>
        <w:jc w:val="both"/>
        <w:outlineLvl w:val="2"/>
        <w:rPr>
          <w:sz w:val="24"/>
          <w:szCs w:val="24"/>
        </w:rPr>
      </w:pPr>
      <w:r>
        <w:rPr>
          <w:b/>
          <w:bCs/>
          <w:spacing w:val="-4"/>
          <w:sz w:val="24"/>
          <w:szCs w:val="24"/>
        </w:rPr>
        <w:t>2.2</w:t>
      </w:r>
      <w:r>
        <w:rPr>
          <w:spacing w:val="-4"/>
          <w:sz w:val="24"/>
          <w:szCs w:val="24"/>
        </w:rPr>
        <w:t xml:space="preserve"> </w:t>
      </w:r>
      <w:r>
        <w:rPr>
          <w:b/>
          <w:bCs/>
          <w:spacing w:val="-4"/>
          <w:sz w:val="24"/>
          <w:szCs w:val="24"/>
        </w:rPr>
        <w:t>技术规范</w:t>
      </w:r>
    </w:p>
    <w:p w14:paraId="4EB601A0">
      <w:pPr>
        <w:pStyle w:val="9"/>
        <w:spacing w:before="183" w:line="360" w:lineRule="auto"/>
        <w:ind w:left="25" w:right="27" w:firstLine="438"/>
        <w:jc w:val="both"/>
        <w:rPr>
          <w:sz w:val="24"/>
          <w:szCs w:val="24"/>
          <w:highlight w:val="none"/>
        </w:rPr>
      </w:pPr>
      <w:r>
        <w:rPr>
          <w:spacing w:val="2"/>
          <w:sz w:val="24"/>
          <w:szCs w:val="24"/>
          <w:highlight w:val="none"/>
        </w:rPr>
        <w:t>货物所应遵守的技术规范应与采购文件规定的技术</w:t>
      </w:r>
      <w:r>
        <w:rPr>
          <w:spacing w:val="1"/>
          <w:sz w:val="24"/>
          <w:szCs w:val="24"/>
          <w:highlight w:val="none"/>
        </w:rPr>
        <w:t>规范和技术规范附件(如</w:t>
      </w:r>
      <w:r>
        <w:rPr>
          <w:sz w:val="24"/>
          <w:szCs w:val="24"/>
          <w:highlight w:val="none"/>
        </w:rPr>
        <w:t>果有的话)及其技术规范偏差表(如果被甲方接受的话)相一致；如果采购文件中</w:t>
      </w:r>
      <w:r>
        <w:rPr>
          <w:spacing w:val="-3"/>
          <w:sz w:val="24"/>
          <w:szCs w:val="24"/>
          <w:highlight w:val="none"/>
        </w:rPr>
        <w:t>没有技术规范的相应说明，那么应以国家有关部门最新颁布的相应标准和规范为</w:t>
      </w:r>
      <w:r>
        <w:rPr>
          <w:spacing w:val="-6"/>
          <w:sz w:val="24"/>
          <w:szCs w:val="24"/>
          <w:highlight w:val="none"/>
        </w:rPr>
        <w:t>准。</w:t>
      </w:r>
    </w:p>
    <w:p w14:paraId="30463856">
      <w:pPr>
        <w:pStyle w:val="9"/>
        <w:spacing w:line="219" w:lineRule="auto"/>
        <w:ind w:left="463"/>
        <w:jc w:val="both"/>
        <w:outlineLvl w:val="2"/>
        <w:rPr>
          <w:sz w:val="24"/>
          <w:szCs w:val="24"/>
        </w:rPr>
      </w:pPr>
      <w:r>
        <w:rPr>
          <w:b/>
          <w:bCs/>
          <w:spacing w:val="-6"/>
          <w:sz w:val="24"/>
          <w:szCs w:val="24"/>
        </w:rPr>
        <w:t>2.3</w:t>
      </w:r>
      <w:r>
        <w:rPr>
          <w:spacing w:val="15"/>
          <w:sz w:val="24"/>
          <w:szCs w:val="24"/>
        </w:rPr>
        <w:t xml:space="preserve"> </w:t>
      </w:r>
      <w:r>
        <w:rPr>
          <w:b/>
          <w:bCs/>
          <w:spacing w:val="-6"/>
          <w:sz w:val="24"/>
          <w:szCs w:val="24"/>
        </w:rPr>
        <w:t>知识产权</w:t>
      </w:r>
    </w:p>
    <w:p w14:paraId="2B54A1BB">
      <w:pPr>
        <w:pStyle w:val="9"/>
        <w:spacing w:before="184" w:line="313" w:lineRule="auto"/>
        <w:ind w:left="22" w:right="27" w:firstLine="438"/>
        <w:jc w:val="both"/>
        <w:rPr>
          <w:sz w:val="24"/>
          <w:szCs w:val="24"/>
        </w:rPr>
      </w:pPr>
      <w:r>
        <w:rPr>
          <w:spacing w:val="-1"/>
          <w:sz w:val="24"/>
          <w:szCs w:val="24"/>
        </w:rPr>
        <w:t>2.3.1</w:t>
      </w:r>
      <w:r>
        <w:rPr>
          <w:spacing w:val="-27"/>
          <w:sz w:val="24"/>
          <w:szCs w:val="24"/>
        </w:rPr>
        <w:t xml:space="preserve"> </w:t>
      </w:r>
      <w:r>
        <w:rPr>
          <w:spacing w:val="-1"/>
          <w:sz w:val="24"/>
          <w:szCs w:val="24"/>
        </w:rPr>
        <w:t>乙方应保证其提供的服务不受任何第三方提出的侵犯其著作权、</w:t>
      </w:r>
      <w:r>
        <w:rPr>
          <w:spacing w:val="-2"/>
          <w:sz w:val="24"/>
          <w:szCs w:val="24"/>
        </w:rPr>
        <w:t>商标</w:t>
      </w:r>
      <w:r>
        <w:rPr>
          <w:spacing w:val="-3"/>
          <w:sz w:val="24"/>
          <w:szCs w:val="24"/>
        </w:rPr>
        <w:t>权、专利权等知识产权方面的起诉；如果任何第三方提出侵权指控，那么乙方须</w:t>
      </w:r>
      <w:r>
        <w:rPr>
          <w:spacing w:val="-1"/>
          <w:sz w:val="24"/>
          <w:szCs w:val="24"/>
        </w:rPr>
        <w:t>与该第三方交涉并承担由此发生的一切责任、费用和赔偿；</w:t>
      </w:r>
    </w:p>
    <w:p w14:paraId="65954038">
      <w:pPr>
        <w:pStyle w:val="9"/>
        <w:spacing w:before="184" w:line="279" w:lineRule="auto"/>
        <w:ind w:left="49" w:firstLine="410"/>
        <w:jc w:val="both"/>
        <w:rPr>
          <w:sz w:val="24"/>
          <w:szCs w:val="24"/>
        </w:rPr>
      </w:pPr>
      <w:r>
        <w:rPr>
          <w:spacing w:val="-2"/>
          <w:sz w:val="24"/>
          <w:szCs w:val="24"/>
        </w:rPr>
        <w:t>2.3.2</w:t>
      </w:r>
      <w:r>
        <w:rPr>
          <w:spacing w:val="-28"/>
          <w:sz w:val="24"/>
          <w:szCs w:val="24"/>
        </w:rPr>
        <w:t xml:space="preserve"> </w:t>
      </w:r>
      <w:r>
        <w:rPr>
          <w:spacing w:val="-2"/>
          <w:sz w:val="24"/>
          <w:szCs w:val="24"/>
        </w:rPr>
        <w:t>具有知识产权的计算机软件等货物的知识产权归属，详见</w:t>
      </w:r>
      <w:r>
        <w:rPr>
          <w:b/>
          <w:bCs/>
          <w:i/>
          <w:iCs/>
          <w:spacing w:val="-2"/>
          <w:sz w:val="25"/>
          <w:szCs w:val="25"/>
          <w:u w:val="single" w:color="auto"/>
        </w:rPr>
        <w:t>合同专用条</w:t>
      </w:r>
      <w:r>
        <w:rPr>
          <w:b/>
          <w:bCs/>
          <w:i/>
          <w:iCs/>
          <w:spacing w:val="-10"/>
          <w:sz w:val="25"/>
          <w:szCs w:val="25"/>
          <w:u w:val="single" w:color="auto"/>
        </w:rPr>
        <w:t>款</w:t>
      </w:r>
      <w:r>
        <w:rPr>
          <w:spacing w:val="-10"/>
          <w:sz w:val="24"/>
          <w:szCs w:val="24"/>
        </w:rPr>
        <w:t>。</w:t>
      </w:r>
    </w:p>
    <w:p w14:paraId="27334C0E">
      <w:pPr>
        <w:pStyle w:val="9"/>
        <w:spacing w:before="179" w:line="219" w:lineRule="auto"/>
        <w:ind w:left="463"/>
        <w:jc w:val="both"/>
        <w:outlineLvl w:val="2"/>
        <w:rPr>
          <w:b/>
          <w:bCs/>
          <w:spacing w:val="-3"/>
          <w:sz w:val="24"/>
          <w:szCs w:val="24"/>
        </w:rPr>
      </w:pPr>
      <w:r>
        <w:rPr>
          <w:b/>
          <w:bCs/>
          <w:spacing w:val="-3"/>
          <w:sz w:val="24"/>
          <w:szCs w:val="24"/>
        </w:rPr>
        <w:t>2.4</w:t>
      </w:r>
      <w:r>
        <w:rPr>
          <w:spacing w:val="-3"/>
          <w:sz w:val="24"/>
          <w:szCs w:val="24"/>
        </w:rPr>
        <w:t xml:space="preserve"> </w:t>
      </w:r>
      <w:r>
        <w:rPr>
          <w:b/>
          <w:bCs/>
          <w:spacing w:val="-3"/>
          <w:sz w:val="24"/>
          <w:szCs w:val="24"/>
        </w:rPr>
        <w:t>履约检查和问题反馈</w:t>
      </w:r>
    </w:p>
    <w:p w14:paraId="690BB4C9">
      <w:pPr>
        <w:pStyle w:val="9"/>
        <w:spacing w:before="78" w:line="313" w:lineRule="auto"/>
        <w:ind w:left="27" w:right="61" w:firstLine="433"/>
        <w:jc w:val="both"/>
        <w:rPr>
          <w:spacing w:val="-1"/>
          <w:sz w:val="24"/>
          <w:szCs w:val="24"/>
        </w:rPr>
      </w:pPr>
      <w:r>
        <w:rPr>
          <w:spacing w:val="-2"/>
          <w:sz w:val="24"/>
          <w:szCs w:val="24"/>
        </w:rPr>
        <w:t>2.4.1 甲方有权在其认为必要时，对乙方是否能够按照合同约定提供</w:t>
      </w:r>
      <w:r>
        <w:rPr>
          <w:rFonts w:hint="eastAsia"/>
          <w:spacing w:val="-2"/>
          <w:sz w:val="24"/>
          <w:szCs w:val="24"/>
          <w:lang w:val="en-US" w:eastAsia="zh-CN"/>
        </w:rPr>
        <w:t>货物</w:t>
      </w:r>
      <w:r>
        <w:rPr>
          <w:spacing w:val="-2"/>
          <w:sz w:val="24"/>
          <w:szCs w:val="24"/>
        </w:rPr>
        <w:t>进</w:t>
      </w:r>
      <w:r>
        <w:rPr>
          <w:spacing w:val="-3"/>
          <w:sz w:val="24"/>
          <w:szCs w:val="24"/>
        </w:rPr>
        <w:t>行履约检查，以确保乙方所提供的</w:t>
      </w:r>
      <w:r>
        <w:rPr>
          <w:rFonts w:hint="eastAsia"/>
          <w:spacing w:val="-3"/>
          <w:sz w:val="24"/>
          <w:szCs w:val="24"/>
          <w:lang w:val="en-US" w:eastAsia="zh-CN"/>
        </w:rPr>
        <w:t>货物</w:t>
      </w:r>
      <w:r>
        <w:rPr>
          <w:spacing w:val="-3"/>
          <w:sz w:val="24"/>
          <w:szCs w:val="24"/>
        </w:rPr>
        <w:t>能够依约满足甲方项目需求，但不</w:t>
      </w:r>
      <w:r>
        <w:rPr>
          <w:spacing w:val="-4"/>
          <w:sz w:val="24"/>
          <w:szCs w:val="24"/>
        </w:rPr>
        <w:t>得因履</w:t>
      </w:r>
      <w:r>
        <w:rPr>
          <w:spacing w:val="-1"/>
          <w:sz w:val="24"/>
          <w:szCs w:val="24"/>
        </w:rPr>
        <w:t>约检查妨碍乙方的正常工作，乙方应予积极配合；</w:t>
      </w:r>
    </w:p>
    <w:p w14:paraId="2EF6F721">
      <w:pPr>
        <w:pStyle w:val="9"/>
        <w:spacing w:before="78" w:line="313" w:lineRule="auto"/>
        <w:ind w:left="27" w:right="61" w:firstLine="433"/>
        <w:jc w:val="both"/>
      </w:pPr>
      <w:r>
        <w:rPr>
          <w:sz w:val="24"/>
          <w:szCs w:val="24"/>
        </w:rPr>
        <w:t>2.4.2</w:t>
      </w:r>
      <w:r>
        <w:rPr>
          <w:spacing w:val="-50"/>
          <w:sz w:val="24"/>
          <w:szCs w:val="24"/>
        </w:rPr>
        <w:t xml:space="preserve"> </w:t>
      </w:r>
      <w:r>
        <w:rPr>
          <w:sz w:val="24"/>
          <w:szCs w:val="24"/>
        </w:rPr>
        <w:t>合同履行期间，甲方有权将履行过程</w:t>
      </w:r>
      <w:r>
        <w:rPr>
          <w:spacing w:val="-1"/>
          <w:sz w:val="24"/>
          <w:szCs w:val="24"/>
        </w:rPr>
        <w:t>中出现的问题反馈给乙方，双方</w:t>
      </w:r>
      <w:r>
        <w:rPr>
          <w:spacing w:val="-2"/>
          <w:sz w:val="24"/>
          <w:szCs w:val="24"/>
        </w:rPr>
        <w:t>当事人应以书面形式约定需要完善和改进的内容。</w:t>
      </w:r>
    </w:p>
    <w:p w14:paraId="44CAD174">
      <w:pPr>
        <w:pStyle w:val="9"/>
        <w:spacing w:before="184" w:line="219" w:lineRule="auto"/>
        <w:ind w:left="463"/>
        <w:jc w:val="both"/>
        <w:outlineLvl w:val="2"/>
        <w:rPr>
          <w:sz w:val="24"/>
          <w:szCs w:val="24"/>
        </w:rPr>
      </w:pPr>
      <w:r>
        <w:rPr>
          <w:b/>
          <w:bCs/>
          <w:spacing w:val="-3"/>
          <w:sz w:val="24"/>
          <w:szCs w:val="24"/>
        </w:rPr>
        <w:t>2.5</w:t>
      </w:r>
      <w:r>
        <w:rPr>
          <w:spacing w:val="-3"/>
          <w:sz w:val="24"/>
          <w:szCs w:val="24"/>
        </w:rPr>
        <w:t xml:space="preserve"> </w:t>
      </w:r>
      <w:r>
        <w:rPr>
          <w:b/>
          <w:bCs/>
          <w:spacing w:val="-3"/>
          <w:sz w:val="24"/>
          <w:szCs w:val="24"/>
        </w:rPr>
        <w:t>结算方式和付款条件</w:t>
      </w:r>
    </w:p>
    <w:p w14:paraId="5B3F0FA7">
      <w:pPr>
        <w:pStyle w:val="9"/>
        <w:spacing w:before="182" w:line="212" w:lineRule="auto"/>
        <w:ind w:left="460"/>
        <w:jc w:val="both"/>
        <w:rPr>
          <w:sz w:val="24"/>
          <w:szCs w:val="24"/>
        </w:rPr>
      </w:pPr>
      <w:r>
        <w:rPr>
          <w:spacing w:val="-6"/>
          <w:sz w:val="24"/>
          <w:szCs w:val="24"/>
        </w:rPr>
        <w:t>详见</w:t>
      </w:r>
      <w:r>
        <w:rPr>
          <w:b/>
          <w:bCs/>
          <w:i/>
          <w:iCs/>
          <w:spacing w:val="-6"/>
          <w:sz w:val="25"/>
          <w:szCs w:val="25"/>
          <w:u w:val="single" w:color="auto"/>
        </w:rPr>
        <w:t>合同专用条款</w:t>
      </w:r>
      <w:r>
        <w:rPr>
          <w:spacing w:val="-6"/>
          <w:sz w:val="24"/>
          <w:szCs w:val="24"/>
        </w:rPr>
        <w:t>。</w:t>
      </w:r>
    </w:p>
    <w:p w14:paraId="5964181F">
      <w:pPr>
        <w:pStyle w:val="9"/>
        <w:spacing w:before="181" w:line="219" w:lineRule="auto"/>
        <w:ind w:left="463"/>
        <w:jc w:val="both"/>
        <w:outlineLvl w:val="2"/>
        <w:rPr>
          <w:sz w:val="24"/>
          <w:szCs w:val="24"/>
        </w:rPr>
      </w:pPr>
      <w:r>
        <w:rPr>
          <w:b/>
          <w:bCs/>
          <w:spacing w:val="-3"/>
          <w:sz w:val="24"/>
          <w:szCs w:val="24"/>
        </w:rPr>
        <w:t>2.6</w:t>
      </w:r>
      <w:r>
        <w:rPr>
          <w:spacing w:val="-3"/>
          <w:sz w:val="24"/>
          <w:szCs w:val="24"/>
        </w:rPr>
        <w:t xml:space="preserve"> </w:t>
      </w:r>
      <w:r>
        <w:rPr>
          <w:b/>
          <w:bCs/>
          <w:spacing w:val="-3"/>
          <w:sz w:val="24"/>
          <w:szCs w:val="24"/>
        </w:rPr>
        <w:t>技术资料和保密义务</w:t>
      </w:r>
    </w:p>
    <w:p w14:paraId="76E161D1">
      <w:pPr>
        <w:pStyle w:val="9"/>
        <w:spacing w:before="182" w:line="290" w:lineRule="auto"/>
        <w:ind w:left="33" w:right="63" w:firstLine="426"/>
        <w:jc w:val="both"/>
        <w:rPr>
          <w:sz w:val="24"/>
          <w:szCs w:val="24"/>
        </w:rPr>
      </w:pPr>
      <w:r>
        <w:rPr>
          <w:spacing w:val="-1"/>
          <w:sz w:val="24"/>
          <w:szCs w:val="24"/>
        </w:rPr>
        <w:t>2.6.1</w:t>
      </w:r>
      <w:r>
        <w:rPr>
          <w:spacing w:val="-27"/>
          <w:sz w:val="24"/>
          <w:szCs w:val="24"/>
        </w:rPr>
        <w:t xml:space="preserve"> </w:t>
      </w:r>
      <w:r>
        <w:rPr>
          <w:spacing w:val="-1"/>
          <w:sz w:val="24"/>
          <w:szCs w:val="24"/>
        </w:rPr>
        <w:t>乙方有权依据合同约定和项目需要，向甲方了解有关情况，调阅</w:t>
      </w:r>
      <w:r>
        <w:rPr>
          <w:spacing w:val="-2"/>
          <w:sz w:val="24"/>
          <w:szCs w:val="24"/>
        </w:rPr>
        <w:t>有关资料等，甲方应予积极配合；</w:t>
      </w:r>
    </w:p>
    <w:p w14:paraId="651DC2C3">
      <w:pPr>
        <w:pStyle w:val="9"/>
        <w:spacing w:before="183" w:line="219" w:lineRule="auto"/>
        <w:ind w:left="460"/>
        <w:jc w:val="both"/>
        <w:rPr>
          <w:sz w:val="24"/>
          <w:szCs w:val="24"/>
        </w:rPr>
      </w:pPr>
      <w:r>
        <w:rPr>
          <w:spacing w:val="-2"/>
          <w:sz w:val="24"/>
          <w:szCs w:val="24"/>
        </w:rPr>
        <w:t>2.6.2</w:t>
      </w:r>
      <w:r>
        <w:rPr>
          <w:spacing w:val="-10"/>
          <w:sz w:val="24"/>
          <w:szCs w:val="24"/>
        </w:rPr>
        <w:t xml:space="preserve"> </w:t>
      </w:r>
      <w:r>
        <w:rPr>
          <w:spacing w:val="-2"/>
          <w:sz w:val="24"/>
          <w:szCs w:val="24"/>
        </w:rPr>
        <w:t>乙方有义务妥善保管和保护由甲方提供的前款信息和资料等；</w:t>
      </w:r>
    </w:p>
    <w:p w14:paraId="70DB2433">
      <w:pPr>
        <w:pStyle w:val="9"/>
        <w:spacing w:before="183" w:line="332" w:lineRule="auto"/>
        <w:ind w:left="23" w:right="61" w:firstLine="437"/>
        <w:jc w:val="both"/>
        <w:rPr>
          <w:sz w:val="24"/>
          <w:szCs w:val="24"/>
        </w:rPr>
      </w:pPr>
      <w:r>
        <w:rPr>
          <w:spacing w:val="-1"/>
          <w:sz w:val="24"/>
          <w:szCs w:val="24"/>
        </w:rPr>
        <w:t>2.6.3</w:t>
      </w:r>
      <w:r>
        <w:rPr>
          <w:spacing w:val="-29"/>
          <w:sz w:val="24"/>
          <w:szCs w:val="24"/>
        </w:rPr>
        <w:t xml:space="preserve"> </w:t>
      </w:r>
      <w:r>
        <w:rPr>
          <w:spacing w:val="-1"/>
          <w:sz w:val="24"/>
          <w:szCs w:val="24"/>
        </w:rPr>
        <w:t>除非依照法律规定或者对方当事人的书面同意，任何一方均应保证不</w:t>
      </w:r>
      <w:r>
        <w:rPr>
          <w:spacing w:val="4"/>
          <w:sz w:val="24"/>
          <w:szCs w:val="24"/>
        </w:rPr>
        <w:t>向任何第三方提供或披露有关合同的或者履行合同过程中知悉的对方当事人任</w:t>
      </w:r>
      <w:r>
        <w:rPr>
          <w:spacing w:val="-3"/>
          <w:sz w:val="24"/>
          <w:szCs w:val="24"/>
        </w:rPr>
        <w:t>何未公开的信息和资料，包括但不限于技术情报、技术资料、商业秘密和商</w:t>
      </w:r>
      <w:r>
        <w:rPr>
          <w:spacing w:val="-4"/>
          <w:sz w:val="24"/>
          <w:szCs w:val="24"/>
        </w:rPr>
        <w:t>业信</w:t>
      </w:r>
      <w:r>
        <w:rPr>
          <w:spacing w:val="-3"/>
          <w:sz w:val="24"/>
          <w:szCs w:val="24"/>
        </w:rPr>
        <w:t>息等，并采取一切合理和必要措施和方式防止任何第三方接触到对方当事人的上</w:t>
      </w:r>
      <w:r>
        <w:rPr>
          <w:spacing w:val="-2"/>
          <w:sz w:val="24"/>
          <w:szCs w:val="24"/>
        </w:rPr>
        <w:t>述保密信息和资料。</w:t>
      </w:r>
    </w:p>
    <w:p w14:paraId="7FA9E009">
      <w:pPr>
        <w:pStyle w:val="9"/>
        <w:spacing w:before="182" w:line="220" w:lineRule="auto"/>
        <w:ind w:left="463"/>
        <w:jc w:val="both"/>
        <w:outlineLvl w:val="2"/>
        <w:rPr>
          <w:sz w:val="24"/>
          <w:szCs w:val="24"/>
        </w:rPr>
      </w:pPr>
      <w:r>
        <w:rPr>
          <w:b/>
          <w:bCs/>
          <w:spacing w:val="-4"/>
          <w:sz w:val="24"/>
          <w:szCs w:val="24"/>
        </w:rPr>
        <w:t>2.7</w:t>
      </w:r>
      <w:r>
        <w:rPr>
          <w:spacing w:val="-4"/>
          <w:sz w:val="24"/>
          <w:szCs w:val="24"/>
        </w:rPr>
        <w:t xml:space="preserve"> </w:t>
      </w:r>
      <w:r>
        <w:rPr>
          <w:b/>
          <w:bCs/>
          <w:spacing w:val="-4"/>
          <w:sz w:val="24"/>
          <w:szCs w:val="24"/>
        </w:rPr>
        <w:t>质量保证</w:t>
      </w:r>
    </w:p>
    <w:p w14:paraId="019EB586">
      <w:pPr>
        <w:pStyle w:val="9"/>
        <w:spacing w:before="183" w:line="289" w:lineRule="auto"/>
        <w:ind w:left="31" w:right="63" w:firstLine="428"/>
        <w:jc w:val="both"/>
        <w:rPr>
          <w:sz w:val="24"/>
          <w:szCs w:val="24"/>
        </w:rPr>
      </w:pPr>
      <w:r>
        <w:rPr>
          <w:spacing w:val="-1"/>
          <w:sz w:val="24"/>
          <w:szCs w:val="24"/>
        </w:rPr>
        <w:t>2.7.1</w:t>
      </w:r>
      <w:r>
        <w:rPr>
          <w:spacing w:val="-27"/>
          <w:sz w:val="24"/>
          <w:szCs w:val="24"/>
        </w:rPr>
        <w:t xml:space="preserve"> </w:t>
      </w:r>
      <w:r>
        <w:rPr>
          <w:spacing w:val="-1"/>
          <w:sz w:val="24"/>
          <w:szCs w:val="24"/>
        </w:rPr>
        <w:t>乙方应建立和完善履行合同的内部质量保证体系，并提供相关内</w:t>
      </w:r>
      <w:r>
        <w:rPr>
          <w:spacing w:val="-2"/>
          <w:sz w:val="24"/>
          <w:szCs w:val="24"/>
        </w:rPr>
        <w:t>部规</w:t>
      </w:r>
      <w:r>
        <w:rPr>
          <w:spacing w:val="-1"/>
          <w:sz w:val="24"/>
          <w:szCs w:val="24"/>
        </w:rPr>
        <w:t>章制度给甲方，以便甲方进行监督检查；</w:t>
      </w:r>
    </w:p>
    <w:p w14:paraId="4481A1C2">
      <w:pPr>
        <w:pStyle w:val="9"/>
        <w:spacing w:before="183" w:line="290" w:lineRule="auto"/>
        <w:ind w:left="23" w:right="63" w:firstLine="437"/>
        <w:jc w:val="both"/>
        <w:rPr>
          <w:sz w:val="24"/>
          <w:szCs w:val="24"/>
        </w:rPr>
      </w:pPr>
      <w:r>
        <w:rPr>
          <w:spacing w:val="-1"/>
          <w:sz w:val="24"/>
          <w:szCs w:val="24"/>
        </w:rPr>
        <w:t>2.7.2</w:t>
      </w:r>
      <w:r>
        <w:rPr>
          <w:spacing w:val="-27"/>
          <w:sz w:val="24"/>
          <w:szCs w:val="24"/>
        </w:rPr>
        <w:t xml:space="preserve"> </w:t>
      </w:r>
      <w:r>
        <w:rPr>
          <w:spacing w:val="-1"/>
          <w:sz w:val="24"/>
          <w:szCs w:val="24"/>
        </w:rPr>
        <w:t>乙方应保证履行合同的人员数量和素质、软件和硬件设备的配置</w:t>
      </w:r>
      <w:r>
        <w:rPr>
          <w:spacing w:val="-2"/>
          <w:sz w:val="24"/>
          <w:szCs w:val="24"/>
        </w:rPr>
        <w:t>、场</w:t>
      </w:r>
      <w:r>
        <w:rPr>
          <w:sz w:val="24"/>
          <w:szCs w:val="24"/>
        </w:rPr>
        <w:t>地、环境和设施等满足全面履行合同的要求，并</w:t>
      </w:r>
      <w:r>
        <w:rPr>
          <w:spacing w:val="-1"/>
          <w:sz w:val="24"/>
          <w:szCs w:val="24"/>
        </w:rPr>
        <w:t>应接受甲方的监督检查。</w:t>
      </w:r>
    </w:p>
    <w:p w14:paraId="16395098">
      <w:pPr>
        <w:pStyle w:val="9"/>
        <w:spacing w:before="183" w:line="220" w:lineRule="auto"/>
        <w:ind w:left="463"/>
        <w:jc w:val="both"/>
        <w:outlineLvl w:val="2"/>
        <w:rPr>
          <w:sz w:val="24"/>
          <w:szCs w:val="24"/>
        </w:rPr>
      </w:pPr>
      <w:r>
        <w:rPr>
          <w:b/>
          <w:bCs/>
          <w:spacing w:val="-4"/>
          <w:sz w:val="24"/>
          <w:szCs w:val="24"/>
        </w:rPr>
        <w:t>2.8</w:t>
      </w:r>
      <w:r>
        <w:rPr>
          <w:spacing w:val="-4"/>
          <w:sz w:val="24"/>
          <w:szCs w:val="24"/>
        </w:rPr>
        <w:t xml:space="preserve"> </w:t>
      </w:r>
      <w:r>
        <w:rPr>
          <w:b/>
          <w:bCs/>
          <w:spacing w:val="-4"/>
          <w:sz w:val="24"/>
          <w:szCs w:val="24"/>
        </w:rPr>
        <w:t>延迟履行</w:t>
      </w:r>
    </w:p>
    <w:p w14:paraId="2783204E">
      <w:pPr>
        <w:pStyle w:val="9"/>
        <w:spacing w:before="182" w:line="360" w:lineRule="auto"/>
        <w:ind w:left="23" w:firstLine="433"/>
        <w:jc w:val="both"/>
        <w:rPr>
          <w:sz w:val="24"/>
          <w:szCs w:val="24"/>
        </w:rPr>
      </w:pPr>
      <w:r>
        <w:rPr>
          <w:spacing w:val="-2"/>
          <w:sz w:val="24"/>
          <w:szCs w:val="24"/>
        </w:rPr>
        <w:t>在合同履行过程中，如果乙方遇到不能按时提供</w:t>
      </w:r>
      <w:r>
        <w:rPr>
          <w:rFonts w:hint="eastAsia"/>
          <w:spacing w:val="-2"/>
          <w:sz w:val="24"/>
          <w:szCs w:val="24"/>
          <w:lang w:val="en-US" w:eastAsia="zh-CN"/>
        </w:rPr>
        <w:t>货物</w:t>
      </w:r>
      <w:r>
        <w:rPr>
          <w:spacing w:val="-2"/>
          <w:sz w:val="24"/>
          <w:szCs w:val="24"/>
        </w:rPr>
        <w:t>的情况，应及时以书面</w:t>
      </w:r>
      <w:r>
        <w:rPr>
          <w:spacing w:val="-8"/>
          <w:sz w:val="24"/>
          <w:szCs w:val="24"/>
        </w:rPr>
        <w:t>形式将不能按时提供服务的理由、预期延误时间通知甲方；甲方收到乙方通知后，</w:t>
      </w:r>
      <w:r>
        <w:rPr>
          <w:sz w:val="24"/>
          <w:szCs w:val="24"/>
        </w:rPr>
        <w:t>认为其理由正当的，可以书面形式酌情同意乙方可</w:t>
      </w:r>
      <w:r>
        <w:rPr>
          <w:spacing w:val="-1"/>
          <w:sz w:val="24"/>
          <w:szCs w:val="24"/>
        </w:rPr>
        <w:t>以延长履行的具体时间。</w:t>
      </w:r>
    </w:p>
    <w:p w14:paraId="02BCA11A">
      <w:pPr>
        <w:pStyle w:val="9"/>
        <w:spacing w:before="1" w:line="220" w:lineRule="auto"/>
        <w:ind w:left="463"/>
        <w:jc w:val="both"/>
        <w:outlineLvl w:val="2"/>
        <w:rPr>
          <w:sz w:val="24"/>
          <w:szCs w:val="24"/>
        </w:rPr>
      </w:pPr>
      <w:r>
        <w:rPr>
          <w:b/>
          <w:bCs/>
          <w:spacing w:val="-4"/>
          <w:sz w:val="24"/>
          <w:szCs w:val="24"/>
        </w:rPr>
        <w:t>2.9</w:t>
      </w:r>
      <w:r>
        <w:rPr>
          <w:spacing w:val="-4"/>
          <w:sz w:val="24"/>
          <w:szCs w:val="24"/>
        </w:rPr>
        <w:t xml:space="preserve"> </w:t>
      </w:r>
      <w:r>
        <w:rPr>
          <w:b/>
          <w:bCs/>
          <w:spacing w:val="-4"/>
          <w:sz w:val="24"/>
          <w:szCs w:val="24"/>
        </w:rPr>
        <w:t>合同变更</w:t>
      </w:r>
    </w:p>
    <w:p w14:paraId="1BB1C662">
      <w:pPr>
        <w:pStyle w:val="9"/>
        <w:spacing w:before="181" w:line="360" w:lineRule="auto"/>
        <w:ind w:right="63" w:firstLine="480" w:firstLineChars="200"/>
        <w:jc w:val="both"/>
        <w:rPr>
          <w:sz w:val="24"/>
          <w:szCs w:val="24"/>
        </w:rPr>
      </w:pPr>
      <w:r>
        <w:rPr>
          <w:sz w:val="24"/>
          <w:szCs w:val="24"/>
        </w:rPr>
        <w:t>2.9.1</w:t>
      </w:r>
      <w:r>
        <w:rPr>
          <w:spacing w:val="-50"/>
          <w:sz w:val="24"/>
          <w:szCs w:val="24"/>
        </w:rPr>
        <w:t xml:space="preserve"> </w:t>
      </w:r>
      <w:r>
        <w:rPr>
          <w:sz w:val="24"/>
          <w:szCs w:val="24"/>
        </w:rPr>
        <w:t>双方当事人协商一致，可以签订书面</w:t>
      </w:r>
      <w:r>
        <w:rPr>
          <w:spacing w:val="-1"/>
          <w:sz w:val="24"/>
          <w:szCs w:val="24"/>
        </w:rPr>
        <w:t>补充合同的形式变更合同，但不得违背采购文件确定的事项；</w:t>
      </w:r>
    </w:p>
    <w:p w14:paraId="1A00BA3B">
      <w:pPr>
        <w:pStyle w:val="9"/>
        <w:spacing w:before="78" w:line="360" w:lineRule="auto"/>
        <w:ind w:firstLine="480" w:firstLineChars="200"/>
        <w:jc w:val="both"/>
        <w:rPr>
          <w:sz w:val="24"/>
          <w:szCs w:val="24"/>
        </w:rPr>
      </w:pPr>
      <w:r>
        <w:rPr>
          <w:sz w:val="24"/>
          <w:szCs w:val="24"/>
        </w:rPr>
        <w:t>2.9.2</w:t>
      </w:r>
      <w:r>
        <w:rPr>
          <w:spacing w:val="-50"/>
          <w:sz w:val="24"/>
          <w:szCs w:val="24"/>
        </w:rPr>
        <w:t xml:space="preserve"> </w:t>
      </w:r>
      <w:r>
        <w:rPr>
          <w:sz w:val="24"/>
          <w:szCs w:val="24"/>
        </w:rPr>
        <w:t>合同继续履行将损害国家利益和社会</w:t>
      </w:r>
      <w:r>
        <w:rPr>
          <w:spacing w:val="-1"/>
          <w:sz w:val="24"/>
          <w:szCs w:val="24"/>
        </w:rPr>
        <w:t>公共利益的，双方当事人应当以</w:t>
      </w:r>
      <w:r>
        <w:rPr>
          <w:spacing w:val="-2"/>
          <w:sz w:val="24"/>
          <w:szCs w:val="24"/>
        </w:rPr>
        <w:t>书面形式变更合同。有过错的一方应当承担赔偿责任，双方当事人都有</w:t>
      </w:r>
      <w:r>
        <w:rPr>
          <w:spacing w:val="-3"/>
          <w:sz w:val="24"/>
          <w:szCs w:val="24"/>
        </w:rPr>
        <w:t>过错的，</w:t>
      </w:r>
      <w:r>
        <w:rPr>
          <w:spacing w:val="-2"/>
          <w:sz w:val="24"/>
          <w:szCs w:val="24"/>
        </w:rPr>
        <w:t>各自承担相应的责任。</w:t>
      </w:r>
    </w:p>
    <w:p w14:paraId="03DBD86C">
      <w:pPr>
        <w:pStyle w:val="9"/>
        <w:spacing w:line="220" w:lineRule="auto"/>
        <w:ind w:left="463"/>
        <w:jc w:val="both"/>
        <w:outlineLvl w:val="2"/>
        <w:rPr>
          <w:sz w:val="24"/>
          <w:szCs w:val="24"/>
          <w:highlight w:val="none"/>
        </w:rPr>
      </w:pPr>
      <w:r>
        <w:rPr>
          <w:b/>
          <w:bCs/>
          <w:spacing w:val="-3"/>
          <w:sz w:val="24"/>
          <w:szCs w:val="24"/>
          <w:highlight w:val="none"/>
        </w:rPr>
        <w:t>2.10</w:t>
      </w:r>
      <w:r>
        <w:rPr>
          <w:spacing w:val="-3"/>
          <w:sz w:val="24"/>
          <w:szCs w:val="24"/>
          <w:highlight w:val="none"/>
        </w:rPr>
        <w:t xml:space="preserve"> </w:t>
      </w:r>
      <w:r>
        <w:rPr>
          <w:b/>
          <w:bCs/>
          <w:spacing w:val="-3"/>
          <w:sz w:val="24"/>
          <w:szCs w:val="24"/>
          <w:highlight w:val="none"/>
        </w:rPr>
        <w:t>合同转让和分包</w:t>
      </w:r>
    </w:p>
    <w:p w14:paraId="5696B8EA">
      <w:pPr>
        <w:pStyle w:val="9"/>
        <w:spacing w:before="181" w:line="360" w:lineRule="auto"/>
        <w:ind w:left="25" w:right="35" w:firstLine="433"/>
        <w:jc w:val="both"/>
        <w:rPr>
          <w:sz w:val="24"/>
          <w:szCs w:val="24"/>
          <w:highlight w:val="none"/>
        </w:rPr>
      </w:pPr>
      <w:r>
        <w:rPr>
          <w:spacing w:val="-2"/>
          <w:sz w:val="24"/>
          <w:szCs w:val="24"/>
          <w:highlight w:val="none"/>
        </w:rPr>
        <w:t>合同的权利义务依法不得转让，</w:t>
      </w:r>
      <w:r>
        <w:rPr>
          <w:rFonts w:hint="eastAsia"/>
          <w:spacing w:val="-2"/>
          <w:sz w:val="24"/>
          <w:szCs w:val="24"/>
          <w:highlight w:val="none"/>
        </w:rPr>
        <w:t>本项目不允许分包。</w:t>
      </w:r>
    </w:p>
    <w:p w14:paraId="7850369F">
      <w:pPr>
        <w:pStyle w:val="9"/>
        <w:spacing w:line="219" w:lineRule="auto"/>
        <w:ind w:left="463"/>
        <w:jc w:val="both"/>
        <w:outlineLvl w:val="2"/>
        <w:rPr>
          <w:sz w:val="24"/>
          <w:szCs w:val="24"/>
        </w:rPr>
      </w:pPr>
      <w:r>
        <w:rPr>
          <w:b/>
          <w:bCs/>
          <w:spacing w:val="-5"/>
          <w:sz w:val="24"/>
          <w:szCs w:val="24"/>
        </w:rPr>
        <w:t>2.11</w:t>
      </w:r>
      <w:r>
        <w:rPr>
          <w:spacing w:val="13"/>
          <w:sz w:val="24"/>
          <w:szCs w:val="24"/>
        </w:rPr>
        <w:t xml:space="preserve"> </w:t>
      </w:r>
      <w:r>
        <w:rPr>
          <w:b/>
          <w:bCs/>
          <w:spacing w:val="-5"/>
          <w:sz w:val="24"/>
          <w:szCs w:val="24"/>
        </w:rPr>
        <w:t>不可抗力</w:t>
      </w:r>
    </w:p>
    <w:p w14:paraId="5ED126B9">
      <w:pPr>
        <w:pStyle w:val="9"/>
        <w:spacing w:before="181" w:line="290" w:lineRule="auto"/>
        <w:ind w:left="24" w:right="35" w:firstLine="436"/>
        <w:jc w:val="both"/>
        <w:rPr>
          <w:sz w:val="24"/>
          <w:szCs w:val="24"/>
        </w:rPr>
      </w:pPr>
      <w:r>
        <w:rPr>
          <w:spacing w:val="-4"/>
          <w:sz w:val="24"/>
          <w:szCs w:val="24"/>
        </w:rPr>
        <w:t>2.11.1</w:t>
      </w:r>
      <w:r>
        <w:rPr>
          <w:spacing w:val="-38"/>
          <w:sz w:val="24"/>
          <w:szCs w:val="24"/>
        </w:rPr>
        <w:t xml:space="preserve"> </w:t>
      </w:r>
      <w:r>
        <w:rPr>
          <w:spacing w:val="-4"/>
          <w:sz w:val="24"/>
          <w:szCs w:val="24"/>
        </w:rPr>
        <w:t>如果任何一方遭遇法律规定的不可抗力，致使合同履行受阻时，履行</w:t>
      </w:r>
      <w:r>
        <w:rPr>
          <w:spacing w:val="-1"/>
          <w:sz w:val="24"/>
          <w:szCs w:val="24"/>
        </w:rPr>
        <w:t>合同的期限应予延长，延长的期限应相当于不可抗力所影响的时间；</w:t>
      </w:r>
    </w:p>
    <w:p w14:paraId="7A7EE8C1">
      <w:pPr>
        <w:pStyle w:val="9"/>
        <w:spacing w:before="183" w:line="219" w:lineRule="auto"/>
        <w:ind w:left="460"/>
        <w:jc w:val="both"/>
        <w:rPr>
          <w:sz w:val="24"/>
          <w:szCs w:val="24"/>
        </w:rPr>
      </w:pPr>
      <w:r>
        <w:rPr>
          <w:spacing w:val="-1"/>
          <w:sz w:val="24"/>
          <w:szCs w:val="24"/>
        </w:rPr>
        <w:t>2.11.2</w:t>
      </w:r>
      <w:r>
        <w:rPr>
          <w:spacing w:val="-32"/>
          <w:sz w:val="24"/>
          <w:szCs w:val="24"/>
        </w:rPr>
        <w:t xml:space="preserve"> </w:t>
      </w:r>
      <w:r>
        <w:rPr>
          <w:spacing w:val="-1"/>
          <w:sz w:val="24"/>
          <w:szCs w:val="24"/>
        </w:rPr>
        <w:t>因不可抗力致使不能实现合同目的的，当</w:t>
      </w:r>
      <w:r>
        <w:rPr>
          <w:spacing w:val="-2"/>
          <w:sz w:val="24"/>
          <w:szCs w:val="24"/>
        </w:rPr>
        <w:t>事人可以解除合同；</w:t>
      </w:r>
    </w:p>
    <w:p w14:paraId="5512FF4D">
      <w:pPr>
        <w:pStyle w:val="9"/>
        <w:spacing w:before="184" w:line="283" w:lineRule="auto"/>
        <w:ind w:left="29" w:right="35" w:firstLine="431"/>
        <w:jc w:val="both"/>
        <w:rPr>
          <w:sz w:val="24"/>
          <w:szCs w:val="24"/>
        </w:rPr>
      </w:pPr>
      <w:r>
        <w:rPr>
          <w:spacing w:val="-6"/>
          <w:sz w:val="24"/>
          <w:szCs w:val="24"/>
        </w:rPr>
        <w:t>2.11.3</w:t>
      </w:r>
      <w:r>
        <w:rPr>
          <w:spacing w:val="-32"/>
          <w:sz w:val="24"/>
          <w:szCs w:val="24"/>
        </w:rPr>
        <w:t xml:space="preserve"> </w:t>
      </w:r>
      <w:r>
        <w:rPr>
          <w:spacing w:val="-6"/>
          <w:sz w:val="24"/>
          <w:szCs w:val="24"/>
        </w:rPr>
        <w:t>因不可抗力致使合同有变更必要的，双方当事</w:t>
      </w:r>
      <w:r>
        <w:rPr>
          <w:spacing w:val="-7"/>
          <w:sz w:val="24"/>
          <w:szCs w:val="24"/>
        </w:rPr>
        <w:t>人应在</w:t>
      </w:r>
      <w:r>
        <w:rPr>
          <w:b/>
          <w:bCs/>
          <w:i/>
          <w:iCs/>
          <w:spacing w:val="-7"/>
          <w:sz w:val="25"/>
          <w:szCs w:val="25"/>
          <w:u w:val="single" w:color="auto"/>
        </w:rPr>
        <w:t>合同专用条款</w:t>
      </w:r>
      <w:r>
        <w:rPr>
          <w:spacing w:val="-7"/>
          <w:sz w:val="24"/>
          <w:szCs w:val="24"/>
        </w:rPr>
        <w:t>约</w:t>
      </w:r>
      <w:r>
        <w:rPr>
          <w:spacing w:val="-2"/>
          <w:sz w:val="24"/>
          <w:szCs w:val="24"/>
        </w:rPr>
        <w:t>定时间内以书面形式变更合同；</w:t>
      </w:r>
    </w:p>
    <w:p w14:paraId="66249399">
      <w:pPr>
        <w:pStyle w:val="9"/>
        <w:spacing w:before="183" w:line="305" w:lineRule="auto"/>
        <w:ind w:left="28" w:right="35" w:firstLine="432"/>
        <w:jc w:val="both"/>
        <w:rPr>
          <w:sz w:val="24"/>
          <w:szCs w:val="24"/>
        </w:rPr>
      </w:pPr>
      <w:r>
        <w:rPr>
          <w:spacing w:val="-6"/>
          <w:sz w:val="24"/>
          <w:szCs w:val="24"/>
        </w:rPr>
        <w:t>2.11.4</w:t>
      </w:r>
      <w:r>
        <w:rPr>
          <w:spacing w:val="-42"/>
          <w:sz w:val="24"/>
          <w:szCs w:val="24"/>
        </w:rPr>
        <w:t xml:space="preserve"> </w:t>
      </w:r>
      <w:r>
        <w:rPr>
          <w:spacing w:val="-6"/>
          <w:sz w:val="24"/>
          <w:szCs w:val="24"/>
        </w:rPr>
        <w:t>受不可抗力影响的一方在不可抗力发生后，应在</w:t>
      </w:r>
      <w:r>
        <w:rPr>
          <w:b/>
          <w:bCs/>
          <w:i/>
          <w:iCs/>
          <w:spacing w:val="-6"/>
          <w:sz w:val="25"/>
          <w:szCs w:val="25"/>
          <w:u w:val="single" w:color="auto"/>
        </w:rPr>
        <w:t>合同专用条款</w:t>
      </w:r>
      <w:r>
        <w:rPr>
          <w:spacing w:val="-6"/>
          <w:sz w:val="24"/>
          <w:szCs w:val="24"/>
        </w:rPr>
        <w:t>约定时</w:t>
      </w:r>
      <w:r>
        <w:rPr>
          <w:spacing w:val="-5"/>
          <w:sz w:val="24"/>
          <w:szCs w:val="24"/>
        </w:rPr>
        <w:t>间内以书面形式通知对方当事人，并在</w:t>
      </w:r>
      <w:r>
        <w:rPr>
          <w:b/>
          <w:bCs/>
          <w:i/>
          <w:iCs/>
          <w:spacing w:val="-5"/>
          <w:sz w:val="25"/>
          <w:szCs w:val="25"/>
          <w:u w:val="single" w:color="auto"/>
        </w:rPr>
        <w:t>合同专用条款</w:t>
      </w:r>
      <w:r>
        <w:rPr>
          <w:spacing w:val="-5"/>
          <w:sz w:val="24"/>
          <w:szCs w:val="24"/>
        </w:rPr>
        <w:t>约定</w:t>
      </w:r>
      <w:r>
        <w:rPr>
          <w:spacing w:val="-6"/>
          <w:sz w:val="24"/>
          <w:szCs w:val="24"/>
        </w:rPr>
        <w:t>时间内，将有关部门出</w:t>
      </w:r>
      <w:r>
        <w:rPr>
          <w:spacing w:val="-2"/>
          <w:sz w:val="24"/>
          <w:szCs w:val="24"/>
        </w:rPr>
        <w:t>具的证明文件送达对方当事人。</w:t>
      </w:r>
    </w:p>
    <w:p w14:paraId="00AA034D">
      <w:pPr>
        <w:pStyle w:val="9"/>
        <w:spacing w:before="183" w:line="220" w:lineRule="auto"/>
        <w:ind w:left="463"/>
        <w:jc w:val="both"/>
        <w:outlineLvl w:val="2"/>
        <w:rPr>
          <w:sz w:val="24"/>
          <w:szCs w:val="24"/>
        </w:rPr>
      </w:pPr>
      <w:r>
        <w:rPr>
          <w:b/>
          <w:bCs/>
          <w:spacing w:val="-6"/>
          <w:sz w:val="24"/>
          <w:szCs w:val="24"/>
        </w:rPr>
        <w:t>2.12</w:t>
      </w:r>
      <w:r>
        <w:rPr>
          <w:spacing w:val="12"/>
          <w:sz w:val="24"/>
          <w:szCs w:val="24"/>
        </w:rPr>
        <w:t xml:space="preserve"> </w:t>
      </w:r>
      <w:r>
        <w:rPr>
          <w:b/>
          <w:bCs/>
          <w:spacing w:val="-6"/>
          <w:sz w:val="24"/>
          <w:szCs w:val="24"/>
        </w:rPr>
        <w:t>税费</w:t>
      </w:r>
    </w:p>
    <w:p w14:paraId="0BFFD07E">
      <w:pPr>
        <w:pStyle w:val="9"/>
        <w:spacing w:before="182" w:line="219" w:lineRule="auto"/>
        <w:ind w:left="462"/>
        <w:jc w:val="both"/>
        <w:rPr>
          <w:sz w:val="24"/>
          <w:szCs w:val="24"/>
        </w:rPr>
      </w:pPr>
      <w:r>
        <w:rPr>
          <w:spacing w:val="-1"/>
          <w:sz w:val="24"/>
          <w:szCs w:val="24"/>
        </w:rPr>
        <w:t>与合同有关的一切税费，均按照中华人民共和国法律的相关规定缴纳。</w:t>
      </w:r>
    </w:p>
    <w:p w14:paraId="7420B7F8">
      <w:pPr>
        <w:pStyle w:val="9"/>
        <w:spacing w:before="183" w:line="219" w:lineRule="auto"/>
        <w:ind w:left="463"/>
        <w:jc w:val="both"/>
        <w:outlineLvl w:val="2"/>
        <w:rPr>
          <w:sz w:val="24"/>
          <w:szCs w:val="24"/>
        </w:rPr>
      </w:pPr>
      <w:r>
        <w:rPr>
          <w:b/>
          <w:bCs/>
          <w:spacing w:val="-8"/>
          <w:sz w:val="24"/>
          <w:szCs w:val="24"/>
        </w:rPr>
        <w:t>2.13</w:t>
      </w:r>
      <w:r>
        <w:rPr>
          <w:spacing w:val="37"/>
          <w:sz w:val="24"/>
          <w:szCs w:val="24"/>
        </w:rPr>
        <w:t xml:space="preserve"> </w:t>
      </w:r>
      <w:r>
        <w:rPr>
          <w:b/>
          <w:bCs/>
          <w:spacing w:val="-8"/>
          <w:sz w:val="24"/>
          <w:szCs w:val="24"/>
        </w:rPr>
        <w:t>乙方破产</w:t>
      </w:r>
    </w:p>
    <w:p w14:paraId="410FC492">
      <w:pPr>
        <w:pStyle w:val="9"/>
        <w:spacing w:before="183" w:line="360" w:lineRule="auto"/>
        <w:ind w:left="22" w:right="35" w:firstLine="439"/>
        <w:jc w:val="both"/>
        <w:rPr>
          <w:sz w:val="24"/>
          <w:szCs w:val="24"/>
        </w:rPr>
      </w:pPr>
      <w:r>
        <w:rPr>
          <w:spacing w:val="-2"/>
          <w:sz w:val="24"/>
          <w:szCs w:val="24"/>
        </w:rPr>
        <w:t>如果乙方破产导致合同无法履行时，甲方可以书面形式通知乙方终止合同且</w:t>
      </w:r>
      <w:r>
        <w:rPr>
          <w:spacing w:val="-3"/>
          <w:sz w:val="24"/>
          <w:szCs w:val="24"/>
        </w:rPr>
        <w:t>不给予乙方任何补偿和赔偿，但合同的终止不损害或不影响甲方已经采取或将要</w:t>
      </w:r>
      <w:r>
        <w:rPr>
          <w:sz w:val="24"/>
          <w:szCs w:val="24"/>
        </w:rPr>
        <w:t>采取的任何要求乙方支付违约金、赔偿损失等的行</w:t>
      </w:r>
      <w:r>
        <w:rPr>
          <w:spacing w:val="-1"/>
          <w:sz w:val="24"/>
          <w:szCs w:val="24"/>
        </w:rPr>
        <w:t>动或补救措施的权利。</w:t>
      </w:r>
    </w:p>
    <w:p w14:paraId="05B070E1">
      <w:pPr>
        <w:pStyle w:val="9"/>
        <w:spacing w:line="220" w:lineRule="auto"/>
        <w:ind w:left="463"/>
        <w:jc w:val="both"/>
        <w:outlineLvl w:val="2"/>
        <w:rPr>
          <w:sz w:val="24"/>
          <w:szCs w:val="24"/>
        </w:rPr>
      </w:pPr>
      <w:r>
        <w:rPr>
          <w:b/>
          <w:bCs/>
          <w:spacing w:val="-3"/>
          <w:sz w:val="24"/>
          <w:szCs w:val="24"/>
        </w:rPr>
        <w:t>2.14</w:t>
      </w:r>
      <w:r>
        <w:rPr>
          <w:spacing w:val="-3"/>
          <w:sz w:val="24"/>
          <w:szCs w:val="24"/>
        </w:rPr>
        <w:t xml:space="preserve"> </w:t>
      </w:r>
      <w:r>
        <w:rPr>
          <w:b/>
          <w:bCs/>
          <w:spacing w:val="-3"/>
          <w:sz w:val="24"/>
          <w:szCs w:val="24"/>
        </w:rPr>
        <w:t>合同中止、终止</w:t>
      </w:r>
    </w:p>
    <w:p w14:paraId="40D53A6A">
      <w:pPr>
        <w:pStyle w:val="9"/>
        <w:spacing w:before="183" w:line="219" w:lineRule="auto"/>
        <w:ind w:left="460"/>
        <w:jc w:val="both"/>
        <w:rPr>
          <w:sz w:val="24"/>
          <w:szCs w:val="24"/>
        </w:rPr>
      </w:pPr>
      <w:r>
        <w:rPr>
          <w:spacing w:val="-1"/>
          <w:sz w:val="24"/>
          <w:szCs w:val="24"/>
        </w:rPr>
        <w:t>2.14.1</w:t>
      </w:r>
      <w:r>
        <w:rPr>
          <w:spacing w:val="-50"/>
          <w:sz w:val="24"/>
          <w:szCs w:val="24"/>
        </w:rPr>
        <w:t xml:space="preserve"> </w:t>
      </w:r>
      <w:r>
        <w:rPr>
          <w:spacing w:val="-1"/>
          <w:sz w:val="24"/>
          <w:szCs w:val="24"/>
        </w:rPr>
        <w:t>双方当事人不得擅自中止或者终止合同；</w:t>
      </w:r>
    </w:p>
    <w:p w14:paraId="3D4F93E8">
      <w:pPr>
        <w:pStyle w:val="9"/>
        <w:spacing w:before="183" w:line="360" w:lineRule="auto"/>
        <w:ind w:left="24" w:right="35" w:firstLine="436"/>
        <w:jc w:val="both"/>
        <w:rPr>
          <w:sz w:val="24"/>
          <w:szCs w:val="24"/>
        </w:rPr>
      </w:pPr>
      <w:r>
        <w:rPr>
          <w:spacing w:val="-4"/>
          <w:sz w:val="24"/>
          <w:szCs w:val="24"/>
        </w:rPr>
        <w:t>2.14.2</w:t>
      </w:r>
      <w:r>
        <w:rPr>
          <w:spacing w:val="-38"/>
          <w:sz w:val="24"/>
          <w:szCs w:val="24"/>
        </w:rPr>
        <w:t xml:space="preserve"> </w:t>
      </w:r>
      <w:r>
        <w:rPr>
          <w:spacing w:val="-4"/>
          <w:sz w:val="24"/>
          <w:szCs w:val="24"/>
        </w:rPr>
        <w:t>合同继续履行将损害国家利益和社会公共利益的，双方当事人应当中</w:t>
      </w:r>
      <w:r>
        <w:rPr>
          <w:spacing w:val="-3"/>
          <w:sz w:val="24"/>
          <w:szCs w:val="24"/>
        </w:rPr>
        <w:t>止或者终止合同。有过错的一方应当承担赔偿责任，双方当事人都有过错的，各</w:t>
      </w:r>
      <w:r>
        <w:rPr>
          <w:spacing w:val="-2"/>
          <w:sz w:val="24"/>
          <w:szCs w:val="24"/>
        </w:rPr>
        <w:t>自承担相应的责任。</w:t>
      </w:r>
    </w:p>
    <w:p w14:paraId="2F5C79EC">
      <w:pPr>
        <w:pStyle w:val="9"/>
        <w:keepNext w:val="0"/>
        <w:keepLines w:val="0"/>
        <w:pageBreakBefore w:val="0"/>
        <w:widowControl/>
        <w:kinsoku w:val="0"/>
        <w:wordWrap/>
        <w:overflowPunct/>
        <w:topLinePunct w:val="0"/>
        <w:autoSpaceDE w:val="0"/>
        <w:autoSpaceDN w:val="0"/>
        <w:bidi w:val="0"/>
        <w:adjustRightInd w:val="0"/>
        <w:snapToGrid w:val="0"/>
        <w:spacing w:after="0" w:afterLines="50" w:line="219" w:lineRule="auto"/>
        <w:ind w:left="465"/>
        <w:jc w:val="both"/>
        <w:textAlignment w:val="baseline"/>
        <w:outlineLvl w:val="2"/>
        <w:rPr>
          <w:sz w:val="24"/>
          <w:szCs w:val="24"/>
        </w:rPr>
      </w:pPr>
      <w:r>
        <w:rPr>
          <w:b/>
          <w:bCs/>
          <w:spacing w:val="-3"/>
          <w:sz w:val="24"/>
          <w:szCs w:val="24"/>
        </w:rPr>
        <w:t>2.15</w:t>
      </w:r>
      <w:r>
        <w:rPr>
          <w:spacing w:val="-3"/>
          <w:sz w:val="24"/>
          <w:szCs w:val="24"/>
        </w:rPr>
        <w:t xml:space="preserve"> </w:t>
      </w:r>
      <w:r>
        <w:rPr>
          <w:b/>
          <w:bCs/>
          <w:spacing w:val="-3"/>
          <w:sz w:val="24"/>
          <w:szCs w:val="24"/>
        </w:rPr>
        <w:t>检验和验收</w:t>
      </w:r>
    </w:p>
    <w:p w14:paraId="4A70DEFA">
      <w:pPr>
        <w:pStyle w:val="9"/>
        <w:spacing w:before="82" w:line="212" w:lineRule="auto"/>
        <w:ind w:firstLine="452" w:firstLineChars="200"/>
        <w:jc w:val="both"/>
        <w:rPr>
          <w:sz w:val="24"/>
          <w:szCs w:val="24"/>
        </w:rPr>
      </w:pPr>
      <w:r>
        <w:rPr>
          <w:spacing w:val="-7"/>
          <w:sz w:val="24"/>
          <w:szCs w:val="24"/>
        </w:rPr>
        <w:t>2.15.1</w:t>
      </w:r>
      <w:r>
        <w:rPr>
          <w:spacing w:val="-14"/>
          <w:sz w:val="24"/>
          <w:szCs w:val="24"/>
        </w:rPr>
        <w:t xml:space="preserve"> </w:t>
      </w:r>
      <w:r>
        <w:rPr>
          <w:spacing w:val="-7"/>
          <w:sz w:val="24"/>
          <w:szCs w:val="24"/>
        </w:rPr>
        <w:t>乙方按照</w:t>
      </w:r>
      <w:r>
        <w:rPr>
          <w:b/>
          <w:bCs/>
          <w:i/>
          <w:iCs/>
          <w:spacing w:val="-7"/>
          <w:sz w:val="25"/>
          <w:szCs w:val="25"/>
          <w:u w:val="single" w:color="auto"/>
        </w:rPr>
        <w:t>合同专用条款</w:t>
      </w:r>
      <w:r>
        <w:rPr>
          <w:spacing w:val="-7"/>
          <w:sz w:val="24"/>
          <w:szCs w:val="24"/>
        </w:rPr>
        <w:t>的约定，定期提交</w:t>
      </w:r>
      <w:r>
        <w:rPr>
          <w:rFonts w:hint="eastAsia"/>
          <w:spacing w:val="-7"/>
          <w:sz w:val="24"/>
          <w:szCs w:val="24"/>
          <w:lang w:val="en-US" w:eastAsia="zh-CN"/>
        </w:rPr>
        <w:t>货物</w:t>
      </w:r>
      <w:r>
        <w:rPr>
          <w:spacing w:val="-7"/>
          <w:sz w:val="24"/>
          <w:szCs w:val="24"/>
        </w:rPr>
        <w:t>报告，甲方按照</w:t>
      </w:r>
      <w:r>
        <w:rPr>
          <w:b/>
          <w:bCs/>
          <w:i/>
          <w:iCs/>
          <w:spacing w:val="-7"/>
          <w:sz w:val="25"/>
          <w:szCs w:val="25"/>
          <w:u w:val="single" w:color="auto"/>
        </w:rPr>
        <w:t>合同专</w:t>
      </w:r>
      <w:r>
        <w:rPr>
          <w:b/>
          <w:bCs/>
          <w:i/>
          <w:iCs/>
          <w:spacing w:val="-6"/>
          <w:sz w:val="25"/>
          <w:szCs w:val="25"/>
          <w:u w:val="single" w:color="auto"/>
        </w:rPr>
        <w:t>用条款</w:t>
      </w:r>
      <w:r>
        <w:rPr>
          <w:spacing w:val="-6"/>
          <w:sz w:val="24"/>
          <w:szCs w:val="24"/>
        </w:rPr>
        <w:t>的约定进行定期验收；</w:t>
      </w:r>
    </w:p>
    <w:p w14:paraId="0C392387">
      <w:pPr>
        <w:pStyle w:val="9"/>
        <w:keepNext w:val="0"/>
        <w:keepLines w:val="0"/>
        <w:pageBreakBefore w:val="0"/>
        <w:widowControl/>
        <w:kinsoku w:val="0"/>
        <w:wordWrap/>
        <w:overflowPunct/>
        <w:topLinePunct w:val="0"/>
        <w:autoSpaceDE w:val="0"/>
        <w:autoSpaceDN w:val="0"/>
        <w:bidi w:val="0"/>
        <w:adjustRightInd w:val="0"/>
        <w:snapToGrid w:val="0"/>
        <w:spacing w:before="183" w:line="324" w:lineRule="auto"/>
        <w:ind w:left="23" w:right="28" w:firstLine="437"/>
        <w:jc w:val="both"/>
        <w:textAlignment w:val="baseline"/>
        <w:rPr>
          <w:sz w:val="24"/>
          <w:szCs w:val="24"/>
        </w:rPr>
      </w:pPr>
      <w:r>
        <w:rPr>
          <w:spacing w:val="-4"/>
          <w:sz w:val="24"/>
          <w:szCs w:val="24"/>
        </w:rPr>
        <w:t>2.15.2</w:t>
      </w:r>
      <w:r>
        <w:rPr>
          <w:spacing w:val="-38"/>
          <w:sz w:val="24"/>
          <w:szCs w:val="24"/>
        </w:rPr>
        <w:t xml:space="preserve"> </w:t>
      </w:r>
      <w:r>
        <w:rPr>
          <w:spacing w:val="-4"/>
          <w:sz w:val="24"/>
          <w:szCs w:val="24"/>
        </w:rPr>
        <w:t>合同期满或者履行完毕后，甲方有权组织（包括依法邀请国家认可的</w:t>
      </w:r>
      <w:r>
        <w:rPr>
          <w:spacing w:val="-3"/>
          <w:sz w:val="24"/>
          <w:szCs w:val="24"/>
        </w:rPr>
        <w:t>质量检测机构参加）对乙方履约的验收，即：按照合同约定的标准，组织对乙方履约情况的验收，并出具验收书；向社会公众提供的公共</w:t>
      </w:r>
      <w:r>
        <w:rPr>
          <w:rFonts w:hint="eastAsia"/>
          <w:spacing w:val="-3"/>
          <w:sz w:val="24"/>
          <w:szCs w:val="24"/>
          <w:lang w:val="en-US" w:eastAsia="zh-CN"/>
        </w:rPr>
        <w:t>货物</w:t>
      </w:r>
      <w:r>
        <w:rPr>
          <w:spacing w:val="-3"/>
          <w:sz w:val="24"/>
          <w:szCs w:val="24"/>
        </w:rPr>
        <w:t>项目，验收时应当</w:t>
      </w:r>
      <w:r>
        <w:rPr>
          <w:spacing w:val="-1"/>
          <w:sz w:val="24"/>
          <w:szCs w:val="24"/>
        </w:rPr>
        <w:t>邀请服务对象参与并出具意见，验收结果应当向社会公告；</w:t>
      </w:r>
    </w:p>
    <w:p w14:paraId="6C13721F">
      <w:pPr>
        <w:pStyle w:val="9"/>
        <w:keepNext w:val="0"/>
        <w:keepLines w:val="0"/>
        <w:pageBreakBefore w:val="0"/>
        <w:widowControl/>
        <w:kinsoku w:val="0"/>
        <w:wordWrap/>
        <w:overflowPunct/>
        <w:topLinePunct w:val="0"/>
        <w:autoSpaceDE w:val="0"/>
        <w:autoSpaceDN w:val="0"/>
        <w:bidi w:val="0"/>
        <w:adjustRightInd w:val="0"/>
        <w:snapToGrid w:val="0"/>
        <w:spacing w:line="279" w:lineRule="auto"/>
        <w:ind w:left="51" w:firstLine="408"/>
        <w:jc w:val="both"/>
        <w:textAlignment w:val="baseline"/>
        <w:rPr>
          <w:sz w:val="25"/>
          <w:szCs w:val="25"/>
        </w:rPr>
      </w:pPr>
      <w:r>
        <w:rPr>
          <w:spacing w:val="-4"/>
          <w:sz w:val="24"/>
          <w:szCs w:val="24"/>
        </w:rPr>
        <w:t>2.15.3</w:t>
      </w:r>
      <w:r>
        <w:rPr>
          <w:spacing w:val="-46"/>
          <w:sz w:val="24"/>
          <w:szCs w:val="24"/>
        </w:rPr>
        <w:t xml:space="preserve"> </w:t>
      </w:r>
      <w:r>
        <w:rPr>
          <w:spacing w:val="-4"/>
          <w:sz w:val="24"/>
          <w:szCs w:val="24"/>
        </w:rPr>
        <w:t>检验和验收标准、程序等具体内容以及前述验收书的效力详见</w:t>
      </w:r>
      <w:r>
        <w:rPr>
          <w:b/>
          <w:bCs/>
          <w:i/>
          <w:iCs/>
          <w:spacing w:val="-4"/>
          <w:sz w:val="25"/>
          <w:szCs w:val="25"/>
          <w:u w:val="single" w:color="auto"/>
        </w:rPr>
        <w:t>合同专</w:t>
      </w:r>
      <w:r>
        <w:rPr>
          <w:b/>
          <w:bCs/>
          <w:i/>
          <w:iCs/>
          <w:spacing w:val="-11"/>
          <w:sz w:val="25"/>
          <w:szCs w:val="25"/>
          <w:u w:val="single" w:color="auto"/>
        </w:rPr>
        <w:t>用条款</w:t>
      </w:r>
      <w:r>
        <w:rPr>
          <w:i/>
          <w:iCs/>
          <w:spacing w:val="-11"/>
          <w:sz w:val="25"/>
          <w:szCs w:val="25"/>
        </w:rPr>
        <w:t>。</w:t>
      </w:r>
    </w:p>
    <w:p w14:paraId="538D4621">
      <w:pPr>
        <w:pStyle w:val="9"/>
        <w:spacing w:before="181" w:line="219" w:lineRule="auto"/>
        <w:ind w:left="463"/>
        <w:jc w:val="both"/>
        <w:outlineLvl w:val="2"/>
        <w:rPr>
          <w:sz w:val="24"/>
          <w:szCs w:val="24"/>
        </w:rPr>
      </w:pPr>
      <w:r>
        <w:rPr>
          <w:b/>
          <w:bCs/>
          <w:spacing w:val="-3"/>
          <w:sz w:val="24"/>
          <w:szCs w:val="24"/>
        </w:rPr>
        <w:t>2.16</w:t>
      </w:r>
      <w:r>
        <w:rPr>
          <w:spacing w:val="-3"/>
          <w:sz w:val="24"/>
          <w:szCs w:val="24"/>
        </w:rPr>
        <w:t xml:space="preserve"> </w:t>
      </w:r>
      <w:r>
        <w:rPr>
          <w:b/>
          <w:bCs/>
          <w:spacing w:val="-3"/>
          <w:sz w:val="24"/>
          <w:szCs w:val="24"/>
        </w:rPr>
        <w:t>合同使用的文字和适用的法律</w:t>
      </w:r>
    </w:p>
    <w:p w14:paraId="17F80877">
      <w:pPr>
        <w:pStyle w:val="9"/>
        <w:spacing w:before="182" w:line="219" w:lineRule="auto"/>
        <w:ind w:left="460"/>
        <w:jc w:val="both"/>
        <w:rPr>
          <w:sz w:val="24"/>
          <w:szCs w:val="24"/>
        </w:rPr>
      </w:pPr>
      <w:r>
        <w:rPr>
          <w:spacing w:val="-2"/>
          <w:sz w:val="24"/>
          <w:szCs w:val="24"/>
        </w:rPr>
        <w:t>2.16.1</w:t>
      </w:r>
      <w:r>
        <w:rPr>
          <w:spacing w:val="-32"/>
          <w:sz w:val="24"/>
          <w:szCs w:val="24"/>
        </w:rPr>
        <w:t xml:space="preserve"> </w:t>
      </w:r>
      <w:r>
        <w:rPr>
          <w:spacing w:val="-2"/>
          <w:sz w:val="24"/>
          <w:szCs w:val="24"/>
        </w:rPr>
        <w:t>合同使用汉语</w:t>
      </w:r>
      <w:r>
        <w:rPr>
          <w:rFonts w:hint="eastAsia"/>
          <w:spacing w:val="-2"/>
          <w:sz w:val="24"/>
          <w:szCs w:val="24"/>
          <w:lang w:eastAsia="zh-CN"/>
        </w:rPr>
        <w:t>书写</w:t>
      </w:r>
      <w:r>
        <w:rPr>
          <w:spacing w:val="-2"/>
          <w:sz w:val="24"/>
          <w:szCs w:val="24"/>
        </w:rPr>
        <w:t>、变更和解释；</w:t>
      </w:r>
    </w:p>
    <w:p w14:paraId="72900F78">
      <w:pPr>
        <w:pStyle w:val="9"/>
        <w:spacing w:before="184" w:line="219" w:lineRule="auto"/>
        <w:ind w:left="460"/>
        <w:jc w:val="both"/>
        <w:rPr>
          <w:sz w:val="24"/>
          <w:szCs w:val="24"/>
        </w:rPr>
      </w:pPr>
      <w:r>
        <w:rPr>
          <w:spacing w:val="-2"/>
          <w:sz w:val="24"/>
          <w:szCs w:val="24"/>
        </w:rPr>
        <w:t>2.16.2</w:t>
      </w:r>
      <w:r>
        <w:rPr>
          <w:spacing w:val="-34"/>
          <w:sz w:val="24"/>
          <w:szCs w:val="24"/>
        </w:rPr>
        <w:t xml:space="preserve"> </w:t>
      </w:r>
      <w:r>
        <w:rPr>
          <w:spacing w:val="-2"/>
          <w:sz w:val="24"/>
          <w:szCs w:val="24"/>
        </w:rPr>
        <w:t>合同适用中华人民共和国法律。</w:t>
      </w:r>
    </w:p>
    <w:p w14:paraId="03BBC899">
      <w:pPr>
        <w:pStyle w:val="9"/>
        <w:keepNext w:val="0"/>
        <w:keepLines w:val="0"/>
        <w:pageBreakBefore w:val="0"/>
        <w:widowControl/>
        <w:kinsoku w:val="0"/>
        <w:wordWrap/>
        <w:overflowPunct/>
        <w:topLinePunct w:val="0"/>
        <w:autoSpaceDE w:val="0"/>
        <w:autoSpaceDN w:val="0"/>
        <w:bidi w:val="0"/>
        <w:adjustRightInd w:val="0"/>
        <w:snapToGrid w:val="0"/>
        <w:spacing w:before="0" w:beforeLines="50" w:beforeAutospacing="0" w:after="0" w:afterLines="50" w:afterAutospacing="0" w:line="221" w:lineRule="auto"/>
        <w:ind w:firstLine="470" w:firstLineChars="200"/>
        <w:jc w:val="both"/>
        <w:textAlignment w:val="baseline"/>
        <w:outlineLvl w:val="2"/>
        <w:rPr>
          <w:sz w:val="24"/>
          <w:szCs w:val="24"/>
        </w:rPr>
      </w:pPr>
      <w:r>
        <w:rPr>
          <w:b/>
          <w:bCs/>
          <w:spacing w:val="-3"/>
          <w:sz w:val="24"/>
          <w:szCs w:val="24"/>
        </w:rPr>
        <w:t>2.17</w:t>
      </w:r>
      <w:r>
        <w:rPr>
          <w:spacing w:val="-3"/>
          <w:sz w:val="24"/>
          <w:szCs w:val="24"/>
        </w:rPr>
        <w:t xml:space="preserve"> </w:t>
      </w:r>
      <w:r>
        <w:rPr>
          <w:b/>
          <w:bCs/>
          <w:spacing w:val="-3"/>
          <w:sz w:val="24"/>
          <w:szCs w:val="24"/>
        </w:rPr>
        <w:t>履约保证金</w:t>
      </w:r>
    </w:p>
    <w:p w14:paraId="53051CAF">
      <w:pPr>
        <w:pStyle w:val="9"/>
        <w:keepNext w:val="0"/>
        <w:keepLines w:val="0"/>
        <w:pageBreakBefore w:val="0"/>
        <w:widowControl/>
        <w:kinsoku w:val="0"/>
        <w:wordWrap/>
        <w:overflowPunct/>
        <w:topLinePunct w:val="0"/>
        <w:autoSpaceDE w:val="0"/>
        <w:autoSpaceDN w:val="0"/>
        <w:bidi w:val="0"/>
        <w:adjustRightInd w:val="0"/>
        <w:snapToGrid w:val="0"/>
        <w:spacing w:beforeAutospacing="0" w:afterAutospacing="0" w:line="309" w:lineRule="auto"/>
        <w:ind w:left="24" w:right="28" w:firstLine="436"/>
        <w:jc w:val="both"/>
        <w:textAlignment w:val="baseline"/>
        <w:rPr>
          <w:sz w:val="24"/>
          <w:szCs w:val="24"/>
        </w:rPr>
      </w:pPr>
      <w:r>
        <w:rPr>
          <w:spacing w:val="-6"/>
          <w:sz w:val="24"/>
          <w:szCs w:val="24"/>
        </w:rPr>
        <w:t>2.17.1</w:t>
      </w:r>
      <w:r>
        <w:rPr>
          <w:spacing w:val="-42"/>
          <w:sz w:val="24"/>
          <w:szCs w:val="24"/>
        </w:rPr>
        <w:t xml:space="preserve"> </w:t>
      </w:r>
      <w:r>
        <w:rPr>
          <w:spacing w:val="-6"/>
          <w:sz w:val="24"/>
          <w:szCs w:val="24"/>
        </w:rPr>
        <w:t>采购文件要求乙方提交履约保证金的，乙方应按</w:t>
      </w:r>
      <w:r>
        <w:rPr>
          <w:b/>
          <w:bCs/>
          <w:i/>
          <w:iCs/>
          <w:spacing w:val="-6"/>
          <w:sz w:val="25"/>
          <w:szCs w:val="25"/>
          <w:u w:val="single" w:color="auto"/>
        </w:rPr>
        <w:t>合同专用条款</w:t>
      </w:r>
      <w:r>
        <w:rPr>
          <w:spacing w:val="-6"/>
          <w:sz w:val="24"/>
          <w:szCs w:val="24"/>
        </w:rPr>
        <w:t>约定的</w:t>
      </w:r>
      <w:r>
        <w:rPr>
          <w:spacing w:val="-3"/>
          <w:sz w:val="24"/>
          <w:szCs w:val="24"/>
        </w:rPr>
        <w:t>方式，以支票、汇票、本票或者金融机构、担保机构出具的保函等非现金形式提</w:t>
      </w:r>
      <w:r>
        <w:rPr>
          <w:spacing w:val="-6"/>
          <w:sz w:val="24"/>
          <w:szCs w:val="24"/>
        </w:rPr>
        <w:t>交；</w:t>
      </w:r>
    </w:p>
    <w:p w14:paraId="5DFBFB62">
      <w:pPr>
        <w:pStyle w:val="9"/>
        <w:keepNext w:val="0"/>
        <w:keepLines w:val="0"/>
        <w:pageBreakBefore w:val="0"/>
        <w:widowControl/>
        <w:kinsoku w:val="0"/>
        <w:wordWrap/>
        <w:overflowPunct/>
        <w:topLinePunct w:val="0"/>
        <w:autoSpaceDE w:val="0"/>
        <w:autoSpaceDN w:val="0"/>
        <w:bidi w:val="0"/>
        <w:adjustRightInd w:val="0"/>
        <w:snapToGrid w:val="0"/>
        <w:spacing w:beforeAutospacing="0" w:afterAutospacing="0" w:line="321" w:lineRule="auto"/>
        <w:ind w:left="22" w:right="28" w:firstLine="438"/>
        <w:jc w:val="both"/>
        <w:textAlignment w:val="baseline"/>
        <w:rPr>
          <w:sz w:val="24"/>
          <w:szCs w:val="24"/>
          <w:highlight w:val="none"/>
        </w:rPr>
      </w:pPr>
      <w:r>
        <w:rPr>
          <w:spacing w:val="1"/>
          <w:sz w:val="24"/>
          <w:szCs w:val="24"/>
          <w:highlight w:val="none"/>
        </w:rPr>
        <w:t>2.17.2</w:t>
      </w:r>
      <w:r>
        <w:rPr>
          <w:spacing w:val="-42"/>
          <w:sz w:val="24"/>
          <w:szCs w:val="24"/>
          <w:highlight w:val="none"/>
        </w:rPr>
        <w:t xml:space="preserve"> </w:t>
      </w:r>
      <w:r>
        <w:rPr>
          <w:spacing w:val="1"/>
          <w:sz w:val="24"/>
          <w:szCs w:val="24"/>
          <w:highlight w:val="none"/>
        </w:rPr>
        <w:t>履约保证金在</w:t>
      </w:r>
      <w:r>
        <w:rPr>
          <w:b/>
          <w:bCs/>
          <w:i/>
          <w:iCs/>
          <w:spacing w:val="1"/>
          <w:sz w:val="25"/>
          <w:szCs w:val="25"/>
          <w:highlight w:val="none"/>
          <w:u w:val="single" w:color="auto"/>
        </w:rPr>
        <w:t>合同专用条款</w:t>
      </w:r>
      <w:r>
        <w:rPr>
          <w:spacing w:val="1"/>
          <w:sz w:val="24"/>
          <w:szCs w:val="24"/>
          <w:highlight w:val="none"/>
        </w:rPr>
        <w:t>约定期间内或</w:t>
      </w:r>
      <w:r>
        <w:rPr>
          <w:sz w:val="24"/>
          <w:szCs w:val="24"/>
          <w:highlight w:val="none"/>
        </w:rPr>
        <w:t>者货物质量保证期内不予</w:t>
      </w:r>
      <w:r>
        <w:rPr>
          <w:spacing w:val="-3"/>
          <w:sz w:val="24"/>
          <w:szCs w:val="24"/>
          <w:highlight w:val="none"/>
        </w:rPr>
        <w:t>退还或者应完全有效，前述约定期间届满或者货物质量保证期届满之日</w:t>
      </w:r>
      <w:r>
        <w:rPr>
          <w:spacing w:val="-4"/>
          <w:sz w:val="24"/>
          <w:szCs w:val="24"/>
          <w:highlight w:val="none"/>
        </w:rPr>
        <w:t>起</w:t>
      </w:r>
      <w:r>
        <w:rPr>
          <w:spacing w:val="-4"/>
          <w:sz w:val="24"/>
          <w:szCs w:val="24"/>
          <w:highlight w:val="none"/>
          <w:u w:val="single" w:color="auto"/>
        </w:rPr>
        <w:t xml:space="preserve">  </w:t>
      </w:r>
      <w:r>
        <w:rPr>
          <w:spacing w:val="-111"/>
          <w:sz w:val="24"/>
          <w:szCs w:val="24"/>
          <w:highlight w:val="none"/>
        </w:rPr>
        <w:t xml:space="preserve"> </w:t>
      </w:r>
      <w:r>
        <w:rPr>
          <w:spacing w:val="-4"/>
          <w:sz w:val="24"/>
          <w:szCs w:val="24"/>
          <w:highlight w:val="none"/>
        </w:rPr>
        <w:t>个工</w:t>
      </w:r>
      <w:r>
        <w:rPr>
          <w:spacing w:val="-3"/>
          <w:sz w:val="24"/>
          <w:szCs w:val="24"/>
          <w:highlight w:val="none"/>
        </w:rPr>
        <w:t>作日内，甲方应将履约保证金退还乙方，甲方逾期退还履约保证金应承担违约责</w:t>
      </w:r>
      <w:r>
        <w:rPr>
          <w:spacing w:val="-5"/>
          <w:sz w:val="24"/>
          <w:szCs w:val="24"/>
          <w:highlight w:val="none"/>
        </w:rPr>
        <w:t>任。</w:t>
      </w:r>
    </w:p>
    <w:p w14:paraId="68711D5B">
      <w:pPr>
        <w:pStyle w:val="9"/>
        <w:keepNext w:val="0"/>
        <w:keepLines w:val="0"/>
        <w:pageBreakBefore w:val="0"/>
        <w:widowControl/>
        <w:kinsoku w:val="0"/>
        <w:wordWrap/>
        <w:overflowPunct/>
        <w:topLinePunct w:val="0"/>
        <w:autoSpaceDE w:val="0"/>
        <w:autoSpaceDN w:val="0"/>
        <w:bidi w:val="0"/>
        <w:adjustRightInd w:val="0"/>
        <w:snapToGrid w:val="0"/>
        <w:spacing w:beforeAutospacing="0" w:afterAutospacing="0" w:line="313" w:lineRule="auto"/>
        <w:ind w:left="24" w:right="28" w:firstLine="436"/>
        <w:jc w:val="both"/>
        <w:textAlignment w:val="baseline"/>
        <w:rPr>
          <w:sz w:val="24"/>
          <w:szCs w:val="24"/>
        </w:rPr>
      </w:pPr>
      <w:r>
        <w:rPr>
          <w:spacing w:val="-4"/>
          <w:sz w:val="24"/>
          <w:szCs w:val="24"/>
        </w:rPr>
        <w:t>2.17.3</w:t>
      </w:r>
      <w:r>
        <w:rPr>
          <w:spacing w:val="-38"/>
          <w:sz w:val="24"/>
          <w:szCs w:val="24"/>
        </w:rPr>
        <w:t xml:space="preserve"> </w:t>
      </w:r>
      <w:r>
        <w:rPr>
          <w:spacing w:val="-4"/>
          <w:sz w:val="24"/>
          <w:szCs w:val="24"/>
        </w:rPr>
        <w:t>如果乙方不履行合同，履约保证金不予退还；如果乙方未能按合同约</w:t>
      </w:r>
      <w:r>
        <w:rPr>
          <w:spacing w:val="-3"/>
          <w:sz w:val="24"/>
          <w:szCs w:val="24"/>
        </w:rPr>
        <w:t>定全面履行义务，那么甲方有权从履约保证金中取得补偿或赔偿，同时不影响甲</w:t>
      </w:r>
      <w:r>
        <w:rPr>
          <w:spacing w:val="-1"/>
          <w:sz w:val="24"/>
          <w:szCs w:val="24"/>
        </w:rPr>
        <w:t>方要求乙方承担合同约定的超过履约保证金的违约责任的权利。</w:t>
      </w:r>
    </w:p>
    <w:p w14:paraId="4020025B">
      <w:pPr>
        <w:pStyle w:val="9"/>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219" w:lineRule="auto"/>
        <w:ind w:left="463"/>
        <w:jc w:val="both"/>
        <w:textAlignment w:val="baseline"/>
        <w:outlineLvl w:val="2"/>
        <w:rPr>
          <w:sz w:val="24"/>
          <w:szCs w:val="24"/>
        </w:rPr>
      </w:pPr>
      <w:r>
        <w:rPr>
          <w:b/>
          <w:bCs/>
          <w:spacing w:val="-3"/>
          <w:sz w:val="24"/>
          <w:szCs w:val="24"/>
        </w:rPr>
        <w:t>2.18</w:t>
      </w:r>
      <w:r>
        <w:rPr>
          <w:spacing w:val="-3"/>
          <w:sz w:val="24"/>
          <w:szCs w:val="24"/>
        </w:rPr>
        <w:t xml:space="preserve"> </w:t>
      </w:r>
      <w:r>
        <w:rPr>
          <w:b/>
          <w:bCs/>
          <w:spacing w:val="-3"/>
          <w:sz w:val="24"/>
          <w:szCs w:val="24"/>
        </w:rPr>
        <w:t>合同份数</w:t>
      </w:r>
    </w:p>
    <w:p w14:paraId="41DC7B9E">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07" w:lineRule="auto"/>
        <w:ind w:firstLine="468" w:firstLineChars="200"/>
        <w:textAlignment w:val="baseline"/>
        <w:rPr>
          <w:spacing w:val="-4"/>
          <w:sz w:val="24"/>
          <w:szCs w:val="24"/>
        </w:rPr>
      </w:pPr>
      <w:r>
        <w:rPr>
          <w:spacing w:val="-3"/>
          <w:sz w:val="24"/>
          <w:szCs w:val="24"/>
        </w:rPr>
        <w:t>合同份数按</w:t>
      </w:r>
      <w:r>
        <w:rPr>
          <w:b/>
          <w:bCs/>
          <w:i/>
          <w:iCs/>
          <w:spacing w:val="-3"/>
          <w:sz w:val="25"/>
          <w:szCs w:val="25"/>
          <w:u w:val="single" w:color="auto"/>
        </w:rPr>
        <w:t>合同专用条款</w:t>
      </w:r>
      <w:r>
        <w:rPr>
          <w:spacing w:val="-3"/>
          <w:sz w:val="24"/>
          <w:szCs w:val="24"/>
        </w:rPr>
        <w:t>规定，每份均具有同等</w:t>
      </w:r>
      <w:r>
        <w:rPr>
          <w:spacing w:val="-4"/>
          <w:sz w:val="24"/>
          <w:szCs w:val="24"/>
        </w:rPr>
        <w:t>法律效力。</w:t>
      </w:r>
    </w:p>
    <w:p w14:paraId="3143E712">
      <w:pPr>
        <w:rPr>
          <w:spacing w:val="-4"/>
          <w:sz w:val="24"/>
          <w:szCs w:val="24"/>
        </w:rPr>
      </w:pPr>
      <w:r>
        <w:rPr>
          <w:spacing w:val="-4"/>
          <w:sz w:val="24"/>
          <w:szCs w:val="24"/>
        </w:rPr>
        <w:br w:type="page"/>
      </w:r>
    </w:p>
    <w:p w14:paraId="5F67BA20">
      <w:pPr>
        <w:spacing w:line="307" w:lineRule="auto"/>
        <w:rPr>
          <w:spacing w:val="-4"/>
          <w:sz w:val="24"/>
          <w:szCs w:val="24"/>
        </w:rPr>
      </w:pPr>
    </w:p>
    <w:p w14:paraId="35A9C258">
      <w:pPr>
        <w:pStyle w:val="9"/>
        <w:spacing w:before="78" w:line="219" w:lineRule="auto"/>
        <w:ind w:left="2929"/>
        <w:outlineLvl w:val="1"/>
        <w:rPr>
          <w:sz w:val="24"/>
          <w:szCs w:val="24"/>
        </w:rPr>
      </w:pPr>
      <w:bookmarkStart w:id="15" w:name="_Toc23822"/>
      <w:r>
        <w:rPr>
          <w:b/>
          <w:bCs/>
          <w:spacing w:val="-3"/>
          <w:sz w:val="24"/>
          <w:szCs w:val="24"/>
        </w:rPr>
        <w:t>第三部分</w:t>
      </w:r>
      <w:r>
        <w:rPr>
          <w:spacing w:val="-3"/>
          <w:sz w:val="24"/>
          <w:szCs w:val="24"/>
        </w:rPr>
        <w:t xml:space="preserve"> </w:t>
      </w:r>
      <w:r>
        <w:rPr>
          <w:b/>
          <w:bCs/>
          <w:spacing w:val="-3"/>
          <w:sz w:val="24"/>
          <w:szCs w:val="24"/>
        </w:rPr>
        <w:t>合同专用条款</w:t>
      </w:r>
      <w:bookmarkEnd w:id="15"/>
    </w:p>
    <w:p w14:paraId="631A292B">
      <w:pPr>
        <w:pStyle w:val="9"/>
        <w:spacing w:before="181" w:line="331" w:lineRule="auto"/>
        <w:ind w:left="42" w:right="34" w:firstLine="435"/>
        <w:jc w:val="both"/>
        <w:rPr>
          <w:sz w:val="24"/>
          <w:szCs w:val="24"/>
        </w:rPr>
      </w:pPr>
      <w:r>
        <w:rPr>
          <w:spacing w:val="-2"/>
          <w:sz w:val="24"/>
          <w:szCs w:val="24"/>
        </w:rPr>
        <w:t>本部分是对前两部分的补充和修改，如果前两部分和本部分的约定不一致，</w:t>
      </w:r>
      <w:r>
        <w:rPr>
          <w:spacing w:val="-3"/>
          <w:sz w:val="24"/>
          <w:szCs w:val="24"/>
        </w:rPr>
        <w:t>应以本部分的约定为准。本部分的条款号应与前两部分的条款号保持对应；与前</w:t>
      </w:r>
      <w:r>
        <w:rPr>
          <w:spacing w:val="-1"/>
          <w:sz w:val="24"/>
          <w:szCs w:val="24"/>
        </w:rPr>
        <w:t>两部分无对应关系的内容可另行编制条款号。</w:t>
      </w:r>
    </w:p>
    <w:tbl>
      <w:tblPr>
        <w:tblStyle w:val="40"/>
        <w:tblW w:w="8366"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98"/>
        <w:gridCol w:w="7568"/>
      </w:tblGrid>
      <w:tr w14:paraId="6E0E58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798" w:type="dxa"/>
            <w:tcBorders>
              <w:left w:val="single" w:color="000000" w:sz="2" w:space="0"/>
            </w:tcBorders>
            <w:vAlign w:val="center"/>
          </w:tcPr>
          <w:p w14:paraId="7858D820">
            <w:pPr>
              <w:bidi w:val="0"/>
              <w:jc w:val="center"/>
              <w:rPr>
                <w:rFonts w:hint="eastAsia" w:ascii="宋体" w:hAnsi="宋体" w:eastAsia="宋体" w:cs="宋体"/>
                <w:b/>
                <w:bCs/>
              </w:rPr>
            </w:pPr>
            <w:r>
              <w:rPr>
                <w:rFonts w:hint="eastAsia" w:ascii="宋体" w:hAnsi="宋体" w:eastAsia="宋体" w:cs="宋体"/>
                <w:b/>
                <w:bCs/>
              </w:rPr>
              <w:t>条款号</w:t>
            </w:r>
          </w:p>
        </w:tc>
        <w:tc>
          <w:tcPr>
            <w:tcW w:w="7568" w:type="dxa"/>
            <w:vAlign w:val="center"/>
          </w:tcPr>
          <w:p w14:paraId="56010233">
            <w:pPr>
              <w:bidi w:val="0"/>
              <w:jc w:val="center"/>
              <w:rPr>
                <w:rFonts w:hint="eastAsia" w:ascii="宋体" w:hAnsi="宋体" w:eastAsia="宋体" w:cs="宋体"/>
                <w:b/>
                <w:bCs/>
              </w:rPr>
            </w:pPr>
            <w:bookmarkStart w:id="16" w:name="_Toc31478"/>
            <w:r>
              <w:rPr>
                <w:rFonts w:hint="eastAsia" w:ascii="宋体" w:hAnsi="宋体" w:eastAsia="宋体" w:cs="宋体"/>
                <w:b/>
                <w:bCs/>
              </w:rPr>
              <w:t>约定内容</w:t>
            </w:r>
            <w:bookmarkEnd w:id="16"/>
          </w:p>
        </w:tc>
      </w:tr>
      <w:tr w14:paraId="622884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798" w:type="dxa"/>
            <w:tcBorders>
              <w:left w:val="single" w:color="000000" w:sz="2" w:space="0"/>
            </w:tcBorders>
            <w:vAlign w:val="top"/>
          </w:tcPr>
          <w:p w14:paraId="4DC7CCFD">
            <w:pPr>
              <w:rPr>
                <w:rFonts w:ascii="Arial"/>
                <w:sz w:val="21"/>
              </w:rPr>
            </w:pPr>
          </w:p>
        </w:tc>
        <w:tc>
          <w:tcPr>
            <w:tcW w:w="7568" w:type="dxa"/>
            <w:vAlign w:val="top"/>
          </w:tcPr>
          <w:p w14:paraId="044C8C19">
            <w:pPr>
              <w:rPr>
                <w:rFonts w:ascii="Arial"/>
                <w:sz w:val="21"/>
              </w:rPr>
            </w:pPr>
          </w:p>
        </w:tc>
      </w:tr>
      <w:tr w14:paraId="626302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798" w:type="dxa"/>
            <w:tcBorders>
              <w:left w:val="single" w:color="000000" w:sz="2" w:space="0"/>
            </w:tcBorders>
            <w:vAlign w:val="top"/>
          </w:tcPr>
          <w:p w14:paraId="26A3EE39">
            <w:pPr>
              <w:rPr>
                <w:rFonts w:ascii="Arial"/>
                <w:sz w:val="21"/>
              </w:rPr>
            </w:pPr>
          </w:p>
        </w:tc>
        <w:tc>
          <w:tcPr>
            <w:tcW w:w="7568" w:type="dxa"/>
            <w:vAlign w:val="top"/>
          </w:tcPr>
          <w:p w14:paraId="535D5415">
            <w:pPr>
              <w:rPr>
                <w:rFonts w:ascii="Arial"/>
                <w:sz w:val="21"/>
              </w:rPr>
            </w:pPr>
          </w:p>
        </w:tc>
      </w:tr>
      <w:tr w14:paraId="05507A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798" w:type="dxa"/>
            <w:tcBorders>
              <w:left w:val="single" w:color="000000" w:sz="2" w:space="0"/>
            </w:tcBorders>
            <w:vAlign w:val="top"/>
          </w:tcPr>
          <w:p w14:paraId="51C1EBDD">
            <w:pPr>
              <w:rPr>
                <w:rFonts w:ascii="Arial"/>
                <w:sz w:val="21"/>
              </w:rPr>
            </w:pPr>
          </w:p>
        </w:tc>
        <w:tc>
          <w:tcPr>
            <w:tcW w:w="7568" w:type="dxa"/>
            <w:vAlign w:val="top"/>
          </w:tcPr>
          <w:p w14:paraId="02B69014">
            <w:pPr>
              <w:rPr>
                <w:rFonts w:ascii="Arial"/>
                <w:sz w:val="21"/>
              </w:rPr>
            </w:pPr>
          </w:p>
        </w:tc>
      </w:tr>
      <w:tr w14:paraId="60794B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798" w:type="dxa"/>
            <w:tcBorders>
              <w:left w:val="single" w:color="000000" w:sz="2" w:space="0"/>
            </w:tcBorders>
            <w:vAlign w:val="top"/>
          </w:tcPr>
          <w:p w14:paraId="0A501526">
            <w:pPr>
              <w:rPr>
                <w:rFonts w:ascii="Arial"/>
                <w:sz w:val="21"/>
              </w:rPr>
            </w:pPr>
          </w:p>
        </w:tc>
        <w:tc>
          <w:tcPr>
            <w:tcW w:w="7568" w:type="dxa"/>
            <w:vAlign w:val="top"/>
          </w:tcPr>
          <w:p w14:paraId="44F43B7C">
            <w:pPr>
              <w:rPr>
                <w:rFonts w:ascii="Arial"/>
                <w:sz w:val="21"/>
              </w:rPr>
            </w:pPr>
          </w:p>
        </w:tc>
      </w:tr>
      <w:tr w14:paraId="782EF1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798" w:type="dxa"/>
            <w:tcBorders>
              <w:left w:val="single" w:color="000000" w:sz="2" w:space="0"/>
            </w:tcBorders>
            <w:vAlign w:val="top"/>
          </w:tcPr>
          <w:p w14:paraId="2025A235">
            <w:pPr>
              <w:rPr>
                <w:rFonts w:ascii="Arial"/>
                <w:sz w:val="21"/>
              </w:rPr>
            </w:pPr>
          </w:p>
        </w:tc>
        <w:tc>
          <w:tcPr>
            <w:tcW w:w="7568" w:type="dxa"/>
            <w:vAlign w:val="top"/>
          </w:tcPr>
          <w:p w14:paraId="4FD78B02">
            <w:pPr>
              <w:rPr>
                <w:rFonts w:ascii="Arial"/>
                <w:sz w:val="21"/>
              </w:rPr>
            </w:pPr>
          </w:p>
        </w:tc>
      </w:tr>
      <w:tr w14:paraId="060C1E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798" w:type="dxa"/>
            <w:tcBorders>
              <w:left w:val="single" w:color="000000" w:sz="2" w:space="0"/>
            </w:tcBorders>
            <w:vAlign w:val="top"/>
          </w:tcPr>
          <w:p w14:paraId="13D49E15">
            <w:pPr>
              <w:rPr>
                <w:rFonts w:ascii="Arial"/>
                <w:sz w:val="21"/>
              </w:rPr>
            </w:pPr>
          </w:p>
        </w:tc>
        <w:tc>
          <w:tcPr>
            <w:tcW w:w="7568" w:type="dxa"/>
            <w:vAlign w:val="top"/>
          </w:tcPr>
          <w:p w14:paraId="632433D3">
            <w:pPr>
              <w:rPr>
                <w:rFonts w:ascii="Arial"/>
                <w:sz w:val="21"/>
              </w:rPr>
            </w:pPr>
          </w:p>
        </w:tc>
      </w:tr>
      <w:tr w14:paraId="27374B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798" w:type="dxa"/>
            <w:tcBorders>
              <w:left w:val="single" w:color="000000" w:sz="2" w:space="0"/>
            </w:tcBorders>
            <w:vAlign w:val="top"/>
          </w:tcPr>
          <w:p w14:paraId="54F00FFE">
            <w:pPr>
              <w:rPr>
                <w:rFonts w:ascii="Arial"/>
                <w:sz w:val="21"/>
              </w:rPr>
            </w:pPr>
          </w:p>
        </w:tc>
        <w:tc>
          <w:tcPr>
            <w:tcW w:w="7568" w:type="dxa"/>
            <w:vAlign w:val="top"/>
          </w:tcPr>
          <w:p w14:paraId="7287E8D4">
            <w:pPr>
              <w:rPr>
                <w:rFonts w:ascii="Arial"/>
                <w:sz w:val="21"/>
              </w:rPr>
            </w:pPr>
          </w:p>
        </w:tc>
      </w:tr>
      <w:tr w14:paraId="36A4C3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798" w:type="dxa"/>
            <w:tcBorders>
              <w:left w:val="single" w:color="000000" w:sz="2" w:space="0"/>
            </w:tcBorders>
            <w:vAlign w:val="top"/>
          </w:tcPr>
          <w:p w14:paraId="7717D6E4">
            <w:pPr>
              <w:rPr>
                <w:rFonts w:ascii="Arial"/>
                <w:sz w:val="21"/>
              </w:rPr>
            </w:pPr>
          </w:p>
        </w:tc>
        <w:tc>
          <w:tcPr>
            <w:tcW w:w="7568" w:type="dxa"/>
            <w:vAlign w:val="top"/>
          </w:tcPr>
          <w:p w14:paraId="31E4F9F2">
            <w:pPr>
              <w:rPr>
                <w:rFonts w:ascii="Arial"/>
                <w:sz w:val="21"/>
              </w:rPr>
            </w:pPr>
          </w:p>
        </w:tc>
      </w:tr>
      <w:tr w14:paraId="0CC7E6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798" w:type="dxa"/>
            <w:tcBorders>
              <w:left w:val="single" w:color="000000" w:sz="2" w:space="0"/>
            </w:tcBorders>
            <w:vAlign w:val="top"/>
          </w:tcPr>
          <w:p w14:paraId="373FB520">
            <w:pPr>
              <w:rPr>
                <w:rFonts w:ascii="Arial"/>
                <w:sz w:val="21"/>
              </w:rPr>
            </w:pPr>
          </w:p>
        </w:tc>
        <w:tc>
          <w:tcPr>
            <w:tcW w:w="7568" w:type="dxa"/>
            <w:vAlign w:val="top"/>
          </w:tcPr>
          <w:p w14:paraId="37AD410A">
            <w:pPr>
              <w:rPr>
                <w:rFonts w:ascii="Arial"/>
                <w:sz w:val="21"/>
              </w:rPr>
            </w:pPr>
          </w:p>
        </w:tc>
      </w:tr>
      <w:tr w14:paraId="5F5B96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798" w:type="dxa"/>
            <w:tcBorders>
              <w:left w:val="single" w:color="000000" w:sz="2" w:space="0"/>
            </w:tcBorders>
            <w:vAlign w:val="top"/>
          </w:tcPr>
          <w:p w14:paraId="1D8F4F90">
            <w:pPr>
              <w:rPr>
                <w:rFonts w:ascii="Arial"/>
                <w:sz w:val="21"/>
              </w:rPr>
            </w:pPr>
          </w:p>
        </w:tc>
        <w:tc>
          <w:tcPr>
            <w:tcW w:w="7568" w:type="dxa"/>
            <w:vAlign w:val="top"/>
          </w:tcPr>
          <w:p w14:paraId="53D72091">
            <w:pPr>
              <w:rPr>
                <w:rFonts w:ascii="Arial"/>
                <w:sz w:val="21"/>
              </w:rPr>
            </w:pPr>
          </w:p>
        </w:tc>
      </w:tr>
      <w:tr w14:paraId="04A27F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5" w:hRule="atLeast"/>
        </w:trPr>
        <w:tc>
          <w:tcPr>
            <w:tcW w:w="798" w:type="dxa"/>
            <w:tcBorders>
              <w:left w:val="single" w:color="000000" w:sz="2" w:space="0"/>
            </w:tcBorders>
            <w:vAlign w:val="top"/>
          </w:tcPr>
          <w:p w14:paraId="62EFC406">
            <w:pPr>
              <w:rPr>
                <w:rFonts w:ascii="Arial"/>
                <w:sz w:val="21"/>
              </w:rPr>
            </w:pPr>
          </w:p>
        </w:tc>
        <w:tc>
          <w:tcPr>
            <w:tcW w:w="7568" w:type="dxa"/>
            <w:vAlign w:val="top"/>
          </w:tcPr>
          <w:p w14:paraId="77FEF9B3">
            <w:pPr>
              <w:rPr>
                <w:rFonts w:ascii="Arial"/>
                <w:sz w:val="21"/>
              </w:rPr>
            </w:pPr>
          </w:p>
        </w:tc>
      </w:tr>
      <w:tr w14:paraId="26FD0C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798" w:type="dxa"/>
            <w:tcBorders>
              <w:left w:val="single" w:color="000000" w:sz="2" w:space="0"/>
            </w:tcBorders>
            <w:vAlign w:val="top"/>
          </w:tcPr>
          <w:p w14:paraId="6BF00979">
            <w:pPr>
              <w:rPr>
                <w:rFonts w:ascii="Arial"/>
                <w:sz w:val="21"/>
              </w:rPr>
            </w:pPr>
          </w:p>
        </w:tc>
        <w:tc>
          <w:tcPr>
            <w:tcW w:w="7568" w:type="dxa"/>
            <w:vAlign w:val="top"/>
          </w:tcPr>
          <w:p w14:paraId="4424A68D">
            <w:pPr>
              <w:rPr>
                <w:rFonts w:ascii="Arial"/>
                <w:sz w:val="21"/>
              </w:rPr>
            </w:pPr>
          </w:p>
        </w:tc>
      </w:tr>
    </w:tbl>
    <w:p w14:paraId="5B6AD5BF">
      <w:pPr>
        <w:rPr>
          <w:rFonts w:ascii="Arial" w:hAnsi="Arial" w:eastAsia="Arial" w:cs="Arial"/>
          <w:sz w:val="21"/>
          <w:szCs w:val="21"/>
        </w:rPr>
        <w:sectPr>
          <w:headerReference r:id="rId12" w:type="default"/>
          <w:footerReference r:id="rId13" w:type="default"/>
          <w:pgSz w:w="11906" w:h="16839"/>
          <w:pgMar w:top="1166" w:right="1764" w:bottom="1362" w:left="1767" w:header="829" w:footer="1200" w:gutter="0"/>
          <w:pgNumType w:fmt="decimal"/>
          <w:cols w:space="720" w:num="1"/>
        </w:sectPr>
      </w:pPr>
    </w:p>
    <w:p w14:paraId="30BF7248">
      <w:pPr>
        <w:pStyle w:val="2"/>
        <w:bidi w:val="0"/>
        <w:ind w:firstLine="2650" w:firstLineChars="600"/>
        <w:jc w:val="both"/>
        <w:rPr>
          <w:rFonts w:hint="eastAsia"/>
          <w:highlight w:val="yellow"/>
        </w:rPr>
      </w:pPr>
      <w:r>
        <w:rPr>
          <w:rStyle w:val="31"/>
          <w:rFonts w:hint="eastAsia"/>
          <w:b/>
          <w:bCs/>
          <w:color w:val="000000"/>
          <w:highlight w:val="none"/>
          <w:lang w:val="en-US" w:eastAsia="zh-CN"/>
        </w:rPr>
        <w:t xml:space="preserve">第四章 </w:t>
      </w:r>
      <w:r>
        <w:rPr>
          <w:rStyle w:val="31"/>
          <w:rFonts w:hint="eastAsia"/>
          <w:b/>
          <w:bCs/>
          <w:color w:val="000000"/>
          <w:highlight w:val="none"/>
          <w:lang w:val="zh-CN"/>
        </w:rPr>
        <w:t>采购需求</w:t>
      </w:r>
    </w:p>
    <w:p w14:paraId="7C90BCEB">
      <w:pPr>
        <w:keepNext w:val="0"/>
        <w:keepLines w:val="0"/>
        <w:pageBreakBefore w:val="0"/>
        <w:widowControl w:val="0"/>
        <w:kinsoku/>
        <w:wordWrap/>
        <w:overflowPunct/>
        <w:topLinePunct w:val="0"/>
        <w:autoSpaceDE/>
        <w:autoSpaceDN/>
        <w:bidi w:val="0"/>
        <w:adjustRightInd/>
        <w:snapToGrid/>
        <w:ind w:firstLine="482" w:firstLineChars="200"/>
        <w:textAlignment w:val="auto"/>
        <w:rPr>
          <w:rFonts w:hint="default" w:ascii="Times New Roman" w:hAnsi="Times New Roman"/>
          <w:b/>
          <w:bCs/>
          <w:sz w:val="24"/>
          <w:szCs w:val="24"/>
          <w:lang w:val="en-US" w:eastAsia="zh-CN"/>
        </w:rPr>
      </w:pPr>
      <w:r>
        <w:rPr>
          <w:rFonts w:hint="eastAsia" w:ascii="Times New Roman" w:hAnsi="Times New Roman"/>
          <w:b/>
          <w:bCs/>
          <w:sz w:val="24"/>
          <w:szCs w:val="24"/>
        </w:rPr>
        <w:t>一、</w:t>
      </w:r>
      <w:r>
        <w:rPr>
          <w:rFonts w:hint="eastAsia" w:ascii="Times New Roman" w:hAnsi="Times New Roman"/>
          <w:b/>
          <w:bCs/>
          <w:sz w:val="24"/>
          <w:szCs w:val="24"/>
          <w:lang w:val="en-US" w:eastAsia="zh-CN"/>
        </w:rPr>
        <w:t>项目概述</w:t>
      </w:r>
    </w:p>
    <w:p w14:paraId="1B750BDF">
      <w:pPr>
        <w:keepNext w:val="0"/>
        <w:keepLines w:val="0"/>
        <w:pageBreakBefore w:val="0"/>
        <w:widowControl w:val="0"/>
        <w:kinsoku/>
        <w:wordWrap/>
        <w:overflowPunct/>
        <w:topLinePunct w:val="0"/>
        <w:autoSpaceDE/>
        <w:autoSpaceDN/>
        <w:bidi w:val="0"/>
        <w:adjustRightInd/>
        <w:snapToGrid/>
        <w:ind w:left="1679" w:leftChars="228" w:hanging="1200" w:hangingChars="500"/>
        <w:textAlignment w:val="auto"/>
        <w:rPr>
          <w:rFonts w:hint="eastAsia" w:ascii="Times New Roman" w:hAnsi="Times New Roman"/>
          <w:sz w:val="24"/>
          <w:szCs w:val="24"/>
          <w:u w:val="single"/>
          <w:lang w:val="en-US" w:eastAsia="zh-CN"/>
        </w:rPr>
      </w:pPr>
      <w:r>
        <w:rPr>
          <w:rFonts w:hint="eastAsia" w:ascii="Times New Roman" w:hAnsi="Times New Roman"/>
          <w:sz w:val="24"/>
          <w:szCs w:val="24"/>
          <w:lang w:val="en-US" w:eastAsia="zh-CN"/>
        </w:rPr>
        <w:t>项目名称：</w:t>
      </w:r>
      <w:r>
        <w:rPr>
          <w:rFonts w:hint="eastAsia" w:ascii="Times New Roman" w:hAnsi="Times New Roman"/>
          <w:sz w:val="24"/>
          <w:szCs w:val="24"/>
          <w:u w:val="single"/>
          <w:lang w:val="en-US" w:eastAsia="zh-CN"/>
        </w:rPr>
        <w:t>2026年前郭县义务教育薄弱环节改善与能力提升—教学计算机采购项目</w:t>
      </w:r>
    </w:p>
    <w:p w14:paraId="027E99B1">
      <w:pPr>
        <w:keepNext w:val="0"/>
        <w:keepLines w:val="0"/>
        <w:pageBreakBefore w:val="0"/>
        <w:widowControl w:val="0"/>
        <w:tabs>
          <w:tab w:val="left" w:pos="9460"/>
        </w:tabs>
        <w:kinsoku w:val="0"/>
        <w:wordWrap/>
        <w:overflowPunct/>
        <w:topLinePunct w:val="0"/>
        <w:autoSpaceDE w:val="0"/>
        <w:autoSpaceDN w:val="0"/>
        <w:bidi w:val="0"/>
        <w:adjustRightInd/>
        <w:snapToGrid/>
        <w:spacing w:before="1" w:line="365" w:lineRule="auto"/>
        <w:ind w:left="0" w:leftChars="0" w:right="210" w:rightChars="0" w:firstLine="480" w:firstLineChars="200"/>
        <w:jc w:val="left"/>
        <w:textAlignment w:val="auto"/>
        <w:rPr>
          <w:rFonts w:hint="default" w:ascii="Times New Roman" w:hAnsi="Times New Roman"/>
          <w:sz w:val="24"/>
          <w:szCs w:val="24"/>
          <w:lang w:val="en-US" w:eastAsia="zh-CN"/>
        </w:rPr>
      </w:pPr>
      <w:r>
        <w:rPr>
          <w:rFonts w:hint="eastAsia" w:ascii="Times New Roman" w:hAnsi="Times New Roman"/>
          <w:sz w:val="24"/>
          <w:szCs w:val="24"/>
          <w:lang w:val="en-US" w:eastAsia="zh-CN"/>
        </w:rPr>
        <w:t>项目编号：采购计划-[2026]-00220-2026008</w:t>
      </w:r>
    </w:p>
    <w:p w14:paraId="4EDFE940">
      <w:pPr>
        <w:pStyle w:val="3"/>
        <w:keepNext/>
        <w:keepLines/>
        <w:pageBreakBefore w:val="0"/>
        <w:widowControl/>
        <w:kinsoku w:val="0"/>
        <w:wordWrap/>
        <w:overflowPunct/>
        <w:topLinePunct w:val="0"/>
        <w:autoSpaceDE w:val="0"/>
        <w:autoSpaceDN w:val="0"/>
        <w:bidi w:val="0"/>
        <w:adjustRightInd w:val="0"/>
        <w:snapToGrid w:val="0"/>
        <w:spacing w:before="0" w:beforeLines="50" w:after="0" w:afterLines="50"/>
        <w:ind w:firstLine="480" w:firstLineChars="200"/>
        <w:textAlignment w:val="baseline"/>
        <w:rPr>
          <w:rFonts w:hint="eastAsia"/>
          <w:b w:val="0"/>
          <w:bCs/>
          <w:sz w:val="24"/>
          <w:szCs w:val="20"/>
          <w:lang w:val="en-US" w:eastAsia="en-US"/>
        </w:rPr>
      </w:pPr>
      <w:bookmarkStart w:id="17" w:name="_Toc32488"/>
      <w:r>
        <w:rPr>
          <w:rFonts w:hint="eastAsia"/>
          <w:b w:val="0"/>
          <w:bCs/>
          <w:sz w:val="24"/>
          <w:szCs w:val="20"/>
          <w:lang w:val="en-US" w:eastAsia="zh-CN"/>
        </w:rPr>
        <w:t>二</w:t>
      </w:r>
      <w:r>
        <w:rPr>
          <w:rFonts w:hint="eastAsia"/>
          <w:b w:val="0"/>
          <w:bCs/>
          <w:sz w:val="24"/>
          <w:szCs w:val="20"/>
          <w:lang w:val="en-US" w:eastAsia="en-US"/>
        </w:rPr>
        <w:t>、采购需求前附表</w:t>
      </w:r>
      <w:bookmarkEnd w:id="17"/>
    </w:p>
    <w:tbl>
      <w:tblPr>
        <w:tblStyle w:val="21"/>
        <w:tblpPr w:leftFromText="180" w:rightFromText="180" w:vertAnchor="text" w:horzAnchor="page" w:tblpX="1293" w:tblpY="51"/>
        <w:tblOverlap w:val="never"/>
        <w:tblW w:w="97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4"/>
        <w:gridCol w:w="1288"/>
        <w:gridCol w:w="7473"/>
      </w:tblGrid>
      <w:tr w14:paraId="0883B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984" w:type="dxa"/>
            <w:shd w:val="clear" w:color="auto" w:fill="auto"/>
            <w:vAlign w:val="center"/>
          </w:tcPr>
          <w:p w14:paraId="3F86D3E5">
            <w:pPr>
              <w:widowControl w:val="0"/>
              <w:jc w:val="center"/>
              <w:rPr>
                <w:rFonts w:hint="eastAsia" w:ascii="宋体" w:hAnsi="宋体" w:eastAsia="宋体" w:cs="宋体"/>
                <w:b/>
                <w:bCs/>
                <w:snapToGrid w:val="0"/>
                <w:color w:val="000000"/>
                <w:spacing w:val="-3"/>
                <w:kern w:val="0"/>
                <w:sz w:val="24"/>
                <w:szCs w:val="24"/>
                <w:lang w:val="en-US" w:eastAsia="en-US" w:bidi="ar-SA"/>
              </w:rPr>
            </w:pPr>
            <w:r>
              <w:rPr>
                <w:rFonts w:hint="eastAsia" w:ascii="宋体" w:hAnsi="宋体" w:eastAsia="宋体" w:cs="宋体"/>
                <w:b/>
                <w:bCs/>
                <w:snapToGrid w:val="0"/>
                <w:color w:val="000000"/>
                <w:spacing w:val="-3"/>
                <w:kern w:val="0"/>
                <w:sz w:val="24"/>
                <w:szCs w:val="24"/>
                <w:lang w:val="en-US" w:eastAsia="en-US" w:bidi="ar-SA"/>
              </w:rPr>
              <w:t>序号</w:t>
            </w:r>
          </w:p>
        </w:tc>
        <w:tc>
          <w:tcPr>
            <w:tcW w:w="1288" w:type="dxa"/>
            <w:shd w:val="clear" w:color="auto" w:fill="auto"/>
            <w:vAlign w:val="center"/>
          </w:tcPr>
          <w:p w14:paraId="0FEC8871">
            <w:pPr>
              <w:widowControl w:val="0"/>
              <w:jc w:val="center"/>
              <w:rPr>
                <w:rFonts w:hint="eastAsia" w:ascii="宋体" w:hAnsi="宋体" w:eastAsia="宋体" w:cs="宋体"/>
                <w:b/>
                <w:bCs/>
                <w:snapToGrid w:val="0"/>
                <w:color w:val="000000"/>
                <w:spacing w:val="-3"/>
                <w:kern w:val="0"/>
                <w:sz w:val="24"/>
                <w:szCs w:val="24"/>
                <w:lang w:val="en-US" w:eastAsia="en-US" w:bidi="ar-SA"/>
              </w:rPr>
            </w:pPr>
            <w:r>
              <w:rPr>
                <w:rFonts w:hint="eastAsia" w:ascii="宋体" w:hAnsi="宋体" w:eastAsia="宋体" w:cs="宋体"/>
                <w:b/>
                <w:bCs/>
                <w:snapToGrid w:val="0"/>
                <w:color w:val="000000"/>
                <w:spacing w:val="-3"/>
                <w:kern w:val="0"/>
                <w:sz w:val="24"/>
                <w:szCs w:val="24"/>
                <w:lang w:val="en-US" w:eastAsia="en-US" w:bidi="ar-SA"/>
              </w:rPr>
              <w:t>条款名称</w:t>
            </w:r>
          </w:p>
        </w:tc>
        <w:tc>
          <w:tcPr>
            <w:tcW w:w="7473" w:type="dxa"/>
            <w:shd w:val="clear" w:color="auto" w:fill="auto"/>
            <w:vAlign w:val="center"/>
          </w:tcPr>
          <w:p w14:paraId="538BDC51">
            <w:pPr>
              <w:widowControl w:val="0"/>
              <w:jc w:val="center"/>
              <w:rPr>
                <w:rFonts w:hint="eastAsia" w:ascii="宋体" w:hAnsi="宋体" w:eastAsia="宋体" w:cs="宋体"/>
                <w:b/>
                <w:bCs/>
                <w:snapToGrid w:val="0"/>
                <w:color w:val="000000"/>
                <w:spacing w:val="-3"/>
                <w:kern w:val="0"/>
                <w:sz w:val="24"/>
                <w:szCs w:val="24"/>
                <w:lang w:val="en-US" w:eastAsia="en-US" w:bidi="ar-SA"/>
              </w:rPr>
            </w:pPr>
            <w:r>
              <w:rPr>
                <w:rFonts w:hint="eastAsia" w:ascii="宋体" w:hAnsi="宋体" w:eastAsia="宋体" w:cs="宋体"/>
                <w:b/>
                <w:bCs/>
                <w:snapToGrid w:val="0"/>
                <w:color w:val="000000"/>
                <w:spacing w:val="-3"/>
                <w:kern w:val="0"/>
                <w:sz w:val="24"/>
                <w:szCs w:val="24"/>
                <w:lang w:val="en-US" w:eastAsia="en-US" w:bidi="ar-SA"/>
              </w:rPr>
              <w:t>内容、说明与要求</w:t>
            </w:r>
          </w:p>
        </w:tc>
      </w:tr>
      <w:tr w14:paraId="59CFE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984" w:type="dxa"/>
            <w:shd w:val="clear" w:color="auto" w:fill="auto"/>
            <w:vAlign w:val="center"/>
          </w:tcPr>
          <w:p w14:paraId="2F963D6E">
            <w:pPr>
              <w:widowControl w:val="0"/>
              <w:jc w:val="center"/>
              <w:rPr>
                <w:rFonts w:hint="eastAsia" w:ascii="宋体" w:hAnsi="宋体" w:eastAsia="宋体" w:cs="宋体"/>
                <w:snapToGrid w:val="0"/>
                <w:color w:val="000000"/>
                <w:spacing w:val="-3"/>
                <w:kern w:val="0"/>
                <w:sz w:val="24"/>
                <w:szCs w:val="24"/>
                <w:lang w:val="en-US" w:eastAsia="en-US" w:bidi="ar-SA"/>
              </w:rPr>
            </w:pPr>
            <w:r>
              <w:rPr>
                <w:rFonts w:hint="eastAsia" w:ascii="宋体" w:hAnsi="宋体" w:eastAsia="宋体" w:cs="宋体"/>
                <w:snapToGrid w:val="0"/>
                <w:color w:val="000000"/>
                <w:spacing w:val="-3"/>
                <w:kern w:val="0"/>
                <w:sz w:val="24"/>
                <w:szCs w:val="24"/>
                <w:lang w:val="en-US" w:eastAsia="en-US" w:bidi="ar-SA"/>
              </w:rPr>
              <w:t>1</w:t>
            </w:r>
          </w:p>
        </w:tc>
        <w:tc>
          <w:tcPr>
            <w:tcW w:w="1288" w:type="dxa"/>
            <w:shd w:val="clear" w:color="auto" w:fill="auto"/>
            <w:vAlign w:val="center"/>
          </w:tcPr>
          <w:p w14:paraId="28632CB3">
            <w:pPr>
              <w:widowControl w:val="0"/>
              <w:jc w:val="both"/>
              <w:rPr>
                <w:rFonts w:hint="eastAsia" w:ascii="宋体" w:hAnsi="宋体" w:eastAsia="宋体" w:cs="宋体"/>
                <w:snapToGrid w:val="0"/>
                <w:color w:val="000000"/>
                <w:spacing w:val="-3"/>
                <w:kern w:val="0"/>
                <w:sz w:val="24"/>
                <w:szCs w:val="24"/>
                <w:highlight w:val="none"/>
                <w:lang w:val="en-US" w:eastAsia="en-US" w:bidi="ar-SA"/>
              </w:rPr>
            </w:pPr>
            <w:r>
              <w:rPr>
                <w:rFonts w:hint="eastAsia" w:ascii="宋体" w:hAnsi="宋体" w:eastAsia="宋体" w:cs="宋体"/>
                <w:snapToGrid w:val="0"/>
                <w:color w:val="000000"/>
                <w:spacing w:val="-3"/>
                <w:kern w:val="0"/>
                <w:sz w:val="24"/>
                <w:szCs w:val="24"/>
                <w:highlight w:val="none"/>
                <w:lang w:val="en-US" w:eastAsia="en-US" w:bidi="ar-SA"/>
              </w:rPr>
              <w:t>付款方式</w:t>
            </w:r>
          </w:p>
        </w:tc>
        <w:tc>
          <w:tcPr>
            <w:tcW w:w="7473" w:type="dxa"/>
            <w:shd w:val="clear" w:color="auto" w:fill="auto"/>
            <w:vAlign w:val="center"/>
          </w:tcPr>
          <w:p w14:paraId="407E402F">
            <w:pPr>
              <w:widowControl w:val="0"/>
              <w:jc w:val="both"/>
              <w:rPr>
                <w:rFonts w:hint="default" w:ascii="宋体" w:hAnsi="宋体" w:eastAsia="宋体" w:cs="宋体"/>
                <w:snapToGrid w:val="0"/>
                <w:color w:val="000000"/>
                <w:spacing w:val="-3"/>
                <w:kern w:val="0"/>
                <w:sz w:val="24"/>
                <w:szCs w:val="24"/>
                <w:highlight w:val="none"/>
                <w:lang w:val="en-US" w:eastAsia="zh-CN" w:bidi="ar-SA"/>
              </w:rPr>
            </w:pPr>
            <w:r>
              <w:rPr>
                <w:rFonts w:hint="eastAsia" w:ascii="宋体" w:hAnsi="宋体" w:eastAsia="宋体" w:cs="宋体"/>
                <w:snapToGrid w:val="0"/>
                <w:color w:val="000000"/>
                <w:spacing w:val="-3"/>
                <w:kern w:val="0"/>
                <w:sz w:val="24"/>
                <w:szCs w:val="24"/>
                <w:highlight w:val="none"/>
                <w:lang w:val="en-US" w:eastAsia="zh-CN" w:bidi="ar-SA"/>
              </w:rPr>
              <w:t>一次付清 。总验收报告完成后，达到付款条件起15日，支付合同总金额的100.00％。</w:t>
            </w:r>
          </w:p>
        </w:tc>
      </w:tr>
      <w:tr w14:paraId="3224F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984" w:type="dxa"/>
            <w:shd w:val="clear" w:color="auto" w:fill="auto"/>
            <w:vAlign w:val="center"/>
          </w:tcPr>
          <w:p w14:paraId="1910B6FD">
            <w:pPr>
              <w:widowControl w:val="0"/>
              <w:jc w:val="center"/>
              <w:rPr>
                <w:rFonts w:hint="eastAsia" w:ascii="宋体" w:hAnsi="宋体" w:eastAsia="宋体" w:cs="宋体"/>
                <w:snapToGrid w:val="0"/>
                <w:color w:val="000000"/>
                <w:spacing w:val="-3"/>
                <w:kern w:val="0"/>
                <w:sz w:val="24"/>
                <w:szCs w:val="24"/>
                <w:lang w:val="en-US" w:eastAsia="en-US" w:bidi="ar-SA"/>
              </w:rPr>
            </w:pPr>
            <w:r>
              <w:rPr>
                <w:rFonts w:hint="eastAsia" w:ascii="宋体" w:hAnsi="宋体" w:eastAsia="宋体" w:cs="宋体"/>
                <w:snapToGrid w:val="0"/>
                <w:color w:val="000000"/>
                <w:spacing w:val="-3"/>
                <w:kern w:val="0"/>
                <w:sz w:val="24"/>
                <w:szCs w:val="24"/>
                <w:lang w:val="en-US" w:eastAsia="en-US" w:bidi="ar-SA"/>
              </w:rPr>
              <w:t>2</w:t>
            </w:r>
          </w:p>
        </w:tc>
        <w:tc>
          <w:tcPr>
            <w:tcW w:w="1288" w:type="dxa"/>
            <w:shd w:val="clear" w:color="auto" w:fill="auto"/>
            <w:vAlign w:val="center"/>
          </w:tcPr>
          <w:p w14:paraId="219574AB">
            <w:pPr>
              <w:widowControl w:val="0"/>
              <w:jc w:val="both"/>
              <w:rPr>
                <w:rFonts w:hint="eastAsia" w:ascii="宋体" w:hAnsi="宋体" w:eastAsia="宋体" w:cs="宋体"/>
                <w:snapToGrid w:val="0"/>
                <w:color w:val="000000"/>
                <w:spacing w:val="-3"/>
                <w:kern w:val="0"/>
                <w:sz w:val="24"/>
                <w:szCs w:val="24"/>
                <w:lang w:val="en-US" w:eastAsia="en-US" w:bidi="ar-SA"/>
              </w:rPr>
            </w:pPr>
            <w:r>
              <w:rPr>
                <w:rFonts w:hint="eastAsia" w:ascii="宋体" w:hAnsi="宋体" w:eastAsia="宋体" w:cs="宋体"/>
                <w:snapToGrid w:val="0"/>
                <w:color w:val="000000"/>
                <w:spacing w:val="-3"/>
                <w:kern w:val="0"/>
                <w:sz w:val="24"/>
                <w:szCs w:val="24"/>
                <w:lang w:val="en-US" w:eastAsia="zh-CN" w:bidi="ar-SA"/>
              </w:rPr>
              <w:t>交货</w:t>
            </w:r>
            <w:r>
              <w:rPr>
                <w:rFonts w:hint="eastAsia" w:ascii="宋体" w:hAnsi="宋体" w:eastAsia="宋体" w:cs="宋体"/>
                <w:snapToGrid w:val="0"/>
                <w:color w:val="000000"/>
                <w:spacing w:val="-3"/>
                <w:kern w:val="0"/>
                <w:sz w:val="24"/>
                <w:szCs w:val="24"/>
                <w:lang w:val="en-US" w:eastAsia="en-US" w:bidi="ar-SA"/>
              </w:rPr>
              <w:t>地点</w:t>
            </w:r>
          </w:p>
        </w:tc>
        <w:tc>
          <w:tcPr>
            <w:tcW w:w="7473" w:type="dxa"/>
            <w:shd w:val="clear" w:color="auto" w:fill="auto"/>
            <w:vAlign w:val="center"/>
          </w:tcPr>
          <w:p w14:paraId="0935A926">
            <w:pPr>
              <w:widowControl w:val="0"/>
              <w:jc w:val="both"/>
              <w:rPr>
                <w:rFonts w:hint="default" w:ascii="宋体" w:hAnsi="宋体" w:eastAsia="宋体" w:cs="宋体"/>
                <w:snapToGrid w:val="0"/>
                <w:color w:val="000000"/>
                <w:spacing w:val="-3"/>
                <w:kern w:val="0"/>
                <w:sz w:val="24"/>
                <w:szCs w:val="24"/>
                <w:lang w:val="en-US" w:eastAsia="zh-CN" w:bidi="ar-SA"/>
              </w:rPr>
            </w:pPr>
            <w:r>
              <w:rPr>
                <w:rFonts w:hint="eastAsia" w:ascii="宋体" w:hAnsi="宋体" w:eastAsia="宋体" w:cs="宋体"/>
                <w:snapToGrid w:val="0"/>
                <w:color w:val="000000"/>
                <w:spacing w:val="-3"/>
                <w:kern w:val="0"/>
                <w:sz w:val="24"/>
                <w:szCs w:val="24"/>
                <w:lang w:val="en-US" w:eastAsia="zh-CN" w:bidi="ar-SA"/>
              </w:rPr>
              <w:t>前郭县31所学校</w:t>
            </w:r>
          </w:p>
        </w:tc>
      </w:tr>
      <w:tr w14:paraId="61457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984" w:type="dxa"/>
            <w:vAlign w:val="center"/>
          </w:tcPr>
          <w:p w14:paraId="408DADC1">
            <w:pPr>
              <w:widowControl w:val="0"/>
              <w:jc w:val="center"/>
              <w:rPr>
                <w:rFonts w:hint="eastAsia" w:ascii="宋体" w:hAnsi="宋体" w:eastAsia="宋体" w:cs="宋体"/>
                <w:snapToGrid w:val="0"/>
                <w:color w:val="000000"/>
                <w:spacing w:val="-3"/>
                <w:kern w:val="0"/>
                <w:sz w:val="24"/>
                <w:szCs w:val="24"/>
                <w:lang w:val="en-US" w:eastAsia="zh-CN" w:bidi="ar-SA"/>
              </w:rPr>
            </w:pPr>
            <w:r>
              <w:rPr>
                <w:rFonts w:hint="eastAsia" w:ascii="宋体" w:hAnsi="宋体" w:eastAsia="宋体" w:cs="宋体"/>
                <w:snapToGrid w:val="0"/>
                <w:color w:val="000000"/>
                <w:spacing w:val="-3"/>
                <w:kern w:val="0"/>
                <w:sz w:val="24"/>
                <w:szCs w:val="24"/>
                <w:lang w:val="en-US" w:eastAsia="zh-CN" w:bidi="ar-SA"/>
              </w:rPr>
              <w:t>3</w:t>
            </w:r>
          </w:p>
        </w:tc>
        <w:tc>
          <w:tcPr>
            <w:tcW w:w="1288" w:type="dxa"/>
            <w:shd w:val="clear" w:color="auto" w:fill="auto"/>
            <w:vAlign w:val="center"/>
          </w:tcPr>
          <w:p w14:paraId="161DCB6B">
            <w:pPr>
              <w:widowControl w:val="0"/>
              <w:jc w:val="both"/>
              <w:rPr>
                <w:rFonts w:hint="eastAsia" w:ascii="宋体" w:hAnsi="宋体" w:eastAsia="宋体" w:cs="宋体"/>
                <w:snapToGrid w:val="0"/>
                <w:color w:val="000000"/>
                <w:spacing w:val="-3"/>
                <w:kern w:val="0"/>
                <w:sz w:val="24"/>
                <w:szCs w:val="24"/>
                <w:lang w:val="en-US" w:eastAsia="en-US" w:bidi="ar-SA"/>
              </w:rPr>
            </w:pPr>
            <w:r>
              <w:rPr>
                <w:rFonts w:hint="eastAsia" w:ascii="Times New Roman" w:hAnsi="Times New Roman"/>
                <w:sz w:val="24"/>
                <w:szCs w:val="24"/>
                <w:lang w:val="en-US" w:eastAsia="zh-CN"/>
              </w:rPr>
              <w:t>合同履行期限</w:t>
            </w:r>
          </w:p>
        </w:tc>
        <w:tc>
          <w:tcPr>
            <w:tcW w:w="7473" w:type="dxa"/>
            <w:shd w:val="clear" w:color="auto" w:fill="auto"/>
            <w:vAlign w:val="center"/>
          </w:tcPr>
          <w:p w14:paraId="09801080">
            <w:pPr>
              <w:pStyle w:val="39"/>
              <w:widowControl w:val="0"/>
              <w:spacing w:before="137" w:line="219" w:lineRule="auto"/>
              <w:jc w:val="both"/>
              <w:rPr>
                <w:rFonts w:hint="default" w:ascii="宋体" w:hAnsi="宋体" w:eastAsia="宋体" w:cs="宋体"/>
                <w:snapToGrid w:val="0"/>
                <w:color w:val="000000"/>
                <w:spacing w:val="-3"/>
                <w:kern w:val="0"/>
                <w:sz w:val="24"/>
                <w:szCs w:val="24"/>
                <w:lang w:val="en-US" w:eastAsia="zh-CN" w:bidi="ar-SA"/>
              </w:rPr>
            </w:pPr>
            <w:r>
              <w:rPr>
                <w:rFonts w:hint="eastAsia" w:cs="宋体"/>
                <w:snapToGrid w:val="0"/>
                <w:color w:val="000000"/>
                <w:spacing w:val="-3"/>
                <w:kern w:val="0"/>
                <w:sz w:val="24"/>
                <w:szCs w:val="24"/>
                <w:lang w:val="en-US" w:eastAsia="zh-CN" w:bidi="ar-SA"/>
              </w:rPr>
              <w:t>自合同签订起35日</w:t>
            </w:r>
          </w:p>
        </w:tc>
      </w:tr>
      <w:tr w14:paraId="785C5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4" w:type="dxa"/>
            <w:vAlign w:val="center"/>
          </w:tcPr>
          <w:p w14:paraId="7ACB6789">
            <w:pPr>
              <w:widowControl w:val="0"/>
              <w:jc w:val="center"/>
              <w:rPr>
                <w:rFonts w:hint="eastAsia" w:ascii="宋体" w:hAnsi="宋体" w:eastAsia="宋体" w:cs="宋体"/>
                <w:snapToGrid w:val="0"/>
                <w:color w:val="000000"/>
                <w:spacing w:val="-3"/>
                <w:kern w:val="0"/>
                <w:sz w:val="24"/>
                <w:szCs w:val="24"/>
                <w:lang w:val="en-US" w:eastAsia="zh-CN" w:bidi="ar-SA"/>
              </w:rPr>
            </w:pPr>
            <w:r>
              <w:rPr>
                <w:rFonts w:hint="eastAsia" w:ascii="宋体" w:hAnsi="宋体" w:eastAsia="宋体" w:cs="宋体"/>
                <w:snapToGrid w:val="0"/>
                <w:color w:val="000000"/>
                <w:spacing w:val="-3"/>
                <w:kern w:val="0"/>
                <w:sz w:val="24"/>
                <w:szCs w:val="24"/>
                <w:lang w:val="en-US" w:eastAsia="zh-CN" w:bidi="ar-SA"/>
              </w:rPr>
              <w:t>4</w:t>
            </w:r>
          </w:p>
        </w:tc>
        <w:tc>
          <w:tcPr>
            <w:tcW w:w="1288" w:type="dxa"/>
            <w:shd w:val="clear" w:color="auto" w:fill="auto"/>
            <w:vAlign w:val="center"/>
          </w:tcPr>
          <w:p w14:paraId="0F3F47B8">
            <w:pPr>
              <w:widowControl w:val="0"/>
              <w:jc w:val="both"/>
              <w:rPr>
                <w:rFonts w:hint="eastAsia" w:ascii="宋体" w:hAnsi="宋体" w:eastAsia="宋体" w:cs="宋体"/>
                <w:snapToGrid w:val="0"/>
                <w:color w:val="000000"/>
                <w:spacing w:val="-3"/>
                <w:kern w:val="0"/>
                <w:sz w:val="24"/>
                <w:szCs w:val="24"/>
                <w:lang w:val="en-US" w:eastAsia="en-US" w:bidi="ar-SA"/>
              </w:rPr>
            </w:pPr>
            <w:r>
              <w:rPr>
                <w:rFonts w:hint="eastAsia" w:ascii="宋体" w:hAnsi="宋体" w:eastAsia="宋体" w:cs="宋体"/>
                <w:snapToGrid w:val="0"/>
                <w:color w:val="000000"/>
                <w:spacing w:val="-3"/>
                <w:kern w:val="0"/>
                <w:sz w:val="24"/>
                <w:szCs w:val="24"/>
                <w:lang w:val="en-US" w:eastAsia="en-US" w:bidi="ar-SA"/>
              </w:rPr>
              <w:t>本项目采购标的名称及所属行业</w:t>
            </w:r>
          </w:p>
        </w:tc>
        <w:tc>
          <w:tcPr>
            <w:tcW w:w="7473" w:type="dxa"/>
            <w:shd w:val="clear" w:color="auto" w:fill="auto"/>
            <w:vAlign w:val="center"/>
          </w:tcPr>
          <w:p w14:paraId="60595692">
            <w:pPr>
              <w:pStyle w:val="39"/>
              <w:widowControl w:val="0"/>
              <w:spacing w:before="116" w:line="314" w:lineRule="auto"/>
              <w:ind w:right="175" w:rightChars="0"/>
              <w:jc w:val="both"/>
              <w:rPr>
                <w:rFonts w:hint="default" w:ascii="宋体" w:hAnsi="宋体" w:eastAsia="宋体" w:cs="宋体"/>
                <w:snapToGrid w:val="0"/>
                <w:color w:val="000000"/>
                <w:spacing w:val="-3"/>
                <w:kern w:val="0"/>
                <w:sz w:val="24"/>
                <w:szCs w:val="24"/>
                <w:highlight w:val="none"/>
                <w:lang w:val="en-US" w:eastAsia="zh-CN" w:bidi="ar-SA"/>
              </w:rPr>
            </w:pPr>
            <w:r>
              <w:rPr>
                <w:rFonts w:hint="eastAsia" w:ascii="宋体" w:hAnsi="宋体" w:eastAsia="宋体" w:cs="宋体"/>
                <w:snapToGrid w:val="0"/>
                <w:color w:val="000000"/>
                <w:spacing w:val="-3"/>
                <w:kern w:val="0"/>
                <w:sz w:val="24"/>
                <w:szCs w:val="24"/>
                <w:highlight w:val="none"/>
                <w:lang w:val="en-US" w:eastAsia="en-US" w:bidi="ar-SA"/>
              </w:rPr>
              <w:t>标的名称：</w:t>
            </w:r>
            <w:r>
              <w:rPr>
                <w:rFonts w:hint="eastAsia" w:cs="宋体"/>
                <w:snapToGrid w:val="0"/>
                <w:color w:val="000000"/>
                <w:spacing w:val="-3"/>
                <w:kern w:val="0"/>
                <w:sz w:val="24"/>
                <w:szCs w:val="24"/>
                <w:highlight w:val="none"/>
                <w:lang w:val="en-US" w:eastAsia="zh-CN" w:bidi="ar-SA"/>
              </w:rPr>
              <w:t>2026年前郭县义务教育薄弱环节改善与能力提升—教学计算机采购项目</w:t>
            </w:r>
          </w:p>
          <w:p w14:paraId="1582F920">
            <w:pPr>
              <w:pStyle w:val="39"/>
              <w:widowControl w:val="0"/>
              <w:spacing w:before="116" w:line="314" w:lineRule="auto"/>
              <w:ind w:right="175" w:rightChars="0"/>
              <w:jc w:val="both"/>
              <w:rPr>
                <w:rFonts w:hint="eastAsia" w:ascii="宋体" w:hAnsi="宋体" w:eastAsia="宋体" w:cs="宋体"/>
                <w:snapToGrid w:val="0"/>
                <w:color w:val="000000"/>
                <w:spacing w:val="-3"/>
                <w:kern w:val="0"/>
                <w:sz w:val="24"/>
                <w:szCs w:val="24"/>
                <w:highlight w:val="none"/>
                <w:lang w:val="en-US" w:eastAsia="zh-CN" w:bidi="ar-SA"/>
              </w:rPr>
            </w:pPr>
            <w:r>
              <w:rPr>
                <w:rFonts w:hint="eastAsia" w:ascii="宋体" w:hAnsi="宋体" w:eastAsia="宋体" w:cs="宋体"/>
                <w:snapToGrid w:val="0"/>
                <w:color w:val="000000"/>
                <w:spacing w:val="-3"/>
                <w:kern w:val="0"/>
                <w:sz w:val="24"/>
                <w:szCs w:val="24"/>
                <w:highlight w:val="none"/>
                <w:lang w:val="en-US" w:eastAsia="en-US" w:bidi="ar-SA"/>
              </w:rPr>
              <w:t>所属行业：</w:t>
            </w:r>
            <w:r>
              <w:rPr>
                <w:rFonts w:hint="eastAsia" w:cs="宋体"/>
                <w:snapToGrid w:val="0"/>
                <w:color w:val="000000"/>
                <w:spacing w:val="-3"/>
                <w:kern w:val="0"/>
                <w:sz w:val="24"/>
                <w:szCs w:val="24"/>
                <w:highlight w:val="none"/>
                <w:lang w:val="en-US" w:eastAsia="zh-CN" w:bidi="ar-SA"/>
              </w:rPr>
              <w:t>制造业</w:t>
            </w:r>
          </w:p>
        </w:tc>
      </w:tr>
    </w:tbl>
    <w:p w14:paraId="1A220865">
      <w:pPr>
        <w:numPr>
          <w:ilvl w:val="0"/>
          <w:numId w:val="0"/>
        </w:numPr>
        <w:rPr>
          <w:rFonts w:hint="eastAsia" w:ascii="宋体" w:hAnsi="宋体" w:eastAsia="宋体" w:cs="宋体"/>
          <w:sz w:val="24"/>
          <w:szCs w:val="24"/>
          <w:lang w:val="en-US" w:eastAsia="zh-CN"/>
        </w:rPr>
      </w:pPr>
    </w:p>
    <w:p w14:paraId="13C66E6E">
      <w:pPr>
        <w:numPr>
          <w:ilvl w:val="0"/>
          <w:numId w:val="6"/>
        </w:num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采购需求：采购货物名称、数量及参数等：</w:t>
      </w:r>
    </w:p>
    <w:p w14:paraId="0C83D27E">
      <w:pPr>
        <w:pStyle w:val="15"/>
        <w:rPr>
          <w:rFonts w:hint="eastAsia" w:ascii="宋体" w:hAnsi="宋体" w:eastAsia="宋体" w:cs="宋体"/>
          <w:sz w:val="24"/>
          <w:szCs w:val="24"/>
          <w:lang w:val="en-US" w:eastAsia="zh-CN"/>
        </w:rPr>
      </w:pPr>
    </w:p>
    <w:p w14:paraId="32C0BF90">
      <w:pPr>
        <w:rPr>
          <w:rFonts w:hint="eastAsia" w:ascii="宋体" w:hAnsi="宋体" w:eastAsia="宋体" w:cs="宋体"/>
          <w:sz w:val="24"/>
          <w:szCs w:val="24"/>
          <w:lang w:val="en-US" w:eastAsia="zh-CN"/>
        </w:rPr>
      </w:pPr>
    </w:p>
    <w:p w14:paraId="5C82EB33">
      <w:pPr>
        <w:pStyle w:val="15"/>
        <w:rPr>
          <w:rFonts w:hint="eastAsia" w:ascii="宋体" w:hAnsi="宋体" w:eastAsia="宋体" w:cs="宋体"/>
          <w:sz w:val="24"/>
          <w:szCs w:val="24"/>
          <w:lang w:val="en-US" w:eastAsia="zh-CN"/>
        </w:rPr>
      </w:pPr>
    </w:p>
    <w:p w14:paraId="5C0375C4">
      <w:pPr>
        <w:rPr>
          <w:rFonts w:hint="eastAsia" w:ascii="宋体" w:hAnsi="宋体" w:eastAsia="宋体" w:cs="宋体"/>
          <w:sz w:val="24"/>
          <w:szCs w:val="24"/>
          <w:lang w:val="en-US" w:eastAsia="zh-CN"/>
        </w:rPr>
      </w:pPr>
    </w:p>
    <w:p w14:paraId="497D6194">
      <w:pPr>
        <w:pStyle w:val="15"/>
        <w:rPr>
          <w:rFonts w:hint="eastAsia" w:ascii="宋体" w:hAnsi="宋体" w:eastAsia="宋体" w:cs="宋体"/>
          <w:sz w:val="24"/>
          <w:szCs w:val="24"/>
          <w:lang w:val="en-US" w:eastAsia="zh-CN"/>
        </w:rPr>
      </w:pPr>
    </w:p>
    <w:p w14:paraId="61D1C016">
      <w:pPr>
        <w:rPr>
          <w:rFonts w:hint="eastAsia" w:ascii="宋体" w:hAnsi="宋体" w:eastAsia="宋体" w:cs="宋体"/>
          <w:sz w:val="24"/>
          <w:szCs w:val="24"/>
          <w:lang w:val="en-US" w:eastAsia="zh-CN"/>
        </w:rPr>
      </w:pPr>
    </w:p>
    <w:p w14:paraId="17598C5C">
      <w:pPr>
        <w:pStyle w:val="15"/>
        <w:rPr>
          <w:rFonts w:hint="eastAsia" w:ascii="宋体" w:hAnsi="宋体" w:eastAsia="宋体" w:cs="宋体"/>
          <w:sz w:val="24"/>
          <w:szCs w:val="24"/>
          <w:lang w:val="en-US" w:eastAsia="zh-CN"/>
        </w:rPr>
      </w:pPr>
    </w:p>
    <w:p w14:paraId="1E022267">
      <w:pPr>
        <w:rPr>
          <w:rFonts w:hint="eastAsia" w:ascii="宋体" w:hAnsi="宋体" w:eastAsia="宋体" w:cs="宋体"/>
          <w:sz w:val="24"/>
          <w:szCs w:val="24"/>
          <w:lang w:val="en-US" w:eastAsia="zh-CN"/>
        </w:rPr>
      </w:pPr>
    </w:p>
    <w:p w14:paraId="276E8C15">
      <w:pPr>
        <w:pStyle w:val="15"/>
        <w:rPr>
          <w:rFonts w:hint="eastAsia" w:ascii="宋体" w:hAnsi="宋体" w:eastAsia="宋体" w:cs="宋体"/>
          <w:sz w:val="24"/>
          <w:szCs w:val="24"/>
          <w:lang w:val="en-US" w:eastAsia="zh-CN"/>
        </w:rPr>
      </w:pPr>
    </w:p>
    <w:p w14:paraId="6F4729DA">
      <w:pPr>
        <w:rPr>
          <w:rFonts w:hint="eastAsia" w:ascii="宋体" w:hAnsi="宋体" w:eastAsia="宋体" w:cs="宋体"/>
          <w:sz w:val="24"/>
          <w:szCs w:val="24"/>
          <w:lang w:val="en-US" w:eastAsia="zh-CN"/>
        </w:rPr>
      </w:pPr>
    </w:p>
    <w:p w14:paraId="14FF1C73">
      <w:pPr>
        <w:pStyle w:val="15"/>
        <w:rPr>
          <w:rFonts w:hint="eastAsia" w:ascii="宋体" w:hAnsi="宋体" w:eastAsia="宋体" w:cs="宋体"/>
          <w:sz w:val="24"/>
          <w:szCs w:val="24"/>
          <w:lang w:val="en-US" w:eastAsia="zh-CN"/>
        </w:rPr>
      </w:pPr>
    </w:p>
    <w:p w14:paraId="71B5EB77">
      <w:pPr>
        <w:rPr>
          <w:rFonts w:hint="eastAsia" w:ascii="宋体" w:hAnsi="宋体" w:eastAsia="宋体" w:cs="宋体"/>
          <w:sz w:val="24"/>
          <w:szCs w:val="24"/>
          <w:lang w:val="en-US" w:eastAsia="zh-CN"/>
        </w:rPr>
      </w:pPr>
    </w:p>
    <w:p w14:paraId="4B091A7F">
      <w:pPr>
        <w:pStyle w:val="15"/>
        <w:rPr>
          <w:rFonts w:hint="eastAsia"/>
          <w:lang w:val="en-US" w:eastAsia="zh-CN"/>
        </w:rPr>
        <w:sectPr>
          <w:headerReference r:id="rId14" w:type="default"/>
          <w:footerReference r:id="rId15" w:type="default"/>
          <w:type w:val="continuous"/>
          <w:pgSz w:w="11907" w:h="16839"/>
          <w:pgMar w:top="1130" w:right="1133" w:bottom="1135" w:left="1012" w:header="0" w:footer="900" w:gutter="0"/>
          <w:cols w:space="720" w:num="1"/>
        </w:sectPr>
      </w:pPr>
    </w:p>
    <w:tbl>
      <w:tblPr>
        <w:tblStyle w:val="20"/>
        <w:tblpPr w:leftFromText="180" w:rightFromText="180" w:vertAnchor="text" w:horzAnchor="page" w:tblpX="1044" w:tblpY="688"/>
        <w:tblOverlap w:val="never"/>
        <w:tblW w:w="1429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54"/>
        <w:gridCol w:w="1522"/>
        <w:gridCol w:w="7865"/>
        <w:gridCol w:w="1260"/>
        <w:gridCol w:w="1073"/>
        <w:gridCol w:w="982"/>
        <w:gridCol w:w="1035"/>
      </w:tblGrid>
      <w:tr w14:paraId="443808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3" w:hRule="atLeast"/>
        </w:trPr>
        <w:tc>
          <w:tcPr>
            <w:tcW w:w="554" w:type="dxa"/>
            <w:vAlign w:val="center"/>
          </w:tcPr>
          <w:p w14:paraId="63478C46">
            <w:pPr>
              <w:widowControl w:val="0"/>
              <w:wordWrap/>
              <w:autoSpaceDE w:val="0"/>
              <w:autoSpaceDN w:val="0"/>
              <w:adjustRightInd/>
              <w:snapToGrid/>
              <w:ind w:firstLine="0" w:firstLineChars="0"/>
              <w:jc w:val="center"/>
              <w:textAlignment w:val="auto"/>
              <w:rPr>
                <w:lang w:eastAsia="en-US"/>
              </w:rPr>
            </w:pPr>
            <w:r>
              <w:rPr>
                <w:rFonts w:hint="eastAsia"/>
                <w:lang w:eastAsia="en-US"/>
              </w:rPr>
              <w:t>序号</w:t>
            </w:r>
          </w:p>
        </w:tc>
        <w:tc>
          <w:tcPr>
            <w:tcW w:w="1522" w:type="dxa"/>
            <w:vAlign w:val="center"/>
          </w:tcPr>
          <w:p w14:paraId="19A2D3AB">
            <w:pPr>
              <w:widowControl w:val="0"/>
              <w:wordWrap/>
              <w:autoSpaceDE w:val="0"/>
              <w:autoSpaceDN w:val="0"/>
              <w:adjustRightInd/>
              <w:snapToGrid/>
              <w:ind w:firstLine="0" w:firstLineChars="0"/>
              <w:jc w:val="center"/>
              <w:textAlignment w:val="auto"/>
              <w:rPr>
                <w:lang w:eastAsia="en-US"/>
              </w:rPr>
            </w:pPr>
            <w:r>
              <w:rPr>
                <w:rFonts w:hint="eastAsia"/>
                <w:lang w:eastAsia="en-US"/>
              </w:rPr>
              <w:t>货物名称</w:t>
            </w:r>
          </w:p>
        </w:tc>
        <w:tc>
          <w:tcPr>
            <w:tcW w:w="7865" w:type="dxa"/>
            <w:vAlign w:val="center"/>
          </w:tcPr>
          <w:p w14:paraId="47817527">
            <w:pPr>
              <w:widowControl w:val="0"/>
              <w:wordWrap/>
              <w:autoSpaceDE w:val="0"/>
              <w:autoSpaceDN w:val="0"/>
              <w:adjustRightInd/>
              <w:snapToGrid/>
              <w:ind w:firstLine="0" w:firstLineChars="0"/>
              <w:jc w:val="center"/>
              <w:textAlignment w:val="auto"/>
              <w:rPr>
                <w:lang w:eastAsia="en-US"/>
              </w:rPr>
            </w:pPr>
            <w:r>
              <w:rPr>
                <w:rFonts w:hint="eastAsia"/>
                <w:lang w:eastAsia="en-US"/>
              </w:rPr>
              <w:t>技术参数及要求</w:t>
            </w:r>
          </w:p>
        </w:tc>
        <w:tc>
          <w:tcPr>
            <w:tcW w:w="1260" w:type="dxa"/>
            <w:vAlign w:val="center"/>
          </w:tcPr>
          <w:p w14:paraId="0A0ABE74">
            <w:pPr>
              <w:widowControl w:val="0"/>
              <w:wordWrap/>
              <w:autoSpaceDE w:val="0"/>
              <w:autoSpaceDN w:val="0"/>
              <w:adjustRightInd/>
              <w:snapToGrid/>
              <w:ind w:firstLine="0" w:firstLineChars="0"/>
              <w:jc w:val="center"/>
              <w:textAlignment w:val="auto"/>
              <w:rPr>
                <w:lang w:eastAsia="en-US"/>
              </w:rPr>
            </w:pPr>
            <w:r>
              <w:rPr>
                <w:rFonts w:hint="eastAsia"/>
                <w:lang w:eastAsia="en-US"/>
              </w:rPr>
              <w:t>数量</w:t>
            </w:r>
          </w:p>
          <w:p w14:paraId="36FD26E5">
            <w:pPr>
              <w:widowControl w:val="0"/>
              <w:wordWrap/>
              <w:autoSpaceDE w:val="0"/>
              <w:autoSpaceDN w:val="0"/>
              <w:adjustRightInd/>
              <w:snapToGrid/>
              <w:ind w:firstLine="0" w:firstLineChars="0"/>
              <w:jc w:val="center"/>
              <w:textAlignment w:val="auto"/>
              <w:rPr>
                <w:lang w:eastAsia="en-US"/>
              </w:rPr>
            </w:pPr>
            <w:r>
              <w:rPr>
                <w:rFonts w:hint="eastAsia"/>
                <w:lang w:eastAsia="en-US"/>
              </w:rPr>
              <w:t>（</w:t>
            </w:r>
            <w:r>
              <w:rPr>
                <w:rFonts w:hint="eastAsia"/>
              </w:rPr>
              <w:t>单位</w:t>
            </w:r>
            <w:r>
              <w:rPr>
                <w:rFonts w:hint="eastAsia"/>
                <w:lang w:eastAsia="en-US"/>
              </w:rPr>
              <w:t>）</w:t>
            </w:r>
          </w:p>
        </w:tc>
        <w:tc>
          <w:tcPr>
            <w:tcW w:w="1073" w:type="dxa"/>
            <w:vAlign w:val="center"/>
          </w:tcPr>
          <w:p w14:paraId="12987FDB">
            <w:pPr>
              <w:widowControl w:val="0"/>
              <w:wordWrap/>
              <w:autoSpaceDE w:val="0"/>
              <w:autoSpaceDN w:val="0"/>
              <w:adjustRightInd/>
              <w:snapToGrid/>
              <w:ind w:firstLine="0" w:firstLineChars="0"/>
              <w:jc w:val="center"/>
              <w:textAlignment w:val="auto"/>
              <w:rPr>
                <w:rFonts w:hint="eastAsia"/>
              </w:rPr>
            </w:pPr>
            <w:r>
              <w:rPr>
                <w:rFonts w:hint="eastAsia"/>
              </w:rPr>
              <w:t>预算金额</w:t>
            </w:r>
          </w:p>
          <w:p w14:paraId="19737B21">
            <w:pPr>
              <w:widowControl w:val="0"/>
              <w:wordWrap/>
              <w:autoSpaceDE w:val="0"/>
              <w:autoSpaceDN w:val="0"/>
              <w:adjustRightInd/>
              <w:snapToGrid/>
              <w:ind w:firstLine="0" w:firstLineChars="0"/>
              <w:jc w:val="center"/>
              <w:textAlignment w:val="auto"/>
              <w:rPr>
                <w:rFonts w:hint="eastAsia"/>
                <w:lang w:eastAsia="zh-CN"/>
              </w:rPr>
            </w:pPr>
            <w:r>
              <w:rPr>
                <w:rFonts w:hint="eastAsia"/>
                <w:lang w:eastAsia="zh-CN"/>
              </w:rPr>
              <w:t>（</w:t>
            </w:r>
            <w:r>
              <w:rPr>
                <w:rFonts w:hint="eastAsia"/>
                <w:lang w:val="en-US" w:eastAsia="zh-CN"/>
              </w:rPr>
              <w:t>元</w:t>
            </w:r>
            <w:r>
              <w:rPr>
                <w:rFonts w:hint="eastAsia"/>
                <w:lang w:eastAsia="zh-CN"/>
              </w:rPr>
              <w:t>）</w:t>
            </w:r>
          </w:p>
        </w:tc>
        <w:tc>
          <w:tcPr>
            <w:tcW w:w="982" w:type="dxa"/>
            <w:vAlign w:val="center"/>
          </w:tcPr>
          <w:p w14:paraId="3550E0EC">
            <w:pPr>
              <w:widowControl w:val="0"/>
              <w:wordWrap/>
              <w:autoSpaceDE w:val="0"/>
              <w:autoSpaceDN w:val="0"/>
              <w:adjustRightInd/>
              <w:snapToGrid/>
              <w:ind w:firstLine="0" w:firstLineChars="0"/>
              <w:jc w:val="center"/>
              <w:textAlignment w:val="auto"/>
              <w:rPr>
                <w:lang w:eastAsia="en-US"/>
              </w:rPr>
            </w:pPr>
            <w:r>
              <w:rPr>
                <w:rFonts w:hint="eastAsia"/>
                <w:lang w:val="en-US" w:eastAsia="zh-CN"/>
              </w:rPr>
              <w:t>所属</w:t>
            </w:r>
            <w:r>
              <w:rPr>
                <w:rFonts w:hint="eastAsia"/>
                <w:lang w:eastAsia="en-US"/>
              </w:rPr>
              <w:t>行业</w:t>
            </w:r>
          </w:p>
        </w:tc>
        <w:tc>
          <w:tcPr>
            <w:tcW w:w="1035" w:type="dxa"/>
            <w:vAlign w:val="center"/>
          </w:tcPr>
          <w:p w14:paraId="76E9F89C">
            <w:pPr>
              <w:widowControl w:val="0"/>
              <w:wordWrap/>
              <w:autoSpaceDE w:val="0"/>
              <w:autoSpaceDN w:val="0"/>
              <w:adjustRightInd/>
              <w:snapToGrid/>
              <w:ind w:firstLine="0" w:firstLineChars="0"/>
              <w:jc w:val="center"/>
              <w:textAlignment w:val="auto"/>
              <w:rPr>
                <w:lang w:eastAsia="en-US"/>
              </w:rPr>
            </w:pPr>
            <w:r>
              <w:rPr>
                <w:rFonts w:hint="eastAsia"/>
                <w:lang w:eastAsia="en-US"/>
              </w:rPr>
              <w:t>是否为</w:t>
            </w:r>
          </w:p>
          <w:p w14:paraId="04194096">
            <w:pPr>
              <w:widowControl w:val="0"/>
              <w:wordWrap/>
              <w:autoSpaceDE w:val="0"/>
              <w:autoSpaceDN w:val="0"/>
              <w:adjustRightInd/>
              <w:snapToGrid/>
              <w:ind w:firstLine="0" w:firstLineChars="0"/>
              <w:jc w:val="center"/>
              <w:textAlignment w:val="auto"/>
              <w:rPr>
                <w:lang w:eastAsia="en-US"/>
              </w:rPr>
            </w:pPr>
            <w:r>
              <w:rPr>
                <w:rFonts w:hint="eastAsia"/>
                <w:lang w:eastAsia="en-US"/>
              </w:rPr>
              <w:t>核心产品</w:t>
            </w:r>
          </w:p>
        </w:tc>
      </w:tr>
      <w:tr w14:paraId="0752BE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67" w:hRule="atLeast"/>
        </w:trPr>
        <w:tc>
          <w:tcPr>
            <w:tcW w:w="554" w:type="dxa"/>
            <w:vAlign w:val="center"/>
          </w:tcPr>
          <w:p w14:paraId="62C07526">
            <w:pPr>
              <w:widowControl w:val="0"/>
              <w:wordWrap/>
              <w:autoSpaceDE w:val="0"/>
              <w:autoSpaceDN w:val="0"/>
              <w:adjustRightInd/>
              <w:snapToGrid/>
              <w:ind w:firstLine="0" w:firstLineChars="0"/>
              <w:jc w:val="center"/>
              <w:textAlignment w:val="auto"/>
              <w:rPr>
                <w:lang w:eastAsia="en-US"/>
              </w:rPr>
            </w:pPr>
            <w:r>
              <w:rPr>
                <w:rFonts w:hint="eastAsia"/>
                <w:lang w:eastAsia="en-US"/>
              </w:rPr>
              <w:t>1</w:t>
            </w:r>
          </w:p>
        </w:tc>
        <w:tc>
          <w:tcPr>
            <w:tcW w:w="1522" w:type="dxa"/>
            <w:vAlign w:val="center"/>
          </w:tcPr>
          <w:p w14:paraId="4CC66822">
            <w:pPr>
              <w:widowControl w:val="0"/>
              <w:wordWrap/>
              <w:autoSpaceDE w:val="0"/>
              <w:autoSpaceDN w:val="0"/>
              <w:adjustRightInd/>
              <w:snapToGrid/>
              <w:ind w:firstLine="0" w:firstLineChars="0"/>
              <w:jc w:val="center"/>
              <w:textAlignment w:val="auto"/>
              <w:rPr>
                <w:rFonts w:hint="eastAsia"/>
                <w:lang w:val="en-US" w:eastAsia="zh-CN"/>
              </w:rPr>
            </w:pPr>
            <w:r>
              <w:rPr>
                <w:rFonts w:hint="eastAsia"/>
                <w:lang w:val="en-US" w:eastAsia="zh-CN"/>
              </w:rPr>
              <w:t>计算机</w:t>
            </w:r>
          </w:p>
        </w:tc>
        <w:tc>
          <w:tcPr>
            <w:tcW w:w="7865" w:type="dxa"/>
            <w:vAlign w:val="center"/>
          </w:tcPr>
          <w:p w14:paraId="09F06A57">
            <w:pPr>
              <w:pStyle w:val="45"/>
              <w:ind w:firstLine="0" w:firstLineChars="0"/>
              <w:rPr>
                <w:rFonts w:ascii="宋体" w:hAnsi="宋体" w:eastAsia="等线" w:cs="宋体"/>
                <w:sz w:val="21"/>
                <w:szCs w:val="21"/>
              </w:rPr>
            </w:pPr>
            <w:r>
              <w:rPr>
                <w:rFonts w:hint="eastAsia" w:ascii="宋体" w:hAnsi="宋体" w:eastAsia="等线" w:cs="宋体"/>
                <w:sz w:val="21"/>
                <w:szCs w:val="21"/>
              </w:rPr>
              <w:t>1.★处理器：型号≥i5( 13代 )物理核心数≥12、主频≥2.5GHz、末级缓存容量≥18MB、线程数≥12、设计功耗≥45W、内存最高速率≥3200MT/s、通道数≥双通道、位宽≥64位;</w:t>
            </w:r>
          </w:p>
          <w:p w14:paraId="21F92B81">
            <w:pPr>
              <w:pStyle w:val="45"/>
              <w:ind w:firstLine="0" w:firstLineChars="0"/>
              <w:rPr>
                <w:rFonts w:ascii="宋体" w:hAnsi="宋体" w:eastAsia="等线" w:cs="宋体"/>
                <w:sz w:val="21"/>
                <w:szCs w:val="21"/>
              </w:rPr>
            </w:pPr>
            <w:r>
              <w:rPr>
                <w:rFonts w:hint="eastAsia" w:ascii="宋体" w:hAnsi="宋体" w:eastAsia="等线" w:cs="宋体"/>
                <w:sz w:val="21"/>
                <w:szCs w:val="21"/>
              </w:rPr>
              <w:t>2.主板：intel系列芯片组</w:t>
            </w:r>
            <w:r>
              <w:rPr>
                <w:rFonts w:hint="eastAsia" w:ascii="宋体" w:hAnsi="宋体" w:eastAsia="等线" w:cs="宋体"/>
                <w:sz w:val="21"/>
                <w:szCs w:val="21"/>
                <w:lang w:eastAsia="zh-CN"/>
              </w:rPr>
              <w:t>；</w:t>
            </w:r>
          </w:p>
          <w:p w14:paraId="5C5F9BC7">
            <w:pPr>
              <w:pStyle w:val="45"/>
              <w:ind w:firstLine="0" w:firstLineChars="0"/>
              <w:rPr>
                <w:rFonts w:ascii="宋体" w:hAnsi="宋体" w:eastAsia="等线" w:cs="宋体"/>
                <w:sz w:val="21"/>
                <w:szCs w:val="21"/>
              </w:rPr>
            </w:pPr>
            <w:r>
              <w:rPr>
                <w:rFonts w:hint="eastAsia" w:ascii="宋体" w:hAnsi="宋体" w:eastAsia="等线" w:cs="宋体"/>
                <w:sz w:val="21"/>
                <w:szCs w:val="21"/>
              </w:rPr>
              <w:t>3.★配置≥16GB DDR4 工作频率≥2666MHz内存，配置≥2个内存插槽；</w:t>
            </w:r>
          </w:p>
          <w:p w14:paraId="2906BAD7">
            <w:pPr>
              <w:pStyle w:val="45"/>
              <w:ind w:firstLine="0" w:firstLineChars="0"/>
              <w:rPr>
                <w:rFonts w:ascii="宋体" w:hAnsi="宋体" w:eastAsia="等线" w:cs="宋体"/>
                <w:sz w:val="21"/>
                <w:szCs w:val="21"/>
              </w:rPr>
            </w:pPr>
            <w:r>
              <w:rPr>
                <w:rFonts w:hint="eastAsia" w:ascii="宋体" w:hAnsi="宋体" w:eastAsia="等线" w:cs="宋体"/>
                <w:sz w:val="21"/>
                <w:szCs w:val="21"/>
              </w:rPr>
              <w:t>4.显卡：集成显卡</w:t>
            </w:r>
            <w:r>
              <w:rPr>
                <w:rFonts w:hint="eastAsia" w:ascii="宋体" w:hAnsi="宋体" w:eastAsia="等线" w:cs="宋体"/>
                <w:sz w:val="21"/>
                <w:szCs w:val="21"/>
                <w:lang w:eastAsia="zh-CN"/>
              </w:rPr>
              <w:t>；</w:t>
            </w:r>
          </w:p>
          <w:p w14:paraId="60FF7C83">
            <w:pPr>
              <w:pStyle w:val="45"/>
              <w:ind w:firstLine="0" w:firstLineChars="0"/>
              <w:rPr>
                <w:rFonts w:ascii="宋体" w:hAnsi="宋体" w:eastAsia="等线" w:cs="宋体"/>
                <w:sz w:val="21"/>
                <w:szCs w:val="21"/>
              </w:rPr>
            </w:pPr>
            <w:r>
              <w:rPr>
                <w:rFonts w:hint="eastAsia" w:ascii="宋体" w:hAnsi="宋体" w:eastAsia="等线" w:cs="宋体"/>
                <w:sz w:val="21"/>
                <w:szCs w:val="21"/>
              </w:rPr>
              <w:t>5.★存储：≥512GB SSD硬盘</w:t>
            </w:r>
            <w:r>
              <w:rPr>
                <w:rFonts w:hint="eastAsia" w:ascii="宋体" w:hAnsi="宋体" w:eastAsia="等线" w:cs="宋体"/>
                <w:sz w:val="21"/>
                <w:szCs w:val="21"/>
                <w:lang w:eastAsia="zh-CN"/>
              </w:rPr>
              <w:t>；</w:t>
            </w:r>
          </w:p>
          <w:p w14:paraId="075CF14A">
            <w:pPr>
              <w:pStyle w:val="45"/>
              <w:ind w:firstLine="0" w:firstLineChars="0"/>
              <w:rPr>
                <w:rFonts w:ascii="宋体" w:hAnsi="宋体" w:eastAsia="等线" w:cs="宋体"/>
                <w:sz w:val="21"/>
                <w:szCs w:val="21"/>
              </w:rPr>
            </w:pPr>
            <w:r>
              <w:rPr>
                <w:rFonts w:hint="eastAsia" w:ascii="宋体" w:hAnsi="宋体" w:eastAsia="等线" w:cs="宋体"/>
                <w:sz w:val="21"/>
                <w:szCs w:val="21"/>
              </w:rPr>
              <w:t>6.扩展插槽：PCIE插槽数量≥1个，SATA3接口≥2个；</w:t>
            </w:r>
          </w:p>
          <w:p w14:paraId="36BB82BD">
            <w:pPr>
              <w:pStyle w:val="45"/>
              <w:ind w:firstLine="0" w:firstLineChars="0"/>
              <w:rPr>
                <w:rFonts w:hint="eastAsia" w:ascii="宋体" w:hAnsi="宋体" w:eastAsia="等线" w:cs="宋体"/>
                <w:sz w:val="21"/>
                <w:szCs w:val="21"/>
                <w:lang w:eastAsia="zh-CN"/>
              </w:rPr>
            </w:pPr>
            <w:r>
              <w:rPr>
                <w:rFonts w:hint="eastAsia" w:ascii="宋体" w:hAnsi="宋体" w:eastAsia="等线" w:cs="宋体"/>
                <w:sz w:val="21"/>
                <w:szCs w:val="21"/>
              </w:rPr>
              <w:t>7.接口：USB接口≥8个，其中USB3.0以上接口≥4个；音频接口：麦克风</w:t>
            </w:r>
            <w:r>
              <w:rPr>
                <w:rFonts w:ascii="宋体" w:hAnsi="宋体" w:eastAsia="等线" w:cs="宋体"/>
                <w:sz w:val="21"/>
                <w:szCs w:val="21"/>
              </w:rPr>
              <w:t>≥</w:t>
            </w:r>
            <w:r>
              <w:rPr>
                <w:rFonts w:hint="eastAsia" w:ascii="宋体" w:hAnsi="宋体" w:eastAsia="等线" w:cs="宋体"/>
                <w:sz w:val="21"/>
                <w:szCs w:val="21"/>
              </w:rPr>
              <w:t>1个，耳机</w:t>
            </w:r>
            <w:r>
              <w:rPr>
                <w:rFonts w:ascii="宋体" w:hAnsi="宋体" w:eastAsia="等线" w:cs="宋体"/>
                <w:sz w:val="21"/>
                <w:szCs w:val="21"/>
              </w:rPr>
              <w:t>≥</w:t>
            </w:r>
            <w:r>
              <w:rPr>
                <w:rFonts w:hint="eastAsia" w:ascii="宋体" w:hAnsi="宋体" w:eastAsia="等线" w:cs="宋体"/>
                <w:sz w:val="21"/>
                <w:szCs w:val="21"/>
              </w:rPr>
              <w:t>1个；后端</w:t>
            </w:r>
            <w:r>
              <w:rPr>
                <w:rFonts w:ascii="宋体" w:hAnsi="宋体" w:eastAsia="等线" w:cs="宋体"/>
                <w:sz w:val="21"/>
                <w:szCs w:val="21"/>
              </w:rPr>
              <w:t>≥</w:t>
            </w:r>
            <w:r>
              <w:rPr>
                <w:rFonts w:hint="eastAsia" w:ascii="宋体" w:hAnsi="宋体" w:eastAsia="等线" w:cs="宋体"/>
                <w:sz w:val="21"/>
                <w:szCs w:val="21"/>
              </w:rPr>
              <w:t>3个Audio音频接口</w:t>
            </w:r>
            <w:r>
              <w:rPr>
                <w:rFonts w:hint="eastAsia" w:ascii="宋体" w:hAnsi="宋体" w:eastAsia="等线" w:cs="宋体"/>
                <w:sz w:val="21"/>
                <w:szCs w:val="21"/>
                <w:lang w:eastAsia="zh-CN"/>
              </w:rPr>
              <w:t>；</w:t>
            </w:r>
          </w:p>
          <w:p w14:paraId="2D6D6ED3">
            <w:pPr>
              <w:pStyle w:val="45"/>
              <w:ind w:firstLine="0" w:firstLineChars="0"/>
              <w:rPr>
                <w:rFonts w:ascii="宋体" w:hAnsi="宋体" w:eastAsia="等线" w:cs="宋体"/>
                <w:sz w:val="21"/>
                <w:szCs w:val="21"/>
              </w:rPr>
            </w:pPr>
            <w:r>
              <w:rPr>
                <w:rFonts w:hint="eastAsia" w:ascii="宋体" w:hAnsi="宋体" w:eastAsia="等线" w:cs="宋体"/>
                <w:sz w:val="21"/>
                <w:szCs w:val="21"/>
              </w:rPr>
              <w:t>8.网络：≥1个RJ45 10/100/1000自适应以太网口</w:t>
            </w:r>
            <w:r>
              <w:rPr>
                <w:rFonts w:hint="eastAsia" w:ascii="宋体" w:hAnsi="宋体" w:eastAsia="等线" w:cs="宋体"/>
                <w:sz w:val="21"/>
                <w:szCs w:val="21"/>
                <w:lang w:eastAsia="zh-CN"/>
              </w:rPr>
              <w:t>；</w:t>
            </w:r>
          </w:p>
          <w:p w14:paraId="3725958A">
            <w:pPr>
              <w:pStyle w:val="45"/>
              <w:ind w:firstLine="0" w:firstLineChars="0"/>
              <w:rPr>
                <w:rFonts w:ascii="宋体" w:hAnsi="宋体" w:eastAsia="等线" w:cs="宋体"/>
                <w:sz w:val="21"/>
                <w:szCs w:val="21"/>
              </w:rPr>
            </w:pPr>
            <w:r>
              <w:rPr>
                <w:rFonts w:hint="eastAsia" w:ascii="宋体" w:hAnsi="宋体" w:eastAsia="等线" w:cs="宋体"/>
                <w:sz w:val="21"/>
                <w:szCs w:val="21"/>
              </w:rPr>
              <w:t>9.机箱：容积≥8L；</w:t>
            </w:r>
          </w:p>
          <w:p w14:paraId="1814CB96">
            <w:pPr>
              <w:pStyle w:val="45"/>
              <w:ind w:firstLine="0" w:firstLineChars="0"/>
              <w:rPr>
                <w:rFonts w:ascii="宋体" w:hAnsi="宋体" w:eastAsia="等线" w:cs="宋体"/>
                <w:sz w:val="21"/>
                <w:szCs w:val="21"/>
              </w:rPr>
            </w:pPr>
            <w:r>
              <w:rPr>
                <w:rFonts w:hint="eastAsia" w:ascii="宋体" w:hAnsi="宋体" w:eastAsia="等线" w:cs="宋体"/>
                <w:sz w:val="21"/>
                <w:szCs w:val="21"/>
              </w:rPr>
              <w:t>10.显示器：与主机同一品牌，配置≥23.8寸LED显示器，显示屏刷新率≥100Hz，分辨率≥1920*1080，视频接口VGA+HDMI；</w:t>
            </w:r>
          </w:p>
          <w:p w14:paraId="72176499">
            <w:pPr>
              <w:pStyle w:val="45"/>
              <w:ind w:firstLine="0" w:firstLineChars="0"/>
              <w:rPr>
                <w:rFonts w:ascii="宋体" w:hAnsi="宋体" w:eastAsia="等线" w:cs="宋体"/>
                <w:sz w:val="21"/>
                <w:szCs w:val="21"/>
              </w:rPr>
            </w:pPr>
            <w:r>
              <w:rPr>
                <w:rFonts w:hint="eastAsia" w:ascii="宋体" w:hAnsi="宋体" w:eastAsia="等线" w:cs="宋体"/>
                <w:sz w:val="21"/>
                <w:szCs w:val="21"/>
              </w:rPr>
              <w:t>11.电源功率≥90W ；</w:t>
            </w:r>
          </w:p>
          <w:p w14:paraId="6BB1D034">
            <w:pPr>
              <w:pStyle w:val="45"/>
              <w:ind w:firstLine="0" w:firstLineChars="0"/>
              <w:rPr>
                <w:rFonts w:hint="eastAsia" w:ascii="宋体" w:hAnsi="宋体" w:eastAsia="等线" w:cs="宋体"/>
                <w:sz w:val="21"/>
                <w:szCs w:val="21"/>
              </w:rPr>
            </w:pPr>
            <w:r>
              <w:rPr>
                <w:rFonts w:hint="eastAsia" w:ascii="宋体" w:hAnsi="宋体" w:eastAsia="等线" w:cs="宋体"/>
                <w:sz w:val="21"/>
                <w:szCs w:val="21"/>
              </w:rPr>
              <w:t>12. USB有线键盘、鼠标</w:t>
            </w:r>
            <w:r>
              <w:rPr>
                <w:rFonts w:hint="eastAsia" w:ascii="宋体" w:hAnsi="宋体" w:eastAsia="等线" w:cs="宋体"/>
                <w:sz w:val="21"/>
                <w:szCs w:val="21"/>
                <w:lang w:eastAsia="zh-CN"/>
              </w:rPr>
              <w:t>；</w:t>
            </w:r>
          </w:p>
          <w:p w14:paraId="215A781E">
            <w:pPr>
              <w:pStyle w:val="45"/>
              <w:ind w:firstLine="0" w:firstLineChars="0"/>
              <w:rPr>
                <w:rFonts w:hint="eastAsia" w:ascii="宋体" w:hAnsi="宋体" w:eastAsia="等线" w:cs="宋体"/>
                <w:sz w:val="21"/>
                <w:szCs w:val="21"/>
              </w:rPr>
            </w:pPr>
            <w:r>
              <w:rPr>
                <w:rFonts w:hint="eastAsia" w:ascii="宋体" w:hAnsi="宋体" w:eastAsia="等线" w:cs="宋体"/>
                <w:sz w:val="21"/>
                <w:szCs w:val="21"/>
                <w:lang w:val="en-US" w:eastAsia="zh-CN"/>
              </w:rPr>
              <w:t>13.</w:t>
            </w:r>
            <w:r>
              <w:rPr>
                <w:rFonts w:hint="eastAsia" w:ascii="宋体" w:hAnsi="宋体" w:eastAsia="等线" w:cs="宋体"/>
                <w:sz w:val="21"/>
                <w:szCs w:val="21"/>
              </w:rPr>
              <w:t>售后服务：提供至少三年原厂免费维保服务。</w:t>
            </w:r>
          </w:p>
          <w:p w14:paraId="45789E48">
            <w:pPr>
              <w:pStyle w:val="45"/>
              <w:ind w:firstLine="0" w:firstLineChars="0"/>
              <w:rPr>
                <w:rFonts w:hint="eastAsia" w:ascii="宋体" w:hAnsi="宋体" w:eastAsia="等线" w:cs="宋体"/>
                <w:sz w:val="21"/>
                <w:szCs w:val="21"/>
              </w:rPr>
            </w:pPr>
          </w:p>
          <w:p w14:paraId="7D8BD98B">
            <w:pPr>
              <w:pStyle w:val="45"/>
              <w:ind w:firstLine="0" w:firstLineChars="0"/>
              <w:rPr>
                <w:rFonts w:ascii="宋体" w:hAnsi="宋体" w:eastAsia="等线" w:cs="宋体"/>
                <w:sz w:val="21"/>
                <w:szCs w:val="21"/>
              </w:rPr>
            </w:pPr>
            <w:r>
              <w:rPr>
                <w:rFonts w:hint="eastAsia" w:ascii="宋体" w:hAnsi="宋体" w:eastAsia="等线" w:cs="宋体"/>
                <w:sz w:val="21"/>
                <w:szCs w:val="21"/>
              </w:rPr>
              <w:t>随机软件：</w:t>
            </w:r>
          </w:p>
          <w:p w14:paraId="0BEAE72E">
            <w:pPr>
              <w:pStyle w:val="45"/>
              <w:ind w:firstLine="0" w:firstLineChars="0"/>
              <w:rPr>
                <w:rFonts w:ascii="宋体" w:hAnsi="宋体" w:eastAsia="等线" w:cs="宋体"/>
                <w:sz w:val="21"/>
                <w:szCs w:val="21"/>
              </w:rPr>
            </w:pPr>
            <w:r>
              <w:rPr>
                <w:rFonts w:hint="eastAsia" w:ascii="宋体" w:hAnsi="宋体" w:eastAsia="等线" w:cs="宋体"/>
                <w:sz w:val="21"/>
                <w:szCs w:val="21"/>
              </w:rPr>
              <w:t>1.为方便学校系统管理员、上课老师等多角色高效管理与教学，云桌面管理平台支持在专业模式和导航模式随意切换；专业模式的功能采用树状结构布局，用户可实现功能逻辑化管理；导航模式功能采用扁平化结构布局，用户对常用功能实现一键管理。</w:t>
            </w:r>
          </w:p>
          <w:p w14:paraId="5138A7AB">
            <w:pPr>
              <w:pStyle w:val="45"/>
              <w:ind w:firstLine="0" w:firstLineChars="0"/>
              <w:rPr>
                <w:rFonts w:ascii="宋体" w:hAnsi="宋体" w:eastAsia="等线" w:cs="宋体"/>
                <w:sz w:val="21"/>
                <w:szCs w:val="21"/>
              </w:rPr>
            </w:pPr>
            <w:r>
              <w:rPr>
                <w:rFonts w:hint="eastAsia" w:ascii="宋体" w:hAnsi="宋体" w:eastAsia="等线" w:cs="宋体"/>
                <w:sz w:val="21"/>
                <w:szCs w:val="21"/>
              </w:rPr>
              <w:t>2.软件、网站的黑白名单功能：为避免使用者运行访问教学无关的软件和网站，支持对软件、网站设置黑白名单。</w:t>
            </w:r>
          </w:p>
          <w:p w14:paraId="5CD81E3B">
            <w:pPr>
              <w:pStyle w:val="45"/>
              <w:ind w:firstLine="0" w:firstLineChars="0"/>
              <w:rPr>
                <w:rFonts w:ascii="宋体" w:hAnsi="宋体" w:eastAsia="等线" w:cs="宋体"/>
                <w:sz w:val="21"/>
                <w:szCs w:val="21"/>
              </w:rPr>
            </w:pPr>
            <w:r>
              <w:rPr>
                <w:rFonts w:hint="eastAsia" w:ascii="宋体" w:hAnsi="宋体" w:eastAsia="等线" w:cs="宋体"/>
                <w:sz w:val="21"/>
                <w:szCs w:val="21"/>
              </w:rPr>
              <w:t>3.为方便学校掌握终端硬件运行情况，支持平台收集所有终端的运行状态信息，包含但不限于终端名称、CPU温度、开机时间、硬盘信息等。</w:t>
            </w:r>
          </w:p>
          <w:p w14:paraId="37E48CFF">
            <w:pPr>
              <w:pStyle w:val="45"/>
              <w:ind w:firstLine="0" w:firstLineChars="0"/>
              <w:rPr>
                <w:rFonts w:ascii="宋体" w:hAnsi="宋体" w:eastAsia="等线" w:cs="宋体"/>
                <w:sz w:val="21"/>
                <w:szCs w:val="21"/>
              </w:rPr>
            </w:pPr>
            <w:r>
              <w:rPr>
                <w:rFonts w:hint="eastAsia" w:ascii="宋体" w:hAnsi="宋体" w:eastAsia="等线" w:cs="宋体"/>
                <w:sz w:val="21"/>
                <w:szCs w:val="21"/>
              </w:rPr>
              <w:t>4.★为确保系统运行的流畅性与稳定性，在面临终端遭受病毒侵袭及垃圾文件累积过多等潜在风险时，支持通过管理端集中执行病毒全面查杀与系统瘦身，以有效防止因这些问题导致的系统缓慢或崩溃现象，从而保障用户的顺畅使用体验。</w:t>
            </w:r>
          </w:p>
          <w:p w14:paraId="084B4171">
            <w:pPr>
              <w:pStyle w:val="45"/>
              <w:ind w:firstLine="0" w:firstLineChars="0"/>
              <w:rPr>
                <w:rFonts w:ascii="宋体" w:hAnsi="宋体" w:eastAsia="等线" w:cs="宋体"/>
                <w:sz w:val="21"/>
                <w:szCs w:val="21"/>
              </w:rPr>
            </w:pPr>
            <w:r>
              <w:rPr>
                <w:rFonts w:hint="eastAsia" w:ascii="宋体" w:hAnsi="宋体" w:eastAsia="等线" w:cs="宋体"/>
                <w:sz w:val="21"/>
                <w:szCs w:val="21"/>
                <w:lang w:val="en-US" w:eastAsia="zh-CN"/>
              </w:rPr>
              <w:t>5</w:t>
            </w:r>
            <w:r>
              <w:rPr>
                <w:rFonts w:hint="eastAsia" w:ascii="宋体" w:hAnsi="宋体" w:eastAsia="等线" w:cs="宋体"/>
                <w:sz w:val="21"/>
                <w:szCs w:val="21"/>
              </w:rPr>
              <w:t>.为方便学校对教学软件运行情况的统计，支持平台收集所有终端的软件信息，包含但不限于程序名称、运行次数、运行时长、版本、程序大小等。</w:t>
            </w:r>
          </w:p>
          <w:p w14:paraId="5E89E5FB">
            <w:pPr>
              <w:pStyle w:val="45"/>
              <w:ind w:firstLine="0" w:firstLineChars="0"/>
              <w:rPr>
                <w:rFonts w:ascii="宋体" w:hAnsi="宋体" w:eastAsia="等线" w:cs="宋体"/>
                <w:sz w:val="21"/>
                <w:szCs w:val="21"/>
              </w:rPr>
            </w:pPr>
            <w:r>
              <w:rPr>
                <w:rFonts w:hint="eastAsia" w:ascii="宋体" w:hAnsi="宋体" w:eastAsia="等线" w:cs="宋体"/>
                <w:sz w:val="21"/>
                <w:szCs w:val="21"/>
                <w:lang w:val="en-US" w:eastAsia="zh-CN"/>
              </w:rPr>
              <w:t>6</w:t>
            </w:r>
            <w:r>
              <w:rPr>
                <w:rFonts w:hint="eastAsia" w:ascii="宋体" w:hAnsi="宋体" w:eastAsia="等线" w:cs="宋体"/>
                <w:sz w:val="21"/>
                <w:szCs w:val="21"/>
              </w:rPr>
              <w:t>.可提供网盘功能：支持用户在终端登录网盘，实现数据漫游与数据共享；支持用户将网盘中的文件分享给其他用户，其他用户可通过链接和提取码查看文件。</w:t>
            </w:r>
          </w:p>
          <w:p w14:paraId="1AF76F70">
            <w:pPr>
              <w:pStyle w:val="45"/>
              <w:ind w:firstLine="0" w:firstLineChars="0"/>
              <w:rPr>
                <w:rFonts w:ascii="宋体" w:hAnsi="宋体" w:eastAsia="等线" w:cs="宋体"/>
                <w:sz w:val="21"/>
                <w:szCs w:val="21"/>
              </w:rPr>
            </w:pPr>
            <w:r>
              <w:rPr>
                <w:rFonts w:hint="eastAsia" w:ascii="宋体" w:hAnsi="宋体" w:eastAsia="等线" w:cs="宋体"/>
                <w:sz w:val="21"/>
                <w:szCs w:val="21"/>
                <w:lang w:val="en-US" w:eastAsia="zh-CN"/>
              </w:rPr>
              <w:t>7</w:t>
            </w:r>
            <w:r>
              <w:rPr>
                <w:rFonts w:hint="eastAsia" w:ascii="宋体" w:hAnsi="宋体" w:eastAsia="等线" w:cs="宋体"/>
                <w:sz w:val="21"/>
                <w:szCs w:val="21"/>
              </w:rPr>
              <w:t>.为保障在大批量终端集中下发与更新镜像时能够获得更快的速度，当学校网络带宽有限时，可支持在管理集群内将主服务器内镜像提前下发至IO服务器，通过IO服务器分发镜像，实现数据分流，提升局域网内镜像的更新速度。</w:t>
            </w:r>
          </w:p>
          <w:p w14:paraId="0FBD6E03">
            <w:pPr>
              <w:pStyle w:val="45"/>
              <w:ind w:firstLine="0" w:firstLineChars="0"/>
              <w:rPr>
                <w:rFonts w:hint="eastAsia" w:ascii="宋体" w:hAnsi="宋体" w:eastAsia="等线" w:cs="宋体"/>
                <w:sz w:val="21"/>
                <w:szCs w:val="21"/>
              </w:rPr>
            </w:pPr>
            <w:r>
              <w:rPr>
                <w:rFonts w:hint="eastAsia" w:ascii="宋体" w:hAnsi="宋体" w:eastAsia="等线" w:cs="宋体"/>
                <w:sz w:val="21"/>
                <w:szCs w:val="21"/>
                <w:lang w:val="en-US" w:eastAsia="zh-CN"/>
              </w:rPr>
              <w:t>8</w:t>
            </w:r>
            <w:r>
              <w:rPr>
                <w:rFonts w:hint="eastAsia" w:ascii="宋体" w:hAnsi="宋体" w:eastAsia="等线" w:cs="宋体"/>
                <w:sz w:val="21"/>
                <w:szCs w:val="21"/>
              </w:rPr>
              <w:t>.为满足学校对多教学场景的切换，支持三种模式对某一系统盘和数据盘的管理，即还原模式、读写模式、 学习模式。</w:t>
            </w:r>
          </w:p>
          <w:p w14:paraId="4290555F">
            <w:pPr>
              <w:pStyle w:val="45"/>
              <w:ind w:firstLine="0" w:firstLineChars="0"/>
              <w:rPr>
                <w:rFonts w:hint="eastAsia" w:ascii="宋体" w:hAnsi="宋体" w:eastAsia="等线" w:cs="宋体"/>
                <w:kern w:val="0"/>
                <w:sz w:val="21"/>
                <w:szCs w:val="21"/>
                <w:lang w:val="en-US" w:eastAsia="zh-CN" w:bidi="ar-SA"/>
              </w:rPr>
            </w:pPr>
            <w:r>
              <w:rPr>
                <w:rFonts w:hint="eastAsia" w:ascii="宋体" w:hAnsi="宋体" w:eastAsia="等线" w:cs="宋体"/>
                <w:kern w:val="0"/>
                <w:sz w:val="21"/>
                <w:szCs w:val="21"/>
                <w:lang w:val="en-US" w:eastAsia="zh-CN" w:bidi="ar-SA"/>
              </w:rPr>
              <w:t>9.★提供备课与教学云空间功能，老师可将课件、教材等上传至云空间，上传后数据可跟随老师账号实时漫游，可在教室直接登陆并使用，避免因使用U盘导致的病毒交叉感染；云空间支持文件分享功能，可通过链接和提取码的方式分享给其他老师或学生，构建校内资源与知识共享平台。</w:t>
            </w:r>
          </w:p>
          <w:p w14:paraId="726E04EE">
            <w:pPr>
              <w:widowControl w:val="0"/>
              <w:wordWrap/>
              <w:autoSpaceDE w:val="0"/>
              <w:autoSpaceDN w:val="0"/>
              <w:adjustRightInd/>
              <w:snapToGrid/>
              <w:ind w:firstLine="0" w:firstLineChars="0"/>
              <w:textAlignment w:val="auto"/>
              <w:rPr>
                <w:rFonts w:hint="eastAsia"/>
              </w:rPr>
            </w:pPr>
            <w:r>
              <w:rPr>
                <w:rFonts w:hint="eastAsia" w:ascii="宋体" w:hAnsi="宋体" w:eastAsia="等线" w:cs="宋体"/>
                <w:kern w:val="0"/>
                <w:sz w:val="21"/>
                <w:szCs w:val="21"/>
                <w:lang w:val="en-US" w:eastAsia="zh-CN" w:bidi="ar-SA"/>
              </w:rPr>
              <w:t>10.为避免网络端口被占用而引起的教学环境不可用的问题，云桌面管理平台支持对服务器使用的网络端口进行检测，并通过检测结果帮助管理员快速分析和解决问题。</w:t>
            </w:r>
          </w:p>
        </w:tc>
        <w:tc>
          <w:tcPr>
            <w:tcW w:w="1260" w:type="dxa"/>
            <w:vAlign w:val="center"/>
          </w:tcPr>
          <w:p w14:paraId="6E0D3228">
            <w:pPr>
              <w:widowControl w:val="0"/>
              <w:wordWrap/>
              <w:autoSpaceDE w:val="0"/>
              <w:autoSpaceDN w:val="0"/>
              <w:adjustRightInd/>
              <w:snapToGrid/>
              <w:ind w:firstLine="0" w:firstLineChars="0"/>
              <w:jc w:val="both"/>
              <w:textAlignment w:val="auto"/>
              <w:rPr>
                <w:rFonts w:hint="eastAsia" w:eastAsia="宋体"/>
                <w:lang w:val="en-US" w:eastAsia="zh-CN"/>
              </w:rPr>
            </w:pPr>
            <w:r>
              <w:rPr>
                <w:rFonts w:hint="eastAsia"/>
                <w:lang w:val="en-US" w:eastAsia="zh-CN"/>
              </w:rPr>
              <w:t xml:space="preserve">  576（台）</w:t>
            </w:r>
          </w:p>
        </w:tc>
        <w:tc>
          <w:tcPr>
            <w:tcW w:w="1073" w:type="dxa"/>
            <w:vAlign w:val="center"/>
          </w:tcPr>
          <w:p w14:paraId="2F88246E">
            <w:pPr>
              <w:widowControl w:val="0"/>
              <w:wordWrap/>
              <w:autoSpaceDE w:val="0"/>
              <w:autoSpaceDN w:val="0"/>
              <w:adjustRightInd/>
              <w:snapToGrid/>
              <w:ind w:firstLine="0" w:firstLineChars="0"/>
              <w:jc w:val="center"/>
              <w:textAlignment w:val="auto"/>
              <w:rPr>
                <w:rFonts w:hint="eastAsia" w:eastAsia="宋体"/>
                <w:lang w:val="en-US" w:eastAsia="zh-CN"/>
              </w:rPr>
            </w:pPr>
            <w:r>
              <w:rPr>
                <w:rFonts w:hint="eastAsia"/>
                <w:lang w:val="en-US" w:eastAsia="zh-CN"/>
              </w:rPr>
              <w:t>2805120</w:t>
            </w:r>
          </w:p>
        </w:tc>
        <w:tc>
          <w:tcPr>
            <w:tcW w:w="982" w:type="dxa"/>
            <w:vAlign w:val="center"/>
          </w:tcPr>
          <w:p w14:paraId="169A151B">
            <w:pPr>
              <w:widowControl w:val="0"/>
              <w:wordWrap/>
              <w:autoSpaceDE w:val="0"/>
              <w:autoSpaceDN w:val="0"/>
              <w:adjustRightInd/>
              <w:snapToGrid/>
              <w:ind w:firstLine="0" w:firstLineChars="0"/>
              <w:jc w:val="center"/>
              <w:textAlignment w:val="auto"/>
              <w:rPr>
                <w:rFonts w:hint="eastAsia" w:eastAsia="宋体"/>
                <w:lang w:val="en-US" w:eastAsia="zh-CN"/>
              </w:rPr>
            </w:pPr>
            <w:r>
              <w:rPr>
                <w:rFonts w:hint="eastAsia" w:ascii="Times New Roman" w:hAnsi="Times New Roman"/>
                <w:sz w:val="24"/>
                <w:szCs w:val="24"/>
                <w:highlight w:val="none"/>
              </w:rPr>
              <w:t>制造业</w:t>
            </w:r>
          </w:p>
        </w:tc>
        <w:tc>
          <w:tcPr>
            <w:tcW w:w="1035" w:type="dxa"/>
            <w:vAlign w:val="center"/>
          </w:tcPr>
          <w:p w14:paraId="4AF1BDF0">
            <w:pPr>
              <w:widowControl w:val="0"/>
              <w:wordWrap/>
              <w:autoSpaceDE w:val="0"/>
              <w:autoSpaceDN w:val="0"/>
              <w:adjustRightInd/>
              <w:snapToGrid/>
              <w:ind w:firstLine="0" w:firstLineChars="0"/>
              <w:jc w:val="both"/>
              <w:textAlignment w:val="auto"/>
              <w:rPr>
                <w:rFonts w:hint="eastAsia" w:eastAsia="宋体"/>
                <w:lang w:val="en-US" w:eastAsia="zh-CN"/>
              </w:rPr>
            </w:pPr>
            <w:r>
              <w:rPr>
                <w:rFonts w:hint="eastAsia"/>
                <w:lang w:val="en-US" w:eastAsia="zh-CN"/>
              </w:rPr>
              <w:t xml:space="preserve">    是</w:t>
            </w:r>
          </w:p>
        </w:tc>
      </w:tr>
    </w:tbl>
    <w:p w14:paraId="0ADACBE4">
      <w:pPr>
        <w:keepNext/>
        <w:keepLines/>
        <w:widowControl w:val="0"/>
        <w:numPr>
          <w:ilvl w:val="2"/>
          <w:numId w:val="0"/>
        </w:numPr>
        <w:spacing w:before="317" w:after="317" w:line="360" w:lineRule="auto"/>
        <w:ind w:left="0" w:firstLineChars="0"/>
        <w:jc w:val="left"/>
        <w:outlineLvl w:val="2"/>
        <w:rPr>
          <w:rFonts w:ascii="黑体" w:hAnsi="黑体" w:eastAsia="仿宋" w:cs="Times New Roman"/>
          <w:b/>
          <w:bCs/>
          <w:kern w:val="2"/>
          <w:sz w:val="30"/>
          <w:szCs w:val="32"/>
          <w:lang w:val="en-US" w:eastAsia="zh-CN" w:bidi="ar-SA"/>
        </w:rPr>
      </w:pPr>
      <w:bookmarkStart w:id="30" w:name="_GoBack"/>
      <w:bookmarkEnd w:id="30"/>
    </w:p>
    <w:p w14:paraId="011B9BA8">
      <w:pPr>
        <w:rPr>
          <w:rFonts w:hint="eastAsia"/>
          <w:lang w:val="en-US" w:eastAsia="zh-CN"/>
        </w:rPr>
      </w:pPr>
    </w:p>
    <w:p w14:paraId="7E5B0969">
      <w:pPr>
        <w:pStyle w:val="45"/>
        <w:ind w:firstLine="0" w:firstLineChars="0"/>
        <w:rPr>
          <w:rFonts w:hint="eastAsia" w:ascii="宋体" w:hAnsi="宋体" w:cs="宋体"/>
          <w:b/>
          <w:bCs/>
          <w:color w:val="FF0000"/>
          <w:szCs w:val="21"/>
        </w:rPr>
      </w:pPr>
      <w:r>
        <w:rPr>
          <w:rFonts w:hint="eastAsia" w:ascii="宋体" w:hAnsi="宋体" w:cs="宋体"/>
          <w:b/>
          <w:bCs/>
          <w:color w:val="FF0000"/>
          <w:szCs w:val="21"/>
        </w:rPr>
        <w:t>注：</w:t>
      </w:r>
    </w:p>
    <w:p w14:paraId="1035B792">
      <w:pPr>
        <w:ind w:firstLine="316" w:firstLineChars="150"/>
        <w:rPr>
          <w:rFonts w:hint="eastAsia" w:ascii="宋体" w:hAnsi="宋体" w:cs="宋体"/>
          <w:b/>
          <w:bCs/>
          <w:color w:val="FF0000"/>
          <w:szCs w:val="21"/>
        </w:rPr>
      </w:pPr>
      <w:r>
        <w:rPr>
          <w:rFonts w:hint="eastAsia" w:ascii="宋体" w:hAnsi="宋体" w:cs="宋体"/>
          <w:b/>
          <w:bCs/>
          <w:color w:val="FF0000"/>
          <w:szCs w:val="21"/>
        </w:rPr>
        <w:t>技术指标中带“</w:t>
      </w:r>
      <w:r>
        <w:rPr>
          <w:rFonts w:hint="eastAsia" w:ascii="宋体" w:hAnsi="宋体" w:cs="宋体"/>
          <w:color w:val="FF0000"/>
          <w:szCs w:val="21"/>
        </w:rPr>
        <w:t>★</w:t>
      </w:r>
      <w:r>
        <w:rPr>
          <w:rFonts w:hint="eastAsia" w:ascii="宋体" w:hAnsi="宋体" w:cs="宋体"/>
          <w:b/>
          <w:bCs/>
          <w:color w:val="FF0000"/>
          <w:szCs w:val="21"/>
        </w:rPr>
        <w:t>”参数指标，投标人所投产品的技术指标没有完全响应的视作没有响应招标文件，不能通过初审。</w:t>
      </w:r>
    </w:p>
    <w:p w14:paraId="3B069280">
      <w:pPr>
        <w:rPr>
          <w:rFonts w:hint="eastAsia" w:ascii="宋体"/>
          <w:sz w:val="24"/>
        </w:rPr>
      </w:pPr>
      <w:r>
        <w:rPr>
          <w:rFonts w:hint="eastAsia"/>
          <w:b/>
          <w:bCs/>
          <w:sz w:val="24"/>
        </w:rPr>
        <w:t>项目总体要求：</w:t>
      </w:r>
    </w:p>
    <w:p w14:paraId="1179B423">
      <w:p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sz w:val="24"/>
        </w:rPr>
        <w:t>所投产品为原厂原装品牌整机，拒绝组装机、改装机、翻新机，</w:t>
      </w:r>
      <w:r>
        <w:rPr>
          <w:rFonts w:hint="eastAsia" w:ascii="宋体" w:hAnsi="宋体" w:eastAsia="宋体" w:cs="宋体"/>
          <w:color w:val="auto"/>
          <w:sz w:val="24"/>
          <w:szCs w:val="24"/>
          <w:highlight w:val="none"/>
          <w:lang w:val="en-US" w:eastAsia="zh-CN"/>
        </w:rPr>
        <w:t>本项目完全执行强制采购节能产品，优先采购环保产品的政策。</w:t>
      </w:r>
    </w:p>
    <w:p w14:paraId="170F5CF5">
      <w:pPr>
        <w:spacing w:line="360" w:lineRule="auto"/>
        <w:ind w:firstLine="480" w:firstLineChars="200"/>
        <w:rPr>
          <w:rFonts w:hint="eastAsia" w:ascii="宋体"/>
          <w:sz w:val="24"/>
        </w:rPr>
      </w:pPr>
      <w:r>
        <w:rPr>
          <w:rFonts w:hint="eastAsia" w:ascii="宋体" w:hAnsi="宋体"/>
          <w:sz w:val="24"/>
        </w:rPr>
        <w:t>质保要求：三年。</w:t>
      </w:r>
    </w:p>
    <w:p w14:paraId="4081393E">
      <w:pPr>
        <w:spacing w:line="360" w:lineRule="auto"/>
        <w:ind w:firstLine="480" w:firstLineChars="200"/>
        <w:rPr>
          <w:rFonts w:hint="eastAsia" w:ascii="宋体" w:hAnsi="宋体"/>
          <w:sz w:val="24"/>
        </w:rPr>
      </w:pPr>
      <w:r>
        <w:rPr>
          <w:rFonts w:hint="eastAsia" w:ascii="宋体" w:hAnsi="宋体"/>
          <w:sz w:val="24"/>
        </w:rPr>
        <w:t>交货时间：</w:t>
      </w:r>
      <w:bookmarkStart w:id="18" w:name="OLE_LINK160"/>
      <w:bookmarkStart w:id="19" w:name="OLE_LINK161"/>
      <w:r>
        <w:rPr>
          <w:rFonts w:hint="eastAsia" w:ascii="宋体" w:hAnsi="宋体"/>
          <w:sz w:val="24"/>
          <w:highlight w:val="none"/>
        </w:rPr>
        <w:t>自合同签订起35日并安装调试完毕。</w:t>
      </w:r>
      <w:bookmarkEnd w:id="18"/>
      <w:bookmarkEnd w:id="19"/>
    </w:p>
    <w:p w14:paraId="5D68B4A8">
      <w:pPr>
        <w:spacing w:line="360" w:lineRule="auto"/>
        <w:ind w:firstLine="480" w:firstLineChars="200"/>
        <w:jc w:val="left"/>
        <w:rPr>
          <w:rFonts w:hint="eastAsia"/>
          <w:b/>
          <w:bCs/>
          <w:szCs w:val="21"/>
        </w:rPr>
      </w:pPr>
      <w:r>
        <w:rPr>
          <w:rFonts w:hint="eastAsia" w:ascii="宋体" w:hAnsi="宋体"/>
          <w:bCs/>
          <w:sz w:val="24"/>
        </w:rPr>
        <w:t>供货地点：</w:t>
      </w:r>
      <w:r>
        <w:rPr>
          <w:rFonts w:hint="eastAsia" w:ascii="宋体" w:hAnsi="宋体"/>
          <w:bCs/>
          <w:sz w:val="24"/>
          <w:lang w:val="en-US" w:eastAsia="zh-CN"/>
        </w:rPr>
        <w:t>前郭</w:t>
      </w:r>
      <w:r>
        <w:rPr>
          <w:rFonts w:hint="eastAsia" w:ascii="宋体" w:hAnsi="宋体"/>
          <w:bCs/>
          <w:sz w:val="24"/>
        </w:rPr>
        <w:t>县</w:t>
      </w:r>
      <w:r>
        <w:rPr>
          <w:rFonts w:hint="eastAsia" w:ascii="宋体" w:hAnsi="宋体"/>
          <w:bCs/>
          <w:sz w:val="24"/>
          <w:lang w:val="en-US" w:eastAsia="zh-CN"/>
        </w:rPr>
        <w:t>31</w:t>
      </w:r>
      <w:r>
        <w:rPr>
          <w:rFonts w:hint="eastAsia" w:ascii="宋体" w:hAnsi="宋体"/>
          <w:bCs/>
          <w:sz w:val="24"/>
        </w:rPr>
        <w:t>所学校</w:t>
      </w:r>
    </w:p>
    <w:p w14:paraId="5F2533D0">
      <w:pPr>
        <w:spacing w:line="360" w:lineRule="auto"/>
        <w:ind w:firstLine="480" w:firstLineChars="200"/>
        <w:rPr>
          <w:sz w:val="24"/>
        </w:rPr>
      </w:pPr>
      <w:r>
        <w:rPr>
          <w:rFonts w:hint="eastAsia" w:ascii="宋体" w:hAnsi="宋体"/>
          <w:sz w:val="24"/>
        </w:rPr>
        <w:t>交货方式：由中标人负责将货物安全完好运抵交货地点、安装调试并保证验收合格。</w:t>
      </w:r>
    </w:p>
    <w:p w14:paraId="70541BD6">
      <w:pPr>
        <w:spacing w:line="360" w:lineRule="auto"/>
        <w:ind w:firstLine="354" w:firstLineChars="147"/>
        <w:rPr>
          <w:b/>
          <w:bCs/>
          <w:sz w:val="24"/>
          <w:lang w:val="zh-CN"/>
        </w:rPr>
      </w:pPr>
      <w:r>
        <w:rPr>
          <w:rFonts w:hint="eastAsia" w:ascii="黑体" w:hAnsi="黑体"/>
          <w:b/>
          <w:bCs/>
          <w:sz w:val="24"/>
          <w:lang w:val="en-US" w:eastAsia="zh-CN"/>
        </w:rPr>
        <w:t xml:space="preserve"> </w:t>
      </w:r>
      <w:r>
        <w:rPr>
          <w:rFonts w:hint="eastAsia" w:ascii="黑体" w:hAnsi="黑体"/>
          <w:b/>
          <w:bCs/>
          <w:sz w:val="24"/>
        </w:rPr>
        <w:t>售后服务要求：</w:t>
      </w:r>
    </w:p>
    <w:p w14:paraId="7B088162">
      <w:pPr>
        <w:spacing w:line="360" w:lineRule="auto"/>
        <w:ind w:firstLine="480" w:firstLineChars="200"/>
        <w:rPr>
          <w:rFonts w:ascii="宋体"/>
          <w:color w:val="000000"/>
          <w:sz w:val="24"/>
        </w:rPr>
      </w:pPr>
      <w:r>
        <w:rPr>
          <w:rFonts w:hint="eastAsia" w:ascii="宋体" w:hAnsi="宋体"/>
          <w:sz w:val="24"/>
        </w:rPr>
        <w:t>1.</w:t>
      </w:r>
      <w:r>
        <w:rPr>
          <w:rFonts w:hint="eastAsia" w:ascii="宋体"/>
          <w:color w:val="000000"/>
          <w:sz w:val="24"/>
          <w:lang w:val="zh-CN"/>
        </w:rPr>
        <w:t>服务响应时间不得超过1小时。</w:t>
      </w:r>
    </w:p>
    <w:p w14:paraId="00CD8150">
      <w:pPr>
        <w:spacing w:line="360" w:lineRule="auto"/>
        <w:ind w:firstLine="480" w:firstLineChars="200"/>
        <w:rPr>
          <w:rFonts w:hint="eastAsia" w:ascii="宋体"/>
          <w:sz w:val="24"/>
        </w:rPr>
      </w:pPr>
      <w:r>
        <w:rPr>
          <w:rFonts w:hint="eastAsia" w:ascii="宋体"/>
          <w:color w:val="000000"/>
          <w:sz w:val="24"/>
          <w:lang w:val="zh-CN"/>
        </w:rPr>
        <w:t>2</w:t>
      </w:r>
      <w:r>
        <w:rPr>
          <w:rFonts w:hint="eastAsia" w:ascii="宋体"/>
          <w:color w:val="000000"/>
          <w:sz w:val="24"/>
        </w:rPr>
        <w:t>.</w:t>
      </w:r>
      <w:r>
        <w:rPr>
          <w:rFonts w:hint="eastAsia" w:ascii="宋体"/>
          <w:color w:val="000000"/>
          <w:sz w:val="24"/>
          <w:lang w:val="zh-CN"/>
        </w:rPr>
        <w:t>在设备出现故障后，</w:t>
      </w:r>
      <w:r>
        <w:rPr>
          <w:rFonts w:hint="eastAsia" w:ascii="宋体"/>
          <w:color w:val="000000"/>
          <w:sz w:val="24"/>
        </w:rPr>
        <w:t>6</w:t>
      </w:r>
      <w:r>
        <w:rPr>
          <w:rFonts w:hint="eastAsia" w:ascii="宋体"/>
          <w:color w:val="000000"/>
          <w:sz w:val="24"/>
          <w:lang w:val="zh-CN"/>
        </w:rPr>
        <w:t>小时内到达现场进行检修。</w:t>
      </w:r>
    </w:p>
    <w:p w14:paraId="0D2B578D">
      <w:pPr>
        <w:spacing w:line="360" w:lineRule="auto"/>
        <w:ind w:firstLine="480" w:firstLineChars="200"/>
        <w:rPr>
          <w:rFonts w:hint="eastAsia"/>
          <w:lang w:val="en-US" w:eastAsia="zh-CN"/>
        </w:rPr>
        <w:sectPr>
          <w:pgSz w:w="16839" w:h="11907" w:orient="landscape"/>
          <w:pgMar w:top="1012" w:right="1130" w:bottom="1133" w:left="1135" w:header="0" w:footer="900" w:gutter="0"/>
          <w:cols w:space="720" w:num="1"/>
        </w:sectPr>
      </w:pPr>
      <w:r>
        <w:rPr>
          <w:rFonts w:hint="eastAsia" w:ascii="宋体" w:hAnsi="宋体"/>
          <w:sz w:val="24"/>
        </w:rPr>
        <w:t>3.投标时应提供售后服务承诺。</w:t>
      </w:r>
    </w:p>
    <w:p w14:paraId="68ADC01F">
      <w:pPr>
        <w:rPr>
          <w:rFonts w:hint="eastAsia" w:ascii="仿宋_GB2312" w:hAnsi="宋体" w:eastAsia="仿宋_GB2312" w:cs="宋体"/>
          <w:b/>
          <w:color w:val="000000"/>
          <w:sz w:val="32"/>
          <w:szCs w:val="32"/>
          <w:highlight w:val="none"/>
          <w:lang w:val="en-US" w:eastAsia="zh-CN"/>
        </w:rPr>
      </w:pPr>
      <w:r>
        <w:rPr>
          <w:rFonts w:hint="eastAsia" w:ascii="仿宋_GB2312" w:hAnsi="宋体" w:eastAsia="仿宋_GB2312" w:cs="宋体"/>
          <w:b/>
          <w:color w:val="000000"/>
          <w:sz w:val="32"/>
          <w:szCs w:val="32"/>
          <w:highlight w:val="none"/>
          <w:lang w:val="en-US" w:eastAsia="zh-CN"/>
        </w:rPr>
        <w:t xml:space="preserve">二、技术要求 </w:t>
      </w:r>
    </w:p>
    <w:p w14:paraId="10414673">
      <w:pPr>
        <w:keepNext w:val="0"/>
        <w:keepLines w:val="0"/>
        <w:pageBreakBefore w:val="0"/>
        <w:widowControl w:val="0"/>
        <w:kinsoku/>
        <w:wordWrap/>
        <w:overflowPunct/>
        <w:autoSpaceDE/>
        <w:autoSpaceDN/>
        <w:bidi w:val="0"/>
        <w:spacing w:line="520" w:lineRule="exact"/>
        <w:ind w:firstLine="640" w:firstLineChars="200"/>
        <w:textAlignment w:val="auto"/>
        <w:rPr>
          <w:rFonts w:hint="eastAsia" w:ascii="仿宋_GB2312" w:hAnsi="宋体" w:eastAsia="仿宋_GB2312" w:cs="宋体"/>
          <w:color w:val="000000"/>
          <w:sz w:val="32"/>
          <w:szCs w:val="32"/>
          <w:highlight w:val="none"/>
        </w:rPr>
      </w:pPr>
      <w:r>
        <w:rPr>
          <w:rFonts w:hint="eastAsia" w:ascii="仿宋_GB2312" w:hAnsi="宋体" w:eastAsia="仿宋_GB2312" w:cs="宋体"/>
          <w:color w:val="000000"/>
          <w:sz w:val="32"/>
          <w:szCs w:val="32"/>
          <w:highlight w:val="none"/>
        </w:rPr>
        <w:t>1</w:t>
      </w:r>
      <w:r>
        <w:rPr>
          <w:rFonts w:hint="eastAsia" w:ascii="仿宋_GB2312" w:hAnsi="宋体" w:eastAsia="仿宋_GB2312" w:cs="宋体"/>
          <w:color w:val="000000"/>
          <w:sz w:val="32"/>
          <w:szCs w:val="32"/>
          <w:highlight w:val="none"/>
          <w:lang w:val="en-US" w:eastAsia="zh-CN"/>
        </w:rPr>
        <w:t>.</w:t>
      </w:r>
      <w:r>
        <w:rPr>
          <w:rFonts w:hint="eastAsia" w:ascii="仿宋_GB2312" w:hAnsi="宋体" w:eastAsia="仿宋_GB2312" w:cs="宋体"/>
          <w:color w:val="000000"/>
          <w:sz w:val="32"/>
          <w:szCs w:val="32"/>
          <w:highlight w:val="none"/>
        </w:rPr>
        <w:t>技术要求</w:t>
      </w:r>
      <w:r>
        <w:rPr>
          <w:rFonts w:hint="eastAsia" w:ascii="仿宋_GB2312" w:hAnsi="宋体" w:eastAsia="仿宋_GB2312" w:cs="宋体"/>
          <w:color w:val="000000"/>
          <w:sz w:val="32"/>
          <w:szCs w:val="32"/>
          <w:highlight w:val="none"/>
          <w:lang w:eastAsia="zh-CN"/>
        </w:rPr>
        <w:t>：</w:t>
      </w:r>
      <w:r>
        <w:rPr>
          <w:rFonts w:hint="eastAsia" w:ascii="仿宋_GB2312" w:hAnsi="宋体" w:eastAsia="仿宋_GB2312" w:cs="宋体"/>
          <w:color w:val="000000"/>
          <w:sz w:val="32"/>
          <w:szCs w:val="32"/>
          <w:highlight w:val="none"/>
        </w:rPr>
        <w:t>符合国家相关行业规范标准。</w:t>
      </w:r>
    </w:p>
    <w:p w14:paraId="6A080690">
      <w:pPr>
        <w:keepNext w:val="0"/>
        <w:keepLines w:val="0"/>
        <w:pageBreakBefore w:val="0"/>
        <w:widowControl w:val="0"/>
        <w:kinsoku/>
        <w:wordWrap/>
        <w:overflowPunct/>
        <w:autoSpaceDE/>
        <w:autoSpaceDN/>
        <w:bidi w:val="0"/>
        <w:spacing w:line="520" w:lineRule="exact"/>
        <w:ind w:firstLine="640" w:firstLineChars="200"/>
        <w:textAlignment w:val="auto"/>
        <w:rPr>
          <w:rFonts w:hint="eastAsia"/>
          <w:highlight w:val="none"/>
        </w:rPr>
      </w:pPr>
      <w:r>
        <w:rPr>
          <w:rFonts w:hint="eastAsia" w:ascii="仿宋_GB2312" w:hAnsi="宋体" w:eastAsia="仿宋_GB2312" w:cs="宋体"/>
          <w:color w:val="000000"/>
          <w:sz w:val="32"/>
          <w:szCs w:val="32"/>
          <w:highlight w:val="none"/>
        </w:rPr>
        <w:t>2</w:t>
      </w:r>
      <w:r>
        <w:rPr>
          <w:rFonts w:hint="eastAsia" w:ascii="仿宋_GB2312" w:hAnsi="宋体" w:eastAsia="仿宋_GB2312" w:cs="宋体"/>
          <w:color w:val="000000"/>
          <w:sz w:val="32"/>
          <w:szCs w:val="32"/>
          <w:highlight w:val="none"/>
          <w:lang w:eastAsia="zh-CN"/>
        </w:rPr>
        <w:t>.</w:t>
      </w:r>
      <w:r>
        <w:rPr>
          <w:rFonts w:hint="eastAsia" w:ascii="仿宋_GB2312" w:hAnsi="宋体" w:eastAsia="仿宋_GB2312" w:cs="宋体"/>
          <w:color w:val="000000"/>
          <w:sz w:val="32"/>
          <w:szCs w:val="32"/>
          <w:highlight w:val="none"/>
        </w:rPr>
        <w:t>其他要求</w:t>
      </w:r>
      <w:r>
        <w:rPr>
          <w:rFonts w:hint="eastAsia" w:ascii="仿宋_GB2312" w:hAnsi="宋体" w:eastAsia="仿宋_GB2312" w:cs="宋体"/>
          <w:color w:val="000000"/>
          <w:sz w:val="32"/>
          <w:szCs w:val="32"/>
          <w:highlight w:val="none"/>
          <w:lang w:eastAsia="zh-CN"/>
        </w:rPr>
        <w:t>：</w:t>
      </w:r>
      <w:r>
        <w:rPr>
          <w:rFonts w:hint="eastAsia" w:ascii="仿宋_GB2312" w:hAnsi="宋体" w:eastAsia="仿宋_GB2312" w:cs="宋体"/>
          <w:color w:val="000000"/>
          <w:sz w:val="32"/>
          <w:szCs w:val="32"/>
          <w:highlight w:val="none"/>
        </w:rPr>
        <w:t>无</w:t>
      </w:r>
    </w:p>
    <w:p w14:paraId="25F486CA">
      <w:pPr>
        <w:spacing w:line="450" w:lineRule="atLeast"/>
        <w:ind w:firstLine="567"/>
        <w:rPr>
          <w:rFonts w:ascii="仿宋_GB2312" w:hAnsi="宋体" w:eastAsia="仿宋_GB2312" w:cs="宋体"/>
          <w:b/>
          <w:color w:val="000000"/>
          <w:sz w:val="32"/>
          <w:szCs w:val="32"/>
          <w:highlight w:val="none"/>
        </w:rPr>
      </w:pPr>
      <w:r>
        <w:rPr>
          <w:rFonts w:hint="eastAsia" w:ascii="宋体" w:hAnsi="宋体" w:eastAsia="宋体" w:cs="Times New Roman"/>
          <w:b/>
          <w:bCs/>
          <w:color w:val="000000"/>
          <w:spacing w:val="-11"/>
          <w:sz w:val="24"/>
          <w:highlight w:val="none"/>
          <w:lang w:val="en-US" w:eastAsia="zh-CN"/>
        </w:rPr>
        <w:t>*</w:t>
      </w:r>
      <w:r>
        <w:rPr>
          <w:rFonts w:hint="eastAsia" w:ascii="仿宋_GB2312" w:hAnsi="宋体" w:eastAsia="仿宋_GB2312" w:cs="宋体"/>
          <w:b/>
          <w:color w:val="000000"/>
          <w:sz w:val="32"/>
          <w:szCs w:val="32"/>
          <w:highlight w:val="none"/>
          <w:lang w:val="en-US" w:eastAsia="zh-CN"/>
        </w:rPr>
        <w:t>三</w:t>
      </w:r>
      <w:r>
        <w:rPr>
          <w:rFonts w:hint="eastAsia" w:ascii="仿宋_GB2312" w:hAnsi="宋体" w:eastAsia="仿宋_GB2312" w:cs="宋体"/>
          <w:b/>
          <w:color w:val="000000"/>
          <w:sz w:val="32"/>
          <w:szCs w:val="32"/>
          <w:highlight w:val="none"/>
        </w:rPr>
        <w:t>、商务要求</w:t>
      </w:r>
    </w:p>
    <w:p w14:paraId="4883D942">
      <w:pPr>
        <w:numPr>
          <w:ilvl w:val="0"/>
          <w:numId w:val="0"/>
        </w:numPr>
        <w:spacing w:line="450" w:lineRule="atLeast"/>
        <w:ind w:firstLine="640" w:firstLineChars="200"/>
        <w:rPr>
          <w:rFonts w:hint="default" w:ascii="仿宋_GB2312" w:hAnsi="宋体" w:eastAsia="仿宋_GB2312" w:cs="宋体"/>
          <w:color w:val="000000"/>
          <w:sz w:val="32"/>
          <w:szCs w:val="32"/>
          <w:highlight w:val="none"/>
          <w:lang w:val="en-US" w:eastAsia="zh-CN"/>
        </w:rPr>
      </w:pPr>
      <w:r>
        <w:rPr>
          <w:rFonts w:hint="eastAsia" w:ascii="仿宋_GB2312" w:hAnsi="宋体" w:eastAsia="仿宋_GB2312" w:cs="宋体"/>
          <w:color w:val="000000"/>
          <w:sz w:val="32"/>
          <w:szCs w:val="32"/>
          <w:highlight w:val="none"/>
          <w:lang w:val="en-US" w:eastAsia="zh-CN"/>
        </w:rPr>
        <w:t>1.</w:t>
      </w:r>
      <w:r>
        <w:rPr>
          <w:rFonts w:hint="eastAsia" w:ascii="仿宋_GB2312" w:hAnsi="宋体" w:eastAsia="仿宋_GB2312" w:cs="宋体"/>
          <w:color w:val="000000"/>
          <w:sz w:val="32"/>
          <w:szCs w:val="32"/>
          <w:highlight w:val="none"/>
        </w:rPr>
        <w:t>付款方式</w:t>
      </w:r>
      <w:r>
        <w:rPr>
          <w:rFonts w:hint="eastAsia" w:ascii="仿宋_GB2312" w:hAnsi="宋体" w:eastAsia="仿宋_GB2312" w:cs="宋体"/>
          <w:color w:val="000000"/>
          <w:sz w:val="32"/>
          <w:szCs w:val="32"/>
          <w:highlight w:val="none"/>
          <w:lang w:eastAsia="zh-CN"/>
        </w:rPr>
        <w:t>：</w:t>
      </w:r>
      <w:r>
        <w:rPr>
          <w:rFonts w:hint="eastAsia" w:ascii="仿宋_GB2312" w:hAnsi="宋体" w:eastAsia="仿宋_GB2312" w:cs="宋体"/>
          <w:color w:val="000000"/>
          <w:sz w:val="32"/>
          <w:szCs w:val="32"/>
          <w:highlight w:val="none"/>
          <w:lang w:val="en-US" w:eastAsia="zh-CN"/>
        </w:rPr>
        <w:t>一次付清 。总验收报告完成后，达到付款条件起15日，支付合同总金额的100.00％。</w:t>
      </w:r>
    </w:p>
    <w:p w14:paraId="08E89DED">
      <w:pPr>
        <w:numPr>
          <w:ilvl w:val="0"/>
          <w:numId w:val="0"/>
        </w:numPr>
        <w:spacing w:line="450" w:lineRule="atLeast"/>
        <w:ind w:firstLine="640" w:firstLineChars="200"/>
        <w:rPr>
          <w:rFonts w:hint="eastAsia" w:ascii="仿宋_GB2312" w:hAnsi="宋体" w:eastAsia="仿宋_GB2312" w:cs="宋体"/>
          <w:color w:val="000000"/>
          <w:sz w:val="32"/>
          <w:szCs w:val="32"/>
          <w:highlight w:val="none"/>
          <w:lang w:val="en-US" w:eastAsia="zh-CN"/>
        </w:rPr>
      </w:pPr>
      <w:r>
        <w:rPr>
          <w:rFonts w:hint="eastAsia" w:ascii="仿宋_GB2312" w:hAnsi="宋体" w:eastAsia="仿宋_GB2312" w:cs="宋体"/>
          <w:color w:val="000000"/>
          <w:sz w:val="32"/>
          <w:szCs w:val="32"/>
          <w:highlight w:val="none"/>
          <w:lang w:val="en-US" w:eastAsia="zh-CN"/>
        </w:rPr>
        <w:t>2.</w:t>
      </w:r>
      <w:r>
        <w:rPr>
          <w:rFonts w:hint="eastAsia" w:ascii="仿宋_GB2312" w:hAnsi="宋体" w:eastAsia="仿宋_GB2312" w:cs="宋体"/>
          <w:color w:val="000000"/>
          <w:sz w:val="32"/>
          <w:szCs w:val="32"/>
          <w:highlight w:val="none"/>
        </w:rPr>
        <w:t>交货时间</w:t>
      </w:r>
      <w:r>
        <w:rPr>
          <w:rFonts w:hint="eastAsia" w:ascii="仿宋_GB2312" w:hAnsi="宋体" w:eastAsia="仿宋_GB2312" w:cs="宋体"/>
          <w:color w:val="000000"/>
          <w:sz w:val="32"/>
          <w:szCs w:val="32"/>
          <w:highlight w:val="none"/>
          <w:lang w:val="en-US" w:eastAsia="zh-CN"/>
        </w:rPr>
        <w:t>：自合同签订之日起35内完成供货及安装，并保证验收合格。</w:t>
      </w:r>
    </w:p>
    <w:p w14:paraId="78719D4B">
      <w:pPr>
        <w:numPr>
          <w:ilvl w:val="0"/>
          <w:numId w:val="0"/>
        </w:numPr>
        <w:spacing w:line="450" w:lineRule="atLeast"/>
        <w:ind w:firstLine="640" w:firstLineChars="200"/>
        <w:rPr>
          <w:rFonts w:hint="default" w:ascii="仿宋_GB2312" w:hAnsi="宋体" w:eastAsia="仿宋_GB2312" w:cs="宋体"/>
          <w:color w:val="000000"/>
          <w:sz w:val="32"/>
          <w:szCs w:val="32"/>
          <w:highlight w:val="none"/>
          <w:lang w:val="en-US" w:eastAsia="zh-CN"/>
        </w:rPr>
      </w:pPr>
      <w:r>
        <w:rPr>
          <w:rFonts w:hint="eastAsia" w:ascii="仿宋_GB2312" w:hAnsi="宋体" w:eastAsia="仿宋_GB2312" w:cs="宋体"/>
          <w:color w:val="000000"/>
          <w:sz w:val="32"/>
          <w:szCs w:val="32"/>
          <w:highlight w:val="none"/>
          <w:lang w:val="en-US" w:eastAsia="zh-CN"/>
        </w:rPr>
        <w:t>3.履约验收时间：供应商提出验收申请之日起7日内组织验收。</w:t>
      </w:r>
    </w:p>
    <w:p w14:paraId="6695CBCA">
      <w:pPr>
        <w:spacing w:line="450" w:lineRule="atLeast"/>
        <w:ind w:firstLine="640" w:firstLineChars="200"/>
        <w:rPr>
          <w:rFonts w:hint="eastAsia" w:ascii="仿宋_GB2312" w:hAnsi="宋体" w:eastAsia="仿宋_GB2312" w:cs="宋体"/>
          <w:color w:val="000000"/>
          <w:sz w:val="32"/>
          <w:szCs w:val="32"/>
          <w:highlight w:val="none"/>
          <w:lang w:val="en-US" w:eastAsia="zh-CN"/>
        </w:rPr>
      </w:pPr>
      <w:r>
        <w:rPr>
          <w:rFonts w:hint="eastAsia" w:ascii="仿宋_GB2312" w:hAnsi="宋体" w:eastAsia="仿宋_GB2312" w:cs="宋体"/>
          <w:color w:val="000000"/>
          <w:sz w:val="32"/>
          <w:szCs w:val="32"/>
          <w:highlight w:val="none"/>
          <w:lang w:val="en-US" w:eastAsia="zh-CN"/>
        </w:rPr>
        <w:t>4</w:t>
      </w:r>
      <w:r>
        <w:rPr>
          <w:rFonts w:hint="eastAsia" w:ascii="仿宋_GB2312" w:hAnsi="宋体" w:eastAsia="仿宋_GB2312" w:cs="宋体"/>
          <w:color w:val="000000"/>
          <w:sz w:val="32"/>
          <w:szCs w:val="32"/>
          <w:highlight w:val="none"/>
          <w:lang w:eastAsia="zh-CN"/>
        </w:rPr>
        <w:t>.</w:t>
      </w:r>
      <w:r>
        <w:rPr>
          <w:rFonts w:hint="eastAsia" w:ascii="仿宋_GB2312" w:hAnsi="宋体" w:eastAsia="仿宋_GB2312" w:cs="宋体"/>
          <w:color w:val="000000"/>
          <w:sz w:val="32"/>
          <w:szCs w:val="32"/>
          <w:highlight w:val="none"/>
          <w:lang w:val="en-US" w:eastAsia="zh-CN"/>
        </w:rPr>
        <w:t>交货地点：前郭县31所学校。</w:t>
      </w:r>
    </w:p>
    <w:p w14:paraId="192E1D00">
      <w:pPr>
        <w:spacing w:line="450" w:lineRule="atLeast"/>
        <w:ind w:firstLine="640" w:firstLineChars="200"/>
        <w:rPr>
          <w:rFonts w:hint="eastAsia" w:ascii="仿宋_GB2312" w:hAnsi="宋体" w:eastAsia="仿宋_GB2312" w:cs="宋体"/>
          <w:color w:val="000000"/>
          <w:sz w:val="32"/>
          <w:szCs w:val="32"/>
          <w:highlight w:val="none"/>
          <w:lang w:val="zh-CN" w:eastAsia="zh-CN"/>
        </w:rPr>
      </w:pPr>
      <w:r>
        <w:rPr>
          <w:rFonts w:hint="eastAsia" w:ascii="仿宋_GB2312" w:hAnsi="宋体" w:eastAsia="仿宋_GB2312" w:cs="宋体"/>
          <w:color w:val="000000"/>
          <w:sz w:val="32"/>
          <w:szCs w:val="32"/>
          <w:highlight w:val="none"/>
          <w:lang w:val="en-US" w:eastAsia="zh-CN"/>
        </w:rPr>
        <w:t>5.质量标准：</w:t>
      </w:r>
      <w:r>
        <w:rPr>
          <w:rFonts w:hint="eastAsia" w:ascii="仿宋_GB2312" w:hAnsi="宋体" w:eastAsia="仿宋_GB2312" w:cs="宋体"/>
          <w:color w:val="000000"/>
          <w:sz w:val="32"/>
          <w:szCs w:val="32"/>
          <w:highlight w:val="none"/>
          <w:lang w:val="zh-CN" w:eastAsia="zh-CN"/>
        </w:rPr>
        <w:t>符合国家质量标准要求。</w:t>
      </w:r>
    </w:p>
    <w:p w14:paraId="07A0C4AF">
      <w:pPr>
        <w:spacing w:line="450" w:lineRule="atLeast"/>
        <w:ind w:firstLine="640" w:firstLineChars="200"/>
        <w:rPr>
          <w:rFonts w:hint="eastAsia" w:ascii="仿宋_GB2312" w:hAnsi="宋体" w:eastAsia="仿宋_GB2312" w:cs="宋体"/>
          <w:color w:val="000000"/>
          <w:sz w:val="32"/>
          <w:szCs w:val="32"/>
          <w:highlight w:val="none"/>
          <w:lang w:val="en-US" w:eastAsia="zh-CN"/>
        </w:rPr>
      </w:pPr>
      <w:r>
        <w:rPr>
          <w:rFonts w:hint="eastAsia" w:ascii="仿宋_GB2312" w:hAnsi="宋体" w:eastAsia="仿宋_GB2312" w:cs="宋体"/>
          <w:color w:val="000000"/>
          <w:sz w:val="32"/>
          <w:szCs w:val="32"/>
          <w:highlight w:val="none"/>
          <w:lang w:val="en-US" w:eastAsia="zh-CN"/>
        </w:rPr>
        <w:t>6.质量保修范围和保修期：自交付验收合格之日起提供为期3年的质量保修服务。</w:t>
      </w:r>
    </w:p>
    <w:p w14:paraId="71BE47F0">
      <w:pPr>
        <w:spacing w:line="450" w:lineRule="atLeast"/>
        <w:ind w:firstLine="640" w:firstLineChars="200"/>
        <w:rPr>
          <w:rFonts w:hint="eastAsia" w:ascii="仿宋_GB2312" w:hAnsi="宋体" w:eastAsia="仿宋_GB2312" w:cs="宋体"/>
          <w:color w:val="000000"/>
          <w:sz w:val="32"/>
          <w:szCs w:val="32"/>
          <w:highlight w:val="none"/>
        </w:rPr>
      </w:pPr>
      <w:r>
        <w:rPr>
          <w:rFonts w:hint="eastAsia" w:ascii="仿宋_GB2312" w:hAnsi="宋体" w:eastAsia="仿宋_GB2312" w:cs="宋体"/>
          <w:color w:val="000000"/>
          <w:kern w:val="2"/>
          <w:sz w:val="32"/>
          <w:szCs w:val="32"/>
          <w:highlight w:val="none"/>
          <w:lang w:val="en-US" w:eastAsia="zh-CN" w:bidi="ar-SA"/>
        </w:rPr>
        <w:t>7.售后</w:t>
      </w:r>
      <w:r>
        <w:rPr>
          <w:rFonts w:hint="eastAsia" w:ascii="仿宋_GB2312" w:hAnsi="宋体" w:eastAsia="仿宋_GB2312" w:cs="宋体"/>
          <w:color w:val="000000"/>
          <w:sz w:val="32"/>
          <w:szCs w:val="32"/>
          <w:highlight w:val="none"/>
        </w:rPr>
        <w:t>服务：服务响应时间不得超过1小时</w:t>
      </w:r>
      <w:r>
        <w:rPr>
          <w:rFonts w:hint="eastAsia" w:ascii="仿宋_GB2312" w:hAnsi="宋体" w:eastAsia="仿宋_GB2312" w:cs="宋体"/>
          <w:color w:val="000000"/>
          <w:sz w:val="32"/>
          <w:szCs w:val="32"/>
          <w:highlight w:val="none"/>
          <w:lang w:eastAsia="zh-CN"/>
        </w:rPr>
        <w:t>；</w:t>
      </w:r>
      <w:r>
        <w:rPr>
          <w:rFonts w:hint="eastAsia" w:ascii="仿宋_GB2312" w:hAnsi="宋体" w:eastAsia="仿宋_GB2312" w:cs="宋体"/>
          <w:color w:val="000000"/>
          <w:sz w:val="32"/>
          <w:szCs w:val="32"/>
          <w:highlight w:val="none"/>
        </w:rPr>
        <w:t>在设备出现故障后，6小时内到达现场进行检修</w:t>
      </w:r>
      <w:r>
        <w:rPr>
          <w:rFonts w:hint="eastAsia" w:ascii="仿宋_GB2312" w:hAnsi="宋体" w:eastAsia="仿宋_GB2312" w:cs="宋体"/>
          <w:color w:val="000000"/>
          <w:sz w:val="32"/>
          <w:szCs w:val="32"/>
          <w:highlight w:val="none"/>
          <w:lang w:eastAsia="zh-CN"/>
        </w:rPr>
        <w:t>；</w:t>
      </w:r>
      <w:r>
        <w:rPr>
          <w:rFonts w:hint="eastAsia" w:ascii="仿宋_GB2312" w:hAnsi="宋体" w:eastAsia="仿宋_GB2312" w:cs="宋体"/>
          <w:color w:val="000000"/>
          <w:sz w:val="32"/>
          <w:szCs w:val="32"/>
          <w:highlight w:val="none"/>
        </w:rPr>
        <w:t>投标时应提供售后服务承诺。</w:t>
      </w:r>
    </w:p>
    <w:p w14:paraId="7E3F55E8">
      <w:pPr>
        <w:spacing w:line="450" w:lineRule="atLeast"/>
        <w:ind w:firstLine="567"/>
        <w:rPr>
          <w:rFonts w:ascii="仿宋_GB2312" w:hAnsi="宋体" w:eastAsia="仿宋_GB2312" w:cs="宋体"/>
          <w:color w:val="000000"/>
          <w:sz w:val="32"/>
          <w:szCs w:val="32"/>
          <w:highlight w:val="none"/>
        </w:rPr>
      </w:pPr>
      <w:r>
        <w:rPr>
          <w:rFonts w:hint="eastAsia" w:ascii="仿宋_GB2312" w:hAnsi="宋体" w:eastAsia="仿宋_GB2312" w:cs="宋体"/>
          <w:color w:val="000000"/>
          <w:sz w:val="32"/>
          <w:szCs w:val="32"/>
          <w:highlight w:val="none"/>
          <w:lang w:val="en-US" w:eastAsia="zh-CN"/>
        </w:rPr>
        <w:t>8.</w:t>
      </w:r>
      <w:r>
        <w:rPr>
          <w:rFonts w:hint="eastAsia" w:ascii="仿宋_GB2312" w:hAnsi="宋体" w:eastAsia="仿宋_GB2312" w:cs="宋体"/>
          <w:color w:val="000000"/>
          <w:sz w:val="32"/>
          <w:szCs w:val="32"/>
          <w:highlight w:val="none"/>
        </w:rPr>
        <w:t>其他要求</w:t>
      </w:r>
      <w:r>
        <w:rPr>
          <w:rFonts w:hint="eastAsia" w:ascii="仿宋_GB2312" w:hAnsi="宋体" w:eastAsia="仿宋_GB2312" w:cs="宋体"/>
          <w:color w:val="000000"/>
          <w:sz w:val="32"/>
          <w:szCs w:val="32"/>
          <w:highlight w:val="none"/>
          <w:lang w:eastAsia="zh-CN"/>
        </w:rPr>
        <w:t>：</w:t>
      </w:r>
      <w:r>
        <w:rPr>
          <w:rFonts w:hint="eastAsia" w:ascii="仿宋_GB2312" w:hAnsi="宋体" w:eastAsia="仿宋_GB2312" w:cs="宋体"/>
          <w:color w:val="000000"/>
          <w:sz w:val="32"/>
          <w:szCs w:val="32"/>
          <w:highlight w:val="none"/>
        </w:rPr>
        <w:t xml:space="preserve"> </w:t>
      </w:r>
      <w:r>
        <w:rPr>
          <w:rFonts w:hint="eastAsia" w:ascii="仿宋_GB2312" w:hAnsi="宋体" w:eastAsia="仿宋_GB2312" w:cs="宋体"/>
          <w:color w:val="000000"/>
          <w:sz w:val="32"/>
          <w:szCs w:val="32"/>
          <w:highlight w:val="none"/>
          <w:lang w:eastAsia="zh-CN"/>
        </w:rPr>
        <w:t>无</w:t>
      </w:r>
    </w:p>
    <w:p w14:paraId="1A8C32DE">
      <w:pPr>
        <w:ind w:left="480"/>
        <w:jc w:val="left"/>
        <w:rPr>
          <w:rFonts w:hint="eastAsia" w:ascii="仿宋_GB2312" w:hAnsi="宋体" w:eastAsia="仿宋_GB2312" w:cs="宋体"/>
          <w:b/>
          <w:color w:val="000000"/>
          <w:sz w:val="32"/>
          <w:szCs w:val="32"/>
          <w:highlight w:val="none"/>
          <w:lang w:eastAsia="zh-CN"/>
        </w:rPr>
      </w:pPr>
      <w:r>
        <w:rPr>
          <w:rFonts w:hint="eastAsia" w:ascii="仿宋_GB2312" w:hAnsi="宋体" w:eastAsia="仿宋_GB2312" w:cs="宋体"/>
          <w:b/>
          <w:color w:val="000000"/>
          <w:sz w:val="32"/>
          <w:szCs w:val="32"/>
          <w:highlight w:val="none"/>
          <w:lang w:val="en-US" w:eastAsia="zh-CN"/>
        </w:rPr>
        <w:t>四</w:t>
      </w:r>
      <w:r>
        <w:rPr>
          <w:rFonts w:hint="eastAsia" w:ascii="仿宋_GB2312" w:hAnsi="宋体" w:eastAsia="仿宋_GB2312" w:cs="宋体"/>
          <w:b/>
          <w:color w:val="000000"/>
          <w:sz w:val="32"/>
          <w:szCs w:val="32"/>
          <w:highlight w:val="none"/>
        </w:rPr>
        <w:t>、合同签订</w:t>
      </w:r>
      <w:r>
        <w:rPr>
          <w:rFonts w:hint="eastAsia" w:ascii="仿宋_GB2312" w:hAnsi="宋体" w:eastAsia="仿宋_GB2312" w:cs="宋体"/>
          <w:b/>
          <w:color w:val="000000"/>
          <w:sz w:val="32"/>
          <w:szCs w:val="32"/>
          <w:highlight w:val="none"/>
          <w:lang w:eastAsia="zh-CN"/>
        </w:rPr>
        <w:t>：</w:t>
      </w:r>
    </w:p>
    <w:p w14:paraId="6BD7BC93">
      <w:pPr>
        <w:spacing w:line="450" w:lineRule="atLeast"/>
        <w:ind w:firstLine="567"/>
        <w:rPr>
          <w:rFonts w:hint="eastAsia" w:ascii="仿宋_GB2312" w:hAnsi="宋体" w:eastAsia="仿宋_GB2312" w:cs="宋体"/>
          <w:color w:val="000000"/>
          <w:sz w:val="32"/>
          <w:szCs w:val="32"/>
          <w:highlight w:val="none"/>
          <w:lang w:eastAsia="zh-CN"/>
        </w:rPr>
      </w:pPr>
      <w:r>
        <w:rPr>
          <w:rFonts w:hint="eastAsia" w:ascii="仿宋_GB2312" w:hAnsi="宋体" w:eastAsia="仿宋_GB2312" w:cs="宋体"/>
          <w:color w:val="000000"/>
          <w:sz w:val="32"/>
          <w:szCs w:val="32"/>
          <w:highlight w:val="none"/>
        </w:rPr>
        <w:t>采购人与中标人应当在中标通知书发出之日起三十日内，按照采购文件确定的事项签订政府采购合同。</w:t>
      </w:r>
    </w:p>
    <w:p w14:paraId="346C481E">
      <w:pPr>
        <w:numPr>
          <w:ilvl w:val="0"/>
          <w:numId w:val="0"/>
        </w:numPr>
        <w:ind w:left="480" w:leftChars="0"/>
        <w:rPr>
          <w:rFonts w:ascii="仿宋_GB2312" w:hAnsi="宋体" w:eastAsia="仿宋_GB2312" w:cs="宋体"/>
          <w:b/>
          <w:color w:val="000000"/>
          <w:sz w:val="32"/>
          <w:szCs w:val="32"/>
          <w:highlight w:val="none"/>
        </w:rPr>
      </w:pPr>
      <w:r>
        <w:rPr>
          <w:rFonts w:hint="eastAsia" w:ascii="仿宋_GB2312" w:hAnsi="宋体" w:eastAsia="仿宋_GB2312" w:cs="宋体"/>
          <w:b/>
          <w:color w:val="000000"/>
          <w:sz w:val="32"/>
          <w:szCs w:val="32"/>
          <w:highlight w:val="none"/>
          <w:lang w:val="en-US" w:eastAsia="zh-CN"/>
        </w:rPr>
        <w:t>五、</w:t>
      </w:r>
      <w:r>
        <w:rPr>
          <w:rFonts w:hint="eastAsia" w:ascii="仿宋_GB2312" w:hAnsi="宋体" w:eastAsia="仿宋_GB2312" w:cs="宋体"/>
          <w:b/>
          <w:color w:val="000000"/>
          <w:sz w:val="32"/>
          <w:szCs w:val="32"/>
          <w:highlight w:val="none"/>
        </w:rPr>
        <w:t>验收方式</w:t>
      </w:r>
      <w:r>
        <w:rPr>
          <w:rFonts w:hint="eastAsia" w:ascii="仿宋_GB2312" w:hAnsi="宋体" w:eastAsia="仿宋_GB2312" w:cs="宋体"/>
          <w:b/>
          <w:color w:val="000000"/>
          <w:sz w:val="32"/>
          <w:szCs w:val="32"/>
          <w:highlight w:val="none"/>
          <w:lang w:eastAsia="zh-CN"/>
        </w:rPr>
        <w:t>：</w:t>
      </w:r>
    </w:p>
    <w:p w14:paraId="7C264D21">
      <w:pPr>
        <w:spacing w:line="450" w:lineRule="atLeast"/>
        <w:ind w:firstLine="567"/>
        <w:rPr>
          <w:rFonts w:hint="eastAsia" w:ascii="宋体" w:hAnsi="宋体" w:eastAsia="宋体" w:cs="宋体"/>
          <w:sz w:val="24"/>
          <w:highlight w:val="none"/>
          <w:lang w:val="en-US" w:eastAsia="zh-CN"/>
        </w:rPr>
      </w:pPr>
      <w:r>
        <w:rPr>
          <w:rFonts w:hint="eastAsia" w:ascii="仿宋_GB2312" w:hAnsi="宋体" w:eastAsia="仿宋_GB2312" w:cs="宋体"/>
          <w:color w:val="000000"/>
          <w:sz w:val="32"/>
          <w:szCs w:val="32"/>
          <w:highlight w:val="none"/>
          <w:lang w:eastAsia="zh-CN"/>
        </w:rPr>
        <w:t>采购人根据法律法规和相关要求及时组织履约验收，严格履行采购人对采购需求和履约验收的主体责任。</w:t>
      </w:r>
    </w:p>
    <w:p w14:paraId="48DC66AD">
      <w:pPr>
        <w:keepNext w:val="0"/>
        <w:keepLines w:val="0"/>
        <w:pageBreakBefore w:val="0"/>
        <w:widowControl w:val="0"/>
        <w:kinsoku/>
        <w:wordWrap/>
        <w:overflowPunct/>
        <w:topLinePunct/>
        <w:autoSpaceDE/>
        <w:autoSpaceDN/>
        <w:bidi w:val="0"/>
        <w:adjustRightInd w:val="0"/>
        <w:snapToGrid w:val="0"/>
        <w:spacing w:line="520" w:lineRule="exact"/>
        <w:ind w:firstLine="219" w:firstLineChars="100"/>
        <w:jc w:val="left"/>
        <w:textAlignment w:val="auto"/>
        <w:rPr>
          <w:rFonts w:hint="eastAsia" w:ascii="宋体" w:hAnsi="宋体" w:eastAsia="宋体" w:cs="Times New Roman"/>
          <w:b/>
          <w:bCs/>
          <w:color w:val="auto"/>
          <w:spacing w:val="-11"/>
          <w:sz w:val="24"/>
          <w:highlight w:val="none"/>
          <w:lang w:eastAsia="zh-CN"/>
        </w:rPr>
      </w:pPr>
      <w:r>
        <w:rPr>
          <w:rFonts w:hint="eastAsia" w:ascii="宋体" w:hAnsi="宋体" w:eastAsia="宋体" w:cs="Times New Roman"/>
          <w:b/>
          <w:bCs/>
          <w:color w:val="auto"/>
          <w:spacing w:val="-11"/>
          <w:sz w:val="24"/>
          <w:highlight w:val="none"/>
          <w:lang w:eastAsia="zh-CN"/>
        </w:rPr>
        <w:t>说明：</w:t>
      </w:r>
    </w:p>
    <w:p w14:paraId="596ABE38">
      <w:pPr>
        <w:keepNext w:val="0"/>
        <w:keepLines w:val="0"/>
        <w:pageBreakBefore w:val="0"/>
        <w:widowControl w:val="0"/>
        <w:numPr>
          <w:ilvl w:val="0"/>
          <w:numId w:val="0"/>
        </w:numPr>
        <w:kinsoku/>
        <w:wordWrap/>
        <w:overflowPunct/>
        <w:topLinePunct/>
        <w:autoSpaceDE/>
        <w:autoSpaceDN/>
        <w:bidi w:val="0"/>
        <w:adjustRightInd w:val="0"/>
        <w:snapToGrid w:val="0"/>
        <w:spacing w:line="520" w:lineRule="exact"/>
        <w:ind w:firstLine="219" w:firstLineChars="100"/>
        <w:jc w:val="left"/>
        <w:textAlignment w:val="auto"/>
        <w:rPr>
          <w:rFonts w:hint="default"/>
          <w:lang w:val="en-US" w:eastAsia="zh-CN"/>
        </w:rPr>
      </w:pPr>
      <w:r>
        <w:rPr>
          <w:rFonts w:hint="eastAsia" w:ascii="宋体" w:hAnsi="宋体" w:eastAsia="宋体" w:cs="Times New Roman"/>
          <w:b/>
          <w:bCs/>
          <w:color w:val="auto"/>
          <w:spacing w:val="-11"/>
          <w:sz w:val="24"/>
          <w:highlight w:val="none"/>
          <w:lang w:val="en-US" w:eastAsia="zh-CN"/>
        </w:rPr>
        <w:t>1、</w:t>
      </w:r>
      <w:r>
        <w:rPr>
          <w:rFonts w:hint="eastAsia" w:ascii="宋体" w:hAnsi="宋体" w:eastAsia="宋体" w:cs="Times New Roman"/>
          <w:b/>
          <w:bCs/>
          <w:color w:val="auto"/>
          <w:spacing w:val="-11"/>
          <w:sz w:val="24"/>
          <w:highlight w:val="none"/>
          <w:lang w:eastAsia="zh-CN"/>
        </w:rPr>
        <w:t>本章的要求不能作为资格性条件要求评审。</w:t>
      </w:r>
    </w:p>
    <w:p w14:paraId="343895E1">
      <w:pPr>
        <w:rPr>
          <w:rStyle w:val="31"/>
          <w:rFonts w:hint="eastAsia"/>
          <w:b/>
          <w:bCs/>
          <w:color w:val="000000"/>
          <w:highlight w:val="none"/>
          <w:lang w:val="zh-CN"/>
        </w:rPr>
      </w:pPr>
      <w:r>
        <w:rPr>
          <w:rStyle w:val="31"/>
          <w:rFonts w:hint="eastAsia"/>
          <w:b/>
          <w:bCs/>
          <w:color w:val="000000"/>
          <w:highlight w:val="none"/>
          <w:lang w:val="zh-CN"/>
        </w:rPr>
        <w:br w:type="page"/>
      </w:r>
    </w:p>
    <w:p w14:paraId="7F616485">
      <w:pPr>
        <w:pStyle w:val="2"/>
        <w:bidi w:val="0"/>
        <w:jc w:val="center"/>
        <w:rPr>
          <w:rFonts w:hint="eastAsia"/>
        </w:rPr>
      </w:pPr>
      <w:r>
        <w:rPr>
          <w:rStyle w:val="31"/>
          <w:rFonts w:hint="eastAsia"/>
          <w:b/>
          <w:bCs/>
          <w:color w:val="000000"/>
          <w:highlight w:val="none"/>
          <w:lang w:val="zh-CN"/>
        </w:rPr>
        <w:t>第</w:t>
      </w:r>
      <w:r>
        <w:rPr>
          <w:rStyle w:val="31"/>
          <w:rFonts w:hint="eastAsia"/>
          <w:b/>
          <w:bCs/>
          <w:color w:val="000000"/>
          <w:highlight w:val="none"/>
          <w:lang w:val="en-US" w:eastAsia="zh-CN"/>
        </w:rPr>
        <w:t>五</w:t>
      </w:r>
      <w:r>
        <w:rPr>
          <w:rStyle w:val="31"/>
          <w:rFonts w:hint="eastAsia"/>
          <w:b/>
          <w:bCs/>
          <w:color w:val="000000"/>
          <w:highlight w:val="none"/>
          <w:lang w:val="zh-CN"/>
        </w:rPr>
        <w:t>章 评标办法</w:t>
      </w:r>
    </w:p>
    <w:p w14:paraId="1001FCF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highlight w:val="none"/>
        </w:rPr>
      </w:pPr>
      <w:r>
        <w:rPr>
          <w:rFonts w:hint="eastAsia"/>
          <w:sz w:val="24"/>
          <w:szCs w:val="24"/>
          <w:highlight w:val="none"/>
        </w:rPr>
        <w:t>按照《中华人民共和国政府采购法</w:t>
      </w:r>
      <w:r>
        <w:rPr>
          <w:rFonts w:hint="eastAsia"/>
          <w:sz w:val="24"/>
          <w:szCs w:val="24"/>
          <w:highlight w:val="none"/>
          <w:lang w:eastAsia="zh-CN"/>
        </w:rPr>
        <w:t>》《</w:t>
      </w:r>
      <w:r>
        <w:rPr>
          <w:rFonts w:hint="eastAsia"/>
          <w:sz w:val="24"/>
          <w:szCs w:val="24"/>
          <w:highlight w:val="none"/>
        </w:rPr>
        <w:t>中华人民共和国政府采购法实施条例》和《政府采购货物和服务招标投标管理办法》及国家有关部委的联合制定的《评标委员会和评标方法暂行规定》的有关规定，遵循公开、公平、公正和诚实信用的原则，结合本项目的实际情况，制定</w:t>
      </w:r>
      <w:r>
        <w:rPr>
          <w:rFonts w:hint="eastAsia"/>
          <w:sz w:val="24"/>
          <w:szCs w:val="24"/>
          <w:highlight w:val="none"/>
          <w:lang w:val="en-US" w:eastAsia="zh-CN"/>
        </w:rPr>
        <w:t>前郭县公安局采购物业保洁项目</w:t>
      </w:r>
      <w:r>
        <w:rPr>
          <w:rFonts w:hint="eastAsia"/>
          <w:sz w:val="24"/>
          <w:szCs w:val="24"/>
          <w:highlight w:val="none"/>
        </w:rPr>
        <w:t>招标评标办法。</w:t>
      </w:r>
    </w:p>
    <w:p w14:paraId="431BC6D2">
      <w:pPr>
        <w:keepNext w:val="0"/>
        <w:keepLines w:val="0"/>
        <w:pageBreakBefore w:val="0"/>
        <w:widowControl w:val="0"/>
        <w:kinsoku/>
        <w:wordWrap/>
        <w:overflowPunct/>
        <w:topLinePunct w:val="0"/>
        <w:autoSpaceDE/>
        <w:autoSpaceDN/>
        <w:bidi w:val="0"/>
        <w:adjustRightInd/>
        <w:snapToGrid/>
        <w:ind w:firstLine="482" w:firstLineChars="200"/>
        <w:textAlignment w:val="auto"/>
        <w:rPr>
          <w:rFonts w:hint="eastAsia"/>
          <w:b/>
          <w:bCs/>
          <w:sz w:val="24"/>
          <w:szCs w:val="24"/>
          <w:highlight w:val="none"/>
        </w:rPr>
      </w:pPr>
      <w:r>
        <w:rPr>
          <w:rFonts w:hint="eastAsia"/>
          <w:b/>
          <w:bCs/>
          <w:sz w:val="24"/>
          <w:szCs w:val="24"/>
          <w:highlight w:val="none"/>
        </w:rPr>
        <w:t>一、评标程序</w:t>
      </w:r>
    </w:p>
    <w:p w14:paraId="6F7E0C8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highlight w:val="none"/>
        </w:rPr>
      </w:pPr>
      <w:r>
        <w:rPr>
          <w:rFonts w:hint="eastAsia"/>
          <w:sz w:val="24"/>
          <w:szCs w:val="24"/>
          <w:highlight w:val="none"/>
        </w:rPr>
        <w:t>（一）组成评标委员会</w:t>
      </w:r>
    </w:p>
    <w:p w14:paraId="3285741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highlight w:val="none"/>
        </w:rPr>
      </w:pPr>
      <w:r>
        <w:rPr>
          <w:rFonts w:hint="eastAsia"/>
          <w:sz w:val="24"/>
          <w:szCs w:val="24"/>
          <w:highlight w:val="none"/>
        </w:rPr>
        <w:t>按照国家有关部委的相关规定，</w:t>
      </w:r>
      <w:r>
        <w:rPr>
          <w:rFonts w:hint="eastAsia"/>
          <w:sz w:val="24"/>
          <w:szCs w:val="24"/>
          <w:highlight w:val="none"/>
          <w:lang w:val="en-US" w:eastAsia="zh-CN"/>
        </w:rPr>
        <w:t>从</w:t>
      </w:r>
      <w:r>
        <w:rPr>
          <w:rFonts w:hint="eastAsia"/>
          <w:sz w:val="24"/>
          <w:szCs w:val="24"/>
          <w:highlight w:val="none"/>
        </w:rPr>
        <w:t>政采云专家库中随机抽取技术、经济等方面的专家以及采购人代表共5人组成。</w:t>
      </w:r>
    </w:p>
    <w:p w14:paraId="4953F8E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highlight w:val="none"/>
        </w:rPr>
      </w:pPr>
      <w:r>
        <w:rPr>
          <w:rFonts w:hint="eastAsia"/>
          <w:sz w:val="24"/>
          <w:szCs w:val="24"/>
          <w:highlight w:val="none"/>
        </w:rPr>
        <w:t>（二）评标工作</w:t>
      </w:r>
    </w:p>
    <w:p w14:paraId="1667A5A2">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highlight w:val="none"/>
        </w:rPr>
      </w:pPr>
      <w:r>
        <w:rPr>
          <w:rFonts w:hint="eastAsia"/>
          <w:sz w:val="24"/>
          <w:szCs w:val="24"/>
          <w:highlight w:val="none"/>
        </w:rPr>
        <w:t>评标工作应本着客观公正、公平竞争、择优推荐、规范合法的原则进行。本次评标采用综合评分法，评标工作分初步评审和详细评审，初步评审不合格的投标单位不进入详细评审。</w:t>
      </w:r>
    </w:p>
    <w:p w14:paraId="44D3A67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highlight w:val="none"/>
        </w:rPr>
      </w:pPr>
      <w:r>
        <w:rPr>
          <w:rFonts w:hint="eastAsia"/>
          <w:sz w:val="24"/>
          <w:szCs w:val="24"/>
          <w:highlight w:val="none"/>
        </w:rPr>
        <w:t>（三）初步评审</w:t>
      </w:r>
    </w:p>
    <w:p w14:paraId="59A0934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highlight w:val="none"/>
        </w:rPr>
      </w:pPr>
      <w:r>
        <w:rPr>
          <w:rFonts w:hint="eastAsia"/>
          <w:sz w:val="24"/>
          <w:szCs w:val="24"/>
          <w:highlight w:val="none"/>
        </w:rPr>
        <w:t>初步评审阶段，采购人首先应当依法对投标人的资格进行审查，并将审查结果提交给评标委员会；评标委员会依据本章初步评审记录表规定的标准对投标文件进行初步评审。</w:t>
      </w:r>
    </w:p>
    <w:p w14:paraId="3FF1045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highlight w:val="none"/>
        </w:rPr>
      </w:pPr>
      <w:r>
        <w:rPr>
          <w:rFonts w:hint="eastAsia"/>
          <w:sz w:val="24"/>
          <w:szCs w:val="24"/>
          <w:highlight w:val="none"/>
        </w:rPr>
        <w:t>（四）详细评审</w:t>
      </w:r>
    </w:p>
    <w:p w14:paraId="6C57018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highlight w:val="none"/>
        </w:rPr>
      </w:pPr>
      <w:r>
        <w:rPr>
          <w:rFonts w:hint="eastAsia"/>
          <w:sz w:val="24"/>
          <w:szCs w:val="24"/>
          <w:highlight w:val="none"/>
        </w:rPr>
        <w:t>评标委员会对通过初步评审的投标单位进行</w:t>
      </w:r>
      <w:r>
        <w:rPr>
          <w:rFonts w:hint="eastAsia"/>
          <w:sz w:val="24"/>
          <w:szCs w:val="24"/>
          <w:highlight w:val="none"/>
          <w:lang w:val="en-US" w:eastAsia="zh-CN"/>
        </w:rPr>
        <w:t>符合性审查及</w:t>
      </w:r>
      <w:r>
        <w:rPr>
          <w:rFonts w:hint="eastAsia"/>
          <w:sz w:val="24"/>
          <w:szCs w:val="24"/>
          <w:highlight w:val="none"/>
        </w:rPr>
        <w:t>详细评审，评标委员会各成员独立对每个投标人的投标文件进行评价，并汇总每个投标人的综合得分。</w:t>
      </w:r>
    </w:p>
    <w:p w14:paraId="4234AF4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highlight w:val="none"/>
        </w:rPr>
      </w:pPr>
      <w:r>
        <w:rPr>
          <w:rFonts w:hint="eastAsia"/>
          <w:sz w:val="24"/>
          <w:szCs w:val="24"/>
          <w:highlight w:val="none"/>
        </w:rPr>
        <w:t>（五）确定中标人</w:t>
      </w:r>
    </w:p>
    <w:p w14:paraId="01DE206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highlight w:val="yellow"/>
        </w:rPr>
      </w:pPr>
      <w:r>
        <w:rPr>
          <w:rFonts w:hint="eastAsia"/>
          <w:sz w:val="24"/>
          <w:szCs w:val="24"/>
          <w:highlight w:val="none"/>
        </w:rPr>
        <w:t>详细评审后将各投标人的综合得分由高至低进行排序，并确定排名第一的投标人为本项目的中标人。综合得分相同的，按投标报价由低到高的顺序排列；报价相同的，按技术指标得分顺序排列。如提供相同品牌产品且通过初步评审的不同投标人参加同一合同下投标的，按一家投标人计算，评审后得分最高的同品牌投标人获得中标人推荐资格；评审得分相同的，报价最低的同品牌投标人获得中标人推荐资格；报价相同的，类似业绩得分最高的同品牌投标人获得中标人推荐资格；类似业绩得分相同的，售后服务体系得分最高的同品牌投标人获得中标人推荐资格。</w:t>
      </w:r>
    </w:p>
    <w:p w14:paraId="053BD9D5">
      <w:pPr>
        <w:keepNext w:val="0"/>
        <w:keepLines w:val="0"/>
        <w:pageBreakBefore w:val="0"/>
        <w:widowControl w:val="0"/>
        <w:numPr>
          <w:ilvl w:val="0"/>
          <w:numId w:val="7"/>
        </w:numPr>
        <w:kinsoku/>
        <w:wordWrap/>
        <w:overflowPunct/>
        <w:topLinePunct w:val="0"/>
        <w:autoSpaceDE/>
        <w:autoSpaceDN/>
        <w:bidi w:val="0"/>
        <w:adjustRightInd/>
        <w:snapToGrid/>
        <w:ind w:firstLine="480" w:firstLineChars="200"/>
        <w:textAlignment w:val="auto"/>
        <w:rPr>
          <w:rFonts w:hint="eastAsia"/>
          <w:lang w:val="en-US" w:eastAsia="zh-CN"/>
        </w:rPr>
      </w:pPr>
      <w:r>
        <w:rPr>
          <w:rFonts w:hint="eastAsia"/>
          <w:b w:val="0"/>
          <w:bCs w:val="0"/>
          <w:sz w:val="24"/>
          <w:szCs w:val="24"/>
          <w:highlight w:val="none"/>
        </w:rPr>
        <w:t>特别声明：投标人的投标报价不允许超过采购预算，单项报价金额不得高于单项预算金额，否则采购人有权否决投标人的投标报价。</w:t>
      </w:r>
    </w:p>
    <w:p w14:paraId="55E66C51">
      <w:pPr>
        <w:numPr>
          <w:ilvl w:val="0"/>
          <w:numId w:val="0"/>
        </w:numPr>
        <w:spacing w:line="360" w:lineRule="auto"/>
        <w:ind w:firstLine="562" w:firstLineChars="200"/>
        <w:jc w:val="both"/>
        <w:rPr>
          <w:rFonts w:hint="eastAsia" w:ascii="宋体" w:hAnsi="宋体"/>
          <w:b/>
          <w:sz w:val="28"/>
          <w:szCs w:val="28"/>
          <w:highlight w:val="none"/>
          <w:lang w:val="zh-CN"/>
        </w:rPr>
      </w:pPr>
      <w:r>
        <w:rPr>
          <w:rFonts w:hint="eastAsia" w:ascii="宋体" w:hAnsi="宋体"/>
          <w:b/>
          <w:sz w:val="28"/>
          <w:szCs w:val="28"/>
          <w:highlight w:val="none"/>
          <w:lang w:val="en-US" w:eastAsia="zh-CN"/>
        </w:rPr>
        <w:t>二、</w:t>
      </w:r>
      <w:r>
        <w:rPr>
          <w:rFonts w:hint="eastAsia" w:ascii="宋体" w:hAnsi="宋体"/>
          <w:b/>
          <w:sz w:val="28"/>
          <w:szCs w:val="28"/>
          <w:highlight w:val="none"/>
          <w:lang w:val="zh-CN"/>
        </w:rPr>
        <w:t>评审细则</w:t>
      </w:r>
    </w:p>
    <w:p w14:paraId="30303A43">
      <w:pPr>
        <w:numPr>
          <w:ilvl w:val="0"/>
          <w:numId w:val="0"/>
        </w:numPr>
        <w:spacing w:line="360" w:lineRule="auto"/>
        <w:jc w:val="both"/>
        <w:rPr>
          <w:rFonts w:hint="eastAsia" w:ascii="宋体" w:hAnsi="宋体"/>
          <w:b/>
          <w:sz w:val="28"/>
          <w:szCs w:val="28"/>
          <w:highlight w:val="none"/>
          <w:lang w:val="zh-CN"/>
        </w:rPr>
      </w:pPr>
      <w:r>
        <w:rPr>
          <w:rFonts w:hint="eastAsia"/>
          <w:sz w:val="28"/>
          <w:szCs w:val="28"/>
          <w:highlight w:val="none"/>
          <w:lang w:val="zh-CN" w:eastAsia="zh-CN"/>
        </w:rPr>
        <w:t>（</w:t>
      </w:r>
      <w:r>
        <w:rPr>
          <w:rFonts w:hint="eastAsia"/>
          <w:sz w:val="28"/>
          <w:szCs w:val="28"/>
          <w:highlight w:val="none"/>
          <w:lang w:val="en-US" w:eastAsia="zh-CN"/>
        </w:rPr>
        <w:t>一</w:t>
      </w:r>
      <w:r>
        <w:rPr>
          <w:rFonts w:hint="eastAsia"/>
          <w:sz w:val="28"/>
          <w:szCs w:val="28"/>
          <w:highlight w:val="none"/>
          <w:lang w:val="zh-CN" w:eastAsia="zh-CN"/>
        </w:rPr>
        <w:t>）</w:t>
      </w:r>
      <w:r>
        <w:rPr>
          <w:rFonts w:hint="eastAsia"/>
          <w:sz w:val="28"/>
          <w:szCs w:val="28"/>
          <w:highlight w:val="none"/>
          <w:lang w:val="zh-CN"/>
        </w:rPr>
        <w:t>资格及符合性评审</w:t>
      </w:r>
      <w:r>
        <w:rPr>
          <w:rFonts w:hint="eastAsia"/>
          <w:sz w:val="28"/>
          <w:szCs w:val="28"/>
          <w:highlight w:val="none"/>
          <w:lang w:val="zh-CN" w:eastAsia="zh-CN"/>
        </w:rPr>
        <w:t>（初步评审）</w:t>
      </w:r>
    </w:p>
    <w:p w14:paraId="72A5C796">
      <w:pPr>
        <w:pageBreakBefore w:val="0"/>
        <w:tabs>
          <w:tab w:val="left" w:pos="7665"/>
        </w:tabs>
        <w:kinsoku/>
        <w:overflowPunct/>
        <w:topLinePunct w:val="0"/>
        <w:bidi w:val="0"/>
        <w:spacing w:line="360" w:lineRule="auto"/>
        <w:textAlignment w:val="auto"/>
        <w:rPr>
          <w:rFonts w:hint="eastAsia" w:ascii="宋体" w:hAnsi="宋体" w:eastAsia="宋体" w:cs="宋体"/>
          <w:color w:val="auto"/>
          <w:lang w:val="zh-CN"/>
        </w:rPr>
      </w:pPr>
      <w:r>
        <w:rPr>
          <w:rFonts w:hint="eastAsia" w:ascii="宋体" w:hAnsi="宋体" w:eastAsia="宋体" w:cs="宋体"/>
          <w:color w:val="auto"/>
          <w:sz w:val="24"/>
          <w:szCs w:val="24"/>
          <w:highlight w:val="none"/>
          <w:lang w:val="zh-CN" w:eastAsia="zh-CN"/>
        </w:rPr>
        <w:t>资格审查要求：</w:t>
      </w:r>
      <w:r>
        <w:rPr>
          <w:rFonts w:hint="eastAsia" w:ascii="宋体" w:hAnsi="宋体" w:eastAsia="宋体" w:cs="宋体"/>
          <w:color w:val="auto"/>
          <w:sz w:val="24"/>
          <w:szCs w:val="24"/>
          <w:highlight w:val="none"/>
          <w:lang w:val="en-US" w:eastAsia="zh-CN"/>
        </w:rPr>
        <w:t>由采购人进行审查</w:t>
      </w:r>
      <w:r>
        <w:rPr>
          <w:rFonts w:hint="eastAsia" w:ascii="宋体" w:hAnsi="宋体" w:eastAsia="宋体" w:cs="宋体"/>
          <w:color w:val="auto"/>
          <w:sz w:val="24"/>
          <w:szCs w:val="24"/>
          <w:highlight w:val="none"/>
          <w:lang w:val="zh-CN" w:eastAsia="zh-CN"/>
        </w:rPr>
        <w:t>（不满足任何一项审查内容要求，资格审查即为不合格）。</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3"/>
        <w:gridCol w:w="641"/>
        <w:gridCol w:w="8775"/>
      </w:tblGrid>
      <w:tr w14:paraId="49146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3" w:type="dxa"/>
            <w:vAlign w:val="center"/>
          </w:tcPr>
          <w:p w14:paraId="0F1171D1">
            <w:pPr>
              <w:jc w:val="center"/>
              <w:rPr>
                <w:rFonts w:hint="eastAsia" w:eastAsiaTheme="minorEastAsia"/>
                <w:vertAlign w:val="baseline"/>
                <w:lang w:val="en-US" w:eastAsia="zh-CN"/>
              </w:rPr>
            </w:pPr>
            <w:r>
              <w:rPr>
                <w:rFonts w:hint="eastAsia"/>
                <w:vertAlign w:val="baseline"/>
                <w:lang w:val="en-US" w:eastAsia="zh-CN"/>
              </w:rPr>
              <w:t>1</w:t>
            </w:r>
          </w:p>
        </w:tc>
        <w:tc>
          <w:tcPr>
            <w:tcW w:w="641" w:type="dxa"/>
            <w:vMerge w:val="restart"/>
            <w:vAlign w:val="center"/>
          </w:tcPr>
          <w:p w14:paraId="706ECCBB">
            <w:pPr>
              <w:pStyle w:val="11"/>
              <w:spacing w:line="276" w:lineRule="auto"/>
              <w:jc w:val="both"/>
              <w:rPr>
                <w:rFonts w:hint="eastAsia" w:hAnsi="宋体"/>
                <w:bCs/>
                <w:kern w:val="0"/>
                <w:sz w:val="24"/>
                <w:szCs w:val="24"/>
                <w:highlight w:val="none"/>
              </w:rPr>
            </w:pPr>
          </w:p>
          <w:p w14:paraId="15EFF3CF">
            <w:pPr>
              <w:pStyle w:val="11"/>
              <w:spacing w:line="276" w:lineRule="auto"/>
              <w:jc w:val="center"/>
              <w:rPr>
                <w:rFonts w:hAnsi="宋体"/>
                <w:bCs/>
                <w:kern w:val="0"/>
                <w:sz w:val="24"/>
                <w:szCs w:val="24"/>
                <w:highlight w:val="none"/>
              </w:rPr>
            </w:pPr>
            <w:r>
              <w:rPr>
                <w:rFonts w:hint="eastAsia" w:hAnsi="宋体"/>
                <w:bCs/>
                <w:kern w:val="0"/>
                <w:sz w:val="24"/>
                <w:szCs w:val="24"/>
                <w:highlight w:val="none"/>
              </w:rPr>
              <w:t>资</w:t>
            </w:r>
          </w:p>
          <w:p w14:paraId="7D929EE7">
            <w:pPr>
              <w:pStyle w:val="11"/>
              <w:spacing w:line="276" w:lineRule="auto"/>
              <w:jc w:val="center"/>
              <w:rPr>
                <w:rFonts w:hAnsi="宋体"/>
                <w:bCs/>
                <w:kern w:val="0"/>
                <w:sz w:val="24"/>
                <w:szCs w:val="24"/>
                <w:highlight w:val="none"/>
              </w:rPr>
            </w:pPr>
            <w:r>
              <w:rPr>
                <w:rFonts w:hint="eastAsia" w:hAnsi="宋体"/>
                <w:bCs/>
                <w:kern w:val="0"/>
                <w:sz w:val="24"/>
                <w:szCs w:val="24"/>
                <w:highlight w:val="none"/>
              </w:rPr>
              <w:t>格</w:t>
            </w:r>
          </w:p>
          <w:p w14:paraId="06039047">
            <w:pPr>
              <w:pStyle w:val="11"/>
              <w:spacing w:line="276" w:lineRule="auto"/>
              <w:jc w:val="center"/>
              <w:rPr>
                <w:rFonts w:hAnsi="宋体"/>
                <w:bCs/>
                <w:kern w:val="0"/>
                <w:sz w:val="24"/>
                <w:szCs w:val="24"/>
                <w:highlight w:val="none"/>
              </w:rPr>
            </w:pPr>
            <w:r>
              <w:rPr>
                <w:rFonts w:hint="eastAsia" w:hAnsi="宋体"/>
                <w:bCs/>
                <w:kern w:val="0"/>
                <w:sz w:val="24"/>
                <w:szCs w:val="24"/>
                <w:highlight w:val="none"/>
              </w:rPr>
              <w:t>性</w:t>
            </w:r>
          </w:p>
          <w:p w14:paraId="6F174ACF">
            <w:pPr>
              <w:pStyle w:val="11"/>
              <w:spacing w:line="276" w:lineRule="auto"/>
              <w:jc w:val="center"/>
              <w:rPr>
                <w:rFonts w:hAnsi="宋体"/>
                <w:bCs/>
                <w:kern w:val="0"/>
                <w:sz w:val="24"/>
                <w:szCs w:val="24"/>
                <w:highlight w:val="none"/>
              </w:rPr>
            </w:pPr>
            <w:r>
              <w:rPr>
                <w:rFonts w:hint="eastAsia" w:hAnsi="宋体"/>
                <w:bCs/>
                <w:kern w:val="0"/>
                <w:sz w:val="24"/>
                <w:szCs w:val="24"/>
                <w:highlight w:val="none"/>
              </w:rPr>
              <w:t>审</w:t>
            </w:r>
          </w:p>
          <w:p w14:paraId="5922BABF">
            <w:pPr>
              <w:jc w:val="center"/>
              <w:rPr>
                <w:vertAlign w:val="baseline"/>
              </w:rPr>
            </w:pPr>
            <w:r>
              <w:rPr>
                <w:rFonts w:hint="eastAsia" w:hAnsi="宋体"/>
                <w:bCs/>
                <w:kern w:val="0"/>
                <w:sz w:val="24"/>
                <w:szCs w:val="24"/>
                <w:highlight w:val="none"/>
              </w:rPr>
              <w:t>查</w:t>
            </w:r>
          </w:p>
        </w:tc>
        <w:tc>
          <w:tcPr>
            <w:tcW w:w="8775" w:type="dxa"/>
            <w:shd w:val="clear" w:color="auto" w:fill="auto"/>
            <w:vAlign w:val="center"/>
          </w:tcPr>
          <w:p w14:paraId="39D5D631">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left"/>
              <w:textAlignment w:val="auto"/>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营业执照等证明文件：</w:t>
            </w:r>
          </w:p>
          <w:p w14:paraId="4C67DFEB">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left"/>
              <w:textAlignment w:val="auto"/>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供应商为企业（包括合伙企业）的，应提供有效的营业执照；</w:t>
            </w:r>
          </w:p>
          <w:p w14:paraId="5508966D">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left"/>
              <w:textAlignment w:val="auto"/>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供应商为事业单位的，应提供有效的事业单位法人证书；</w:t>
            </w:r>
          </w:p>
          <w:p w14:paraId="65C6467E">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left"/>
              <w:textAlignment w:val="auto"/>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供应商是非企业机构的，应提供有效的执业许可证或登记证书等证明文件；</w:t>
            </w:r>
          </w:p>
          <w:p w14:paraId="2D4F2FB2">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left"/>
              <w:textAlignment w:val="auto"/>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供应商是个体工商户的，应提供有效的个体工商户营业执照；</w:t>
            </w:r>
          </w:p>
          <w:p w14:paraId="590CA7F9">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left"/>
              <w:textAlignment w:val="auto"/>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供应商是自然人的，应提供有效的自然人身份证明；</w:t>
            </w:r>
          </w:p>
          <w:p w14:paraId="31E023F9">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left"/>
              <w:textAlignment w:val="auto"/>
              <w:rPr>
                <w:rFonts w:hint="eastAsia" w:ascii="宋体" w:hAnsi="宋体" w:eastAsia="宋体" w:cs="宋体"/>
                <w:bCs/>
                <w:sz w:val="21"/>
                <w:szCs w:val="21"/>
                <w:highlight w:val="none"/>
                <w:lang w:val="zh-CN" w:eastAsia="zh-CN"/>
              </w:rPr>
            </w:pPr>
            <w:r>
              <w:rPr>
                <w:rFonts w:hint="eastAsia" w:ascii="宋体" w:hAnsi="宋体" w:eastAsia="宋体" w:cs="宋体"/>
                <w:bCs/>
                <w:sz w:val="21"/>
                <w:szCs w:val="21"/>
                <w:highlight w:val="none"/>
                <w:lang w:val="en-US" w:eastAsia="zh-CN"/>
              </w:rPr>
              <w:t>投标</w:t>
            </w:r>
            <w:r>
              <w:rPr>
                <w:rFonts w:hint="eastAsia" w:ascii="宋体" w:hAnsi="宋体" w:eastAsia="宋体" w:cs="宋体"/>
                <w:bCs/>
                <w:sz w:val="21"/>
                <w:szCs w:val="21"/>
                <w:highlight w:val="none"/>
                <w:lang w:val="zh-CN"/>
              </w:rPr>
              <w:t>文件内附</w:t>
            </w:r>
            <w:r>
              <w:rPr>
                <w:rFonts w:hint="eastAsia" w:ascii="宋体" w:hAnsi="宋体" w:eastAsia="宋体" w:cs="宋体"/>
                <w:bCs/>
                <w:sz w:val="21"/>
                <w:szCs w:val="21"/>
                <w:highlight w:val="none"/>
                <w:lang w:val="en-US" w:eastAsia="zh-CN"/>
              </w:rPr>
              <w:t>营业执照等证明文件复印件（正副本均可）并加盖公章。</w:t>
            </w:r>
          </w:p>
        </w:tc>
      </w:tr>
      <w:tr w14:paraId="68757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3" w:type="dxa"/>
            <w:vAlign w:val="center"/>
          </w:tcPr>
          <w:p w14:paraId="70D234B5">
            <w:pPr>
              <w:jc w:val="center"/>
              <w:rPr>
                <w:rFonts w:hint="default" w:eastAsiaTheme="minorEastAsia"/>
                <w:vertAlign w:val="baseline"/>
                <w:lang w:val="en-US" w:eastAsia="zh-CN"/>
              </w:rPr>
            </w:pPr>
            <w:r>
              <w:rPr>
                <w:rFonts w:hint="eastAsia"/>
                <w:vertAlign w:val="baseline"/>
                <w:lang w:val="en-US" w:eastAsia="zh-CN"/>
              </w:rPr>
              <w:t>2</w:t>
            </w:r>
          </w:p>
        </w:tc>
        <w:tc>
          <w:tcPr>
            <w:tcW w:w="641" w:type="dxa"/>
            <w:vMerge w:val="continue"/>
          </w:tcPr>
          <w:p w14:paraId="565166F8">
            <w:pPr>
              <w:rPr>
                <w:vertAlign w:val="baseline"/>
              </w:rPr>
            </w:pPr>
          </w:p>
        </w:tc>
        <w:tc>
          <w:tcPr>
            <w:tcW w:w="8775" w:type="dxa"/>
          </w:tcPr>
          <w:p w14:paraId="01DB0561">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left"/>
              <w:textAlignment w:val="auto"/>
              <w:rPr>
                <w:rFonts w:hint="eastAsia" w:ascii="宋体" w:hAnsi="宋体" w:eastAsia="宋体" w:cs="宋体"/>
                <w:bCs/>
                <w:sz w:val="21"/>
                <w:szCs w:val="21"/>
                <w:highlight w:val="none"/>
                <w:lang w:val="zh-CN"/>
              </w:rPr>
            </w:pPr>
            <w:r>
              <w:rPr>
                <w:rFonts w:hint="eastAsia" w:ascii="宋体" w:hAnsi="宋体" w:eastAsia="宋体" w:cs="宋体"/>
                <w:bCs/>
                <w:sz w:val="21"/>
                <w:szCs w:val="21"/>
                <w:highlight w:val="none"/>
                <w:lang w:val="zh-CN"/>
              </w:rPr>
              <w:t>依法缴纳税收证明：</w:t>
            </w:r>
          </w:p>
          <w:p w14:paraId="4DE8F78B">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left"/>
              <w:textAlignment w:val="auto"/>
              <w:rPr>
                <w:rFonts w:hint="eastAsia" w:ascii="宋体" w:hAnsi="宋体" w:eastAsia="宋体" w:cs="宋体"/>
                <w:bCs/>
                <w:sz w:val="21"/>
                <w:szCs w:val="21"/>
                <w:highlight w:val="none"/>
                <w:lang w:val="en-US" w:eastAsia="zh-CN"/>
              </w:rPr>
            </w:pPr>
            <w:r>
              <w:rPr>
                <w:rFonts w:hint="eastAsia" w:ascii="宋体" w:hAnsi="宋体" w:cs="宋体"/>
                <w:bCs/>
                <w:sz w:val="21"/>
                <w:szCs w:val="21"/>
                <w:highlight w:val="none"/>
                <w:lang w:val="en-US" w:eastAsia="zh-CN"/>
              </w:rPr>
              <w:t>依法</w:t>
            </w:r>
            <w:r>
              <w:rPr>
                <w:rFonts w:hint="eastAsia" w:ascii="宋体" w:hAnsi="宋体" w:eastAsia="宋体" w:cs="宋体"/>
                <w:bCs/>
                <w:sz w:val="21"/>
                <w:szCs w:val="21"/>
                <w:highlight w:val="none"/>
                <w:lang w:val="zh-CN"/>
              </w:rPr>
              <w:t>缴纳税收</w:t>
            </w:r>
            <w:r>
              <w:rPr>
                <w:rFonts w:hint="eastAsia" w:ascii="宋体" w:hAnsi="宋体" w:cs="宋体"/>
                <w:bCs/>
                <w:sz w:val="21"/>
                <w:szCs w:val="21"/>
                <w:highlight w:val="none"/>
                <w:lang w:val="en-US" w:eastAsia="zh-CN"/>
              </w:rPr>
              <w:t>的相关材料（近一年任意一个月的</w:t>
            </w:r>
            <w:r>
              <w:rPr>
                <w:rFonts w:hint="eastAsia" w:ascii="宋体" w:hAnsi="宋体" w:eastAsia="宋体" w:cs="宋体"/>
                <w:bCs/>
                <w:sz w:val="21"/>
                <w:szCs w:val="21"/>
                <w:highlight w:val="none"/>
                <w:lang w:val="en-US" w:eastAsia="zh-CN"/>
              </w:rPr>
              <w:t>缴税凭据或完税证明</w:t>
            </w:r>
            <w:r>
              <w:rPr>
                <w:rFonts w:hint="eastAsia" w:ascii="宋体" w:hAnsi="宋体" w:cs="宋体"/>
                <w:bCs/>
                <w:sz w:val="21"/>
                <w:szCs w:val="21"/>
                <w:highlight w:val="none"/>
                <w:lang w:val="en-US" w:eastAsia="zh-CN"/>
              </w:rPr>
              <w:t>）</w:t>
            </w:r>
            <w:r>
              <w:rPr>
                <w:rFonts w:hint="eastAsia" w:ascii="宋体" w:hAnsi="宋体" w:eastAsia="宋体" w:cs="宋体"/>
                <w:bCs/>
                <w:sz w:val="21"/>
                <w:szCs w:val="21"/>
                <w:highlight w:val="none"/>
                <w:lang w:val="en-US" w:eastAsia="zh-CN"/>
              </w:rPr>
              <w:t>（依法免税的，应提供相应文件证明其依法免税）</w:t>
            </w:r>
          </w:p>
          <w:p w14:paraId="1000DF3C">
            <w:pPr>
              <w:keepNext w:val="0"/>
              <w:keepLines w:val="0"/>
              <w:pageBreakBefore w:val="0"/>
              <w:widowControl w:val="0"/>
              <w:kinsoku/>
              <w:wordWrap/>
              <w:overflowPunct/>
              <w:topLinePunct w:val="0"/>
              <w:autoSpaceDE w:val="0"/>
              <w:autoSpaceDN w:val="0"/>
              <w:bidi w:val="0"/>
              <w:adjustRightInd w:val="0"/>
              <w:snapToGrid/>
              <w:spacing w:line="400" w:lineRule="exact"/>
              <w:ind w:firstLine="0" w:firstLineChars="0"/>
              <w:jc w:val="left"/>
              <w:textAlignment w:val="auto"/>
              <w:rPr>
                <w:rFonts w:hint="eastAsia" w:ascii="宋体" w:hAnsi="宋体" w:eastAsia="宋体" w:cs="宋体"/>
                <w:bCs/>
                <w:sz w:val="21"/>
                <w:szCs w:val="21"/>
                <w:highlight w:val="none"/>
                <w:lang w:val="zh-CN"/>
              </w:rPr>
            </w:pPr>
            <w:r>
              <w:rPr>
                <w:rFonts w:hint="eastAsia" w:ascii="宋体" w:hAnsi="宋体" w:eastAsia="宋体" w:cs="宋体"/>
                <w:bCs/>
                <w:sz w:val="21"/>
                <w:szCs w:val="21"/>
                <w:highlight w:val="none"/>
                <w:lang w:val="en-US" w:eastAsia="zh-CN"/>
              </w:rPr>
              <w:t>投标文件中附缴税凭据或完税证明复印件并加盖公章。</w:t>
            </w:r>
            <w:r>
              <w:rPr>
                <w:rFonts w:hint="eastAsia" w:ascii="宋体" w:hAnsi="宋体" w:cs="宋体"/>
                <w:bCs/>
                <w:sz w:val="21"/>
                <w:szCs w:val="21"/>
                <w:highlight w:val="none"/>
                <w:lang w:val="en-US" w:eastAsia="zh-CN"/>
              </w:rPr>
              <w:t>（</w:t>
            </w:r>
            <w:r>
              <w:rPr>
                <w:rFonts w:hint="eastAsia" w:ascii="宋体" w:hAnsi="宋体" w:eastAsia="宋体" w:cs="宋体"/>
                <w:bCs/>
                <w:sz w:val="21"/>
                <w:szCs w:val="21"/>
                <w:highlight w:val="none"/>
                <w:lang w:val="en-US" w:eastAsia="zh-CN"/>
              </w:rPr>
              <w:t>依法免税的，附相应文件复印件并加盖公章。</w:t>
            </w:r>
            <w:r>
              <w:rPr>
                <w:rFonts w:hint="eastAsia" w:ascii="宋体" w:hAnsi="宋体" w:cs="宋体"/>
                <w:bCs/>
                <w:sz w:val="21"/>
                <w:szCs w:val="21"/>
                <w:highlight w:val="none"/>
                <w:lang w:val="en-US" w:eastAsia="zh-CN"/>
              </w:rPr>
              <w:t>）</w:t>
            </w:r>
            <w:r>
              <w:rPr>
                <w:rFonts w:hint="eastAsia" w:ascii="宋体" w:hAnsi="宋体" w:eastAsia="宋体" w:cs="宋体"/>
                <w:bCs/>
                <w:sz w:val="21"/>
                <w:szCs w:val="21"/>
                <w:highlight w:val="none"/>
                <w:lang w:val="en-US" w:eastAsia="zh-CN"/>
              </w:rPr>
              <w:t>（所提供文件须加盖证明单位相关业务章。）</w:t>
            </w:r>
          </w:p>
        </w:tc>
      </w:tr>
      <w:tr w14:paraId="15207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8" w:hRule="atLeast"/>
        </w:trPr>
        <w:tc>
          <w:tcPr>
            <w:tcW w:w="433" w:type="dxa"/>
            <w:vAlign w:val="center"/>
          </w:tcPr>
          <w:p w14:paraId="3297C525">
            <w:pPr>
              <w:jc w:val="center"/>
              <w:rPr>
                <w:rFonts w:hint="default" w:eastAsiaTheme="minorEastAsia"/>
                <w:vertAlign w:val="baseline"/>
                <w:lang w:val="en-US" w:eastAsia="zh-CN"/>
              </w:rPr>
            </w:pPr>
            <w:r>
              <w:rPr>
                <w:rFonts w:hint="eastAsia"/>
                <w:vertAlign w:val="baseline"/>
                <w:lang w:val="en-US" w:eastAsia="zh-CN"/>
              </w:rPr>
              <w:t>3</w:t>
            </w:r>
          </w:p>
        </w:tc>
        <w:tc>
          <w:tcPr>
            <w:tcW w:w="641" w:type="dxa"/>
            <w:vMerge w:val="continue"/>
          </w:tcPr>
          <w:p w14:paraId="4537E9CD">
            <w:pPr>
              <w:rPr>
                <w:vertAlign w:val="baseline"/>
              </w:rPr>
            </w:pPr>
          </w:p>
        </w:tc>
        <w:tc>
          <w:tcPr>
            <w:tcW w:w="8775" w:type="dxa"/>
            <w:shd w:val="clear" w:color="auto" w:fill="auto"/>
            <w:vAlign w:val="top"/>
          </w:tcPr>
          <w:p w14:paraId="45B95857">
            <w:pPr>
              <w:bidi w:val="0"/>
              <w:rPr>
                <w:rFonts w:hint="eastAsia" w:ascii="宋体" w:hAnsi="宋体" w:cs="宋体"/>
                <w:bCs/>
                <w:kern w:val="2"/>
                <w:sz w:val="24"/>
                <w:szCs w:val="24"/>
                <w:highlight w:val="none"/>
                <w:lang w:val="zh-CN" w:eastAsia="zh-CN" w:bidi="ar-SA"/>
              </w:rPr>
            </w:pPr>
            <w:r>
              <w:rPr>
                <w:rFonts w:hint="eastAsia" w:ascii="宋体" w:hAnsi="宋体" w:cs="宋体" w:eastAsiaTheme="minorEastAsia"/>
                <w:bCs/>
                <w:kern w:val="2"/>
                <w:sz w:val="24"/>
                <w:szCs w:val="24"/>
                <w:highlight w:val="none"/>
                <w:lang w:val="zh-CN" w:eastAsia="zh-CN" w:bidi="ar-SA"/>
              </w:rPr>
              <w:t>社会保障资金证明</w:t>
            </w:r>
            <w:r>
              <w:rPr>
                <w:rFonts w:hint="eastAsia" w:ascii="宋体" w:hAnsi="宋体" w:cs="宋体"/>
                <w:bCs/>
                <w:kern w:val="2"/>
                <w:sz w:val="24"/>
                <w:szCs w:val="24"/>
                <w:highlight w:val="none"/>
                <w:lang w:val="zh-CN" w:eastAsia="zh-CN" w:bidi="ar-SA"/>
              </w:rPr>
              <w:t>：</w:t>
            </w:r>
          </w:p>
          <w:p w14:paraId="683B76E1">
            <w:pPr>
              <w:bidi w:val="0"/>
              <w:rPr>
                <w:rFonts w:hint="eastAsia" w:ascii="宋体" w:hAnsi="宋体" w:eastAsia="宋体" w:cs="宋体"/>
                <w:bCs/>
                <w:sz w:val="21"/>
                <w:szCs w:val="21"/>
                <w:highlight w:val="none"/>
                <w:lang w:val="en-US" w:eastAsia="zh-CN"/>
              </w:rPr>
            </w:pPr>
            <w:r>
              <w:rPr>
                <w:rFonts w:hint="eastAsia" w:ascii="宋体" w:hAnsi="宋体" w:cs="宋体"/>
                <w:bCs/>
                <w:sz w:val="21"/>
                <w:szCs w:val="21"/>
                <w:highlight w:val="none"/>
                <w:lang w:val="en-US" w:eastAsia="zh-CN"/>
              </w:rPr>
              <w:t>依法缴纳社会保障资金的相关材料（近一年任意一个月的</w:t>
            </w:r>
            <w:r>
              <w:rPr>
                <w:rFonts w:hint="eastAsia" w:ascii="宋体" w:hAnsi="宋体" w:eastAsia="宋体" w:cs="宋体"/>
                <w:bCs/>
                <w:sz w:val="21"/>
                <w:szCs w:val="21"/>
                <w:highlight w:val="none"/>
                <w:lang w:val="en-US" w:eastAsia="zh-CN"/>
              </w:rPr>
              <w:t>用人单位社会保险凭证或参保证明</w:t>
            </w:r>
            <w:r>
              <w:rPr>
                <w:rFonts w:hint="eastAsia" w:ascii="宋体" w:hAnsi="宋体" w:cs="宋体"/>
                <w:bCs/>
                <w:sz w:val="21"/>
                <w:szCs w:val="21"/>
                <w:highlight w:val="none"/>
                <w:lang w:val="en-US" w:eastAsia="zh-CN"/>
              </w:rPr>
              <w:t>）</w:t>
            </w:r>
            <w:r>
              <w:rPr>
                <w:rFonts w:hint="eastAsia" w:ascii="宋体" w:hAnsi="宋体" w:eastAsia="宋体" w:cs="宋体"/>
                <w:bCs/>
                <w:sz w:val="21"/>
                <w:szCs w:val="21"/>
                <w:highlight w:val="none"/>
                <w:lang w:val="en-US" w:eastAsia="zh-CN"/>
              </w:rPr>
              <w:t>（依法不需要缴纳社会保险的，应提供相应文件证明其依法不需要缴纳社会保险）。</w:t>
            </w:r>
          </w:p>
          <w:p w14:paraId="4D9F876E">
            <w:pPr>
              <w:bidi w:val="0"/>
              <w:rPr>
                <w:rFonts w:hint="eastAsia" w:ascii="宋体" w:hAnsi="宋体" w:cs="宋体"/>
                <w:bCs/>
                <w:kern w:val="2"/>
                <w:sz w:val="24"/>
                <w:szCs w:val="24"/>
                <w:highlight w:val="none"/>
                <w:lang w:val="zh-CN" w:eastAsia="zh-CN" w:bidi="ar-SA"/>
              </w:rPr>
            </w:pPr>
            <w:r>
              <w:rPr>
                <w:rFonts w:hint="eastAsia" w:ascii="宋体" w:hAnsi="宋体" w:eastAsia="宋体" w:cs="宋体"/>
                <w:bCs/>
                <w:sz w:val="21"/>
                <w:szCs w:val="21"/>
                <w:highlight w:val="none"/>
                <w:lang w:val="en-US" w:eastAsia="zh-CN"/>
              </w:rPr>
              <w:t>投标文件中附相关材料复印件并加盖公章。</w:t>
            </w:r>
            <w:r>
              <w:rPr>
                <w:rFonts w:hint="eastAsia" w:ascii="宋体" w:hAnsi="宋体" w:cs="宋体"/>
                <w:bCs/>
                <w:sz w:val="21"/>
                <w:szCs w:val="21"/>
                <w:highlight w:val="none"/>
                <w:lang w:val="en-US" w:eastAsia="zh-CN"/>
              </w:rPr>
              <w:t>（</w:t>
            </w:r>
            <w:r>
              <w:rPr>
                <w:rFonts w:hint="eastAsia" w:ascii="宋体" w:hAnsi="宋体" w:eastAsia="宋体" w:cs="宋体"/>
                <w:bCs/>
                <w:sz w:val="21"/>
                <w:szCs w:val="21"/>
                <w:highlight w:val="none"/>
                <w:lang w:val="en-US" w:eastAsia="zh-CN"/>
              </w:rPr>
              <w:t>依法不需要缴纳社会保险的，附相应文件复印件并加盖公章。</w:t>
            </w:r>
            <w:r>
              <w:rPr>
                <w:rFonts w:hint="eastAsia" w:ascii="宋体" w:hAnsi="宋体" w:cs="宋体"/>
                <w:bCs/>
                <w:sz w:val="21"/>
                <w:szCs w:val="21"/>
                <w:highlight w:val="none"/>
                <w:lang w:val="en-US" w:eastAsia="zh-CN"/>
              </w:rPr>
              <w:t>）</w:t>
            </w:r>
            <w:r>
              <w:rPr>
                <w:rFonts w:hint="eastAsia" w:ascii="宋体" w:hAnsi="宋体" w:eastAsia="宋体" w:cs="宋体"/>
                <w:bCs/>
                <w:sz w:val="21"/>
                <w:szCs w:val="21"/>
                <w:highlight w:val="none"/>
                <w:lang w:val="en-US" w:eastAsia="zh-CN"/>
              </w:rPr>
              <w:t>（所提供文件须加盖证明单位相关业务章。）</w:t>
            </w:r>
          </w:p>
        </w:tc>
      </w:tr>
      <w:tr w14:paraId="18A19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3" w:type="dxa"/>
            <w:vAlign w:val="center"/>
          </w:tcPr>
          <w:p w14:paraId="1E3A0E6C">
            <w:pPr>
              <w:jc w:val="center"/>
              <w:rPr>
                <w:rFonts w:hint="default" w:eastAsiaTheme="minorEastAsia"/>
                <w:vertAlign w:val="baseline"/>
                <w:lang w:val="en-US" w:eastAsia="zh-CN"/>
              </w:rPr>
            </w:pPr>
            <w:r>
              <w:rPr>
                <w:rFonts w:hint="eastAsia"/>
                <w:vertAlign w:val="baseline"/>
                <w:lang w:val="en-US" w:eastAsia="zh-CN"/>
              </w:rPr>
              <w:t>4</w:t>
            </w:r>
          </w:p>
        </w:tc>
        <w:tc>
          <w:tcPr>
            <w:tcW w:w="641" w:type="dxa"/>
            <w:vMerge w:val="continue"/>
          </w:tcPr>
          <w:p w14:paraId="0C7F3949">
            <w:pPr>
              <w:rPr>
                <w:vertAlign w:val="baseline"/>
              </w:rPr>
            </w:pPr>
          </w:p>
        </w:tc>
        <w:tc>
          <w:tcPr>
            <w:tcW w:w="8775" w:type="dxa"/>
            <w:shd w:val="clear" w:color="auto" w:fill="auto"/>
            <w:vAlign w:val="top"/>
          </w:tcPr>
          <w:p w14:paraId="33817910">
            <w:pPr>
              <w:bidi w:val="0"/>
              <w:rPr>
                <w:rFonts w:hint="eastAsia" w:ascii="宋体" w:hAnsi="宋体" w:eastAsia="宋体" w:cs="宋体"/>
                <w:bCs/>
                <w:sz w:val="21"/>
                <w:szCs w:val="21"/>
                <w:highlight w:val="none"/>
                <w:lang w:val="zh-CN"/>
              </w:rPr>
            </w:pPr>
            <w:r>
              <w:rPr>
                <w:rFonts w:hint="eastAsia" w:ascii="宋体" w:hAnsi="宋体" w:eastAsia="宋体" w:cs="宋体"/>
                <w:bCs/>
                <w:sz w:val="21"/>
                <w:szCs w:val="21"/>
                <w:highlight w:val="none"/>
                <w:lang w:val="zh-CN"/>
              </w:rPr>
              <w:t>财务状况证明：</w:t>
            </w:r>
          </w:p>
          <w:p w14:paraId="526A4E3D">
            <w:pPr>
              <w:bidi w:val="0"/>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供应商具有提交响应文件截止时间前三个月内开户银行出具的资信证明或经会计师事务所审计的近三年内任意一年</w:t>
            </w:r>
            <w:r>
              <w:rPr>
                <w:rFonts w:hint="eastAsia" w:ascii="宋体" w:hAnsi="宋体" w:eastAsia="宋体" w:cs="宋体"/>
                <w:bCs/>
                <w:sz w:val="21"/>
                <w:szCs w:val="21"/>
                <w:highlight w:val="none"/>
                <w:lang w:val="zh-CN" w:eastAsia="zh-CN"/>
              </w:rPr>
              <w:t>财务审计报告</w:t>
            </w:r>
            <w:r>
              <w:rPr>
                <w:rFonts w:hint="eastAsia" w:ascii="宋体" w:hAnsi="宋体" w:eastAsia="宋体" w:cs="宋体"/>
                <w:bCs/>
                <w:sz w:val="21"/>
                <w:szCs w:val="21"/>
                <w:highlight w:val="none"/>
                <w:lang w:val="en-US" w:eastAsia="zh-CN"/>
              </w:rPr>
              <w:t>。</w:t>
            </w:r>
          </w:p>
          <w:p w14:paraId="735D03AA">
            <w:pPr>
              <w:bidi w:val="0"/>
              <w:rPr>
                <w:rFonts w:hint="eastAsia" w:ascii="宋体" w:hAnsi="宋体" w:eastAsia="宋体" w:cs="宋体"/>
                <w:bCs/>
                <w:sz w:val="21"/>
                <w:szCs w:val="21"/>
                <w:highlight w:val="none"/>
                <w:lang w:val="zh-CN" w:eastAsia="zh-CN"/>
              </w:rPr>
            </w:pPr>
            <w:r>
              <w:rPr>
                <w:rFonts w:hint="eastAsia" w:ascii="宋体" w:hAnsi="宋体" w:eastAsia="宋体" w:cs="宋体"/>
                <w:bCs/>
                <w:sz w:val="21"/>
                <w:szCs w:val="21"/>
                <w:highlight w:val="none"/>
                <w:lang w:val="en-US" w:eastAsia="zh-CN"/>
              </w:rPr>
              <w:t>投标文件中附资信证明或财务审计报告复印件并加盖公章（所提供文件须加盖证明单位相关业务章。）</w:t>
            </w:r>
          </w:p>
          <w:p w14:paraId="2BD50F0B">
            <w:pPr>
              <w:bidi w:val="0"/>
              <w:rPr>
                <w:rFonts w:hint="eastAsia" w:ascii="宋体" w:hAnsi="宋体" w:eastAsia="宋体" w:cs="宋体"/>
                <w:bCs/>
                <w:sz w:val="21"/>
                <w:szCs w:val="21"/>
                <w:highlight w:val="none"/>
                <w:lang w:val="zh-CN" w:eastAsia="zh-CN"/>
              </w:rPr>
            </w:pPr>
          </w:p>
        </w:tc>
      </w:tr>
      <w:tr w14:paraId="6B953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5" w:hRule="atLeast"/>
        </w:trPr>
        <w:tc>
          <w:tcPr>
            <w:tcW w:w="433" w:type="dxa"/>
            <w:vAlign w:val="center"/>
          </w:tcPr>
          <w:p w14:paraId="26AFA2C5">
            <w:pPr>
              <w:jc w:val="center"/>
              <w:rPr>
                <w:rFonts w:hint="default" w:eastAsiaTheme="minorEastAsia"/>
                <w:vertAlign w:val="baseline"/>
                <w:lang w:val="en-US" w:eastAsia="zh-CN"/>
              </w:rPr>
            </w:pPr>
            <w:r>
              <w:rPr>
                <w:rFonts w:hint="eastAsia"/>
                <w:vertAlign w:val="baseline"/>
                <w:lang w:val="en-US" w:eastAsia="zh-CN"/>
              </w:rPr>
              <w:t>5</w:t>
            </w:r>
          </w:p>
        </w:tc>
        <w:tc>
          <w:tcPr>
            <w:tcW w:w="641" w:type="dxa"/>
            <w:vMerge w:val="continue"/>
          </w:tcPr>
          <w:p w14:paraId="7F6BA31D">
            <w:pPr>
              <w:rPr>
                <w:vertAlign w:val="baseline"/>
              </w:rPr>
            </w:pPr>
          </w:p>
        </w:tc>
        <w:tc>
          <w:tcPr>
            <w:tcW w:w="8775" w:type="dxa"/>
          </w:tcPr>
          <w:p w14:paraId="6D58D8A0">
            <w:pPr>
              <w:bidi w:val="0"/>
              <w:rPr>
                <w:rFonts w:hint="eastAsia"/>
                <w:sz w:val="24"/>
                <w:szCs w:val="24"/>
                <w:highlight w:val="none"/>
                <w:lang w:val="en-US" w:eastAsia="zh-CN"/>
              </w:rPr>
            </w:pPr>
            <w:r>
              <w:rPr>
                <w:rFonts w:hint="eastAsia"/>
                <w:sz w:val="24"/>
                <w:szCs w:val="24"/>
                <w:highlight w:val="none"/>
                <w:lang w:val="en-US" w:eastAsia="zh-CN"/>
              </w:rPr>
              <w:t>投标人资信证明文件（投标人应提交以下资信证明文件）</w:t>
            </w:r>
          </w:p>
          <w:p w14:paraId="599DCEFD">
            <w:pPr>
              <w:bidi w:val="0"/>
              <w:rPr>
                <w:rFonts w:hint="eastAsia"/>
                <w:sz w:val="24"/>
                <w:szCs w:val="24"/>
                <w:highlight w:val="none"/>
                <w:lang w:val="en-US" w:eastAsia="zh-CN"/>
              </w:rPr>
            </w:pPr>
            <w:r>
              <w:rPr>
                <w:rFonts w:hint="eastAsia"/>
                <w:sz w:val="24"/>
                <w:szCs w:val="24"/>
                <w:highlight w:val="none"/>
                <w:lang w:val="en-US" w:eastAsia="zh-CN"/>
              </w:rPr>
              <w:t>①供应商不得为“信用中国”网站（www.creditchina.gov.cn）中列入失信被执行人和重大税收违法案件当事人名单的供应商，不得为中国政府采购网（www.ccgp.gov.cn）政府采购严重违法失信行为记录名单中被财政部门禁止参加政府采购活动的供应商；②参加政府采购活动前三年内，在经营活动中没有重大违法记录；③拒绝列入政府取消投标资格记录期间的企业或个人谈判。</w:t>
            </w:r>
          </w:p>
          <w:p w14:paraId="362BD4A3">
            <w:pPr>
              <w:rPr>
                <w:vertAlign w:val="baseline"/>
              </w:rPr>
            </w:pPr>
            <w:r>
              <w:rPr>
                <w:rFonts w:hint="eastAsia"/>
                <w:sz w:val="24"/>
                <w:szCs w:val="24"/>
                <w:highlight w:val="none"/>
                <w:lang w:val="zh-CN" w:eastAsia="zh-CN"/>
              </w:rPr>
              <w:t>投标文件中</w:t>
            </w:r>
            <w:r>
              <w:rPr>
                <w:rFonts w:hint="eastAsia"/>
                <w:sz w:val="24"/>
                <w:szCs w:val="24"/>
                <w:highlight w:val="none"/>
                <w:lang w:val="en-US" w:eastAsia="zh-CN"/>
              </w:rPr>
              <w:t>①</w:t>
            </w:r>
            <w:r>
              <w:rPr>
                <w:rFonts w:hint="eastAsia"/>
                <w:sz w:val="24"/>
                <w:szCs w:val="24"/>
                <w:highlight w:val="none"/>
                <w:lang w:val="zh-CN" w:eastAsia="zh-CN"/>
              </w:rPr>
              <w:t>附相关网站查询截图并加盖投标人公章，查询时点为获取</w:t>
            </w:r>
            <w:r>
              <w:rPr>
                <w:rFonts w:hint="eastAsia"/>
                <w:sz w:val="24"/>
                <w:szCs w:val="24"/>
                <w:highlight w:val="none"/>
                <w:lang w:val="en-US" w:eastAsia="zh-CN"/>
              </w:rPr>
              <w:t>投标</w:t>
            </w:r>
            <w:r>
              <w:rPr>
                <w:rFonts w:hint="eastAsia"/>
                <w:sz w:val="24"/>
                <w:szCs w:val="24"/>
                <w:highlight w:val="none"/>
                <w:lang w:val="zh-CN" w:eastAsia="zh-CN"/>
              </w:rPr>
              <w:t>文件开始时间至</w:t>
            </w:r>
            <w:r>
              <w:rPr>
                <w:rFonts w:hint="eastAsia"/>
                <w:sz w:val="24"/>
                <w:szCs w:val="24"/>
                <w:highlight w:val="none"/>
                <w:lang w:val="en-US" w:eastAsia="zh-CN"/>
              </w:rPr>
              <w:t>投标文件提交</w:t>
            </w:r>
            <w:r>
              <w:rPr>
                <w:rFonts w:hint="eastAsia"/>
                <w:sz w:val="24"/>
                <w:szCs w:val="24"/>
                <w:highlight w:val="none"/>
                <w:lang w:val="zh-CN" w:eastAsia="zh-CN"/>
              </w:rPr>
              <w:t>截止时间；</w:t>
            </w:r>
            <w:r>
              <w:rPr>
                <w:rFonts w:hint="eastAsia"/>
                <w:sz w:val="24"/>
                <w:szCs w:val="24"/>
                <w:highlight w:val="none"/>
                <w:lang w:val="en-US" w:eastAsia="zh-CN"/>
              </w:rPr>
              <w:t>②-③投标</w:t>
            </w:r>
            <w:r>
              <w:rPr>
                <w:rFonts w:hint="eastAsia"/>
                <w:sz w:val="24"/>
                <w:szCs w:val="24"/>
                <w:highlight w:val="none"/>
                <w:lang w:val="zh-CN" w:eastAsia="zh-CN"/>
              </w:rPr>
              <w:t>文件中附由法定代表人签字并加盖投标人公章的承诺书，格式自拟。</w:t>
            </w:r>
          </w:p>
        </w:tc>
      </w:tr>
      <w:tr w14:paraId="737D3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3" w:type="dxa"/>
            <w:vAlign w:val="center"/>
          </w:tcPr>
          <w:p w14:paraId="2B5307F0">
            <w:pPr>
              <w:jc w:val="center"/>
              <w:rPr>
                <w:rFonts w:hint="default"/>
                <w:vertAlign w:val="baseline"/>
                <w:lang w:val="en-US" w:eastAsia="zh-CN"/>
              </w:rPr>
            </w:pPr>
            <w:r>
              <w:rPr>
                <w:rFonts w:hint="eastAsia"/>
                <w:vertAlign w:val="baseline"/>
                <w:lang w:val="en-US" w:eastAsia="zh-CN"/>
              </w:rPr>
              <w:t>1</w:t>
            </w:r>
          </w:p>
        </w:tc>
        <w:tc>
          <w:tcPr>
            <w:tcW w:w="641" w:type="dxa"/>
            <w:vMerge w:val="restart"/>
            <w:vAlign w:val="center"/>
          </w:tcPr>
          <w:p w14:paraId="066C4E4A">
            <w:pPr>
              <w:pStyle w:val="11"/>
              <w:spacing w:line="240" w:lineRule="auto"/>
              <w:jc w:val="center"/>
              <w:rPr>
                <w:rFonts w:hAnsi="宋体"/>
                <w:bCs/>
                <w:kern w:val="0"/>
                <w:sz w:val="24"/>
                <w:szCs w:val="24"/>
                <w:highlight w:val="none"/>
              </w:rPr>
            </w:pPr>
            <w:r>
              <w:rPr>
                <w:rFonts w:hint="eastAsia" w:hAnsi="宋体"/>
                <w:bCs/>
                <w:kern w:val="0"/>
                <w:sz w:val="24"/>
                <w:szCs w:val="24"/>
                <w:highlight w:val="none"/>
              </w:rPr>
              <w:t>符</w:t>
            </w:r>
          </w:p>
          <w:p w14:paraId="3B9467D7">
            <w:pPr>
              <w:pStyle w:val="11"/>
              <w:spacing w:line="240" w:lineRule="auto"/>
              <w:jc w:val="center"/>
              <w:rPr>
                <w:rFonts w:hAnsi="宋体"/>
                <w:bCs/>
                <w:kern w:val="0"/>
                <w:sz w:val="24"/>
                <w:szCs w:val="24"/>
                <w:highlight w:val="none"/>
              </w:rPr>
            </w:pPr>
            <w:r>
              <w:rPr>
                <w:rFonts w:hint="eastAsia" w:hAnsi="宋体"/>
                <w:bCs/>
                <w:kern w:val="0"/>
                <w:sz w:val="24"/>
                <w:szCs w:val="24"/>
                <w:highlight w:val="none"/>
              </w:rPr>
              <w:t>合 性评审</w:t>
            </w:r>
          </w:p>
          <w:p w14:paraId="5EDD7569">
            <w:pPr>
              <w:jc w:val="center"/>
              <w:rPr>
                <w:vertAlign w:val="baseline"/>
              </w:rPr>
            </w:pPr>
          </w:p>
        </w:tc>
        <w:tc>
          <w:tcPr>
            <w:tcW w:w="8775" w:type="dxa"/>
          </w:tcPr>
          <w:p w14:paraId="3B765FAB">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投标报价不得超过采购预算，</w:t>
            </w:r>
            <w:r>
              <w:rPr>
                <w:rFonts w:hint="eastAsia" w:ascii="Times New Roman" w:hAnsi="Times New Roman"/>
                <w:b/>
                <w:bCs/>
                <w:sz w:val="24"/>
                <w:szCs w:val="24"/>
                <w:highlight w:val="none"/>
              </w:rPr>
              <w:t>单项报价金额不得高于单项预算金额</w:t>
            </w:r>
            <w:r>
              <w:rPr>
                <w:rFonts w:hint="eastAsia" w:ascii="Times New Roman" w:hAnsi="Times New Roman"/>
                <w:b/>
                <w:bCs/>
                <w:sz w:val="24"/>
                <w:szCs w:val="24"/>
                <w:highlight w:val="none"/>
                <w:lang w:eastAsia="zh-CN"/>
              </w:rPr>
              <w:t>，</w:t>
            </w:r>
            <w:r>
              <w:rPr>
                <w:rFonts w:hint="eastAsia" w:ascii="宋体" w:hAnsi="宋体" w:cs="宋体"/>
                <w:bCs/>
                <w:sz w:val="24"/>
                <w:szCs w:val="24"/>
                <w:highlight w:val="none"/>
                <w:lang w:val="en-US" w:eastAsia="zh-CN"/>
              </w:rPr>
              <w:t>一个货物（服务）不能出现两个或两个以上报价，投标报价无缺漏项，符合招标文件要求。</w:t>
            </w:r>
          </w:p>
        </w:tc>
      </w:tr>
      <w:tr w14:paraId="73C13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3" w:type="dxa"/>
            <w:vAlign w:val="center"/>
          </w:tcPr>
          <w:p w14:paraId="34251C5D">
            <w:pPr>
              <w:jc w:val="center"/>
              <w:rPr>
                <w:rFonts w:hint="default"/>
                <w:vertAlign w:val="baseline"/>
                <w:lang w:val="en-US" w:eastAsia="zh-CN"/>
              </w:rPr>
            </w:pPr>
            <w:r>
              <w:rPr>
                <w:rFonts w:hint="eastAsia"/>
                <w:vertAlign w:val="baseline"/>
                <w:lang w:val="en-US" w:eastAsia="zh-CN"/>
              </w:rPr>
              <w:t>2</w:t>
            </w:r>
          </w:p>
        </w:tc>
        <w:tc>
          <w:tcPr>
            <w:tcW w:w="641" w:type="dxa"/>
            <w:vMerge w:val="continue"/>
          </w:tcPr>
          <w:p w14:paraId="2B7F461F">
            <w:pPr>
              <w:rPr>
                <w:vertAlign w:val="baseline"/>
              </w:rPr>
            </w:pPr>
          </w:p>
        </w:tc>
        <w:tc>
          <w:tcPr>
            <w:tcW w:w="8775" w:type="dxa"/>
          </w:tcPr>
          <w:p w14:paraId="30D5737B">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投标文件的编制、签署、盖章、涂改、删除、插字、公章使用等符合招标文件要求；投标文件的格式、文字、目录、页码等符合招标文件要求或对投标无实质性影响，投标内容无缺项、漏项的。</w:t>
            </w:r>
          </w:p>
        </w:tc>
      </w:tr>
      <w:tr w14:paraId="6E8CE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3" w:type="dxa"/>
            <w:vAlign w:val="center"/>
          </w:tcPr>
          <w:p w14:paraId="586FFA09">
            <w:pPr>
              <w:jc w:val="center"/>
              <w:rPr>
                <w:rFonts w:hint="default"/>
                <w:vertAlign w:val="baseline"/>
                <w:lang w:val="en-US" w:eastAsia="zh-CN"/>
              </w:rPr>
            </w:pPr>
            <w:r>
              <w:rPr>
                <w:rFonts w:hint="eastAsia"/>
                <w:vertAlign w:val="baseline"/>
                <w:lang w:val="en-US" w:eastAsia="zh-CN"/>
              </w:rPr>
              <w:t>3</w:t>
            </w:r>
          </w:p>
        </w:tc>
        <w:tc>
          <w:tcPr>
            <w:tcW w:w="641" w:type="dxa"/>
            <w:vMerge w:val="continue"/>
          </w:tcPr>
          <w:p w14:paraId="0697BF7E">
            <w:pPr>
              <w:rPr>
                <w:vertAlign w:val="baseline"/>
              </w:rPr>
            </w:pPr>
          </w:p>
        </w:tc>
        <w:tc>
          <w:tcPr>
            <w:tcW w:w="8775" w:type="dxa"/>
          </w:tcPr>
          <w:p w14:paraId="6307911D">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提供货物质量标准等能够满足招标文件要求的。</w:t>
            </w:r>
          </w:p>
        </w:tc>
      </w:tr>
      <w:tr w14:paraId="1DD50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3" w:type="dxa"/>
            <w:vAlign w:val="center"/>
          </w:tcPr>
          <w:p w14:paraId="1B79907C">
            <w:pPr>
              <w:jc w:val="center"/>
              <w:rPr>
                <w:rFonts w:hint="default"/>
                <w:vertAlign w:val="baseline"/>
                <w:lang w:val="en-US" w:eastAsia="zh-CN"/>
              </w:rPr>
            </w:pPr>
            <w:r>
              <w:rPr>
                <w:rFonts w:hint="eastAsia"/>
                <w:vertAlign w:val="baseline"/>
                <w:lang w:val="en-US" w:eastAsia="zh-CN"/>
              </w:rPr>
              <w:t>4</w:t>
            </w:r>
          </w:p>
        </w:tc>
        <w:tc>
          <w:tcPr>
            <w:tcW w:w="641" w:type="dxa"/>
            <w:vMerge w:val="continue"/>
          </w:tcPr>
          <w:p w14:paraId="1F266EEF">
            <w:pPr>
              <w:rPr>
                <w:vertAlign w:val="baseline"/>
              </w:rPr>
            </w:pPr>
          </w:p>
        </w:tc>
        <w:tc>
          <w:tcPr>
            <w:tcW w:w="8775" w:type="dxa"/>
          </w:tcPr>
          <w:p w14:paraId="6A275C76">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投标文件技术标必须遵守的统一格式和规范。</w:t>
            </w:r>
          </w:p>
          <w:p w14:paraId="08A8EC12">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 xml:space="preserve"> 技术标文件（暗标）未按以下“盲评”要求制作的，为无效投标，除下述要求外，不得因暗标格式问题认定为无效投标：</w:t>
            </w:r>
          </w:p>
          <w:p w14:paraId="33B45F7D">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 xml:space="preserve"> 1.版面要求：A4纸张大小；</w:t>
            </w:r>
          </w:p>
          <w:p w14:paraId="152C35B2">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 xml:space="preserve"> 2.颜色要求：所有文字、图表均为黑色；</w:t>
            </w:r>
          </w:p>
          <w:p w14:paraId="235EE606">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 xml:space="preserve"> 3.字体要求：标题及正文部分所用文字均采用“宋体”四号“常规”字；所有字体均不得出现加粗、加色、倾斜、下划线等标记；</w:t>
            </w:r>
          </w:p>
          <w:p w14:paraId="58F243F4">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 xml:space="preserve"> 4.排版要求：页边距要求上边距2.5厘米，其余均为2厘米；不得设置封面、目录；正文行间距为固定值30磅；文字内容（含正文标题、正文）统一设为左对齐，首行缩进2字符，段落前后不设置空行；不得设置页眉、页脚和页码；</w:t>
            </w:r>
          </w:p>
          <w:p w14:paraId="6E9CF076">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 xml:space="preserve"> 5.图、表要求：图内的字体、字号不作要求。表内文字均采用“宋体”四号“常规”字，均不得出现加粗、加色、倾斜、下划线等标记；表内文字设为上下居中、左对齐，特殊格式（首行缩进）为无。图、表整体对齐形式统一设为居中对齐，不得将表格以图片格式插入技术标（暗标）文件。</w:t>
            </w:r>
          </w:p>
          <w:p w14:paraId="0F6191B0">
            <w:pPr>
              <w:bidi w:val="0"/>
              <w:ind w:firstLine="240" w:firstLineChars="100"/>
              <w:rPr>
                <w:rFonts w:hint="default" w:ascii="宋体" w:hAnsi="宋体" w:cs="宋体"/>
                <w:bCs/>
                <w:sz w:val="24"/>
                <w:szCs w:val="24"/>
                <w:highlight w:val="none"/>
                <w:lang w:val="en-US" w:eastAsia="zh-CN"/>
              </w:rPr>
            </w:pPr>
            <w:r>
              <w:rPr>
                <w:rFonts w:hint="eastAsia" w:ascii="宋体" w:hAnsi="宋体" w:cs="宋体"/>
                <w:bCs/>
                <w:sz w:val="24"/>
                <w:szCs w:val="24"/>
                <w:highlight w:val="none"/>
                <w:lang w:val="en-US" w:eastAsia="zh-CN"/>
              </w:rPr>
              <w:t>6.其它：除满足上述各项要求外，构成投标文件的“技术暗标”的正文中均不得出现供应商的名称和其它可识别供应商身份的字符、徽标、人员名称以及其他可能被辨别出供应商身份的任何标记。</w:t>
            </w:r>
          </w:p>
          <w:p w14:paraId="495D8508">
            <w:pPr>
              <w:bidi w:val="0"/>
              <w:ind w:firstLine="240" w:firstLineChars="100"/>
              <w:rPr>
                <w:rFonts w:hint="default" w:ascii="宋体" w:hAnsi="宋体" w:cs="宋体"/>
                <w:bCs/>
                <w:sz w:val="24"/>
                <w:szCs w:val="24"/>
                <w:highlight w:val="none"/>
                <w:lang w:val="en-US" w:eastAsia="zh-CN"/>
              </w:rPr>
            </w:pPr>
          </w:p>
        </w:tc>
      </w:tr>
    </w:tbl>
    <w:p w14:paraId="65CA2221">
      <w:pPr>
        <w:rPr>
          <w:rFonts w:hint="eastAsia"/>
          <w:b/>
          <w:bCs/>
          <w:sz w:val="28"/>
          <w:szCs w:val="36"/>
        </w:rPr>
      </w:pPr>
    </w:p>
    <w:p w14:paraId="4FBB54BE">
      <w:pPr>
        <w:rPr>
          <w:rFonts w:hint="eastAsia"/>
          <w:b/>
          <w:bCs/>
          <w:sz w:val="28"/>
          <w:szCs w:val="36"/>
        </w:rPr>
      </w:pPr>
      <w:r>
        <w:rPr>
          <w:rFonts w:hint="eastAsia"/>
          <w:b/>
          <w:bCs/>
          <w:sz w:val="28"/>
          <w:szCs w:val="36"/>
        </w:rPr>
        <w:br w:type="page"/>
      </w:r>
    </w:p>
    <w:p w14:paraId="41BE1E92">
      <w:pPr>
        <w:numPr>
          <w:ilvl w:val="0"/>
          <w:numId w:val="0"/>
        </w:numPr>
        <w:rPr>
          <w:rFonts w:hint="eastAsia"/>
          <w:b/>
          <w:bCs/>
          <w:sz w:val="28"/>
          <w:szCs w:val="36"/>
          <w:highlight w:val="none"/>
        </w:rPr>
        <w:sectPr>
          <w:footerReference r:id="rId16" w:type="default"/>
          <w:pgSz w:w="11906" w:h="16838"/>
          <w:pgMar w:top="1440" w:right="1080" w:bottom="1440" w:left="1080" w:header="851" w:footer="992" w:gutter="0"/>
          <w:pgBorders>
            <w:top w:val="none" w:sz="0" w:space="0"/>
            <w:left w:val="none" w:sz="0" w:space="0"/>
            <w:bottom w:val="none" w:sz="0" w:space="0"/>
            <w:right w:val="none" w:sz="0" w:space="0"/>
          </w:pgBorders>
          <w:pgNumType w:fmt="decimal"/>
          <w:cols w:space="0" w:num="1"/>
          <w:rtlGutter w:val="0"/>
          <w:docGrid w:type="lines" w:linePitch="460" w:charSpace="0"/>
        </w:sectPr>
      </w:pPr>
    </w:p>
    <w:p w14:paraId="7972C912">
      <w:pPr>
        <w:numPr>
          <w:ilvl w:val="0"/>
          <w:numId w:val="8"/>
        </w:numPr>
        <w:rPr>
          <w:rFonts w:hint="eastAsia"/>
          <w:b/>
          <w:bCs/>
          <w:sz w:val="28"/>
          <w:szCs w:val="36"/>
          <w:highlight w:val="none"/>
        </w:rPr>
      </w:pPr>
      <w:r>
        <w:rPr>
          <w:rFonts w:hint="eastAsia"/>
          <w:b/>
          <w:bCs/>
          <w:sz w:val="28"/>
          <w:szCs w:val="36"/>
          <w:highlight w:val="none"/>
        </w:rPr>
        <w:t>综合评分表（详细评审）</w:t>
      </w:r>
    </w:p>
    <w:tbl>
      <w:tblPr>
        <w:tblStyle w:val="20"/>
        <w:tblW w:w="140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3"/>
        <w:gridCol w:w="1559"/>
        <w:gridCol w:w="9644"/>
        <w:gridCol w:w="1410"/>
      </w:tblGrid>
      <w:tr w14:paraId="7AC3E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tcBorders>
              <w:top w:val="single" w:color="auto" w:sz="4" w:space="0"/>
              <w:left w:val="single" w:color="auto" w:sz="4" w:space="0"/>
              <w:bottom w:val="single" w:color="auto" w:sz="4" w:space="0"/>
              <w:right w:val="single" w:color="auto" w:sz="4" w:space="0"/>
            </w:tcBorders>
            <w:vAlign w:val="top"/>
          </w:tcPr>
          <w:p w14:paraId="071F7C38">
            <w:pPr>
              <w:pStyle w:val="45"/>
              <w:rPr>
                <w:rFonts w:hint="eastAsia" w:ascii="宋体" w:hAnsi="宋体" w:cs="宋体"/>
                <w:szCs w:val="21"/>
              </w:rPr>
            </w:pPr>
            <w:r>
              <w:rPr>
                <w:rFonts w:hint="eastAsia" w:ascii="宋体" w:hAnsi="宋体" w:cs="宋体"/>
                <w:szCs w:val="21"/>
              </w:rPr>
              <w:t>项目</w:t>
            </w:r>
          </w:p>
        </w:tc>
        <w:tc>
          <w:tcPr>
            <w:tcW w:w="1559" w:type="dxa"/>
            <w:tcBorders>
              <w:top w:val="single" w:color="auto" w:sz="4" w:space="0"/>
              <w:left w:val="single" w:color="auto" w:sz="4" w:space="0"/>
              <w:bottom w:val="single" w:color="auto" w:sz="4" w:space="0"/>
              <w:right w:val="single" w:color="auto" w:sz="4" w:space="0"/>
            </w:tcBorders>
            <w:vAlign w:val="top"/>
          </w:tcPr>
          <w:p w14:paraId="5A16DDB5">
            <w:pPr>
              <w:pStyle w:val="45"/>
              <w:ind w:firstLine="0" w:firstLineChars="0"/>
              <w:rPr>
                <w:rFonts w:hint="eastAsia" w:ascii="宋体" w:hAnsi="宋体" w:cs="宋体"/>
                <w:szCs w:val="21"/>
              </w:rPr>
            </w:pPr>
            <w:r>
              <w:rPr>
                <w:rFonts w:hint="eastAsia" w:ascii="宋体" w:hAnsi="宋体" w:cs="宋体"/>
                <w:szCs w:val="21"/>
              </w:rPr>
              <w:t>分项名称</w:t>
            </w:r>
          </w:p>
        </w:tc>
        <w:tc>
          <w:tcPr>
            <w:tcW w:w="9644" w:type="dxa"/>
            <w:tcBorders>
              <w:top w:val="single" w:color="auto" w:sz="4" w:space="0"/>
              <w:left w:val="single" w:color="auto" w:sz="4" w:space="0"/>
              <w:bottom w:val="single" w:color="auto" w:sz="4" w:space="0"/>
              <w:right w:val="single" w:color="auto" w:sz="4" w:space="0"/>
            </w:tcBorders>
            <w:vAlign w:val="top"/>
          </w:tcPr>
          <w:p w14:paraId="3023ED3A">
            <w:pPr>
              <w:pStyle w:val="45"/>
              <w:rPr>
                <w:rFonts w:hint="eastAsia" w:ascii="宋体" w:hAnsi="宋体" w:cs="宋体"/>
                <w:szCs w:val="21"/>
              </w:rPr>
            </w:pPr>
            <w:r>
              <w:rPr>
                <w:rFonts w:hint="eastAsia" w:ascii="宋体" w:hAnsi="宋体" w:cs="宋体"/>
                <w:szCs w:val="21"/>
              </w:rPr>
              <w:t>评分标准</w:t>
            </w:r>
          </w:p>
        </w:tc>
        <w:tc>
          <w:tcPr>
            <w:tcW w:w="1410" w:type="dxa"/>
            <w:tcBorders>
              <w:top w:val="single" w:color="auto" w:sz="4" w:space="0"/>
              <w:left w:val="single" w:color="auto" w:sz="4" w:space="0"/>
              <w:bottom w:val="single" w:color="auto" w:sz="4" w:space="0"/>
              <w:right w:val="single" w:color="auto" w:sz="4" w:space="0"/>
            </w:tcBorders>
            <w:vAlign w:val="top"/>
          </w:tcPr>
          <w:p w14:paraId="549E4C79">
            <w:pPr>
              <w:pStyle w:val="45"/>
              <w:rPr>
                <w:rFonts w:hint="eastAsia" w:ascii="宋体" w:hAnsi="宋体" w:cs="宋体"/>
                <w:szCs w:val="21"/>
              </w:rPr>
            </w:pPr>
            <w:r>
              <w:rPr>
                <w:rFonts w:hint="eastAsia" w:ascii="宋体" w:hAnsi="宋体" w:cs="宋体"/>
                <w:szCs w:val="21"/>
              </w:rPr>
              <w:t>满分</w:t>
            </w:r>
          </w:p>
        </w:tc>
      </w:tr>
      <w:tr w14:paraId="04154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tcBorders>
              <w:top w:val="single" w:color="auto" w:sz="4" w:space="0"/>
              <w:left w:val="single" w:color="auto" w:sz="4" w:space="0"/>
              <w:bottom w:val="single" w:color="auto" w:sz="4" w:space="0"/>
              <w:right w:val="single" w:color="auto" w:sz="4" w:space="0"/>
            </w:tcBorders>
            <w:vAlign w:val="top"/>
          </w:tcPr>
          <w:p w14:paraId="46869342">
            <w:pPr>
              <w:pStyle w:val="45"/>
              <w:ind w:firstLine="0" w:firstLineChars="0"/>
              <w:rPr>
                <w:rFonts w:ascii="宋体" w:hAnsi="宋体" w:cs="宋体"/>
                <w:szCs w:val="21"/>
              </w:rPr>
            </w:pPr>
            <w:r>
              <w:rPr>
                <w:rFonts w:hint="eastAsia" w:ascii="宋体" w:hAnsi="宋体" w:cs="宋体"/>
                <w:szCs w:val="21"/>
              </w:rPr>
              <w:t>价格部分</w:t>
            </w:r>
          </w:p>
          <w:p w14:paraId="74AC79AC">
            <w:pPr>
              <w:pStyle w:val="45"/>
              <w:ind w:firstLine="0" w:firstLineChars="0"/>
              <w:rPr>
                <w:rFonts w:hint="eastAsia" w:ascii="宋体" w:hAnsi="宋体" w:cs="宋体"/>
                <w:szCs w:val="21"/>
              </w:rPr>
            </w:pPr>
          </w:p>
        </w:tc>
        <w:tc>
          <w:tcPr>
            <w:tcW w:w="1559" w:type="dxa"/>
            <w:tcBorders>
              <w:top w:val="single" w:color="auto" w:sz="4" w:space="0"/>
              <w:left w:val="single" w:color="auto" w:sz="4" w:space="0"/>
              <w:bottom w:val="single" w:color="auto" w:sz="4" w:space="0"/>
              <w:right w:val="single" w:color="auto" w:sz="4" w:space="0"/>
            </w:tcBorders>
            <w:vAlign w:val="top"/>
          </w:tcPr>
          <w:p w14:paraId="4D05B4DA">
            <w:pPr>
              <w:pStyle w:val="45"/>
              <w:ind w:firstLine="0" w:firstLineChars="0"/>
              <w:rPr>
                <w:rFonts w:hint="eastAsia" w:ascii="宋体" w:hAnsi="宋体" w:cs="宋体"/>
                <w:szCs w:val="21"/>
              </w:rPr>
            </w:pPr>
            <w:r>
              <w:rPr>
                <w:rFonts w:hint="eastAsia" w:ascii="宋体" w:hAnsi="宋体" w:cs="宋体"/>
                <w:szCs w:val="21"/>
              </w:rPr>
              <w:t>投标报价</w:t>
            </w:r>
          </w:p>
        </w:tc>
        <w:tc>
          <w:tcPr>
            <w:tcW w:w="9644" w:type="dxa"/>
            <w:tcBorders>
              <w:top w:val="single" w:color="auto" w:sz="4" w:space="0"/>
              <w:left w:val="single" w:color="auto" w:sz="4" w:space="0"/>
              <w:bottom w:val="single" w:color="auto" w:sz="4" w:space="0"/>
              <w:right w:val="single" w:color="auto" w:sz="4" w:space="0"/>
            </w:tcBorders>
            <w:vAlign w:val="top"/>
          </w:tcPr>
          <w:p w14:paraId="7242A9E3">
            <w:pPr>
              <w:pStyle w:val="45"/>
              <w:ind w:firstLine="0" w:firstLineChars="0"/>
              <w:rPr>
                <w:rFonts w:hint="eastAsia" w:ascii="宋体" w:hAnsi="宋体" w:eastAsia="宋体" w:cs="宋体"/>
                <w:szCs w:val="21"/>
              </w:rPr>
            </w:pPr>
            <w:r>
              <w:rPr>
                <w:rFonts w:hint="eastAsia" w:ascii="宋体" w:hAnsi="宋体" w:cs="宋体"/>
                <w:szCs w:val="21"/>
                <w:lang w:val="en-US" w:eastAsia="zh-CN"/>
              </w:rPr>
              <w:t>1、</w:t>
            </w:r>
            <w:r>
              <w:rPr>
                <w:rFonts w:hint="eastAsia" w:ascii="宋体" w:hAnsi="宋体" w:cs="宋体"/>
                <w:szCs w:val="21"/>
              </w:rPr>
              <w:t>评标基准价：满足招标文件要求且投标价格最低的投标报价为评标基准价，评标基准价为满分；</w:t>
            </w:r>
            <w:r>
              <w:rPr>
                <w:rFonts w:hint="eastAsia" w:ascii="宋体" w:hAnsi="宋体" w:cs="宋体"/>
                <w:szCs w:val="21"/>
              </w:rPr>
              <w:br w:type="textWrapping"/>
            </w:r>
            <w:r>
              <w:rPr>
                <w:rFonts w:hint="eastAsia" w:ascii="宋体" w:hAnsi="宋体" w:cs="宋体"/>
                <w:szCs w:val="21"/>
              </w:rPr>
              <w:t>2、其他投标人的报价得分按照下列公式计算：投标报价得分＝（评标基准价/有效投标报价）×30％×10</w:t>
            </w:r>
            <w:r>
              <w:rPr>
                <w:rFonts w:hint="eastAsia" w:ascii="宋体" w:hAnsi="宋体" w:eastAsia="宋体" w:cs="宋体"/>
                <w:szCs w:val="21"/>
              </w:rPr>
              <w:t>0</w:t>
            </w:r>
            <w:r>
              <w:rPr>
                <w:rFonts w:hint="eastAsia" w:ascii="宋体" w:hAnsi="宋体" w:eastAsia="宋体" w:cs="宋体"/>
                <w:szCs w:val="21"/>
                <w:lang w:eastAsia="zh-CN"/>
              </w:rPr>
              <w:t>，</w:t>
            </w:r>
            <w:r>
              <w:rPr>
                <w:rFonts w:hint="eastAsia" w:ascii="宋体" w:hAnsi="宋体" w:eastAsia="宋体" w:cs="宋体"/>
                <w:szCs w:val="21"/>
              </w:rPr>
              <w:t>保留两位小数。</w:t>
            </w:r>
          </w:p>
          <w:p w14:paraId="1AFBF9CE">
            <w:pPr>
              <w:pStyle w:val="45"/>
              <w:ind w:firstLine="0" w:firstLineChars="0"/>
              <w:rPr>
                <w:rFonts w:hint="eastAsia" w:ascii="宋体" w:hAnsi="宋体" w:cs="宋体"/>
                <w:szCs w:val="21"/>
              </w:rPr>
            </w:pPr>
            <w:r>
              <w:rPr>
                <w:rFonts w:hint="eastAsia" w:ascii="宋体" w:hAnsi="宋体" w:eastAsia="宋体" w:cs="宋体"/>
                <w:szCs w:val="21"/>
              </w:rPr>
              <w:t>价格扣除：按照《政府采购促进中小企业发展暂行办法》（财库〔2020〕46号）、《关于进一步加大政府采购支持中小企业力度的通知》（财库〔2022〕19号）规定，对小型和微型企业供应商产品的价格给予10%的扣除，用扣除后的价格参与评审。</w:t>
            </w:r>
          </w:p>
        </w:tc>
        <w:tc>
          <w:tcPr>
            <w:tcW w:w="1410" w:type="dxa"/>
            <w:tcBorders>
              <w:top w:val="single" w:color="auto" w:sz="4" w:space="0"/>
              <w:left w:val="single" w:color="auto" w:sz="4" w:space="0"/>
              <w:bottom w:val="single" w:color="auto" w:sz="4" w:space="0"/>
              <w:right w:val="single" w:color="auto" w:sz="4" w:space="0"/>
            </w:tcBorders>
            <w:vAlign w:val="top"/>
          </w:tcPr>
          <w:p w14:paraId="4A9A5842">
            <w:pPr>
              <w:pStyle w:val="45"/>
              <w:rPr>
                <w:rFonts w:hint="eastAsia" w:ascii="宋体" w:hAnsi="宋体" w:cs="宋体"/>
                <w:szCs w:val="21"/>
              </w:rPr>
            </w:pPr>
            <w:r>
              <w:rPr>
                <w:rFonts w:hint="eastAsia" w:ascii="宋体" w:hAnsi="宋体" w:cs="宋体"/>
                <w:szCs w:val="21"/>
              </w:rPr>
              <w:t>30分</w:t>
            </w:r>
          </w:p>
        </w:tc>
      </w:tr>
      <w:tr w14:paraId="6E05E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Merge w:val="restart"/>
            <w:tcBorders>
              <w:top w:val="single" w:color="auto" w:sz="4" w:space="0"/>
              <w:left w:val="single" w:color="auto" w:sz="4" w:space="0"/>
              <w:right w:val="single" w:color="auto" w:sz="4" w:space="0"/>
            </w:tcBorders>
            <w:vAlign w:val="top"/>
          </w:tcPr>
          <w:p w14:paraId="7A026B83">
            <w:pPr>
              <w:pStyle w:val="45"/>
              <w:ind w:firstLine="0" w:firstLineChars="0"/>
              <w:rPr>
                <w:rFonts w:hint="eastAsia" w:ascii="宋体" w:hAnsi="宋体" w:cs="宋体"/>
                <w:szCs w:val="21"/>
              </w:rPr>
            </w:pPr>
            <w:bookmarkStart w:id="20" w:name="OLE_LINK5"/>
            <w:bookmarkStart w:id="21" w:name="_Hlk233211448"/>
            <w:r>
              <w:rPr>
                <w:rFonts w:hint="eastAsia" w:ascii="宋体" w:hAnsi="宋体" w:cs="宋体"/>
                <w:szCs w:val="21"/>
              </w:rPr>
              <w:t>技术部分</w:t>
            </w:r>
            <w:bookmarkEnd w:id="20"/>
          </w:p>
        </w:tc>
        <w:tc>
          <w:tcPr>
            <w:tcW w:w="1559" w:type="dxa"/>
            <w:tcBorders>
              <w:top w:val="single" w:color="auto" w:sz="4" w:space="0"/>
              <w:left w:val="single" w:color="auto" w:sz="4" w:space="0"/>
              <w:bottom w:val="single" w:color="auto" w:sz="4" w:space="0"/>
              <w:right w:val="single" w:color="auto" w:sz="4" w:space="0"/>
            </w:tcBorders>
            <w:vAlign w:val="top"/>
          </w:tcPr>
          <w:p w14:paraId="0A78E121">
            <w:pPr>
              <w:pStyle w:val="45"/>
              <w:ind w:firstLine="0" w:firstLineChars="0"/>
              <w:rPr>
                <w:rFonts w:hint="eastAsia" w:ascii="宋体" w:hAnsi="宋体" w:cs="宋体"/>
                <w:szCs w:val="21"/>
              </w:rPr>
            </w:pPr>
            <w:r>
              <w:rPr>
                <w:rFonts w:hint="eastAsia" w:ascii="宋体" w:hAnsi="宋体" w:cs="宋体"/>
                <w:szCs w:val="21"/>
              </w:rPr>
              <w:t>产品性能</w:t>
            </w:r>
          </w:p>
        </w:tc>
        <w:tc>
          <w:tcPr>
            <w:tcW w:w="9644" w:type="dxa"/>
            <w:tcBorders>
              <w:top w:val="single" w:color="auto" w:sz="4" w:space="0"/>
              <w:left w:val="single" w:color="auto" w:sz="4" w:space="0"/>
              <w:bottom w:val="single" w:color="auto" w:sz="4" w:space="0"/>
              <w:right w:val="single" w:color="auto" w:sz="4" w:space="0"/>
            </w:tcBorders>
            <w:vAlign w:val="top"/>
          </w:tcPr>
          <w:p w14:paraId="1A643194">
            <w:pPr>
              <w:pStyle w:val="45"/>
              <w:numPr>
                <w:ilvl w:val="0"/>
                <w:numId w:val="9"/>
              </w:numPr>
              <w:ind w:firstLineChars="0"/>
              <w:rPr>
                <w:rFonts w:ascii="宋体" w:hAnsi="宋体" w:cs="宋体"/>
                <w:szCs w:val="21"/>
              </w:rPr>
            </w:pPr>
            <w:r>
              <w:rPr>
                <w:rFonts w:hint="eastAsia" w:ascii="宋体" w:hAnsi="宋体" w:cs="宋体"/>
                <w:szCs w:val="21"/>
              </w:rPr>
              <w:t>内存工作频率≥3200MHz内存，得3分；</w:t>
            </w:r>
          </w:p>
          <w:p w14:paraId="088BC657">
            <w:pPr>
              <w:pStyle w:val="45"/>
              <w:numPr>
                <w:ilvl w:val="0"/>
                <w:numId w:val="9"/>
              </w:numPr>
              <w:ind w:firstLineChars="0"/>
              <w:rPr>
                <w:rFonts w:ascii="宋体" w:hAnsi="宋体" w:cs="宋体"/>
                <w:szCs w:val="21"/>
              </w:rPr>
            </w:pPr>
            <w:r>
              <w:rPr>
                <w:rFonts w:hint="eastAsia" w:ascii="宋体" w:hAnsi="宋体" w:cs="宋体"/>
                <w:szCs w:val="21"/>
              </w:rPr>
              <w:t>显示器刷新率≥100GHz,得3分；</w:t>
            </w:r>
          </w:p>
          <w:p w14:paraId="38ECB23C">
            <w:pPr>
              <w:pStyle w:val="45"/>
              <w:numPr>
                <w:ilvl w:val="0"/>
                <w:numId w:val="9"/>
              </w:numPr>
              <w:ind w:firstLineChars="0"/>
              <w:rPr>
                <w:rFonts w:ascii="宋体" w:hAnsi="宋体" w:cs="宋体"/>
                <w:szCs w:val="21"/>
              </w:rPr>
            </w:pPr>
            <w:r>
              <w:rPr>
                <w:rFonts w:hint="eastAsia" w:ascii="宋体" w:hAnsi="宋体" w:cs="宋体"/>
                <w:szCs w:val="21"/>
              </w:rPr>
              <w:t>显示器对比度≥3000:1，得3分；</w:t>
            </w:r>
          </w:p>
          <w:p w14:paraId="5DA03EED">
            <w:pPr>
              <w:pStyle w:val="45"/>
              <w:numPr>
                <w:ilvl w:val="0"/>
                <w:numId w:val="9"/>
              </w:numPr>
              <w:ind w:firstLineChars="0"/>
              <w:rPr>
                <w:rFonts w:hint="eastAsia" w:ascii="宋体" w:hAnsi="宋体" w:cs="宋体"/>
                <w:szCs w:val="21"/>
              </w:rPr>
            </w:pPr>
            <w:r>
              <w:rPr>
                <w:rFonts w:hint="eastAsia" w:ascii="宋体" w:hAnsi="宋体" w:cs="宋体"/>
                <w:szCs w:val="21"/>
              </w:rPr>
              <w:t>显示器可视角度≥178°，得3</w:t>
            </w:r>
            <w:r>
              <w:rPr>
                <w:rFonts w:hint="eastAsia" w:ascii="宋体" w:hAnsi="宋体" w:cs="宋体"/>
                <w:szCs w:val="21"/>
                <w:lang w:val="en-US" w:eastAsia="zh-CN"/>
              </w:rPr>
              <w:t>分</w:t>
            </w:r>
            <w:r>
              <w:rPr>
                <w:rFonts w:hint="eastAsia" w:ascii="宋体" w:hAnsi="宋体" w:cs="宋体"/>
                <w:szCs w:val="21"/>
              </w:rPr>
              <w:t>；</w:t>
            </w:r>
          </w:p>
          <w:p w14:paraId="4DB2EECB">
            <w:pPr>
              <w:pStyle w:val="45"/>
              <w:numPr>
                <w:ilvl w:val="0"/>
                <w:numId w:val="0"/>
              </w:numPr>
              <w:ind w:leftChars="0"/>
              <w:rPr>
                <w:rFonts w:hint="eastAsia" w:ascii="宋体" w:hAnsi="宋体" w:cs="宋体"/>
                <w:szCs w:val="21"/>
              </w:rPr>
            </w:pPr>
            <w:r>
              <w:rPr>
                <w:rFonts w:hint="eastAsia" w:ascii="宋体" w:hAnsi="宋体" w:cs="宋体"/>
                <w:szCs w:val="21"/>
                <w:lang w:val="en-US" w:eastAsia="zh-CN"/>
              </w:rPr>
              <w:t>5、显示器具有低蓝光护眼认证，得3分。</w:t>
            </w:r>
          </w:p>
        </w:tc>
        <w:tc>
          <w:tcPr>
            <w:tcW w:w="1410" w:type="dxa"/>
            <w:tcBorders>
              <w:top w:val="single" w:color="auto" w:sz="4" w:space="0"/>
              <w:left w:val="single" w:color="auto" w:sz="4" w:space="0"/>
              <w:bottom w:val="single" w:color="auto" w:sz="4" w:space="0"/>
              <w:right w:val="single" w:color="auto" w:sz="4" w:space="0"/>
            </w:tcBorders>
            <w:vAlign w:val="top"/>
          </w:tcPr>
          <w:p w14:paraId="276354C2">
            <w:pPr>
              <w:pStyle w:val="45"/>
              <w:rPr>
                <w:rFonts w:hint="eastAsia" w:ascii="宋体" w:hAnsi="宋体" w:cs="宋体"/>
                <w:szCs w:val="21"/>
              </w:rPr>
            </w:pPr>
            <w:r>
              <w:rPr>
                <w:rFonts w:hint="eastAsia" w:ascii="宋体" w:hAnsi="宋体" w:cs="宋体"/>
                <w:szCs w:val="21"/>
              </w:rPr>
              <w:t>1</w:t>
            </w:r>
            <w:r>
              <w:rPr>
                <w:rFonts w:hint="eastAsia" w:ascii="宋体" w:hAnsi="宋体" w:cs="宋体"/>
                <w:szCs w:val="21"/>
                <w:lang w:val="en-US" w:eastAsia="zh-CN"/>
              </w:rPr>
              <w:t>5</w:t>
            </w:r>
            <w:r>
              <w:rPr>
                <w:rFonts w:hint="eastAsia" w:ascii="宋体" w:hAnsi="宋体" w:cs="宋体"/>
                <w:szCs w:val="21"/>
              </w:rPr>
              <w:t>分</w:t>
            </w:r>
          </w:p>
        </w:tc>
      </w:tr>
      <w:bookmarkEnd w:id="21"/>
      <w:tr w14:paraId="6B19B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Merge w:val="continue"/>
            <w:tcBorders>
              <w:left w:val="single" w:color="auto" w:sz="4" w:space="0"/>
              <w:bottom w:val="single" w:color="auto" w:sz="4" w:space="0"/>
              <w:right w:val="single" w:color="auto" w:sz="4" w:space="0"/>
            </w:tcBorders>
            <w:vAlign w:val="top"/>
          </w:tcPr>
          <w:p w14:paraId="401A5AA7">
            <w:pPr>
              <w:pStyle w:val="45"/>
              <w:ind w:firstLine="0" w:firstLineChars="0"/>
              <w:rPr>
                <w:rFonts w:hint="eastAsia" w:ascii="宋体" w:hAnsi="宋体" w:cs="宋体"/>
                <w:szCs w:val="21"/>
              </w:rPr>
            </w:pPr>
          </w:p>
        </w:tc>
        <w:tc>
          <w:tcPr>
            <w:tcW w:w="1559" w:type="dxa"/>
            <w:tcBorders>
              <w:top w:val="single" w:color="auto" w:sz="4" w:space="0"/>
              <w:left w:val="single" w:color="auto" w:sz="4" w:space="0"/>
              <w:bottom w:val="single" w:color="auto" w:sz="4" w:space="0"/>
              <w:right w:val="single" w:color="auto" w:sz="4" w:space="0"/>
            </w:tcBorders>
            <w:vAlign w:val="top"/>
          </w:tcPr>
          <w:p w14:paraId="16008A77">
            <w:pPr>
              <w:pStyle w:val="45"/>
              <w:ind w:firstLine="0" w:firstLineChars="0"/>
              <w:rPr>
                <w:rFonts w:hint="eastAsia" w:ascii="宋体" w:hAnsi="宋体" w:cs="宋体"/>
                <w:szCs w:val="21"/>
              </w:rPr>
            </w:pPr>
            <w:r>
              <w:rPr>
                <w:rFonts w:hint="eastAsia" w:ascii="宋体" w:hAnsi="宋体" w:cs="宋体"/>
                <w:szCs w:val="21"/>
              </w:rPr>
              <w:t>随机软件</w:t>
            </w:r>
          </w:p>
        </w:tc>
        <w:tc>
          <w:tcPr>
            <w:tcW w:w="9644" w:type="dxa"/>
            <w:tcBorders>
              <w:top w:val="single" w:color="auto" w:sz="4" w:space="0"/>
              <w:left w:val="single" w:color="auto" w:sz="4" w:space="0"/>
              <w:bottom w:val="single" w:color="auto" w:sz="4" w:space="0"/>
              <w:right w:val="single" w:color="auto" w:sz="4" w:space="0"/>
            </w:tcBorders>
            <w:vAlign w:val="top"/>
          </w:tcPr>
          <w:p w14:paraId="6DE0E4FB">
            <w:pPr>
              <w:pStyle w:val="45"/>
              <w:ind w:firstLine="0" w:firstLineChars="0"/>
              <w:rPr>
                <w:rFonts w:hint="eastAsia" w:ascii="宋体" w:hAnsi="宋体" w:cs="宋体"/>
                <w:szCs w:val="21"/>
              </w:rPr>
            </w:pPr>
            <w:r>
              <w:rPr>
                <w:rFonts w:hint="eastAsia" w:ascii="宋体" w:hAnsi="宋体" w:cs="宋体"/>
                <w:szCs w:val="21"/>
              </w:rPr>
              <w:t>为验证本项目中软件功能的响应程度，投标人需针对本项目的10项功能，逐条提供真实、有效的功能实现证明材料单项功能完全满足得2分，最高得20分，如因投标人自身原因无法提供的不予计分。</w:t>
            </w:r>
          </w:p>
        </w:tc>
        <w:tc>
          <w:tcPr>
            <w:tcW w:w="1410" w:type="dxa"/>
            <w:tcBorders>
              <w:top w:val="single" w:color="auto" w:sz="4" w:space="0"/>
              <w:left w:val="single" w:color="auto" w:sz="4" w:space="0"/>
              <w:bottom w:val="single" w:color="auto" w:sz="4" w:space="0"/>
              <w:right w:val="single" w:color="auto" w:sz="4" w:space="0"/>
            </w:tcBorders>
            <w:vAlign w:val="top"/>
          </w:tcPr>
          <w:p w14:paraId="4A95279E">
            <w:pPr>
              <w:pStyle w:val="45"/>
              <w:rPr>
                <w:rFonts w:hint="eastAsia" w:ascii="宋体" w:hAnsi="宋体" w:cs="宋体"/>
                <w:szCs w:val="21"/>
              </w:rPr>
            </w:pPr>
            <w:r>
              <w:rPr>
                <w:rFonts w:hint="eastAsia" w:ascii="宋体" w:hAnsi="宋体" w:cs="宋体"/>
                <w:szCs w:val="21"/>
              </w:rPr>
              <w:t>20分</w:t>
            </w:r>
          </w:p>
        </w:tc>
      </w:tr>
      <w:tr w14:paraId="1D391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Merge w:val="restart"/>
            <w:tcBorders>
              <w:top w:val="single" w:color="auto" w:sz="4" w:space="0"/>
              <w:left w:val="single" w:color="auto" w:sz="4" w:space="0"/>
              <w:bottom w:val="single" w:color="auto" w:sz="4" w:space="0"/>
              <w:right w:val="single" w:color="auto" w:sz="4" w:space="0"/>
            </w:tcBorders>
            <w:vAlign w:val="top"/>
          </w:tcPr>
          <w:p w14:paraId="049DE1D1">
            <w:pPr>
              <w:pStyle w:val="45"/>
              <w:ind w:firstLine="0" w:firstLineChars="0"/>
              <w:rPr>
                <w:rFonts w:hint="eastAsia" w:ascii="宋体" w:hAnsi="宋体" w:cs="宋体"/>
                <w:szCs w:val="21"/>
              </w:rPr>
            </w:pPr>
            <w:r>
              <w:rPr>
                <w:rFonts w:hint="eastAsia" w:ascii="宋体" w:hAnsi="宋体" w:cs="宋体"/>
                <w:szCs w:val="21"/>
              </w:rPr>
              <w:t>商务部分</w:t>
            </w:r>
          </w:p>
        </w:tc>
        <w:tc>
          <w:tcPr>
            <w:tcW w:w="1559" w:type="dxa"/>
            <w:tcBorders>
              <w:top w:val="single" w:color="auto" w:sz="4" w:space="0"/>
              <w:left w:val="single" w:color="auto" w:sz="4" w:space="0"/>
              <w:bottom w:val="single" w:color="auto" w:sz="4" w:space="0"/>
              <w:right w:val="single" w:color="auto" w:sz="4" w:space="0"/>
            </w:tcBorders>
            <w:vAlign w:val="top"/>
          </w:tcPr>
          <w:p w14:paraId="7EEB173E">
            <w:pPr>
              <w:pStyle w:val="45"/>
              <w:ind w:firstLine="0" w:firstLineChars="0"/>
              <w:rPr>
                <w:rFonts w:hint="eastAsia" w:ascii="宋体" w:hAnsi="宋体" w:cs="宋体"/>
                <w:szCs w:val="21"/>
              </w:rPr>
            </w:pPr>
            <w:r>
              <w:rPr>
                <w:rFonts w:hint="eastAsia" w:ascii="宋体" w:hAnsi="宋体" w:cs="宋体"/>
                <w:szCs w:val="21"/>
              </w:rPr>
              <w:t>企业资质</w:t>
            </w:r>
          </w:p>
        </w:tc>
        <w:tc>
          <w:tcPr>
            <w:tcW w:w="9644" w:type="dxa"/>
            <w:tcBorders>
              <w:top w:val="single" w:color="auto" w:sz="4" w:space="0"/>
              <w:left w:val="single" w:color="auto" w:sz="4" w:space="0"/>
              <w:bottom w:val="single" w:color="auto" w:sz="4" w:space="0"/>
              <w:right w:val="single" w:color="auto" w:sz="4" w:space="0"/>
            </w:tcBorders>
            <w:vAlign w:val="top"/>
          </w:tcPr>
          <w:p w14:paraId="36582E1D">
            <w:pPr>
              <w:pStyle w:val="45"/>
              <w:ind w:firstLine="0" w:firstLineChars="0"/>
              <w:rPr>
                <w:rFonts w:hint="eastAsia" w:ascii="宋体" w:hAnsi="宋体" w:cs="宋体"/>
                <w:szCs w:val="21"/>
              </w:rPr>
            </w:pPr>
            <w:r>
              <w:rPr>
                <w:rFonts w:hint="eastAsia" w:ascii="宋体" w:hAnsi="宋体" w:cs="宋体"/>
                <w:szCs w:val="21"/>
              </w:rPr>
              <w:t>投标产品具备ISO9001质量管理体系、ISO14001环境管理体系认证证</w:t>
            </w:r>
            <w:r>
              <w:rPr>
                <w:rFonts w:hint="eastAsia" w:ascii="宋体" w:hAnsi="宋体" w:eastAsia="宋体" w:cs="宋体"/>
                <w:szCs w:val="21"/>
              </w:rPr>
              <w:t>书各</w:t>
            </w:r>
            <w:r>
              <w:rPr>
                <w:rFonts w:hint="eastAsia" w:ascii="宋体" w:hAnsi="宋体" w:eastAsia="宋体" w:cs="宋体"/>
                <w:szCs w:val="21"/>
                <w:lang w:val="en-US" w:eastAsia="zh-CN"/>
              </w:rPr>
              <w:t>得</w:t>
            </w:r>
            <w:r>
              <w:rPr>
                <w:rFonts w:hint="eastAsia" w:ascii="宋体" w:hAnsi="宋体" w:eastAsia="宋体" w:cs="宋体"/>
                <w:szCs w:val="21"/>
              </w:rPr>
              <w:t>1</w:t>
            </w:r>
            <w:r>
              <w:rPr>
                <w:rFonts w:hint="eastAsia" w:ascii="宋体" w:hAnsi="宋体" w:cs="宋体"/>
                <w:szCs w:val="21"/>
              </w:rPr>
              <w:t>分，满分2分。</w:t>
            </w:r>
          </w:p>
        </w:tc>
        <w:tc>
          <w:tcPr>
            <w:tcW w:w="1410" w:type="dxa"/>
            <w:tcBorders>
              <w:top w:val="single" w:color="auto" w:sz="4" w:space="0"/>
              <w:left w:val="single" w:color="auto" w:sz="4" w:space="0"/>
              <w:bottom w:val="single" w:color="auto" w:sz="4" w:space="0"/>
              <w:right w:val="single" w:color="auto" w:sz="4" w:space="0"/>
            </w:tcBorders>
            <w:vAlign w:val="top"/>
          </w:tcPr>
          <w:p w14:paraId="410D0129">
            <w:pPr>
              <w:pStyle w:val="45"/>
              <w:rPr>
                <w:rFonts w:hint="eastAsia" w:ascii="宋体" w:hAnsi="宋体" w:cs="宋体"/>
                <w:szCs w:val="21"/>
              </w:rPr>
            </w:pPr>
            <w:r>
              <w:rPr>
                <w:rFonts w:hint="eastAsia" w:ascii="宋体" w:hAnsi="宋体" w:cs="宋体"/>
                <w:szCs w:val="21"/>
              </w:rPr>
              <w:t>2分</w:t>
            </w:r>
          </w:p>
        </w:tc>
      </w:tr>
      <w:tr w14:paraId="006A2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Merge w:val="continue"/>
            <w:tcBorders>
              <w:top w:val="single" w:color="auto" w:sz="4" w:space="0"/>
              <w:left w:val="single" w:color="auto" w:sz="4" w:space="0"/>
              <w:bottom w:val="single" w:color="auto" w:sz="4" w:space="0"/>
              <w:right w:val="single" w:color="auto" w:sz="4" w:space="0"/>
            </w:tcBorders>
            <w:vAlign w:val="center"/>
          </w:tcPr>
          <w:p w14:paraId="50B806AA">
            <w:pPr>
              <w:pStyle w:val="45"/>
              <w:rPr>
                <w:rFonts w:hint="eastAsia" w:ascii="宋体" w:hAnsi="宋体" w:cs="宋体"/>
                <w:szCs w:val="21"/>
              </w:rPr>
            </w:pPr>
          </w:p>
        </w:tc>
        <w:tc>
          <w:tcPr>
            <w:tcW w:w="1559" w:type="dxa"/>
            <w:tcBorders>
              <w:top w:val="single" w:color="auto" w:sz="4" w:space="0"/>
              <w:left w:val="single" w:color="auto" w:sz="4" w:space="0"/>
              <w:bottom w:val="single" w:color="auto" w:sz="4" w:space="0"/>
              <w:right w:val="single" w:color="auto" w:sz="4" w:space="0"/>
            </w:tcBorders>
            <w:vAlign w:val="top"/>
          </w:tcPr>
          <w:p w14:paraId="7460CD7B">
            <w:pPr>
              <w:pStyle w:val="45"/>
              <w:ind w:firstLine="0" w:firstLineChars="0"/>
              <w:rPr>
                <w:rFonts w:hint="eastAsia" w:ascii="宋体" w:hAnsi="宋体" w:cs="宋体"/>
                <w:szCs w:val="21"/>
              </w:rPr>
            </w:pPr>
            <w:r>
              <w:rPr>
                <w:rFonts w:hint="eastAsia" w:ascii="宋体" w:hAnsi="宋体" w:cs="宋体"/>
                <w:szCs w:val="21"/>
              </w:rPr>
              <w:t>产品资质</w:t>
            </w:r>
          </w:p>
        </w:tc>
        <w:tc>
          <w:tcPr>
            <w:tcW w:w="9644" w:type="dxa"/>
            <w:tcBorders>
              <w:top w:val="single" w:color="auto" w:sz="4" w:space="0"/>
              <w:left w:val="single" w:color="auto" w:sz="4" w:space="0"/>
              <w:bottom w:val="single" w:color="auto" w:sz="4" w:space="0"/>
              <w:right w:val="single" w:color="auto" w:sz="4" w:space="0"/>
            </w:tcBorders>
            <w:vAlign w:val="top"/>
          </w:tcPr>
          <w:p w14:paraId="50539779">
            <w:pPr>
              <w:pStyle w:val="45"/>
              <w:ind w:firstLine="0" w:firstLineChars="0"/>
              <w:rPr>
                <w:rFonts w:hint="eastAsia" w:ascii="宋体" w:hAnsi="宋体" w:cs="宋体"/>
                <w:szCs w:val="21"/>
              </w:rPr>
            </w:pPr>
            <w:r>
              <w:rPr>
                <w:rFonts w:hint="eastAsia" w:ascii="宋体" w:hAnsi="宋体" w:eastAsia="宋体" w:cs="宋体"/>
                <w:szCs w:val="21"/>
              </w:rPr>
              <w:t>投标产品需提供</w:t>
            </w:r>
            <w:r>
              <w:rPr>
                <w:rFonts w:hint="eastAsia" w:ascii="宋体" w:hAnsi="宋体" w:eastAsia="宋体" w:cs="宋体"/>
                <w:szCs w:val="21"/>
                <w:lang w:val="en-US" w:eastAsia="zh-CN"/>
              </w:rPr>
              <w:t>3</w:t>
            </w:r>
            <w:r>
              <w:rPr>
                <w:rFonts w:hint="eastAsia" w:ascii="宋体" w:hAnsi="宋体" w:eastAsia="宋体" w:cs="宋体"/>
                <w:szCs w:val="21"/>
              </w:rPr>
              <w:t>C认证证书、节能证书、环保证书，</w:t>
            </w:r>
            <w:r>
              <w:rPr>
                <w:rFonts w:hint="eastAsia" w:ascii="宋体" w:hAnsi="宋体" w:eastAsia="宋体" w:cs="宋体"/>
                <w:szCs w:val="21"/>
                <w:lang w:val="en-US" w:eastAsia="zh-CN"/>
              </w:rPr>
              <w:t>每项</w:t>
            </w:r>
            <w:r>
              <w:rPr>
                <w:rFonts w:hint="eastAsia" w:ascii="宋体" w:hAnsi="宋体" w:eastAsia="宋体" w:cs="宋体"/>
                <w:szCs w:val="21"/>
              </w:rPr>
              <w:t>各得1分，满分3分。</w:t>
            </w:r>
          </w:p>
        </w:tc>
        <w:tc>
          <w:tcPr>
            <w:tcW w:w="1410" w:type="dxa"/>
            <w:tcBorders>
              <w:top w:val="single" w:color="auto" w:sz="4" w:space="0"/>
              <w:left w:val="single" w:color="auto" w:sz="4" w:space="0"/>
              <w:bottom w:val="single" w:color="auto" w:sz="4" w:space="0"/>
              <w:right w:val="single" w:color="auto" w:sz="4" w:space="0"/>
            </w:tcBorders>
            <w:vAlign w:val="top"/>
          </w:tcPr>
          <w:p w14:paraId="5C833AC9">
            <w:pPr>
              <w:pStyle w:val="45"/>
              <w:rPr>
                <w:rFonts w:hint="eastAsia" w:ascii="宋体" w:hAnsi="宋体" w:cs="宋体"/>
                <w:szCs w:val="21"/>
              </w:rPr>
            </w:pPr>
            <w:r>
              <w:rPr>
                <w:rFonts w:hint="eastAsia" w:ascii="宋体" w:hAnsi="宋体" w:cs="宋体"/>
                <w:szCs w:val="21"/>
              </w:rPr>
              <w:t>3分</w:t>
            </w:r>
          </w:p>
        </w:tc>
      </w:tr>
      <w:tr w14:paraId="4B800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Merge w:val="continue"/>
            <w:tcBorders>
              <w:top w:val="single" w:color="auto" w:sz="4" w:space="0"/>
              <w:left w:val="single" w:color="auto" w:sz="4" w:space="0"/>
              <w:bottom w:val="single" w:color="auto" w:sz="4" w:space="0"/>
              <w:right w:val="single" w:color="auto" w:sz="4" w:space="0"/>
            </w:tcBorders>
            <w:vAlign w:val="center"/>
          </w:tcPr>
          <w:p w14:paraId="47677528">
            <w:pPr>
              <w:pStyle w:val="45"/>
              <w:rPr>
                <w:rFonts w:hint="eastAsia" w:ascii="宋体" w:hAnsi="宋体" w:cs="宋体"/>
                <w:szCs w:val="21"/>
              </w:rPr>
            </w:pPr>
          </w:p>
        </w:tc>
        <w:tc>
          <w:tcPr>
            <w:tcW w:w="1559" w:type="dxa"/>
            <w:tcBorders>
              <w:top w:val="single" w:color="auto" w:sz="4" w:space="0"/>
              <w:left w:val="single" w:color="auto" w:sz="4" w:space="0"/>
              <w:bottom w:val="single" w:color="auto" w:sz="4" w:space="0"/>
              <w:right w:val="single" w:color="auto" w:sz="4" w:space="0"/>
            </w:tcBorders>
            <w:vAlign w:val="top"/>
          </w:tcPr>
          <w:p w14:paraId="69AFF7DB">
            <w:pPr>
              <w:pStyle w:val="45"/>
              <w:ind w:firstLine="0" w:firstLineChars="0"/>
              <w:rPr>
                <w:rFonts w:hint="eastAsia" w:ascii="宋体" w:hAnsi="宋体" w:cs="宋体"/>
                <w:szCs w:val="21"/>
              </w:rPr>
            </w:pPr>
            <w:r>
              <w:rPr>
                <w:rFonts w:hint="eastAsia" w:ascii="宋体" w:hAnsi="宋体" w:cs="宋体"/>
                <w:szCs w:val="21"/>
              </w:rPr>
              <w:t>服务承诺</w:t>
            </w:r>
          </w:p>
        </w:tc>
        <w:tc>
          <w:tcPr>
            <w:tcW w:w="9644" w:type="dxa"/>
            <w:tcBorders>
              <w:top w:val="single" w:color="auto" w:sz="4" w:space="0"/>
              <w:left w:val="single" w:color="auto" w:sz="4" w:space="0"/>
              <w:bottom w:val="single" w:color="auto" w:sz="4" w:space="0"/>
              <w:right w:val="single" w:color="auto" w:sz="4" w:space="0"/>
            </w:tcBorders>
            <w:vAlign w:val="top"/>
          </w:tcPr>
          <w:p w14:paraId="624D038D">
            <w:pPr>
              <w:pStyle w:val="45"/>
              <w:ind w:firstLine="0" w:firstLineChars="0"/>
              <w:rPr>
                <w:rFonts w:hint="eastAsia" w:ascii="宋体" w:hAnsi="宋体" w:cs="宋体"/>
                <w:szCs w:val="21"/>
              </w:rPr>
            </w:pPr>
            <w:r>
              <w:rPr>
                <w:rFonts w:hint="eastAsia" w:ascii="宋体" w:hAnsi="宋体" w:cs="宋体"/>
                <w:szCs w:val="21"/>
              </w:rPr>
              <w:t>1. 服务时长：服务期内，投标人能够提供每周5天，每天8小时，线上与线下双线的技术支持服务，并提供售后服务承诺的，得3分，未提供或提供服务要求不达标的不得分。</w:t>
            </w:r>
          </w:p>
          <w:p w14:paraId="6A93D9D2">
            <w:pPr>
              <w:pStyle w:val="45"/>
              <w:ind w:firstLine="0" w:firstLineChars="0"/>
              <w:rPr>
                <w:rFonts w:hint="eastAsia" w:ascii="宋体" w:hAnsi="宋体" w:cs="宋体"/>
                <w:szCs w:val="21"/>
              </w:rPr>
            </w:pPr>
            <w:r>
              <w:rPr>
                <w:rFonts w:hint="eastAsia" w:ascii="宋体" w:hAnsi="宋体" w:cs="宋体"/>
                <w:szCs w:val="21"/>
              </w:rPr>
              <w:t xml:space="preserve">2. 培训指导：服务期内，投标人能够提供完善的项目培训与应用指导服务，每年至少组织1次覆盖责任机构的项目培训指导活动，并提供售后服务承诺的，得3分，未提供或提供服务要求不达标的不得分。 </w:t>
            </w:r>
          </w:p>
          <w:p w14:paraId="6500EE01">
            <w:pPr>
              <w:pStyle w:val="45"/>
              <w:ind w:firstLine="0" w:firstLineChars="0"/>
              <w:rPr>
                <w:rFonts w:hint="eastAsia" w:ascii="宋体" w:hAnsi="宋体" w:cs="宋体"/>
                <w:szCs w:val="21"/>
              </w:rPr>
            </w:pPr>
            <w:r>
              <w:rPr>
                <w:rFonts w:hint="eastAsia" w:ascii="宋体" w:hAnsi="宋体" w:cs="宋体"/>
                <w:szCs w:val="21"/>
              </w:rPr>
              <w:t>3. 技术支持：服务期内，投标人能够做到接到需方故障修复通知和技术支持请求后，1小时内做出响应，2小时内派出技术工程师线上支持，并提供售后服务承诺的，得3分，</w:t>
            </w:r>
            <w:bookmarkStart w:id="22" w:name="OLE_LINK48"/>
            <w:r>
              <w:rPr>
                <w:rFonts w:hint="eastAsia" w:ascii="宋体" w:hAnsi="宋体" w:cs="宋体"/>
                <w:szCs w:val="21"/>
              </w:rPr>
              <w:t>未提供或提供服务要求不达标的不得分。</w:t>
            </w:r>
          </w:p>
          <w:bookmarkEnd w:id="22"/>
          <w:p w14:paraId="4C1EFC8E">
            <w:pPr>
              <w:pStyle w:val="45"/>
              <w:ind w:firstLine="0" w:firstLineChars="0"/>
              <w:rPr>
                <w:rFonts w:hint="eastAsia" w:ascii="宋体" w:hAnsi="宋体" w:cs="宋体"/>
                <w:szCs w:val="21"/>
              </w:rPr>
            </w:pPr>
            <w:r>
              <w:rPr>
                <w:rFonts w:hint="eastAsia" w:ascii="宋体" w:hAnsi="宋体" w:cs="宋体"/>
                <w:szCs w:val="21"/>
              </w:rPr>
              <w:t>4. 人员配置：服务期内，投标人能够为需方配备专职的技术服务团队，遇到重大故障时能够提供现场技术支持，并提供售后服务承诺的，得3分，未提供或提供服务要求不达标的不得分。</w:t>
            </w:r>
          </w:p>
          <w:p w14:paraId="1F78963E">
            <w:pPr>
              <w:pStyle w:val="45"/>
              <w:ind w:firstLine="0" w:firstLineChars="0"/>
              <w:rPr>
                <w:rFonts w:hint="eastAsia" w:ascii="宋体" w:hAnsi="宋体" w:cs="宋体"/>
                <w:szCs w:val="21"/>
              </w:rPr>
            </w:pPr>
            <w:r>
              <w:rPr>
                <w:rFonts w:hint="eastAsia" w:ascii="宋体" w:hAnsi="宋体" w:cs="宋体"/>
                <w:szCs w:val="21"/>
              </w:rPr>
              <w:t>5. 项目巡检：服务期内，投标人每年面向本项目覆盖的组织机构，至少提供1 次项目工程师巡检服务，并提供售后服务承诺的，得3分，未提供或提供服务要求不达标的不得分 。</w:t>
            </w:r>
          </w:p>
        </w:tc>
        <w:tc>
          <w:tcPr>
            <w:tcW w:w="1410" w:type="dxa"/>
            <w:tcBorders>
              <w:top w:val="single" w:color="auto" w:sz="4" w:space="0"/>
              <w:left w:val="single" w:color="auto" w:sz="4" w:space="0"/>
              <w:bottom w:val="single" w:color="auto" w:sz="4" w:space="0"/>
              <w:right w:val="single" w:color="auto" w:sz="4" w:space="0"/>
            </w:tcBorders>
            <w:vAlign w:val="top"/>
          </w:tcPr>
          <w:p w14:paraId="5FA3C7E2">
            <w:pPr>
              <w:pStyle w:val="45"/>
              <w:rPr>
                <w:rFonts w:hint="eastAsia" w:ascii="宋体" w:hAnsi="宋体" w:cs="宋体"/>
                <w:szCs w:val="21"/>
              </w:rPr>
            </w:pPr>
            <w:r>
              <w:rPr>
                <w:rFonts w:hint="eastAsia" w:ascii="宋体" w:hAnsi="宋体" w:cs="宋体"/>
                <w:szCs w:val="21"/>
              </w:rPr>
              <w:t>15分</w:t>
            </w:r>
          </w:p>
        </w:tc>
      </w:tr>
      <w:tr w14:paraId="05AFB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tcBorders>
              <w:top w:val="single" w:color="auto" w:sz="4" w:space="0"/>
              <w:left w:val="single" w:color="auto" w:sz="4" w:space="0"/>
              <w:bottom w:val="single" w:color="auto" w:sz="4" w:space="0"/>
              <w:right w:val="single" w:color="auto" w:sz="4" w:space="0"/>
            </w:tcBorders>
            <w:vAlign w:val="center"/>
          </w:tcPr>
          <w:p w14:paraId="14491D9F">
            <w:pPr>
              <w:pStyle w:val="45"/>
              <w:rPr>
                <w:rFonts w:hint="eastAsia" w:ascii="宋体" w:hAnsi="宋体" w:cs="宋体"/>
                <w:szCs w:val="21"/>
              </w:rPr>
            </w:pPr>
          </w:p>
        </w:tc>
        <w:tc>
          <w:tcPr>
            <w:tcW w:w="1559" w:type="dxa"/>
            <w:tcBorders>
              <w:top w:val="single" w:color="auto" w:sz="4" w:space="0"/>
              <w:left w:val="single" w:color="auto" w:sz="4" w:space="0"/>
              <w:bottom w:val="single" w:color="auto" w:sz="4" w:space="0"/>
              <w:right w:val="single" w:color="auto" w:sz="4" w:space="0"/>
            </w:tcBorders>
            <w:vAlign w:val="top"/>
          </w:tcPr>
          <w:p w14:paraId="6BE8B1B8">
            <w:pPr>
              <w:pStyle w:val="45"/>
              <w:ind w:firstLine="0" w:firstLineChars="0"/>
              <w:rPr>
                <w:rFonts w:hint="eastAsia" w:ascii="宋体" w:hAnsi="宋体" w:cs="宋体"/>
                <w:szCs w:val="21"/>
              </w:rPr>
            </w:pPr>
            <w:r>
              <w:rPr>
                <w:rFonts w:hint="eastAsia" w:ascii="宋体" w:hAnsi="宋体" w:cs="宋体"/>
                <w:szCs w:val="21"/>
              </w:rPr>
              <w:t>供货实施方案</w:t>
            </w:r>
          </w:p>
        </w:tc>
        <w:tc>
          <w:tcPr>
            <w:tcW w:w="9644" w:type="dxa"/>
            <w:tcBorders>
              <w:top w:val="single" w:color="auto" w:sz="4" w:space="0"/>
              <w:left w:val="single" w:color="auto" w:sz="4" w:space="0"/>
              <w:bottom w:val="single" w:color="auto" w:sz="4" w:space="0"/>
              <w:right w:val="single" w:color="auto" w:sz="4" w:space="0"/>
            </w:tcBorders>
            <w:vAlign w:val="top"/>
          </w:tcPr>
          <w:p w14:paraId="3E177674">
            <w:pPr>
              <w:widowControl/>
              <w:ind w:firstLine="420" w:firstLineChars="200"/>
              <w:rPr>
                <w:rFonts w:hint="eastAsia" w:ascii="宋体" w:hAnsi="宋体" w:cs="宋体"/>
                <w:szCs w:val="21"/>
              </w:rPr>
            </w:pPr>
            <w:bookmarkStart w:id="23" w:name="OLE_LINK47"/>
            <w:r>
              <w:rPr>
                <w:rFonts w:hint="eastAsia" w:ascii="宋体" w:hAnsi="宋体" w:cs="宋体"/>
                <w:szCs w:val="21"/>
              </w:rPr>
              <w:t>应包含：配送方案，供货服务方案，应急处理方案，供货周期，到货验收等，</w:t>
            </w:r>
            <w:bookmarkEnd w:id="23"/>
            <w:r>
              <w:rPr>
                <w:rFonts w:hint="eastAsia" w:ascii="宋体" w:hAnsi="宋体" w:cs="宋体"/>
                <w:szCs w:val="21"/>
              </w:rPr>
              <w:t>每一项3分，未提供或提供服务要求不达标的不得分。上述方案具有针对性</w:t>
            </w:r>
            <w:r>
              <w:rPr>
                <w:rFonts w:hint="eastAsia" w:ascii="宋体" w:hAnsi="宋体" w:cs="宋体"/>
                <w:szCs w:val="21"/>
                <w:lang w:eastAsia="zh-CN"/>
              </w:rPr>
              <w:t>、</w:t>
            </w:r>
            <w:r>
              <w:rPr>
                <w:rFonts w:hint="eastAsia" w:ascii="宋体" w:hAnsi="宋体" w:cs="宋体"/>
                <w:szCs w:val="21"/>
              </w:rPr>
              <w:t>可行性</w:t>
            </w:r>
            <w:r>
              <w:rPr>
                <w:rFonts w:hint="eastAsia" w:ascii="宋体" w:hAnsi="宋体" w:cs="宋体"/>
                <w:szCs w:val="21"/>
                <w:lang w:val="en-US" w:eastAsia="zh-CN"/>
              </w:rPr>
              <w:t>和适配性</w:t>
            </w:r>
            <w:r>
              <w:rPr>
                <w:rFonts w:hint="eastAsia" w:ascii="宋体" w:hAnsi="宋体" w:cs="宋体"/>
                <w:szCs w:val="21"/>
              </w:rPr>
              <w:t>，内容</w:t>
            </w:r>
            <w:r>
              <w:rPr>
                <w:rFonts w:hint="eastAsia" w:ascii="宋体" w:hAnsi="宋体" w:cs="宋体"/>
                <w:szCs w:val="21"/>
                <w:lang w:val="en-US" w:eastAsia="zh-CN"/>
              </w:rPr>
              <w:t>详细，</w:t>
            </w:r>
            <w:r>
              <w:rPr>
                <w:rFonts w:hint="eastAsia" w:ascii="宋体" w:hAnsi="宋体" w:cs="宋体"/>
                <w:szCs w:val="21"/>
              </w:rPr>
              <w:t>满足并优于采购需求要求的每项得</w:t>
            </w:r>
            <w:r>
              <w:rPr>
                <w:rFonts w:hint="eastAsia" w:ascii="宋体" w:hAnsi="宋体" w:cs="宋体"/>
                <w:szCs w:val="21"/>
                <w:lang w:val="en-US" w:eastAsia="zh-CN"/>
              </w:rPr>
              <w:t>3</w:t>
            </w:r>
            <w:r>
              <w:rPr>
                <w:rFonts w:hint="eastAsia" w:ascii="宋体" w:hAnsi="宋体" w:cs="宋体"/>
                <w:szCs w:val="21"/>
              </w:rPr>
              <w:t>分</w:t>
            </w:r>
            <w:r>
              <w:rPr>
                <w:rFonts w:hint="eastAsia" w:ascii="宋体" w:hAnsi="宋体" w:cs="宋体"/>
                <w:szCs w:val="21"/>
                <w:lang w:eastAsia="zh-CN"/>
              </w:rPr>
              <w:t>；</w:t>
            </w:r>
            <w:r>
              <w:rPr>
                <w:rFonts w:hint="eastAsia" w:ascii="宋体" w:hAnsi="宋体" w:cs="宋体"/>
                <w:szCs w:val="21"/>
              </w:rPr>
              <w:t>针对性</w:t>
            </w:r>
            <w:r>
              <w:rPr>
                <w:rFonts w:hint="eastAsia" w:ascii="宋体" w:hAnsi="宋体" w:cs="宋体"/>
                <w:szCs w:val="21"/>
                <w:lang w:eastAsia="zh-CN"/>
              </w:rPr>
              <w:t>、</w:t>
            </w:r>
            <w:r>
              <w:rPr>
                <w:rFonts w:hint="eastAsia" w:ascii="宋体" w:hAnsi="宋体" w:cs="宋体"/>
                <w:szCs w:val="21"/>
              </w:rPr>
              <w:t>可行性</w:t>
            </w:r>
            <w:r>
              <w:rPr>
                <w:rFonts w:hint="eastAsia" w:ascii="宋体" w:hAnsi="宋体" w:cs="宋体"/>
                <w:szCs w:val="21"/>
                <w:lang w:val="en-US" w:eastAsia="zh-CN"/>
              </w:rPr>
              <w:t>和适配性一般每项得2分；</w:t>
            </w:r>
            <w:r>
              <w:rPr>
                <w:rFonts w:hint="eastAsia" w:ascii="宋体" w:hAnsi="宋体" w:cs="宋体"/>
                <w:szCs w:val="21"/>
              </w:rPr>
              <w:t>针对性</w:t>
            </w:r>
            <w:r>
              <w:rPr>
                <w:rFonts w:hint="eastAsia" w:ascii="宋体" w:hAnsi="宋体" w:cs="宋体"/>
                <w:szCs w:val="21"/>
                <w:lang w:eastAsia="zh-CN"/>
              </w:rPr>
              <w:t>、</w:t>
            </w:r>
            <w:r>
              <w:rPr>
                <w:rFonts w:hint="eastAsia" w:ascii="宋体" w:hAnsi="宋体" w:cs="宋体"/>
                <w:szCs w:val="21"/>
              </w:rPr>
              <w:t>可行性</w:t>
            </w:r>
            <w:r>
              <w:rPr>
                <w:rFonts w:hint="eastAsia" w:ascii="宋体" w:hAnsi="宋体" w:cs="宋体"/>
                <w:szCs w:val="21"/>
                <w:lang w:val="en-US" w:eastAsia="zh-CN"/>
              </w:rPr>
              <w:t>和适配性</w:t>
            </w:r>
            <w:r>
              <w:rPr>
                <w:rFonts w:hint="eastAsia" w:ascii="宋体" w:hAnsi="宋体" w:cs="宋体"/>
                <w:szCs w:val="21"/>
              </w:rPr>
              <w:t>存在一般缺陷（一般缺陷是指方案内容前后不一致、前后逻辑错误，不影响项目的实施）</w:t>
            </w:r>
            <w:r>
              <w:rPr>
                <w:rFonts w:hint="eastAsia" w:ascii="宋体" w:hAnsi="宋体" w:cs="宋体"/>
                <w:szCs w:val="21"/>
                <w:lang w:val="en-US" w:eastAsia="zh-CN"/>
              </w:rPr>
              <w:t>每项得1分；</w:t>
            </w:r>
            <w:r>
              <w:rPr>
                <w:rFonts w:hint="eastAsia" w:ascii="宋体" w:hAnsi="宋体" w:cs="宋体"/>
                <w:szCs w:val="21"/>
              </w:rPr>
              <w:t>未提供或提供服务要求不达标</w:t>
            </w:r>
            <w:r>
              <w:rPr>
                <w:rFonts w:hint="eastAsia" w:ascii="宋体" w:hAnsi="宋体" w:cs="宋体"/>
                <w:szCs w:val="21"/>
                <w:lang w:eastAsia="zh-CN"/>
              </w:rPr>
              <w:t>（</w:t>
            </w:r>
            <w:r>
              <w:rPr>
                <w:rFonts w:hint="eastAsia" w:ascii="宋体" w:hAnsi="宋体" w:cs="宋体"/>
                <w:szCs w:val="21"/>
                <w:lang w:val="en-US" w:eastAsia="zh-CN"/>
              </w:rPr>
              <w:t>不达标</w:t>
            </w:r>
            <w:r>
              <w:rPr>
                <w:rFonts w:hint="eastAsia" w:ascii="宋体" w:hAnsi="宋体" w:cs="宋体"/>
                <w:szCs w:val="21"/>
              </w:rPr>
              <w:t>是指方案凭空编造、与采购项目和采购需求无关，无法指导项目实施</w:t>
            </w:r>
            <w:r>
              <w:rPr>
                <w:rFonts w:hint="eastAsia" w:ascii="宋体" w:hAnsi="宋体" w:cs="宋体"/>
                <w:szCs w:val="21"/>
                <w:lang w:eastAsia="zh-CN"/>
              </w:rPr>
              <w:t>）</w:t>
            </w:r>
            <w:r>
              <w:rPr>
                <w:rFonts w:hint="eastAsia" w:ascii="宋体" w:hAnsi="宋体" w:cs="宋体"/>
                <w:szCs w:val="21"/>
              </w:rPr>
              <w:t>的不得分</w:t>
            </w:r>
            <w:r>
              <w:rPr>
                <w:rFonts w:hint="eastAsia" w:ascii="宋体" w:hAnsi="宋体" w:cs="宋体"/>
                <w:szCs w:val="21"/>
                <w:lang w:eastAsia="zh-CN"/>
              </w:rPr>
              <w:t>。</w:t>
            </w:r>
          </w:p>
          <w:p w14:paraId="24564501">
            <w:pPr>
              <w:pStyle w:val="45"/>
              <w:ind w:firstLine="0" w:firstLineChars="0"/>
              <w:rPr>
                <w:rFonts w:hint="eastAsia" w:ascii="宋体" w:hAnsi="宋体" w:cs="宋体"/>
                <w:szCs w:val="21"/>
              </w:rPr>
            </w:pPr>
          </w:p>
        </w:tc>
        <w:tc>
          <w:tcPr>
            <w:tcW w:w="1410" w:type="dxa"/>
            <w:tcBorders>
              <w:top w:val="single" w:color="auto" w:sz="4" w:space="0"/>
              <w:left w:val="single" w:color="auto" w:sz="4" w:space="0"/>
              <w:bottom w:val="single" w:color="auto" w:sz="4" w:space="0"/>
              <w:right w:val="single" w:color="auto" w:sz="4" w:space="0"/>
            </w:tcBorders>
            <w:vAlign w:val="top"/>
          </w:tcPr>
          <w:p w14:paraId="140F00F7">
            <w:pPr>
              <w:pStyle w:val="45"/>
              <w:rPr>
                <w:rFonts w:hint="eastAsia" w:ascii="宋体" w:hAnsi="宋体" w:cs="宋体"/>
                <w:szCs w:val="21"/>
              </w:rPr>
            </w:pPr>
            <w:r>
              <w:rPr>
                <w:rFonts w:hint="eastAsia" w:ascii="宋体" w:hAnsi="宋体" w:cs="宋体"/>
                <w:szCs w:val="21"/>
              </w:rPr>
              <w:t>1</w:t>
            </w:r>
            <w:r>
              <w:rPr>
                <w:rFonts w:hint="eastAsia" w:ascii="宋体" w:hAnsi="宋体" w:cs="宋体"/>
                <w:szCs w:val="21"/>
                <w:lang w:val="en-US" w:eastAsia="zh-CN"/>
              </w:rPr>
              <w:t>5</w:t>
            </w:r>
            <w:r>
              <w:rPr>
                <w:rFonts w:hint="eastAsia" w:ascii="宋体" w:hAnsi="宋体" w:cs="宋体"/>
                <w:szCs w:val="21"/>
              </w:rPr>
              <w:t>分</w:t>
            </w:r>
          </w:p>
        </w:tc>
      </w:tr>
    </w:tbl>
    <w:p w14:paraId="1770624F">
      <w:pPr>
        <w:snapToGrid w:val="0"/>
        <w:spacing w:before="65" w:line="240" w:lineRule="auto"/>
        <w:ind w:left="0" w:leftChars="0" w:right="0" w:rightChars="0" w:firstLine="0" w:firstLineChars="0"/>
        <w:jc w:val="both"/>
        <w:rPr>
          <w:rFonts w:hint="eastAsia" w:ascii="宋体" w:hAnsi="宋体" w:eastAsia="宋体" w:cs="宋体"/>
          <w:b/>
          <w:bCs/>
          <w:spacing w:val="6"/>
          <w:sz w:val="21"/>
          <w:szCs w:val="21"/>
        </w:rPr>
      </w:pPr>
      <w:r>
        <w:rPr>
          <w:rFonts w:hint="eastAsia" w:ascii="宋体" w:hAnsi="宋体" w:eastAsia="宋体" w:cs="宋体"/>
          <w:b/>
          <w:bCs/>
          <w:spacing w:val="6"/>
          <w:sz w:val="21"/>
          <w:szCs w:val="21"/>
        </w:rPr>
        <w:t xml:space="preserve">政策功能 </w:t>
      </w:r>
    </w:p>
    <w:p w14:paraId="3979850F">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第一部分 价格扣除</w:t>
      </w:r>
    </w:p>
    <w:p w14:paraId="468E74CE">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 xml:space="preserve">一、小型和微型企业产品价格扣除 </w:t>
      </w:r>
    </w:p>
    <w:p w14:paraId="2FFC6CE9">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 xml:space="preserve">（一）根据财政部、工业和信息化部印发的《政府采购促进中小企业发展管理办法》 （财库[2020]46 号）、《关于进一步加大政府采购支持中小企业力度的通知》（财库 〔2022〕19 号）的规定，投标人所投全部产品均为小型、微型企业生产的，评标价格给予对应价格 10%的扣除，用扣除后的价格参与评审。 </w:t>
      </w:r>
    </w:p>
    <w:p w14:paraId="04ADC430">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 xml:space="preserve">（二）如允许联合体投标，联合体投标时联合体协议约定小型和微型企业的协议合同 金额占到 30%以上的，可给予 4%的价格扣除。联合体各方都是小型和微型企业的，可 给予10%的价格扣除。 </w:t>
      </w:r>
    </w:p>
    <w:p w14:paraId="36F703D6">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 xml:space="preserve">（三）《政府采购促进中小企业发展管理办法》所称中小企业，是指在中华人民共和国 境内依法设立，依据国务院批准的中小企业划分标准确定的中型企业、小型企业和微 型企业，但与大企业的负责人为同一人，或者与大企业存在直接控股、管理关系的除外。符合中小企业划分标准的个体工商户，在政府采购活动中视同中小企业。中小企业划分标准以《工业和信息化部、国家统计局、国家发展和改革委员会、财政部关于印发中小企业划型标准规定的通知》（工信部联企业[2011]300 号）规定的划分标准为准。 </w:t>
      </w:r>
    </w:p>
    <w:p w14:paraId="7BF79B18">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 xml:space="preserve">小型、微型企业提供中型企业制造的货物的，视同为中型企业。在货物采购项目中，供应商提供的货物既有中小企业制造货物，也有大型企业制造货物的，不享受本办法规定的中小企业扶持政策。以联合体形式参加政府采购活动，联合体各方均为中小企业的，联合体视同中小企业。其中，联合体各方均为小微企业的，联合体视同小微企业。 </w:t>
      </w:r>
    </w:p>
    <w:p w14:paraId="76EF2003">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 xml:space="preserve">（四）参加政府采购活动的中小企业应当提供《中小企业声明函》（格式见第六章投标文件格式）。中标、成交供应商享受本办法规定的中小企业扶持政策的，采购人、采购代理机构应当随中标、成交结果公开中标、成交供应商的《中小企业声明函》。供应商按照本办法规定提供声明函内容不实的，属于提供虚假材料谋取中标、成交，依照《中华人民共和国政府采购法》等国家有关规定追究相应责任。 </w:t>
      </w:r>
    </w:p>
    <w:p w14:paraId="511E1A3E">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 xml:space="preserve">（五）监狱企业产品价格扣除 </w:t>
      </w:r>
    </w:p>
    <w:p w14:paraId="5EE479C9">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 xml:space="preserve">1.监狱企业视同小型、微型企业，按上述第（一）条款享受评审中价格扣除。 </w:t>
      </w:r>
    </w:p>
    <w:p w14:paraId="36C35965">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 xml:space="preserve">2.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 </w:t>
      </w:r>
    </w:p>
    <w:p w14:paraId="1DA857AA">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 xml:space="preserve">3.监狱企业参加政府采购活动时，应当提供由省级以上监狱管理局、戒毒管理局（含新疆生产建设兵团）出具的属于监狱企业的证明文件，否则不予认可。 </w:t>
      </w:r>
    </w:p>
    <w:p w14:paraId="1080B190">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 xml:space="preserve">（六）残疾人福利性单位产品价格扣除 </w:t>
      </w:r>
    </w:p>
    <w:p w14:paraId="659995AC">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 xml:space="preserve">1.残疾人福利性单位视同小型、微型企业，按上述第（一）条款享受评审中价格扣除。 </w:t>
      </w:r>
    </w:p>
    <w:p w14:paraId="6F33D87D">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 xml:space="preserve">2.根据财政部、民政部、中国残疾人联合会印发的《关于促进残疾人就业政府采购政策的通知》（财库〔2017〕141 号）的规定，符合条件的残疾人福利性单位在参加政府采购活动时，应当提供该通知规定的《残疾人福利性单位声明函》（格式见第六章投标文件格式），并对声明的真实性负责。一旦中标将在中标公告中公告其声明函，接受社会监督。投标人提供的《残疾人福利性单位声明函》与事实不符的，依照《中华人民共和国政府采购法》第七十七条第一款的规定追究法律责任。 </w:t>
      </w:r>
    </w:p>
    <w:p w14:paraId="12238D52">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 xml:space="preserve">二、投标人同时为小型、微型企业、监狱企业、残疾人福利性单位任两种或以上情况的，评审中只享受一次价格扣除，不重复进行价格扣除。 </w:t>
      </w:r>
    </w:p>
    <w:p w14:paraId="1BE402EE">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 xml:space="preserve">三、对本国产品的支持政策（适用于接受进口产品参与投标的项目,本项目不适用） </w:t>
      </w:r>
    </w:p>
    <w:p w14:paraId="01FE29E9">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 xml:space="preserve">（一）政府采购活动中既有本国产品又有非本国产品参与竞争的，依法对本国产品给 予价格评审优惠，对本国产品的报价给予 20%的价格扣除，用扣除后的价格参与评审。 </w:t>
      </w:r>
    </w:p>
    <w:p w14:paraId="4B39FD37">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二）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 20%的价格扣除，用扣除后的价格参与评审。</w:t>
      </w:r>
    </w:p>
    <w:p w14:paraId="3D0F94BD">
      <w:pPr>
        <w:bidi w:val="0"/>
        <w:rPr>
          <w:rFonts w:hint="eastAsia" w:ascii="宋体" w:hAnsi="宋体" w:cs="宋体"/>
          <w:bCs/>
          <w:sz w:val="24"/>
          <w:szCs w:val="24"/>
          <w:highlight w:val="none"/>
          <w:lang w:val="en-US" w:eastAsia="zh-CN"/>
        </w:rPr>
      </w:pPr>
    </w:p>
    <w:p w14:paraId="34D986F3">
      <w:pPr>
        <w:bidi w:val="0"/>
        <w:rPr>
          <w:rFonts w:hint="eastAsia" w:ascii="宋体" w:hAnsi="宋体" w:cs="宋体"/>
          <w:bCs/>
          <w:sz w:val="24"/>
          <w:szCs w:val="24"/>
          <w:highlight w:val="none"/>
          <w:lang w:val="en-US" w:eastAsia="zh-CN"/>
        </w:rPr>
      </w:pPr>
    </w:p>
    <w:p w14:paraId="43FC385E">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第二部分  本国产品标准</w:t>
      </w:r>
    </w:p>
    <w:p w14:paraId="2B4AE7B2">
      <w:pPr>
        <w:bidi w:val="0"/>
        <w:rPr>
          <w:rFonts w:hint="eastAsia" w:ascii="宋体" w:hAnsi="宋体" w:cs="宋体"/>
          <w:bCs/>
          <w:sz w:val="24"/>
          <w:szCs w:val="24"/>
          <w:highlight w:val="none"/>
          <w:lang w:val="en-US" w:eastAsia="zh-CN"/>
        </w:rPr>
      </w:pPr>
    </w:p>
    <w:p w14:paraId="24CE1956">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国务院办公厅关于在政府采购中实施本国产品标准及相关政策的通知</w:t>
      </w:r>
    </w:p>
    <w:p w14:paraId="380381F3">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国办发〔2025〕34号  </w:t>
      </w:r>
    </w:p>
    <w:p w14:paraId="2A78060D">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各省、自治区、直辖市人民政府，国务院各部委、各直属机构：</w:t>
      </w:r>
    </w:p>
    <w:p w14:paraId="5296ED61">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为构建统一开放、竞争有序的政府采购市场体系，完善政府采购制度，保障各类经营主体平等参与政府采购活动，根据《中华人民共和国政府采购法》、《中华人民共和国外商投资法》等有关法律法规规定，经国务院同意，现就在政府采购中实施本国产品标准及相关政策通知如下：</w:t>
      </w:r>
    </w:p>
    <w:p w14:paraId="0F20306C">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一、本国产品标准</w:t>
      </w:r>
    </w:p>
    <w:p w14:paraId="7ACEDE99">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本国产品应当符合以下条件：</w:t>
      </w:r>
    </w:p>
    <w:p w14:paraId="23473F78">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（一）在中国境内生产</w:t>
      </w:r>
    </w:p>
    <w:p w14:paraId="5667C2EB">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产品应当在中国境内生产，即在中华人民共和国关境内实现从原材料、组件到产品的属性改变。</w:t>
      </w:r>
    </w:p>
    <w:p w14:paraId="19E07753">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属性改变是指经过制造、加工或者组装等工序，产生完全不同于原材料、组件的新产品，并具有新的名称和特征（用途）。属性改变不包括以下细微操作：</w:t>
      </w:r>
    </w:p>
    <w:p w14:paraId="3825323F">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1.为确保产品在运输或者储存期间保持某种状态而进行的操作；</w:t>
      </w:r>
    </w:p>
    <w:p w14:paraId="4B4DF4C4">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2.为产品运输或者销售进行的包装或者展示；</w:t>
      </w:r>
    </w:p>
    <w:p w14:paraId="36FEC58F">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3.在产品或者其包装上粘贴或者印刷品牌、标志、标识以及其他用于区别的标记；</w:t>
      </w:r>
    </w:p>
    <w:p w14:paraId="55B12EFD">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4.简单的上漆、磨光和分装；</w:t>
      </w:r>
    </w:p>
    <w:p w14:paraId="3C95A9C2">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5.其他不属于属性改变的情形。</w:t>
      </w:r>
    </w:p>
    <w:p w14:paraId="734E0A0F">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（二）在中国境内生产的组件成本占比达到规定比例</w:t>
      </w:r>
    </w:p>
    <w:p w14:paraId="0A21CB34">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产品在中国境内生产的组件成本占比应当达到规定比例，计算公式为：</w:t>
      </w:r>
    </w:p>
    <w:p w14:paraId="16176071">
      <w:pPr>
        <w:bidi w:val="0"/>
        <w:rPr>
          <w:rFonts w:hint="eastAsia" w:ascii="宋体" w:hAnsi="宋体" w:cs="宋体"/>
          <w:bCs/>
          <w:sz w:val="24"/>
          <w:szCs w:val="24"/>
          <w:highlight w:val="none"/>
          <w:lang w:val="en-US" w:eastAsia="zh-CN"/>
        </w:rPr>
      </w:pPr>
    </w:p>
    <w:p w14:paraId="309FEC7D">
      <w:pPr>
        <w:bidi w:val="0"/>
        <w:rPr>
          <w:rFonts w:hint="eastAsia" w:ascii="宋体" w:hAnsi="宋体" w:cs="宋体"/>
          <w:bCs/>
          <w:sz w:val="24"/>
          <w:szCs w:val="24"/>
          <w:highlight w:val="none"/>
          <w:lang w:val="en-US" w:eastAsia="zh-CN"/>
        </w:rPr>
      </w:pPr>
    </w:p>
    <w:p w14:paraId="1B37454D">
      <w:pPr>
        <w:bidi w:val="0"/>
        <w:rPr>
          <w:rFonts w:hint="eastAsia" w:ascii="宋体" w:hAnsi="宋体" w:cs="宋体"/>
          <w:bCs/>
          <w:sz w:val="24"/>
          <w:szCs w:val="24"/>
          <w:highlight w:val="none"/>
          <w:lang w:val="en-US" w:eastAsia="zh-CN"/>
        </w:rPr>
      </w:pPr>
    </w:p>
    <w:p w14:paraId="783CD936">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财政部会同有关行业主管部门，分产品确定在中国境内生产的组件成本占比应当达到的规定比例。在分产品的中国境内生产的组件成本占比相关要求实施前，符合本通知第一条第（一）项条件的产品在政府采购活动中视同本国产品。</w:t>
      </w:r>
    </w:p>
    <w:p w14:paraId="75FD4EB0">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（三）特定产品的关键组件、关键工序符合相关要求</w:t>
      </w:r>
    </w:p>
    <w:p w14:paraId="5B5489D7">
      <w:pPr>
        <w:bidi w:val="0"/>
        <w:rPr>
          <w:rFonts w:hint="eastAsia" w:ascii="宋体" w:hAnsi="宋体" w:cs="宋体"/>
          <w:bCs/>
          <w:sz w:val="24"/>
          <w:szCs w:val="24"/>
          <w:highlight w:val="none"/>
          <w:lang w:val="en-US" w:eastAsia="zh-CN"/>
        </w:rPr>
      </w:pPr>
    </w:p>
    <w:p w14:paraId="3547009A">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对特定产品，在符合本通知第一条第（一）项和第（二）项条件的基础上，应当符合财政部会同有关行业主管部门确定的其关键组件、关键工序在中国境内生产、完成等要求。</w:t>
      </w:r>
    </w:p>
    <w:p w14:paraId="1850A99B">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财政部会同有关行业主管部门自本通知施行之日起5年内，在充分征求有关内外资企业、行业协会商会等方面意见的基础上，分类施策、稳妥推进，分产品确定在中国境内生产的组件成本占比要求，以及特定产品的关键组件、关键工序相关要求，并根据不同行业的发展情况，在出台具体产品相关要求时，设置3—5年过渡期，逐步建立政府采购中本国产品标准体系和动态调整机制。</w:t>
      </w:r>
    </w:p>
    <w:p w14:paraId="341AD663">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二、本国产品标准的适用范围</w:t>
      </w:r>
    </w:p>
    <w:p w14:paraId="7BF3D507">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1B0C299F">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三、对本国产品的支持政策</w:t>
      </w:r>
    </w:p>
    <w:p w14:paraId="75F8F979">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政府采购活动中既有本国产品又有非本国产品参与竞争的，依法对本国产品给予价格评审优惠，对本国产品的报价给予20%的价格扣除，用扣除后的价格参与评审。</w:t>
      </w:r>
    </w:p>
    <w:p w14:paraId="5B6FBDBB">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67EA44DC">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四、政策执行要求</w:t>
      </w:r>
    </w:p>
    <w:p w14:paraId="6A624085">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（一）产品在中国境内生产的组件成本核算规则。产品在中国境内生产的组件成本，按照《中国境内生产的组件成本核算基本规则》（见附件1）计算。</w:t>
      </w:r>
    </w:p>
    <w:p w14:paraId="205CAA29">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二）有关证明文件。采购人、采购代理机构应当在采购文件中明确要求供应商对其提供的产品出具《关于符合本国产品标准的声明函》（样式见附件2，以下简称《声明函》）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w:t>
      </w:r>
    </w:p>
    <w:p w14:paraId="464F6024">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采购人、采购代理机构应当随中标、成交结果同时公告中标、成交供应商提供的《声明函》或有关证明文件。</w:t>
      </w:r>
    </w:p>
    <w:p w14:paraId="673BF35D">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三）平等对待各类经营主体。国有企业、民营企业、外资企业等各类经营主体平等享受对本国产品的政府采购支持政策。采购人、采购代理机构在政府采购信息发布、供应商资格条件确定和资格审查、评审标准等方面，要对各类经营主体一视同仁、平等对待，切实保障各类经营主体公平竞争。各地区、各部门要加强统筹协调，不得出台违反本通知规定的政策措施，在政府采购活动中不得指定品牌或者限制品牌注册地、所有者，不得以所有制形式、组织形式、股权结构、投资者国别以及其他不合理条件对供应商实行差别待遇或者歧视待遇。</w:t>
      </w:r>
    </w:p>
    <w:p w14:paraId="66C13CA2">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（四）中华人民共和国缔结或者共同参加的国际条约、协定对政府采购中本国产品政策另有规定的，按照有关条约、协定执行。</w:t>
      </w:r>
    </w:p>
    <w:p w14:paraId="759FDDA9">
      <w:pPr>
        <w:bidi w:val="0"/>
        <w:rPr>
          <w:rFonts w:hint="eastAsia" w:ascii="宋体" w:hAnsi="宋体" w:cs="宋体"/>
          <w:bCs/>
          <w:sz w:val="24"/>
          <w:szCs w:val="24"/>
          <w:highlight w:val="none"/>
          <w:lang w:val="en-US" w:eastAsia="zh-CN"/>
        </w:rPr>
      </w:pPr>
    </w:p>
    <w:p w14:paraId="3702C042">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五、争议处理</w:t>
      </w:r>
    </w:p>
    <w:p w14:paraId="4CC7A478">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财政部门在政府采购投诉处理、监督检查中，对涉及本国产品标准争议事项的处理，按照政府采购相关法律法规规定等执行，必要时由有关部门或者专业机构对相关事项予以核实。各有关部门、专业机构及其工作人员对政府采购投诉处理、监督检查中知悉的商业秘密负有保密义务。</w:t>
      </w:r>
    </w:p>
    <w:p w14:paraId="09B6CC21">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（一）政府采购投诉处理、监督检查中，对产品或组件是否在中国境内生产存在争议的，按照以下原则处理：</w:t>
      </w:r>
    </w:p>
    <w:p w14:paraId="72B4E180">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1.对于组装类产品或组件，相关供应商及制造商应当提供产品或组件的采购合同，进货记录，制造、加工、组装记录以及其他证明材料。上述证明材料能够证明产品或组件在中国境内生产的，相关产品或组件即可视为在中国境内生产。</w:t>
      </w:r>
    </w:p>
    <w:p w14:paraId="78C23F26">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2.对于由原材料直接制造、加工形成的产品或组件，如钢材、陶瓷制品、玻璃等，相关供应商及制造商应当提供产品或组件包装上依法标注的生产厂址等信息。生产厂址位于中华人民共和国关境内的，相关产品或组件即可视为在中国境内生产。</w:t>
      </w:r>
    </w:p>
    <w:p w14:paraId="51F8E55D">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二）政府采购投诉处理、监督检查中，对产品在中国境内生产的组件成本占比、采购项目或采购包中本国产品成本占比是否达到规定比例存在争议的，相关供应商及制造商应当提供组件或产品的会计核算数据、采购合同、进货记录等，财政部门按照中国境内生产的组件成本核算相关规则予以认定。</w:t>
      </w:r>
    </w:p>
    <w:p w14:paraId="2CC0A15A">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三）政府采购投诉处理、监督检查中，对特定产品的关键组件是否在中国境内生产存在争议的，按照本通知第五条第（一）项规定的原则处理；对特定产品的关键工序是否在中国境内完成存在争议的，相关供应商及制造商应当提供关键工序在中国境内完成的记录等材料予以证明。</w:t>
      </w:r>
    </w:p>
    <w:p w14:paraId="506E1DF0">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政府采购投诉处理、监督检查中，相关供应商及制造商未按上述要求提供证明材料或提供的材料不足以证明产品符合本国产品标准的，不应当享受对本国产品的政府采购支持政策，由此影响或者可能影响采购结果的，财政部门按照政府采购相关法律法规规定等处理。</w:t>
      </w:r>
    </w:p>
    <w:p w14:paraId="31C64E09">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本通知自2026年1月1日起施行。</w:t>
      </w:r>
    </w:p>
    <w:p w14:paraId="0B4D3574">
      <w:pPr>
        <w:bidi w:val="0"/>
        <w:rPr>
          <w:rFonts w:hint="eastAsia" w:ascii="宋体" w:hAnsi="宋体" w:cs="宋体"/>
          <w:bCs/>
          <w:sz w:val="24"/>
          <w:szCs w:val="24"/>
          <w:highlight w:val="none"/>
          <w:lang w:val="en-US" w:eastAsia="zh-CN"/>
        </w:rPr>
      </w:pPr>
    </w:p>
    <w:p w14:paraId="472C31AE">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国务院办公厅         </w:t>
      </w:r>
    </w:p>
    <w:p w14:paraId="74717BD2">
      <w:pPr>
        <w:bidi w:val="0"/>
        <w:rPr>
          <w:rFonts w:hint="eastAsia" w:ascii="宋体" w:hAnsi="宋体" w:cs="宋体"/>
          <w:bCs/>
          <w:sz w:val="24"/>
          <w:szCs w:val="24"/>
          <w:highlight w:val="none"/>
          <w:lang w:val="en-US" w:eastAsia="zh-CN"/>
        </w:rPr>
      </w:pPr>
    </w:p>
    <w:p w14:paraId="30993794">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2025年9月28日</w:t>
      </w:r>
    </w:p>
    <w:p w14:paraId="66D48E20">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第三部分中小企业划型标准规定</w:t>
      </w:r>
    </w:p>
    <w:p w14:paraId="6418D78D">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　　一、根据《中华人民共和国中小企业促进法》和《国务院关于进一步促进中小企业发展的若干意见》(国发〔2009〕36号)，制定本规定。</w:t>
      </w:r>
    </w:p>
    <w:p w14:paraId="6DC5E569">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　　二、中小企业划分为中型、小型、微型三种类型，具体标准根据企业从业人员、营业收入、资产总额等指标，结合行业特点制定。</w:t>
      </w:r>
    </w:p>
    <w:p w14:paraId="1D06BAB6">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4217F4F5">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　　四、各行业划型标准为：</w:t>
      </w:r>
    </w:p>
    <w:p w14:paraId="4A24C205">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　　（一）农、林、牧、渔业。营业收入20000万元以下的为中小微型企业。其中，营业收入500万元及以上的为中型企业，营业收入50万元及以上的为小型企业，营业收入50万元以下的为微型企业。</w:t>
      </w:r>
    </w:p>
    <w:p w14:paraId="59019DE4">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　　（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0D644A13">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　　（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40BD05F3">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　　（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5798905C">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　　（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2E160230">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　　（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525606B7">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　　（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5F3A1C07">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　　（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6FE5AAF3">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　　（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28F7CBBB">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　　（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2DFA17E0">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　　（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3B8C6EB9">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　　（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5C4752CE">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　　（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1CDCF4AE">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　　（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7AAA4900">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　　（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76CFC1E6">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　　（十六）其他未列明行业。从业人员300人以下的为中小微型企业。其中，从业人员100人及以上的为中型企业；从业人员10人及以上的为小型企业；从业人员10人以下的为微型企业。</w:t>
      </w:r>
    </w:p>
    <w:p w14:paraId="212126C4">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　　五、企业类型的划分以统计部门的统计数据为依据。</w:t>
      </w:r>
    </w:p>
    <w:p w14:paraId="6C66DA71">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　　六、本规定适用于在中华人民共和国境内依法设立的各类所有制和各种组织形式的企业。个体工商户和本规定以外的行业，参照本规定进行划型。</w:t>
      </w:r>
    </w:p>
    <w:p w14:paraId="010D3AB6">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　　七、本规定的中型企业标准上限即为大型企业标准的下限，国家统计部门据此制定大中小微型企业的统计分类。国务院有关部门据此进行相关数据分析，不得制定与本规定不一致的企业划型标准。</w:t>
      </w:r>
    </w:p>
    <w:p w14:paraId="2498FBA5">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　　八、本规定由工业和信息化部、国家统计局会同有关部门根据《国民经济行业分类》修订情况和企业发展变化情况适时修订。</w:t>
      </w:r>
    </w:p>
    <w:p w14:paraId="70EC8814">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　　九、本规定由工业和信息化部、国家统计局会同有关部门负责解释。</w:t>
      </w:r>
    </w:p>
    <w:p w14:paraId="210E2B13">
      <w:pPr>
        <w:bidi w:val="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　　十、本规定自发布之日起执行，原国家经贸委、原国家计委、财政部和国家统计局2003年颁布的《中小企业标准暂行规定》同时废止。</w:t>
      </w:r>
    </w:p>
    <w:p w14:paraId="029340CE">
      <w:pPr>
        <w:bidi w:val="0"/>
        <w:rPr>
          <w:rFonts w:hint="eastAsia" w:ascii="宋体" w:hAnsi="宋体" w:cs="宋体"/>
          <w:bCs/>
          <w:sz w:val="24"/>
          <w:szCs w:val="24"/>
          <w:highlight w:val="none"/>
          <w:lang w:val="en-US" w:eastAsia="zh-CN"/>
        </w:rPr>
      </w:pPr>
    </w:p>
    <w:p w14:paraId="00CF2DCB">
      <w:pPr>
        <w:bidi w:val="0"/>
        <w:rPr>
          <w:rFonts w:hint="eastAsia" w:ascii="宋体" w:hAnsi="宋体" w:cs="宋体"/>
          <w:bCs/>
          <w:sz w:val="24"/>
          <w:szCs w:val="24"/>
          <w:highlight w:val="none"/>
          <w:lang w:val="en-US" w:eastAsia="zh-CN"/>
        </w:rPr>
        <w:sectPr>
          <w:pgSz w:w="16838" w:h="11906" w:orient="landscape"/>
          <w:pgMar w:top="1080" w:right="1440" w:bottom="1080" w:left="1440" w:header="851" w:footer="992" w:gutter="0"/>
          <w:pgBorders>
            <w:top w:val="none" w:sz="0" w:space="0"/>
            <w:left w:val="none" w:sz="0" w:space="0"/>
            <w:bottom w:val="none" w:sz="0" w:space="0"/>
            <w:right w:val="none" w:sz="0" w:space="0"/>
          </w:pgBorders>
          <w:pgNumType w:fmt="decimal"/>
          <w:cols w:space="0" w:num="1"/>
          <w:rtlGutter w:val="0"/>
          <w:docGrid w:type="lines" w:linePitch="460" w:charSpace="0"/>
        </w:sectPr>
      </w:pPr>
    </w:p>
    <w:p w14:paraId="1CE4F9EB">
      <w:pPr>
        <w:numPr>
          <w:ilvl w:val="0"/>
          <w:numId w:val="0"/>
        </w:numPr>
        <w:rPr>
          <w:rFonts w:hint="eastAsia"/>
          <w:b/>
          <w:bCs/>
          <w:sz w:val="28"/>
          <w:szCs w:val="36"/>
          <w:highlight w:val="yellow"/>
        </w:rPr>
      </w:pPr>
    </w:p>
    <w:p w14:paraId="5895306A">
      <w:pPr>
        <w:bidi w:val="0"/>
        <w:rPr>
          <w:rFonts w:hint="eastAsia"/>
        </w:rPr>
      </w:pPr>
      <w:r>
        <w:rPr>
          <w:rFonts w:hint="eastAsia"/>
          <w:sz w:val="24"/>
          <w:szCs w:val="32"/>
        </w:rPr>
        <w:t>本次评标内容及具体规则如下：</w:t>
      </w:r>
    </w:p>
    <w:p w14:paraId="4FB8988C">
      <w:pPr>
        <w:rPr>
          <w:rFonts w:hint="eastAsia" w:ascii="仿宋" w:hAnsi="仿宋" w:eastAsia="仿宋" w:cs="仿宋"/>
          <w:sz w:val="28"/>
          <w:szCs w:val="36"/>
          <w:lang w:val="en-US" w:eastAsia="zh-CN"/>
        </w:rPr>
      </w:pPr>
      <w:r>
        <w:rPr>
          <w:rFonts w:hint="eastAsia" w:ascii="仿宋" w:hAnsi="仿宋" w:eastAsia="仿宋" w:cs="仿宋"/>
          <w:b/>
          <w:bCs/>
          <w:sz w:val="28"/>
          <w:szCs w:val="36"/>
          <w:lang w:val="en-US" w:eastAsia="zh-CN"/>
        </w:rPr>
        <w:t>注：</w:t>
      </w:r>
      <w:r>
        <w:rPr>
          <w:rFonts w:hint="eastAsia" w:ascii="仿宋" w:hAnsi="仿宋" w:eastAsia="仿宋" w:cs="仿宋"/>
          <w:b w:val="0"/>
          <w:bCs w:val="0"/>
          <w:sz w:val="28"/>
          <w:szCs w:val="36"/>
          <w:lang w:val="en-US" w:eastAsia="zh-CN"/>
        </w:rPr>
        <w:t>1.</w:t>
      </w:r>
      <w:r>
        <w:rPr>
          <w:rFonts w:hint="eastAsia" w:ascii="仿宋" w:hAnsi="仿宋" w:eastAsia="仿宋" w:cs="仿宋"/>
          <w:sz w:val="28"/>
          <w:szCs w:val="36"/>
          <w:lang w:val="en-US" w:eastAsia="zh-CN"/>
        </w:rPr>
        <w:t>评分分值计算保留小数点后两位，第三位四舍五入。</w:t>
      </w:r>
    </w:p>
    <w:p w14:paraId="0CEB2862">
      <w:pPr>
        <w:numPr>
          <w:ilvl w:val="0"/>
          <w:numId w:val="0"/>
        </w:numPr>
        <w:ind w:firstLine="560" w:firstLineChars="200"/>
        <w:rPr>
          <w:rFonts w:hint="eastAsia" w:ascii="仿宋" w:hAnsi="仿宋" w:eastAsia="仿宋" w:cs="仿宋"/>
          <w:sz w:val="28"/>
          <w:szCs w:val="36"/>
          <w:lang w:val="en-US" w:eastAsia="zh-CN"/>
        </w:rPr>
      </w:pPr>
      <w:r>
        <w:rPr>
          <w:rFonts w:hint="eastAsia" w:ascii="仿宋" w:hAnsi="仿宋" w:eastAsia="仿宋" w:cs="仿宋"/>
          <w:b w:val="0"/>
          <w:bCs w:val="0"/>
          <w:sz w:val="28"/>
          <w:szCs w:val="36"/>
          <w:lang w:val="en-US" w:eastAsia="zh-CN"/>
        </w:rPr>
        <w:t>2.</w:t>
      </w:r>
      <w:r>
        <w:rPr>
          <w:rFonts w:hint="eastAsia" w:ascii="仿宋" w:hAnsi="仿宋" w:eastAsia="仿宋" w:cs="仿宋"/>
          <w:sz w:val="28"/>
          <w:szCs w:val="36"/>
          <w:lang w:val="en-US" w:eastAsia="zh-CN"/>
        </w:rPr>
        <w:t>严禁照搬采购需求原文、网上抄袭或进行无实质内容的泛泛阐述，凡存在此类情形的，该项评审直接按零分处理。</w:t>
      </w:r>
    </w:p>
    <w:p w14:paraId="1024AC1E">
      <w:pPr>
        <w:numPr>
          <w:ilvl w:val="0"/>
          <w:numId w:val="0"/>
        </w:numPr>
        <w:ind w:firstLine="560" w:firstLineChars="200"/>
        <w:rPr>
          <w:rFonts w:hint="eastAsia" w:ascii="仿宋" w:hAnsi="仿宋" w:eastAsia="仿宋" w:cs="仿宋"/>
          <w:sz w:val="28"/>
          <w:szCs w:val="36"/>
          <w:lang w:val="en-US" w:eastAsia="zh-CN"/>
        </w:rPr>
      </w:pPr>
      <w:r>
        <w:rPr>
          <w:rFonts w:hint="eastAsia" w:ascii="仿宋" w:hAnsi="仿宋" w:eastAsia="仿宋" w:cs="仿宋"/>
          <w:b w:val="0"/>
          <w:bCs w:val="0"/>
          <w:sz w:val="28"/>
          <w:szCs w:val="36"/>
          <w:lang w:val="en-US" w:eastAsia="zh-CN"/>
        </w:rPr>
        <w:t>3.</w:t>
      </w:r>
      <w:r>
        <w:rPr>
          <w:rFonts w:hint="eastAsia" w:ascii="仿宋" w:hAnsi="仿宋" w:eastAsia="仿宋" w:cs="仿宋"/>
          <w:sz w:val="28"/>
          <w:szCs w:val="36"/>
          <w:lang w:val="en-US" w:eastAsia="zh-CN"/>
        </w:rPr>
        <w:t>得分扣减仅限本项范围内，不涉及其他评分项。</w:t>
      </w:r>
    </w:p>
    <w:p w14:paraId="67E4AB71">
      <w:pPr>
        <w:pStyle w:val="11"/>
        <w:spacing w:line="240" w:lineRule="auto"/>
        <w:jc w:val="both"/>
        <w:rPr>
          <w:rFonts w:hint="eastAsia" w:ascii="宋体" w:hAnsi="宋体" w:cs="宋体"/>
          <w:sz w:val="24"/>
          <w:szCs w:val="24"/>
          <w:highlight w:val="none"/>
          <w:lang w:val="zh-CN"/>
        </w:rPr>
      </w:pPr>
      <w:bookmarkStart w:id="24" w:name="_Toc23221"/>
      <w:r>
        <w:rPr>
          <w:rFonts w:hint="eastAsia" w:hAnsi="宋体" w:cs="宋体"/>
          <w:sz w:val="24"/>
          <w:szCs w:val="24"/>
          <w:highlight w:val="none"/>
          <w:lang w:val="en-US" w:eastAsia="zh-CN"/>
        </w:rPr>
        <w:t>三、</w:t>
      </w:r>
      <w:r>
        <w:rPr>
          <w:rFonts w:hint="eastAsia" w:ascii="宋体" w:hAnsi="宋体" w:cs="宋体"/>
          <w:sz w:val="24"/>
          <w:szCs w:val="24"/>
          <w:highlight w:val="none"/>
          <w:lang w:val="zh-CN"/>
        </w:rPr>
        <w:t>分值构成与评分标准</w:t>
      </w:r>
    </w:p>
    <w:p w14:paraId="3549294A">
      <w:pPr>
        <w:pStyle w:val="11"/>
        <w:spacing w:line="240" w:lineRule="auto"/>
        <w:jc w:val="both"/>
        <w:rPr>
          <w:rFonts w:hint="eastAsia" w:ascii="宋体" w:hAnsi="宋体" w:cs="宋体"/>
          <w:sz w:val="24"/>
          <w:szCs w:val="24"/>
          <w:highlight w:val="none"/>
          <w:lang w:val="zh-CN"/>
        </w:rPr>
      </w:pPr>
      <w:r>
        <w:rPr>
          <w:rFonts w:hint="eastAsia" w:hAnsi="宋体" w:cs="宋体"/>
          <w:sz w:val="24"/>
          <w:szCs w:val="24"/>
          <w:highlight w:val="none"/>
          <w:lang w:val="en-US" w:eastAsia="zh-CN"/>
        </w:rPr>
        <w:t>1、</w:t>
      </w:r>
      <w:r>
        <w:rPr>
          <w:rFonts w:hint="eastAsia" w:ascii="宋体" w:hAnsi="宋体" w:cs="宋体"/>
          <w:sz w:val="24"/>
          <w:szCs w:val="24"/>
          <w:highlight w:val="none"/>
          <w:lang w:val="zh-CN"/>
        </w:rPr>
        <w:t>分值构成</w:t>
      </w:r>
    </w:p>
    <w:p w14:paraId="456BDEA1">
      <w:pPr>
        <w:pStyle w:val="11"/>
        <w:spacing w:line="240" w:lineRule="auto"/>
        <w:jc w:val="both"/>
        <w:rPr>
          <w:rFonts w:hint="eastAsia" w:ascii="宋体" w:hAnsi="宋体" w:cs="宋体"/>
          <w:sz w:val="24"/>
          <w:szCs w:val="24"/>
          <w:highlight w:val="none"/>
          <w:lang w:val="zh-CN"/>
        </w:rPr>
      </w:pPr>
      <w:r>
        <w:rPr>
          <w:rFonts w:hint="eastAsia" w:ascii="宋体" w:hAnsi="宋体" w:cs="宋体"/>
          <w:sz w:val="24"/>
          <w:szCs w:val="24"/>
          <w:highlight w:val="none"/>
          <w:lang w:val="zh-CN"/>
        </w:rPr>
        <w:t>(1)</w:t>
      </w:r>
      <w:r>
        <w:rPr>
          <w:rFonts w:hint="eastAsia" w:hAnsi="宋体" w:cs="宋体"/>
          <w:sz w:val="24"/>
          <w:szCs w:val="24"/>
          <w:highlight w:val="none"/>
          <w:lang w:val="en-US" w:eastAsia="zh-CN"/>
        </w:rPr>
        <w:t>价格部分</w:t>
      </w:r>
      <w:r>
        <w:rPr>
          <w:rFonts w:hint="eastAsia" w:ascii="宋体" w:hAnsi="宋体" w:cs="宋体"/>
          <w:sz w:val="24"/>
          <w:szCs w:val="24"/>
          <w:highlight w:val="none"/>
          <w:lang w:val="zh-CN"/>
        </w:rPr>
        <w:t>：</w:t>
      </w:r>
      <w:r>
        <w:rPr>
          <w:rFonts w:hint="eastAsia" w:hAnsi="宋体" w:cs="宋体"/>
          <w:sz w:val="24"/>
          <w:szCs w:val="24"/>
          <w:highlight w:val="none"/>
          <w:lang w:val="en-US" w:eastAsia="zh-CN"/>
        </w:rPr>
        <w:t>见</w:t>
      </w:r>
      <w:r>
        <w:rPr>
          <w:rFonts w:hint="eastAsia" w:ascii="宋体" w:hAnsi="宋体" w:cs="宋体"/>
          <w:sz w:val="24"/>
          <w:szCs w:val="24"/>
          <w:highlight w:val="none"/>
          <w:lang w:val="zh-CN"/>
        </w:rPr>
        <w:t>综合评分表（详细评审）（保留小数点后二位，小数点后第三位“四舍五入”）；</w:t>
      </w:r>
    </w:p>
    <w:p w14:paraId="207CF308">
      <w:pPr>
        <w:pStyle w:val="11"/>
        <w:spacing w:line="240" w:lineRule="auto"/>
        <w:jc w:val="both"/>
        <w:rPr>
          <w:rFonts w:hint="eastAsia" w:ascii="宋体" w:hAnsi="宋体" w:cs="宋体"/>
          <w:sz w:val="24"/>
          <w:szCs w:val="24"/>
          <w:highlight w:val="none"/>
          <w:lang w:val="zh-CN"/>
        </w:rPr>
      </w:pPr>
      <w:r>
        <w:rPr>
          <w:rFonts w:hint="eastAsia" w:ascii="宋体" w:hAnsi="宋体" w:cs="宋体"/>
          <w:sz w:val="24"/>
          <w:szCs w:val="24"/>
          <w:highlight w:val="none"/>
          <w:lang w:val="zh-CN"/>
        </w:rPr>
        <w:t>(2)商务</w:t>
      </w:r>
      <w:r>
        <w:rPr>
          <w:rFonts w:hint="eastAsia" w:hAnsi="宋体" w:cs="宋体"/>
          <w:sz w:val="24"/>
          <w:szCs w:val="24"/>
          <w:highlight w:val="none"/>
          <w:lang w:val="en-US" w:eastAsia="zh-CN"/>
        </w:rPr>
        <w:t>部分</w:t>
      </w:r>
      <w:r>
        <w:rPr>
          <w:rFonts w:hint="eastAsia" w:ascii="宋体" w:hAnsi="宋体" w:cs="宋体"/>
          <w:sz w:val="24"/>
          <w:szCs w:val="24"/>
          <w:highlight w:val="none"/>
          <w:lang w:val="zh-CN"/>
        </w:rPr>
        <w:t>：</w:t>
      </w:r>
      <w:r>
        <w:rPr>
          <w:rFonts w:hint="eastAsia" w:hAnsi="宋体" w:cs="宋体"/>
          <w:sz w:val="24"/>
          <w:szCs w:val="24"/>
          <w:highlight w:val="none"/>
          <w:lang w:val="en-US" w:eastAsia="zh-CN"/>
        </w:rPr>
        <w:t>见</w:t>
      </w:r>
      <w:r>
        <w:rPr>
          <w:rFonts w:hint="eastAsia" w:ascii="宋体" w:hAnsi="宋体" w:cs="宋体"/>
          <w:sz w:val="24"/>
          <w:szCs w:val="24"/>
          <w:highlight w:val="none"/>
          <w:lang w:val="zh-CN"/>
        </w:rPr>
        <w:t>综合评分表（详细评审）；</w:t>
      </w:r>
    </w:p>
    <w:p w14:paraId="23CC44A1">
      <w:pPr>
        <w:pStyle w:val="11"/>
        <w:spacing w:line="240" w:lineRule="auto"/>
        <w:jc w:val="both"/>
        <w:rPr>
          <w:rFonts w:hint="eastAsia" w:ascii="宋体" w:hAnsi="宋体" w:cs="宋体"/>
          <w:sz w:val="24"/>
          <w:szCs w:val="24"/>
          <w:highlight w:val="none"/>
          <w:lang w:val="zh-CN"/>
        </w:rPr>
      </w:pPr>
      <w:r>
        <w:rPr>
          <w:rFonts w:hint="eastAsia" w:ascii="宋体" w:hAnsi="宋体" w:cs="宋体"/>
          <w:sz w:val="24"/>
          <w:szCs w:val="24"/>
          <w:highlight w:val="none"/>
          <w:lang w:val="zh-CN"/>
        </w:rPr>
        <w:t>(3)</w:t>
      </w:r>
      <w:r>
        <w:rPr>
          <w:rFonts w:hint="eastAsia" w:hAnsi="宋体" w:cs="宋体"/>
          <w:sz w:val="24"/>
          <w:szCs w:val="24"/>
          <w:highlight w:val="none"/>
          <w:lang w:val="en-US" w:eastAsia="zh-CN"/>
        </w:rPr>
        <w:t>技术部分</w:t>
      </w:r>
      <w:r>
        <w:rPr>
          <w:rFonts w:hint="eastAsia" w:ascii="宋体" w:hAnsi="宋体" w:cs="宋体"/>
          <w:sz w:val="24"/>
          <w:szCs w:val="24"/>
          <w:highlight w:val="none"/>
          <w:lang w:val="zh-CN"/>
        </w:rPr>
        <w:t>：见综合评分表（详细评审）；</w:t>
      </w:r>
    </w:p>
    <w:p w14:paraId="505F191B">
      <w:pPr>
        <w:pStyle w:val="11"/>
        <w:spacing w:line="240" w:lineRule="auto"/>
        <w:jc w:val="both"/>
        <w:rPr>
          <w:rFonts w:hint="eastAsia" w:ascii="宋体" w:hAnsi="宋体" w:cs="宋体"/>
          <w:sz w:val="24"/>
          <w:szCs w:val="24"/>
          <w:highlight w:val="none"/>
          <w:lang w:val="zh-CN"/>
        </w:rPr>
      </w:pPr>
      <w:r>
        <w:rPr>
          <w:rFonts w:hint="eastAsia" w:hAnsi="宋体" w:cs="宋体"/>
          <w:sz w:val="24"/>
          <w:szCs w:val="24"/>
          <w:highlight w:val="none"/>
          <w:lang w:val="en-US" w:eastAsia="zh-CN"/>
        </w:rPr>
        <w:t>2、</w:t>
      </w:r>
      <w:r>
        <w:rPr>
          <w:rFonts w:hint="eastAsia" w:ascii="宋体" w:hAnsi="宋体" w:cs="宋体"/>
          <w:sz w:val="24"/>
          <w:szCs w:val="24"/>
          <w:highlight w:val="none"/>
          <w:lang w:val="zh-CN"/>
        </w:rPr>
        <w:t>投标报价计算公式</w:t>
      </w:r>
    </w:p>
    <w:p w14:paraId="4BF29D93">
      <w:pPr>
        <w:pStyle w:val="11"/>
        <w:spacing w:line="240" w:lineRule="auto"/>
        <w:jc w:val="both"/>
        <w:rPr>
          <w:rFonts w:hint="eastAsia" w:ascii="宋体" w:hAnsi="宋体" w:cs="宋体"/>
          <w:sz w:val="24"/>
          <w:szCs w:val="24"/>
          <w:highlight w:val="none"/>
          <w:lang w:val="zh-CN"/>
        </w:rPr>
      </w:pPr>
      <w:r>
        <w:rPr>
          <w:rFonts w:hint="eastAsia" w:ascii="宋体" w:hAnsi="宋体" w:cs="宋体"/>
          <w:sz w:val="24"/>
          <w:szCs w:val="24"/>
          <w:highlight w:val="none"/>
          <w:lang w:val="zh-CN"/>
        </w:rPr>
        <w:t xml:space="preserve">    投标报价的计算公式：有效投标报价最低者为评标基准价,得满分</w:t>
      </w:r>
      <w:r>
        <w:rPr>
          <w:rFonts w:hint="eastAsia" w:hAnsi="宋体" w:cs="宋体"/>
          <w:sz w:val="24"/>
          <w:szCs w:val="24"/>
          <w:highlight w:val="none"/>
          <w:lang w:val="en-US" w:eastAsia="zh-CN"/>
        </w:rPr>
        <w:t>30</w:t>
      </w:r>
      <w:r>
        <w:rPr>
          <w:rFonts w:hint="eastAsia" w:ascii="宋体" w:hAnsi="宋体" w:cs="宋体"/>
          <w:sz w:val="24"/>
          <w:szCs w:val="24"/>
          <w:highlight w:val="none"/>
          <w:lang w:val="zh-CN"/>
        </w:rPr>
        <w:t>分,其他投标人的报价得分按下列公式统一计算：投标报价得分=（评标基准价／投标报价）×</w:t>
      </w:r>
      <w:r>
        <w:rPr>
          <w:rFonts w:hint="eastAsia" w:hAnsi="宋体" w:cs="宋体"/>
          <w:sz w:val="24"/>
          <w:szCs w:val="24"/>
          <w:highlight w:val="none"/>
          <w:lang w:val="en-US" w:eastAsia="zh-CN"/>
        </w:rPr>
        <w:t>30</w:t>
      </w:r>
      <w:r>
        <w:rPr>
          <w:rFonts w:hint="eastAsia" w:ascii="宋体" w:hAnsi="宋体" w:cs="宋体"/>
          <w:sz w:val="24"/>
          <w:szCs w:val="24"/>
          <w:highlight w:val="none"/>
          <w:lang w:val="zh-CN"/>
        </w:rPr>
        <w:t>。如果评标委员会认为最低的投标报价明显低于投标人其成本价格,有可能影响投标产品质量和不能诚信履约的，应当要求该投标人在规定的期限内予以解释说明并提供相关证明材料，投标人不能合理解释或提供相关证明材料的，则评委会认定其以低于成本价投标，其报价不能作为评标基准价,不计入报价计算（其报价得分为0分）。报价得分精确保留小数点后二位，小数点后第三位“四舍五入”。</w:t>
      </w:r>
    </w:p>
    <w:p w14:paraId="213823DF">
      <w:pPr>
        <w:pStyle w:val="11"/>
        <w:spacing w:line="240" w:lineRule="auto"/>
        <w:jc w:val="both"/>
        <w:rPr>
          <w:rFonts w:hint="eastAsia" w:ascii="宋体" w:hAnsi="宋体" w:cs="宋体"/>
          <w:sz w:val="24"/>
          <w:szCs w:val="24"/>
          <w:highlight w:val="none"/>
          <w:lang w:val="zh-CN"/>
        </w:rPr>
      </w:pPr>
      <w:r>
        <w:rPr>
          <w:rFonts w:hint="eastAsia" w:ascii="宋体" w:hAnsi="宋体" w:cs="宋体"/>
          <w:sz w:val="24"/>
          <w:szCs w:val="24"/>
          <w:highlight w:val="none"/>
          <w:lang w:val="zh-CN"/>
        </w:rPr>
        <w:t>3</w:t>
      </w:r>
      <w:r>
        <w:rPr>
          <w:rFonts w:hint="eastAsia" w:hAnsi="宋体" w:cs="宋体"/>
          <w:sz w:val="24"/>
          <w:szCs w:val="24"/>
          <w:highlight w:val="none"/>
          <w:lang w:val="zh-CN"/>
        </w:rPr>
        <w:t>、</w:t>
      </w:r>
      <w:r>
        <w:rPr>
          <w:rFonts w:hint="eastAsia" w:ascii="宋体" w:hAnsi="宋体" w:cs="宋体"/>
          <w:sz w:val="24"/>
          <w:szCs w:val="24"/>
          <w:highlight w:val="none"/>
          <w:lang w:val="zh-CN"/>
        </w:rPr>
        <w:t>评标程序</w:t>
      </w:r>
    </w:p>
    <w:p w14:paraId="19DC10C1">
      <w:pPr>
        <w:pStyle w:val="11"/>
        <w:spacing w:line="240" w:lineRule="auto"/>
        <w:ind w:firstLine="480" w:firstLineChars="200"/>
        <w:jc w:val="both"/>
        <w:rPr>
          <w:rFonts w:hint="eastAsia" w:ascii="宋体" w:hAnsi="宋体" w:cs="宋体"/>
          <w:sz w:val="24"/>
          <w:szCs w:val="24"/>
          <w:highlight w:val="none"/>
          <w:lang w:val="zh-CN"/>
        </w:rPr>
      </w:pPr>
      <w:r>
        <w:rPr>
          <w:rFonts w:hint="eastAsia" w:hAnsi="宋体" w:cs="宋体"/>
          <w:sz w:val="24"/>
          <w:szCs w:val="24"/>
          <w:highlight w:val="none"/>
          <w:lang w:val="en-US" w:eastAsia="zh-CN"/>
        </w:rPr>
        <w:t>3.1</w:t>
      </w:r>
      <w:r>
        <w:rPr>
          <w:rFonts w:hint="eastAsia" w:ascii="宋体" w:hAnsi="宋体" w:cs="宋体"/>
          <w:sz w:val="24"/>
          <w:szCs w:val="24"/>
          <w:highlight w:val="none"/>
          <w:lang w:val="zh-CN"/>
        </w:rPr>
        <w:t>投标人有以下情形之一的，其投标作废标处理：</w:t>
      </w:r>
    </w:p>
    <w:p w14:paraId="2D97274C">
      <w:pPr>
        <w:autoSpaceDN w:val="0"/>
        <w:spacing w:line="360" w:lineRule="exact"/>
        <w:ind w:firstLine="480" w:firstLineChars="200"/>
        <w:jc w:val="both"/>
        <w:textAlignment w:val="baseline"/>
        <w:rPr>
          <w:rFonts w:hint="eastAsia" w:ascii="宋体" w:hAnsi="宋体" w:eastAsia="宋体" w:cs="宋体"/>
          <w:kern w:val="2"/>
          <w:sz w:val="24"/>
          <w:szCs w:val="24"/>
          <w:highlight w:val="none"/>
          <w:lang w:val="zh-CN" w:eastAsia="zh-CN" w:bidi="ar-SA"/>
        </w:rPr>
      </w:pPr>
      <w:r>
        <w:rPr>
          <w:rFonts w:hint="eastAsia" w:ascii="宋体" w:hAnsi="宋体" w:cs="宋体"/>
          <w:sz w:val="24"/>
          <w:szCs w:val="24"/>
          <w:highlight w:val="none"/>
          <w:lang w:val="zh-CN"/>
        </w:rPr>
        <w:t>(1)</w:t>
      </w:r>
      <w:r>
        <w:rPr>
          <w:rFonts w:hint="eastAsia" w:ascii="宋体" w:hAnsi="宋体" w:eastAsia="宋体" w:cs="宋体"/>
          <w:kern w:val="2"/>
          <w:sz w:val="24"/>
          <w:szCs w:val="24"/>
          <w:highlight w:val="none"/>
          <w:lang w:val="zh-CN" w:eastAsia="zh-CN" w:bidi="ar-SA"/>
        </w:rPr>
        <w:t xml:space="preserve">投标人不得存在下列情形之一： </w:t>
      </w:r>
    </w:p>
    <w:p w14:paraId="66BCD042">
      <w:pPr>
        <w:spacing w:line="360" w:lineRule="exact"/>
        <w:ind w:left="210" w:leftChars="100" w:firstLine="480" w:firstLineChars="200"/>
        <w:jc w:val="both"/>
        <w:rPr>
          <w:rFonts w:hint="eastAsia" w:ascii="宋体" w:hAnsi="宋体" w:eastAsia="宋体" w:cs="宋体"/>
          <w:kern w:val="2"/>
          <w:sz w:val="24"/>
          <w:szCs w:val="24"/>
          <w:highlight w:val="none"/>
          <w:lang w:val="zh-CN" w:eastAsia="zh-CN" w:bidi="ar-SA"/>
        </w:rPr>
      </w:pPr>
      <w:r>
        <w:rPr>
          <w:rFonts w:hint="eastAsia" w:ascii="宋体" w:hAnsi="宋体" w:eastAsia="宋体" w:cs="宋体"/>
          <w:kern w:val="2"/>
          <w:sz w:val="24"/>
          <w:szCs w:val="24"/>
          <w:highlight w:val="none"/>
          <w:lang w:val="zh-CN" w:eastAsia="zh-CN" w:bidi="ar-SA"/>
        </w:rPr>
        <w:t>①被责令停业的；</w:t>
      </w:r>
    </w:p>
    <w:p w14:paraId="1C9E8079">
      <w:pPr>
        <w:spacing w:line="360" w:lineRule="exact"/>
        <w:ind w:left="210" w:leftChars="100" w:firstLine="480" w:firstLineChars="200"/>
        <w:jc w:val="both"/>
        <w:rPr>
          <w:rFonts w:hint="eastAsia" w:ascii="宋体" w:hAnsi="宋体" w:eastAsia="宋体" w:cs="宋体"/>
          <w:kern w:val="2"/>
          <w:sz w:val="24"/>
          <w:szCs w:val="24"/>
          <w:highlight w:val="none"/>
          <w:lang w:val="zh-CN" w:eastAsia="zh-CN" w:bidi="ar-SA"/>
        </w:rPr>
      </w:pPr>
      <w:r>
        <w:rPr>
          <w:rFonts w:hint="eastAsia" w:ascii="宋体" w:hAnsi="宋体" w:eastAsia="宋体" w:cs="宋体"/>
          <w:kern w:val="2"/>
          <w:sz w:val="24"/>
          <w:szCs w:val="24"/>
          <w:highlight w:val="none"/>
          <w:lang w:val="zh-CN" w:eastAsia="zh-CN" w:bidi="ar-SA"/>
        </w:rPr>
        <w:t>②被暂停或取消投标资格的；</w:t>
      </w:r>
    </w:p>
    <w:p w14:paraId="2CB6EBA7">
      <w:pPr>
        <w:spacing w:line="360" w:lineRule="exact"/>
        <w:ind w:left="210" w:leftChars="100" w:firstLine="480" w:firstLineChars="200"/>
        <w:jc w:val="both"/>
        <w:rPr>
          <w:rFonts w:hint="eastAsia" w:ascii="宋体" w:hAnsi="宋体" w:eastAsia="宋体" w:cs="宋体"/>
          <w:kern w:val="2"/>
          <w:sz w:val="24"/>
          <w:szCs w:val="24"/>
          <w:highlight w:val="none"/>
          <w:lang w:val="zh-CN" w:eastAsia="zh-CN" w:bidi="ar-SA"/>
        </w:rPr>
      </w:pPr>
      <w:r>
        <w:rPr>
          <w:rFonts w:hint="eastAsia" w:ascii="宋体" w:hAnsi="宋体" w:eastAsia="宋体" w:cs="宋体"/>
          <w:kern w:val="2"/>
          <w:sz w:val="24"/>
          <w:szCs w:val="24"/>
          <w:highlight w:val="none"/>
          <w:lang w:val="zh-CN" w:eastAsia="zh-CN" w:bidi="ar-SA"/>
        </w:rPr>
        <w:t>③财产被接管或冻结的；</w:t>
      </w:r>
    </w:p>
    <w:p w14:paraId="6FDA0EAE">
      <w:pPr>
        <w:spacing w:line="360" w:lineRule="exact"/>
        <w:ind w:left="210" w:leftChars="100" w:firstLine="480" w:firstLineChars="200"/>
        <w:jc w:val="both"/>
        <w:rPr>
          <w:rFonts w:hint="eastAsia" w:ascii="宋体" w:hAnsi="宋体" w:eastAsia="宋体" w:cs="宋体"/>
          <w:kern w:val="2"/>
          <w:sz w:val="24"/>
          <w:szCs w:val="24"/>
          <w:highlight w:val="none"/>
          <w:lang w:val="zh-CN" w:eastAsia="zh-CN" w:bidi="ar-SA"/>
        </w:rPr>
      </w:pPr>
      <w:r>
        <w:rPr>
          <w:rFonts w:hint="eastAsia" w:ascii="宋体" w:hAnsi="宋体" w:eastAsia="宋体" w:cs="宋体"/>
          <w:kern w:val="2"/>
          <w:sz w:val="24"/>
          <w:szCs w:val="24"/>
          <w:highlight w:val="none"/>
          <w:lang w:val="zh-CN" w:eastAsia="zh-CN" w:bidi="ar-SA"/>
        </w:rPr>
        <w:t>④在最近三年内有骗取中标或严重违约或重大工程质量问题的。</w:t>
      </w:r>
    </w:p>
    <w:p w14:paraId="6F9DF934">
      <w:pPr>
        <w:pStyle w:val="11"/>
        <w:spacing w:line="240" w:lineRule="auto"/>
        <w:jc w:val="both"/>
        <w:rPr>
          <w:rFonts w:hint="eastAsia" w:ascii="宋体" w:hAnsi="宋体" w:cs="宋体"/>
          <w:sz w:val="24"/>
          <w:szCs w:val="24"/>
          <w:highlight w:val="none"/>
          <w:lang w:val="zh-CN"/>
        </w:rPr>
      </w:pPr>
      <w:r>
        <w:rPr>
          <w:rFonts w:hint="eastAsia" w:ascii="宋体" w:hAnsi="宋体" w:cs="宋体"/>
          <w:sz w:val="24"/>
          <w:szCs w:val="24"/>
          <w:highlight w:val="none"/>
          <w:lang w:val="zh-CN"/>
        </w:rPr>
        <w:t xml:space="preserve">    (2)不按评标委员会要求澄清、说明或补正的。</w:t>
      </w:r>
    </w:p>
    <w:p w14:paraId="1695E920">
      <w:pPr>
        <w:pStyle w:val="11"/>
        <w:spacing w:line="240" w:lineRule="auto"/>
        <w:jc w:val="both"/>
        <w:rPr>
          <w:rFonts w:hint="eastAsia" w:ascii="宋体" w:hAnsi="宋体" w:cs="宋体"/>
          <w:sz w:val="24"/>
          <w:szCs w:val="24"/>
          <w:highlight w:val="none"/>
          <w:lang w:val="zh-CN"/>
        </w:rPr>
      </w:pPr>
      <w:r>
        <w:rPr>
          <w:rFonts w:hint="eastAsia" w:ascii="宋体" w:hAnsi="宋体" w:cs="宋体"/>
          <w:sz w:val="24"/>
          <w:szCs w:val="24"/>
          <w:highlight w:val="none"/>
          <w:lang w:val="zh-CN"/>
        </w:rPr>
        <w:t xml:space="preserve">    (3)串通投标或弄虚作假或有其他违法行为的。</w:t>
      </w:r>
    </w:p>
    <w:p w14:paraId="21ED964F">
      <w:pPr>
        <w:pStyle w:val="11"/>
        <w:spacing w:line="240" w:lineRule="auto"/>
        <w:jc w:val="both"/>
        <w:rPr>
          <w:rFonts w:hint="eastAsia" w:ascii="宋体" w:hAnsi="宋体" w:cs="宋体"/>
          <w:sz w:val="24"/>
          <w:szCs w:val="24"/>
          <w:highlight w:val="none"/>
          <w:lang w:val="zh-CN"/>
        </w:rPr>
      </w:pPr>
      <w:r>
        <w:rPr>
          <w:rFonts w:hint="eastAsia" w:ascii="宋体" w:hAnsi="宋体" w:cs="宋体"/>
          <w:sz w:val="24"/>
          <w:szCs w:val="24"/>
          <w:highlight w:val="none"/>
          <w:lang w:val="zh-CN"/>
        </w:rPr>
        <w:t>有下列情形之一的，经评标委员会集体表决认定后，视作串通投标，其投标作废标处理：</w:t>
      </w:r>
    </w:p>
    <w:p w14:paraId="44634138">
      <w:pPr>
        <w:pStyle w:val="11"/>
        <w:spacing w:line="240" w:lineRule="auto"/>
        <w:ind w:firstLine="480" w:firstLineChars="200"/>
        <w:jc w:val="both"/>
        <w:rPr>
          <w:rFonts w:hint="eastAsia" w:ascii="宋体" w:hAnsi="宋体" w:cs="宋体"/>
          <w:sz w:val="24"/>
          <w:szCs w:val="24"/>
          <w:highlight w:val="none"/>
          <w:lang w:val="zh-CN"/>
        </w:rPr>
      </w:pPr>
      <w:r>
        <w:rPr>
          <w:rFonts w:hint="eastAsia" w:ascii="宋体" w:hAnsi="宋体" w:cs="宋体"/>
          <w:sz w:val="24"/>
          <w:szCs w:val="24"/>
          <w:highlight w:val="none"/>
          <w:lang w:val="zh-CN"/>
        </w:rPr>
        <w:t>①不同投标人的投标文件内容存在非正常一致的；</w:t>
      </w:r>
    </w:p>
    <w:p w14:paraId="0BF5E87F">
      <w:pPr>
        <w:pStyle w:val="11"/>
        <w:spacing w:line="240" w:lineRule="auto"/>
        <w:ind w:firstLine="480" w:firstLineChars="200"/>
        <w:jc w:val="both"/>
        <w:rPr>
          <w:rFonts w:hint="eastAsia" w:ascii="宋体" w:hAnsi="宋体" w:cs="宋体"/>
          <w:sz w:val="24"/>
          <w:szCs w:val="24"/>
          <w:highlight w:val="none"/>
          <w:lang w:val="zh-CN"/>
        </w:rPr>
      </w:pPr>
      <w:r>
        <w:rPr>
          <w:rFonts w:hint="eastAsia" w:ascii="宋体" w:hAnsi="宋体" w:cs="宋体"/>
          <w:sz w:val="24"/>
          <w:szCs w:val="24"/>
          <w:highlight w:val="none"/>
          <w:lang w:val="zh-CN"/>
        </w:rPr>
        <w:t>②不同投标人的投标文件错漏之处一致的；</w:t>
      </w:r>
    </w:p>
    <w:p w14:paraId="7CF9A535">
      <w:pPr>
        <w:pStyle w:val="11"/>
        <w:spacing w:line="240" w:lineRule="auto"/>
        <w:ind w:firstLine="480" w:firstLineChars="200"/>
        <w:jc w:val="both"/>
        <w:rPr>
          <w:rFonts w:hint="eastAsia" w:ascii="宋体" w:hAnsi="宋体" w:cs="宋体"/>
          <w:sz w:val="24"/>
          <w:szCs w:val="24"/>
          <w:highlight w:val="none"/>
          <w:lang w:val="zh-CN"/>
        </w:rPr>
      </w:pPr>
      <w:r>
        <w:rPr>
          <w:rFonts w:hint="eastAsia" w:ascii="宋体" w:hAnsi="宋体" w:cs="宋体"/>
          <w:sz w:val="24"/>
          <w:szCs w:val="24"/>
          <w:highlight w:val="none"/>
          <w:lang w:val="zh-CN"/>
        </w:rPr>
        <w:t>③不同投标人的投标报价或者报价组成异常一致或者呈规律性变化的；</w:t>
      </w:r>
    </w:p>
    <w:p w14:paraId="3A292C40">
      <w:pPr>
        <w:pStyle w:val="11"/>
        <w:spacing w:line="240" w:lineRule="auto"/>
        <w:ind w:firstLine="480" w:firstLineChars="200"/>
        <w:jc w:val="both"/>
        <w:rPr>
          <w:rFonts w:hint="eastAsia" w:ascii="宋体" w:hAnsi="宋体" w:cs="宋体"/>
          <w:sz w:val="24"/>
          <w:szCs w:val="24"/>
          <w:highlight w:val="none"/>
          <w:lang w:val="zh-CN"/>
        </w:rPr>
      </w:pPr>
      <w:r>
        <w:rPr>
          <w:rFonts w:hint="eastAsia" w:ascii="宋体" w:hAnsi="宋体" w:cs="宋体"/>
          <w:sz w:val="24"/>
          <w:szCs w:val="24"/>
          <w:highlight w:val="none"/>
          <w:lang w:val="zh-CN"/>
        </w:rPr>
        <w:t>④不同投标人的投标文件由同一单位或者同一个人编制的；</w:t>
      </w:r>
    </w:p>
    <w:p w14:paraId="76D5E47D">
      <w:pPr>
        <w:pStyle w:val="11"/>
        <w:spacing w:line="240" w:lineRule="auto"/>
        <w:ind w:firstLine="480" w:firstLineChars="200"/>
        <w:jc w:val="both"/>
        <w:rPr>
          <w:rFonts w:hint="eastAsia" w:ascii="宋体" w:hAnsi="宋体" w:cs="宋体"/>
          <w:sz w:val="24"/>
          <w:szCs w:val="24"/>
          <w:highlight w:val="none"/>
          <w:lang w:val="zh-CN"/>
        </w:rPr>
      </w:pPr>
      <w:r>
        <w:rPr>
          <w:rFonts w:hint="eastAsia" w:ascii="宋体" w:hAnsi="宋体" w:cs="宋体"/>
          <w:sz w:val="24"/>
          <w:szCs w:val="24"/>
          <w:highlight w:val="none"/>
          <w:lang w:val="zh-CN"/>
        </w:rPr>
        <w:t>⑤不同投标人投标文件载明的项目管理班子成员出现同一人的；</w:t>
      </w:r>
    </w:p>
    <w:p w14:paraId="767DDE81">
      <w:pPr>
        <w:pStyle w:val="11"/>
        <w:spacing w:line="240" w:lineRule="auto"/>
        <w:ind w:firstLine="480" w:firstLineChars="200"/>
        <w:jc w:val="both"/>
        <w:rPr>
          <w:rFonts w:hint="eastAsia" w:ascii="宋体" w:hAnsi="宋体" w:cs="宋体"/>
          <w:sz w:val="24"/>
          <w:szCs w:val="24"/>
          <w:highlight w:val="none"/>
          <w:lang w:val="zh-CN"/>
        </w:rPr>
      </w:pPr>
      <w:r>
        <w:rPr>
          <w:rFonts w:hint="eastAsia" w:ascii="宋体" w:hAnsi="宋体" w:cs="宋体"/>
          <w:sz w:val="24"/>
          <w:szCs w:val="24"/>
          <w:highlight w:val="none"/>
          <w:lang w:val="zh-CN"/>
        </w:rPr>
        <w:t>⑥不同投标人的投标文件相互混装的；</w:t>
      </w:r>
    </w:p>
    <w:p w14:paraId="317C7512">
      <w:pPr>
        <w:pStyle w:val="11"/>
        <w:spacing w:line="240" w:lineRule="auto"/>
        <w:ind w:firstLine="480" w:firstLineChars="200"/>
        <w:jc w:val="both"/>
        <w:rPr>
          <w:rFonts w:hint="eastAsia" w:ascii="宋体" w:hAnsi="宋体" w:cs="宋体"/>
          <w:sz w:val="24"/>
          <w:szCs w:val="24"/>
          <w:highlight w:val="none"/>
          <w:lang w:val="zh-CN"/>
        </w:rPr>
      </w:pPr>
      <w:r>
        <w:rPr>
          <w:rFonts w:hint="eastAsia" w:ascii="宋体" w:hAnsi="宋体" w:cs="宋体"/>
          <w:sz w:val="24"/>
          <w:szCs w:val="24"/>
          <w:highlight w:val="none"/>
          <w:lang w:val="zh-CN"/>
        </w:rPr>
        <w:t>⑦不同投标人的投标文件由同一台电脑编制或者同一台附属设备打印的；</w:t>
      </w:r>
    </w:p>
    <w:p w14:paraId="4DC1B2C3">
      <w:pPr>
        <w:pStyle w:val="11"/>
        <w:spacing w:line="240" w:lineRule="auto"/>
        <w:ind w:firstLine="480" w:firstLineChars="200"/>
        <w:jc w:val="both"/>
        <w:rPr>
          <w:rFonts w:hint="eastAsia" w:ascii="宋体" w:hAnsi="宋体" w:cs="宋体"/>
          <w:sz w:val="24"/>
          <w:szCs w:val="24"/>
          <w:highlight w:val="none"/>
          <w:lang w:val="zh-CN"/>
        </w:rPr>
      </w:pPr>
      <w:r>
        <w:rPr>
          <w:rFonts w:hint="eastAsia" w:ascii="宋体" w:hAnsi="宋体" w:cs="宋体"/>
          <w:sz w:val="24"/>
          <w:szCs w:val="24"/>
          <w:highlight w:val="none"/>
          <w:lang w:val="zh-CN"/>
        </w:rPr>
        <w:t>⑧不同投标人委托同一人投标的；</w:t>
      </w:r>
    </w:p>
    <w:p w14:paraId="2FA9BA3D">
      <w:pPr>
        <w:pStyle w:val="11"/>
        <w:spacing w:line="240" w:lineRule="auto"/>
        <w:ind w:firstLine="480" w:firstLineChars="200"/>
        <w:jc w:val="both"/>
        <w:rPr>
          <w:rFonts w:hint="eastAsia" w:ascii="宋体" w:hAnsi="宋体" w:cs="宋体"/>
          <w:sz w:val="24"/>
          <w:szCs w:val="24"/>
          <w:highlight w:val="none"/>
          <w:lang w:val="zh-CN"/>
        </w:rPr>
      </w:pPr>
      <w:r>
        <w:rPr>
          <w:rFonts w:hint="eastAsia" w:ascii="宋体" w:hAnsi="宋体" w:cs="宋体"/>
          <w:sz w:val="24"/>
          <w:szCs w:val="24"/>
          <w:highlight w:val="none"/>
          <w:lang w:val="zh-CN"/>
        </w:rPr>
        <w:t>⑨不同投标人聘请同一人为其投标提供技术或者经济咨询服务的（招标项目本身要求采用专有技术的除外）；</w:t>
      </w:r>
    </w:p>
    <w:p w14:paraId="15EC6F6E">
      <w:pPr>
        <w:pStyle w:val="11"/>
        <w:spacing w:line="240" w:lineRule="auto"/>
        <w:ind w:firstLine="480" w:firstLineChars="200"/>
        <w:jc w:val="both"/>
        <w:rPr>
          <w:rFonts w:hint="eastAsia" w:ascii="宋体" w:hAnsi="宋体" w:cs="宋体"/>
          <w:sz w:val="24"/>
          <w:szCs w:val="24"/>
          <w:highlight w:val="none"/>
          <w:lang w:val="zh-CN"/>
        </w:rPr>
      </w:pPr>
      <w:r>
        <w:rPr>
          <w:rFonts w:hint="eastAsia" w:ascii="宋体" w:hAnsi="宋体" w:cs="宋体"/>
          <w:sz w:val="24"/>
          <w:szCs w:val="24"/>
          <w:highlight w:val="none"/>
          <w:lang w:val="zh-CN"/>
        </w:rPr>
        <w:t>⑩评标委员会认定的其他串通投标情形。</w:t>
      </w:r>
    </w:p>
    <w:p w14:paraId="01005305">
      <w:pPr>
        <w:pStyle w:val="11"/>
        <w:spacing w:line="240" w:lineRule="auto"/>
        <w:jc w:val="both"/>
        <w:rPr>
          <w:rFonts w:hint="eastAsia" w:ascii="宋体" w:hAnsi="宋体" w:cs="宋体"/>
          <w:sz w:val="24"/>
          <w:szCs w:val="24"/>
          <w:highlight w:val="none"/>
          <w:lang w:val="zh-CN"/>
        </w:rPr>
      </w:pPr>
      <w:r>
        <w:rPr>
          <w:rFonts w:hint="eastAsia" w:ascii="宋体" w:hAnsi="宋体" w:cs="宋体"/>
          <w:sz w:val="24"/>
          <w:szCs w:val="24"/>
          <w:highlight w:val="none"/>
          <w:lang w:val="zh-CN"/>
        </w:rPr>
        <w:t xml:space="preserve">    3.2 详细评审</w:t>
      </w:r>
    </w:p>
    <w:p w14:paraId="32F1A919">
      <w:pPr>
        <w:pStyle w:val="11"/>
        <w:spacing w:line="240" w:lineRule="auto"/>
        <w:jc w:val="both"/>
        <w:rPr>
          <w:rFonts w:hint="eastAsia" w:ascii="宋体" w:hAnsi="宋体" w:cs="宋体"/>
          <w:sz w:val="24"/>
          <w:szCs w:val="24"/>
          <w:highlight w:val="none"/>
          <w:lang w:val="zh-CN"/>
        </w:rPr>
      </w:pPr>
      <w:r>
        <w:rPr>
          <w:rFonts w:hint="eastAsia" w:ascii="宋体" w:hAnsi="宋体" w:cs="宋体"/>
          <w:sz w:val="24"/>
          <w:szCs w:val="24"/>
          <w:highlight w:val="none"/>
          <w:lang w:val="zh-CN"/>
        </w:rPr>
        <w:t xml:space="preserve">    3.2.1评标委员会按本章综合评分表（详细评审）规定的量化因素和分值进行打分，并计算出综合评估得分。</w:t>
      </w:r>
    </w:p>
    <w:p w14:paraId="48FD2874">
      <w:pPr>
        <w:pStyle w:val="11"/>
        <w:spacing w:line="240" w:lineRule="auto"/>
        <w:jc w:val="both"/>
        <w:rPr>
          <w:rFonts w:hint="eastAsia" w:ascii="宋体" w:hAnsi="宋体" w:cs="宋体"/>
          <w:sz w:val="24"/>
          <w:szCs w:val="24"/>
          <w:highlight w:val="none"/>
          <w:lang w:val="zh-CN"/>
        </w:rPr>
      </w:pPr>
      <w:r>
        <w:rPr>
          <w:rFonts w:hint="eastAsia" w:ascii="宋体" w:hAnsi="宋体" w:cs="宋体"/>
          <w:sz w:val="24"/>
          <w:szCs w:val="24"/>
          <w:highlight w:val="none"/>
          <w:lang w:val="zh-CN"/>
        </w:rPr>
        <w:t xml:space="preserve">    (1)按本章综合评分表（详细评审）规定的评审因素和分值对投标报价计算出得分A；</w:t>
      </w:r>
    </w:p>
    <w:p w14:paraId="7BED31AF">
      <w:pPr>
        <w:pStyle w:val="11"/>
        <w:spacing w:line="240" w:lineRule="auto"/>
        <w:jc w:val="both"/>
        <w:rPr>
          <w:rFonts w:hint="eastAsia" w:ascii="宋体" w:hAnsi="宋体" w:cs="宋体"/>
          <w:sz w:val="24"/>
          <w:szCs w:val="24"/>
          <w:highlight w:val="none"/>
          <w:lang w:val="zh-CN"/>
        </w:rPr>
      </w:pPr>
      <w:r>
        <w:rPr>
          <w:rFonts w:hint="eastAsia" w:ascii="宋体" w:hAnsi="宋体" w:cs="宋体"/>
          <w:sz w:val="24"/>
          <w:szCs w:val="24"/>
          <w:highlight w:val="none"/>
          <w:lang w:val="zh-CN"/>
        </w:rPr>
        <w:t xml:space="preserve">    (2)按本章综合评分表（详细评审）规定的评审因素和分值对商务因素计算出得分B；</w:t>
      </w:r>
    </w:p>
    <w:p w14:paraId="2FFC7D6E">
      <w:pPr>
        <w:pStyle w:val="11"/>
        <w:spacing w:line="240" w:lineRule="auto"/>
        <w:ind w:firstLine="480" w:firstLineChars="200"/>
        <w:jc w:val="both"/>
        <w:rPr>
          <w:rFonts w:hint="eastAsia" w:ascii="宋体" w:hAnsi="宋体" w:cs="宋体"/>
          <w:sz w:val="24"/>
          <w:szCs w:val="24"/>
          <w:highlight w:val="none"/>
          <w:lang w:val="zh-CN"/>
        </w:rPr>
      </w:pPr>
      <w:r>
        <w:rPr>
          <w:rFonts w:hint="eastAsia" w:ascii="宋体" w:hAnsi="宋体" w:cs="宋体"/>
          <w:sz w:val="24"/>
          <w:szCs w:val="24"/>
          <w:highlight w:val="none"/>
          <w:lang w:val="zh-CN"/>
        </w:rPr>
        <w:t>(3)按本章综合评分表（详细评审）规定的评审因素和分值对</w:t>
      </w:r>
      <w:r>
        <w:rPr>
          <w:rFonts w:hint="eastAsia" w:hAnsi="宋体" w:cs="宋体"/>
          <w:sz w:val="24"/>
          <w:szCs w:val="24"/>
          <w:highlight w:val="none"/>
          <w:lang w:val="en-US" w:eastAsia="zh-CN"/>
        </w:rPr>
        <w:t>技术</w:t>
      </w:r>
      <w:r>
        <w:rPr>
          <w:rFonts w:hint="eastAsia" w:ascii="宋体" w:hAnsi="宋体" w:cs="宋体"/>
          <w:sz w:val="24"/>
          <w:szCs w:val="24"/>
          <w:highlight w:val="none"/>
          <w:lang w:val="zh-CN"/>
        </w:rPr>
        <w:t>方案计算出得分C；</w:t>
      </w:r>
    </w:p>
    <w:p w14:paraId="76B7B1A8">
      <w:pPr>
        <w:pStyle w:val="11"/>
        <w:spacing w:line="240" w:lineRule="auto"/>
        <w:jc w:val="both"/>
        <w:rPr>
          <w:rFonts w:hint="eastAsia" w:ascii="宋体" w:hAnsi="宋体" w:cs="宋体"/>
          <w:sz w:val="24"/>
          <w:szCs w:val="24"/>
          <w:highlight w:val="none"/>
          <w:lang w:val="zh-CN"/>
        </w:rPr>
      </w:pPr>
      <w:r>
        <w:rPr>
          <w:rFonts w:hint="eastAsia" w:ascii="宋体" w:hAnsi="宋体" w:cs="宋体"/>
          <w:sz w:val="24"/>
          <w:szCs w:val="24"/>
          <w:highlight w:val="none"/>
          <w:lang w:val="zh-CN"/>
        </w:rPr>
        <w:t xml:space="preserve">    3.2.2 评分分值计算保留小数点后二位，小数点后第三位“四舍五入”。</w:t>
      </w:r>
    </w:p>
    <w:p w14:paraId="420D7C23">
      <w:pPr>
        <w:pStyle w:val="11"/>
        <w:spacing w:line="240" w:lineRule="auto"/>
        <w:ind w:firstLine="480" w:firstLineChars="200"/>
        <w:jc w:val="both"/>
        <w:rPr>
          <w:rFonts w:hint="eastAsia" w:ascii="宋体" w:hAnsi="宋体" w:cs="宋体"/>
          <w:sz w:val="24"/>
          <w:szCs w:val="24"/>
          <w:highlight w:val="none"/>
          <w:lang w:val="zh-CN"/>
        </w:rPr>
      </w:pPr>
      <w:r>
        <w:rPr>
          <w:rFonts w:hint="eastAsia" w:ascii="宋体" w:hAnsi="宋体" w:cs="宋体"/>
          <w:sz w:val="24"/>
          <w:szCs w:val="24"/>
          <w:highlight w:val="none"/>
          <w:lang w:val="zh-CN"/>
        </w:rPr>
        <w:t>3.2.3 投标人得分=A+B+C。</w:t>
      </w:r>
    </w:p>
    <w:p w14:paraId="48060FBD">
      <w:pPr>
        <w:pStyle w:val="11"/>
        <w:spacing w:line="240" w:lineRule="auto"/>
        <w:ind w:firstLine="480" w:firstLineChars="200"/>
        <w:jc w:val="both"/>
        <w:rPr>
          <w:rFonts w:hint="eastAsia" w:ascii="宋体" w:hAnsi="宋体" w:cs="宋体"/>
          <w:sz w:val="24"/>
          <w:szCs w:val="24"/>
          <w:highlight w:val="none"/>
          <w:lang w:val="zh-CN"/>
        </w:rPr>
      </w:pPr>
      <w:r>
        <w:rPr>
          <w:rFonts w:hint="eastAsia" w:ascii="宋体" w:hAnsi="宋体" w:cs="宋体"/>
          <w:sz w:val="24"/>
          <w:szCs w:val="24"/>
          <w:highlight w:val="none"/>
          <w:lang w:val="zh-CN"/>
        </w:rPr>
        <w:t>3.2.4报价评审</w:t>
      </w:r>
    </w:p>
    <w:p w14:paraId="4C979770">
      <w:pPr>
        <w:pStyle w:val="11"/>
        <w:spacing w:line="240" w:lineRule="auto"/>
        <w:jc w:val="both"/>
        <w:rPr>
          <w:rFonts w:hint="eastAsia" w:ascii="宋体" w:hAnsi="宋体" w:cs="宋体"/>
          <w:sz w:val="24"/>
          <w:szCs w:val="24"/>
          <w:highlight w:val="none"/>
          <w:lang w:val="zh-CN"/>
        </w:rPr>
      </w:pPr>
      <w:r>
        <w:rPr>
          <w:rFonts w:hint="eastAsia" w:ascii="宋体" w:hAnsi="宋体" w:cs="宋体"/>
          <w:sz w:val="24"/>
          <w:szCs w:val="24"/>
          <w:highlight w:val="none"/>
          <w:lang w:val="zh-CN"/>
        </w:rPr>
        <w:t>评标委员会对投标人投标文件中的投标报价进行评审，评审内容包括：</w:t>
      </w:r>
    </w:p>
    <w:p w14:paraId="13535D3D">
      <w:pPr>
        <w:pStyle w:val="11"/>
        <w:spacing w:line="240" w:lineRule="auto"/>
        <w:jc w:val="both"/>
        <w:rPr>
          <w:rFonts w:hint="eastAsia" w:ascii="宋体" w:hAnsi="宋体" w:cs="宋体"/>
          <w:sz w:val="24"/>
          <w:szCs w:val="24"/>
          <w:highlight w:val="none"/>
          <w:lang w:val="zh-CN"/>
        </w:rPr>
      </w:pPr>
      <w:r>
        <w:rPr>
          <w:rFonts w:hint="eastAsia" w:ascii="宋体" w:hAnsi="宋体" w:cs="宋体"/>
          <w:sz w:val="24"/>
          <w:szCs w:val="24"/>
          <w:highlight w:val="none"/>
          <w:lang w:val="zh-CN"/>
        </w:rPr>
        <w:t>投标报价有算术错误的，评标委员会按以下原则对投标报价进行修正，修正的价格经投标人书面确认后具有约束力。修正后的价格为投标人最终报价，如果中标就是中标价。投标人不接受修正价格的，其投标作废标处理。</w:t>
      </w:r>
    </w:p>
    <w:p w14:paraId="4CE462B7">
      <w:pPr>
        <w:pStyle w:val="11"/>
        <w:spacing w:line="240" w:lineRule="auto"/>
        <w:jc w:val="both"/>
        <w:rPr>
          <w:rFonts w:hint="eastAsia" w:ascii="宋体" w:hAnsi="宋体" w:cs="宋体"/>
          <w:sz w:val="24"/>
          <w:szCs w:val="24"/>
          <w:highlight w:val="none"/>
          <w:lang w:val="zh-CN"/>
        </w:rPr>
      </w:pPr>
      <w:r>
        <w:rPr>
          <w:rFonts w:hint="eastAsia" w:ascii="宋体" w:hAnsi="宋体" w:cs="宋体"/>
          <w:sz w:val="24"/>
          <w:szCs w:val="24"/>
          <w:highlight w:val="none"/>
          <w:lang w:val="zh-CN"/>
        </w:rPr>
        <w:t xml:space="preserve">    (1)投标文件中的大写金额与小写金额不一致的，以大写金额为准：</w:t>
      </w:r>
    </w:p>
    <w:p w14:paraId="5668860D">
      <w:pPr>
        <w:pStyle w:val="11"/>
        <w:spacing w:line="240" w:lineRule="auto"/>
        <w:jc w:val="both"/>
        <w:rPr>
          <w:rFonts w:hint="eastAsia" w:ascii="宋体" w:hAnsi="宋体" w:cs="宋体"/>
          <w:sz w:val="24"/>
          <w:szCs w:val="24"/>
          <w:highlight w:val="none"/>
          <w:lang w:val="zh-CN"/>
        </w:rPr>
      </w:pPr>
      <w:r>
        <w:rPr>
          <w:rFonts w:hint="eastAsia" w:ascii="宋体" w:hAnsi="宋体" w:cs="宋体"/>
          <w:sz w:val="24"/>
          <w:szCs w:val="24"/>
          <w:highlight w:val="none"/>
          <w:lang w:val="zh-CN"/>
        </w:rPr>
        <w:t xml:space="preserve">    (2)总价金额与依据单价计算出的结果不一致的，以单价金额为准修正总价，但单价金额小数点有明显错误的除外。</w:t>
      </w:r>
    </w:p>
    <w:p w14:paraId="050946E8">
      <w:pPr>
        <w:pStyle w:val="11"/>
        <w:spacing w:line="240" w:lineRule="auto"/>
        <w:jc w:val="both"/>
        <w:rPr>
          <w:rFonts w:hint="eastAsia" w:ascii="宋体" w:hAnsi="宋体" w:cs="宋体"/>
          <w:sz w:val="24"/>
          <w:szCs w:val="24"/>
          <w:highlight w:val="none"/>
          <w:lang w:val="zh-CN"/>
        </w:rPr>
      </w:pPr>
      <w:r>
        <w:rPr>
          <w:rFonts w:hint="eastAsia" w:ascii="宋体" w:hAnsi="宋体" w:cs="宋体"/>
          <w:sz w:val="24"/>
          <w:szCs w:val="24"/>
          <w:highlight w:val="none"/>
          <w:lang w:val="zh-CN"/>
        </w:rPr>
        <w:t>3.3 投标文件的澄清和补正</w:t>
      </w:r>
    </w:p>
    <w:p w14:paraId="16748FF6">
      <w:pPr>
        <w:pStyle w:val="11"/>
        <w:spacing w:line="240" w:lineRule="auto"/>
        <w:jc w:val="both"/>
        <w:rPr>
          <w:rFonts w:hint="eastAsia" w:ascii="宋体" w:hAnsi="宋体" w:cs="宋体"/>
          <w:sz w:val="24"/>
          <w:szCs w:val="24"/>
          <w:highlight w:val="none"/>
          <w:lang w:val="zh-CN"/>
        </w:rPr>
      </w:pPr>
      <w:r>
        <w:rPr>
          <w:rFonts w:hint="eastAsia" w:ascii="宋体" w:hAnsi="宋体" w:cs="宋体"/>
          <w:sz w:val="24"/>
          <w:szCs w:val="24"/>
          <w:highlight w:val="none"/>
          <w:lang w:val="zh-CN"/>
        </w:rPr>
        <w:t xml:space="preserve">    3.3.1 在评标过程中，评标委员会可以书面形式要求投标人对所提交投标文件中不明确的内容进行书面澄清或说明，或者对细微偏差进行补正。评标委员会不接受投标人主动提出的澄清、说明或补正。</w:t>
      </w:r>
    </w:p>
    <w:p w14:paraId="1A0629C3">
      <w:pPr>
        <w:pStyle w:val="11"/>
        <w:spacing w:line="240" w:lineRule="auto"/>
        <w:jc w:val="both"/>
        <w:rPr>
          <w:rFonts w:hint="eastAsia" w:ascii="宋体" w:hAnsi="宋体" w:cs="宋体"/>
          <w:sz w:val="24"/>
          <w:szCs w:val="24"/>
          <w:highlight w:val="none"/>
          <w:lang w:val="zh-CN"/>
        </w:rPr>
      </w:pPr>
      <w:r>
        <w:rPr>
          <w:rFonts w:hint="eastAsia" w:ascii="宋体" w:hAnsi="宋体" w:cs="宋体"/>
          <w:sz w:val="24"/>
          <w:szCs w:val="24"/>
          <w:highlight w:val="none"/>
          <w:lang w:val="zh-CN"/>
        </w:rPr>
        <w:t xml:space="preserve">    3.3.2 澄清、说明和补正不得改变投标文件的实质性内容(算术性错误修正的除外)。投标人的书面澄清、说明和补正属于投标文件的组成部分。</w:t>
      </w:r>
    </w:p>
    <w:p w14:paraId="451C4B48">
      <w:pPr>
        <w:pStyle w:val="11"/>
        <w:spacing w:line="240" w:lineRule="auto"/>
        <w:ind w:firstLine="480" w:firstLineChars="200"/>
        <w:jc w:val="both"/>
        <w:rPr>
          <w:rFonts w:hint="eastAsia" w:ascii="宋体" w:hAnsi="宋体" w:cs="宋体"/>
          <w:sz w:val="24"/>
          <w:szCs w:val="24"/>
          <w:highlight w:val="none"/>
          <w:lang w:val="zh-CN"/>
        </w:rPr>
      </w:pPr>
      <w:r>
        <w:rPr>
          <w:rFonts w:hint="eastAsia" w:ascii="宋体" w:hAnsi="宋体" w:cs="宋体"/>
          <w:sz w:val="24"/>
          <w:szCs w:val="24"/>
          <w:highlight w:val="none"/>
          <w:lang w:val="zh-CN"/>
        </w:rPr>
        <w:t>3.3.3 评标委员会对投标人提交的澄清、说明或补正有疑问的，可以要求投标人进一步澄清、说明或补正，直至满足评标委员会的要求。</w:t>
      </w:r>
    </w:p>
    <w:p w14:paraId="192D4C04">
      <w:pPr>
        <w:pStyle w:val="11"/>
        <w:spacing w:line="240" w:lineRule="auto"/>
        <w:jc w:val="both"/>
        <w:rPr>
          <w:rFonts w:hint="eastAsia" w:ascii="宋体" w:hAnsi="宋体" w:cs="宋体"/>
          <w:sz w:val="24"/>
          <w:szCs w:val="24"/>
          <w:highlight w:val="yellow"/>
          <w:lang w:val="zh-CN"/>
        </w:rPr>
      </w:pPr>
      <w:r>
        <w:rPr>
          <w:rFonts w:hint="eastAsia" w:ascii="宋体" w:hAnsi="宋体" w:cs="宋体"/>
          <w:sz w:val="24"/>
          <w:szCs w:val="24"/>
          <w:highlight w:val="yellow"/>
          <w:lang w:val="zh-CN"/>
        </w:rPr>
        <w:br w:type="page"/>
      </w:r>
    </w:p>
    <w:p w14:paraId="6FE56702">
      <w:pPr>
        <w:pStyle w:val="11"/>
        <w:spacing w:line="240" w:lineRule="auto"/>
        <w:jc w:val="center"/>
        <w:rPr>
          <w:highlight w:val="yellow"/>
        </w:rPr>
      </w:pPr>
      <w:r>
        <w:rPr>
          <w:rFonts w:hint="eastAsia" w:ascii="Calibri" w:hAnsi="Calibri" w:eastAsia="宋体" w:cs="Times New Roman"/>
          <w:b/>
          <w:bCs/>
          <w:kern w:val="44"/>
          <w:sz w:val="44"/>
          <w:szCs w:val="44"/>
          <w:highlight w:val="none"/>
          <w:lang w:val="en-US" w:eastAsia="zh-CN" w:bidi="ar-SA"/>
        </w:rPr>
        <w:t>第六章  投标文件主要条款及格式样本</w:t>
      </w:r>
      <w:bookmarkEnd w:id="24"/>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74"/>
        <w:gridCol w:w="6813"/>
      </w:tblGrid>
      <w:tr w14:paraId="69AA6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4" w:type="dxa"/>
            <w:noWrap w:val="0"/>
            <w:vAlign w:val="top"/>
          </w:tcPr>
          <w:p w14:paraId="6457A8B7">
            <w:pPr>
              <w:numPr>
                <w:ilvl w:val="0"/>
                <w:numId w:val="0"/>
              </w:numPr>
              <w:autoSpaceDE w:val="0"/>
              <w:autoSpaceDN w:val="0"/>
              <w:adjustRightInd w:val="0"/>
              <w:spacing w:line="440" w:lineRule="exact"/>
              <w:jc w:val="both"/>
              <w:rPr>
                <w:rFonts w:hint="eastAsia" w:ascii="宋体" w:hAnsi="宋体" w:eastAsia="宋体" w:cs="宋体"/>
                <w:b/>
                <w:bCs/>
                <w:sz w:val="24"/>
                <w:highlight w:val="none"/>
                <w:vertAlign w:val="baseline"/>
                <w:lang w:val="zh-CN"/>
              </w:rPr>
            </w:pPr>
            <w:r>
              <w:rPr>
                <w:rFonts w:hint="eastAsia" w:ascii="宋体" w:hAnsi="宋体" w:eastAsia="宋体" w:cs="宋体"/>
                <w:b/>
                <w:bCs/>
                <w:sz w:val="24"/>
                <w:highlight w:val="none"/>
                <w:vertAlign w:val="baseline"/>
                <w:lang w:val="en-US" w:eastAsia="zh-CN"/>
              </w:rPr>
              <w:t>评</w:t>
            </w:r>
            <w:r>
              <w:rPr>
                <w:rFonts w:hint="eastAsia" w:ascii="宋体" w:hAnsi="宋体" w:eastAsia="宋体" w:cs="宋体"/>
                <w:b/>
                <w:bCs/>
                <w:sz w:val="24"/>
                <w:highlight w:val="none"/>
                <w:vertAlign w:val="baseline"/>
                <w:lang w:val="zh-CN"/>
              </w:rPr>
              <w:t>审方式</w:t>
            </w:r>
          </w:p>
        </w:tc>
        <w:tc>
          <w:tcPr>
            <w:tcW w:w="6813" w:type="dxa"/>
            <w:noWrap w:val="0"/>
            <w:vAlign w:val="top"/>
          </w:tcPr>
          <w:p w14:paraId="1DD7A3EA">
            <w:pPr>
              <w:numPr>
                <w:ilvl w:val="0"/>
                <w:numId w:val="0"/>
              </w:numPr>
              <w:autoSpaceDE w:val="0"/>
              <w:autoSpaceDN w:val="0"/>
              <w:adjustRightInd w:val="0"/>
              <w:spacing w:line="440" w:lineRule="exact"/>
              <w:jc w:val="both"/>
              <w:rPr>
                <w:rFonts w:hint="eastAsia" w:ascii="宋体" w:hAnsi="宋体" w:eastAsia="宋体" w:cs="宋体"/>
                <w:b w:val="0"/>
                <w:bCs w:val="0"/>
                <w:sz w:val="24"/>
                <w:highlight w:val="none"/>
                <w:vertAlign w:val="baseline"/>
                <w:lang w:val="zh-CN"/>
              </w:rPr>
            </w:pPr>
            <w:r>
              <w:rPr>
                <w:rFonts w:hint="eastAsia" w:ascii="宋体" w:hAnsi="宋体" w:eastAsia="宋体" w:cs="宋体"/>
                <w:b w:val="0"/>
                <w:bCs w:val="0"/>
                <w:sz w:val="24"/>
                <w:highlight w:val="none"/>
                <w:vertAlign w:val="baseline"/>
                <w:lang w:val="zh-CN"/>
              </w:rPr>
              <w:t>双盲评审</w:t>
            </w:r>
          </w:p>
        </w:tc>
      </w:tr>
      <w:tr w14:paraId="4EEFC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4" w:type="dxa"/>
            <w:noWrap w:val="0"/>
            <w:vAlign w:val="top"/>
          </w:tcPr>
          <w:p w14:paraId="70BB9276">
            <w:pPr>
              <w:numPr>
                <w:ilvl w:val="0"/>
                <w:numId w:val="0"/>
              </w:numPr>
              <w:autoSpaceDE w:val="0"/>
              <w:autoSpaceDN w:val="0"/>
              <w:adjustRightInd w:val="0"/>
              <w:spacing w:line="440" w:lineRule="exact"/>
              <w:jc w:val="both"/>
              <w:rPr>
                <w:rFonts w:hint="eastAsia" w:ascii="宋体" w:hAnsi="宋体" w:eastAsia="宋体" w:cs="宋体"/>
                <w:b/>
                <w:bCs/>
                <w:sz w:val="24"/>
                <w:highlight w:val="none"/>
                <w:vertAlign w:val="baseline"/>
                <w:lang w:val="zh-CN"/>
              </w:rPr>
            </w:pPr>
            <w:r>
              <w:rPr>
                <w:rFonts w:hint="eastAsia" w:ascii="宋体" w:hAnsi="宋体" w:eastAsia="宋体" w:cs="宋体"/>
                <w:b/>
                <w:bCs/>
                <w:sz w:val="24"/>
                <w:highlight w:val="none"/>
                <w:vertAlign w:val="baseline"/>
                <w:lang w:val="zh-CN"/>
              </w:rPr>
              <w:t>文件编制要求</w:t>
            </w:r>
          </w:p>
        </w:tc>
        <w:tc>
          <w:tcPr>
            <w:tcW w:w="6813" w:type="dxa"/>
            <w:noWrap w:val="0"/>
            <w:vAlign w:val="top"/>
          </w:tcPr>
          <w:p w14:paraId="580DFC8F">
            <w:pPr>
              <w:numPr>
                <w:ilvl w:val="0"/>
                <w:numId w:val="0"/>
              </w:numPr>
              <w:autoSpaceDE w:val="0"/>
              <w:autoSpaceDN w:val="0"/>
              <w:adjustRightInd w:val="0"/>
              <w:spacing w:line="440" w:lineRule="exact"/>
              <w:jc w:val="both"/>
              <w:rPr>
                <w:rFonts w:hint="eastAsia" w:ascii="宋体" w:hAnsi="宋体" w:eastAsia="宋体" w:cs="宋体"/>
                <w:b w:val="0"/>
                <w:bCs w:val="0"/>
                <w:sz w:val="24"/>
                <w:highlight w:val="none"/>
                <w:vertAlign w:val="baseline"/>
                <w:lang w:val="zh-CN"/>
              </w:rPr>
            </w:pPr>
            <w:r>
              <w:rPr>
                <w:rFonts w:hint="eastAsia" w:ascii="宋体" w:hAnsi="宋体" w:eastAsia="宋体" w:cs="宋体"/>
                <w:b w:val="0"/>
                <w:bCs w:val="0"/>
                <w:sz w:val="24"/>
                <w:highlight w:val="none"/>
                <w:vertAlign w:val="baseline"/>
                <w:lang w:val="zh-CN"/>
              </w:rPr>
              <w:t>投标人必须将投标文件分为商务标（明标）和技术标（暗标）两部分，并分开制作</w:t>
            </w:r>
          </w:p>
        </w:tc>
      </w:tr>
      <w:tr w14:paraId="48FB4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4" w:type="dxa"/>
            <w:noWrap w:val="0"/>
            <w:vAlign w:val="top"/>
          </w:tcPr>
          <w:p w14:paraId="57EF0928">
            <w:pPr>
              <w:numPr>
                <w:ilvl w:val="0"/>
                <w:numId w:val="0"/>
              </w:numPr>
              <w:autoSpaceDE w:val="0"/>
              <w:autoSpaceDN w:val="0"/>
              <w:adjustRightInd w:val="0"/>
              <w:spacing w:line="440" w:lineRule="exact"/>
              <w:jc w:val="both"/>
              <w:rPr>
                <w:rFonts w:hint="eastAsia" w:ascii="宋体" w:hAnsi="宋体" w:eastAsia="宋体" w:cs="宋体"/>
                <w:b/>
                <w:bCs/>
                <w:sz w:val="24"/>
                <w:highlight w:val="none"/>
                <w:vertAlign w:val="baseline"/>
                <w:lang w:val="zh-CN"/>
              </w:rPr>
            </w:pPr>
            <w:r>
              <w:rPr>
                <w:rFonts w:hint="eastAsia" w:ascii="宋体" w:hAnsi="宋体" w:eastAsia="宋体" w:cs="宋体"/>
                <w:b/>
                <w:bCs/>
                <w:sz w:val="24"/>
                <w:highlight w:val="none"/>
                <w:vertAlign w:val="baseline"/>
                <w:lang w:val="zh-CN"/>
              </w:rPr>
              <w:t>技术标（暗标）格式</w:t>
            </w:r>
          </w:p>
        </w:tc>
        <w:tc>
          <w:tcPr>
            <w:tcW w:w="6813" w:type="dxa"/>
            <w:noWrap w:val="0"/>
            <w:vAlign w:val="top"/>
          </w:tcPr>
          <w:p w14:paraId="69F3B7CD">
            <w:pPr>
              <w:numPr>
                <w:ilvl w:val="0"/>
                <w:numId w:val="0"/>
              </w:numPr>
              <w:autoSpaceDE w:val="0"/>
              <w:autoSpaceDN w:val="0"/>
              <w:adjustRightInd w:val="0"/>
              <w:spacing w:line="440" w:lineRule="exact"/>
              <w:jc w:val="both"/>
              <w:rPr>
                <w:rFonts w:hint="eastAsia" w:ascii="宋体" w:hAnsi="宋体" w:eastAsia="宋体" w:cs="宋体"/>
                <w:b w:val="0"/>
                <w:bCs w:val="0"/>
                <w:sz w:val="24"/>
                <w:highlight w:val="none"/>
                <w:vertAlign w:val="baseline"/>
                <w:lang w:val="zh-CN"/>
              </w:rPr>
            </w:pPr>
            <w:r>
              <w:rPr>
                <w:rFonts w:hint="eastAsia" w:ascii="宋体" w:hAnsi="宋体" w:eastAsia="宋体" w:cs="宋体"/>
                <w:b w:val="0"/>
                <w:bCs w:val="0"/>
                <w:sz w:val="24"/>
                <w:highlight w:val="none"/>
                <w:vertAlign w:val="baseline"/>
                <w:lang w:val="zh-CN"/>
              </w:rPr>
              <w:t>投标文件技术标必须遵守的统一格式和规范。</w:t>
            </w:r>
          </w:p>
          <w:p w14:paraId="2A7B323B">
            <w:pPr>
              <w:numPr>
                <w:ilvl w:val="0"/>
                <w:numId w:val="0"/>
              </w:numPr>
              <w:autoSpaceDE w:val="0"/>
              <w:autoSpaceDN w:val="0"/>
              <w:adjustRightInd w:val="0"/>
              <w:spacing w:line="440" w:lineRule="exact"/>
              <w:jc w:val="both"/>
              <w:rPr>
                <w:rFonts w:hint="eastAsia" w:ascii="宋体" w:hAnsi="宋体" w:eastAsia="宋体" w:cs="宋体"/>
                <w:b w:val="0"/>
                <w:bCs w:val="0"/>
                <w:sz w:val="24"/>
                <w:highlight w:val="none"/>
                <w:vertAlign w:val="baseline"/>
                <w:lang w:val="zh-CN"/>
              </w:rPr>
            </w:pPr>
            <w:r>
              <w:rPr>
                <w:rFonts w:hint="eastAsia" w:ascii="宋体" w:hAnsi="宋体" w:eastAsia="宋体" w:cs="宋体"/>
                <w:b w:val="0"/>
                <w:bCs w:val="0"/>
                <w:sz w:val="24"/>
                <w:highlight w:val="none"/>
                <w:vertAlign w:val="baseline"/>
                <w:lang w:val="zh-CN"/>
              </w:rPr>
              <w:t xml:space="preserve"> 技术标文件（暗标）未按以下“盲评”要求制作的，为无效投标，除下述要求外，不得因暗标格式问题认定为无效投标：</w:t>
            </w:r>
          </w:p>
          <w:p w14:paraId="3071E7B4">
            <w:pPr>
              <w:numPr>
                <w:ilvl w:val="0"/>
                <w:numId w:val="0"/>
              </w:numPr>
              <w:autoSpaceDE w:val="0"/>
              <w:autoSpaceDN w:val="0"/>
              <w:adjustRightInd w:val="0"/>
              <w:spacing w:line="440" w:lineRule="exact"/>
              <w:jc w:val="both"/>
              <w:rPr>
                <w:rFonts w:hint="eastAsia" w:ascii="宋体" w:hAnsi="宋体" w:eastAsia="宋体" w:cs="宋体"/>
                <w:b w:val="0"/>
                <w:bCs w:val="0"/>
                <w:sz w:val="24"/>
                <w:highlight w:val="none"/>
                <w:vertAlign w:val="baseline"/>
                <w:lang w:val="zh-CN"/>
              </w:rPr>
            </w:pPr>
            <w:r>
              <w:rPr>
                <w:rFonts w:hint="eastAsia" w:ascii="宋体" w:hAnsi="宋体" w:eastAsia="宋体" w:cs="宋体"/>
                <w:b w:val="0"/>
                <w:bCs w:val="0"/>
                <w:sz w:val="24"/>
                <w:highlight w:val="none"/>
                <w:vertAlign w:val="baseline"/>
                <w:lang w:val="en-US" w:eastAsia="zh-CN"/>
              </w:rPr>
              <w:t>1.</w:t>
            </w:r>
            <w:r>
              <w:rPr>
                <w:rFonts w:hint="eastAsia" w:ascii="宋体" w:hAnsi="宋体" w:eastAsia="宋体" w:cs="宋体"/>
                <w:b w:val="0"/>
                <w:bCs w:val="0"/>
                <w:sz w:val="24"/>
                <w:highlight w:val="none"/>
                <w:vertAlign w:val="baseline"/>
                <w:lang w:val="zh-CN"/>
              </w:rPr>
              <w:t>版面要求：A4纸张大小；</w:t>
            </w:r>
          </w:p>
          <w:p w14:paraId="13534962">
            <w:pPr>
              <w:numPr>
                <w:ilvl w:val="0"/>
                <w:numId w:val="0"/>
              </w:numPr>
              <w:autoSpaceDE w:val="0"/>
              <w:autoSpaceDN w:val="0"/>
              <w:adjustRightInd w:val="0"/>
              <w:spacing w:line="440" w:lineRule="exact"/>
              <w:jc w:val="both"/>
              <w:rPr>
                <w:rFonts w:hint="eastAsia" w:ascii="宋体" w:hAnsi="宋体" w:eastAsia="宋体" w:cs="宋体"/>
                <w:b w:val="0"/>
                <w:bCs w:val="0"/>
                <w:sz w:val="24"/>
                <w:highlight w:val="none"/>
                <w:vertAlign w:val="baseline"/>
                <w:lang w:val="zh-CN"/>
              </w:rPr>
            </w:pPr>
            <w:r>
              <w:rPr>
                <w:rFonts w:hint="eastAsia" w:ascii="宋体" w:hAnsi="宋体" w:eastAsia="宋体" w:cs="宋体"/>
                <w:b w:val="0"/>
                <w:bCs w:val="0"/>
                <w:sz w:val="24"/>
                <w:highlight w:val="none"/>
                <w:vertAlign w:val="baseline"/>
                <w:lang w:val="en-US" w:eastAsia="zh-CN"/>
              </w:rPr>
              <w:t>2.</w:t>
            </w:r>
            <w:r>
              <w:rPr>
                <w:rFonts w:hint="eastAsia" w:ascii="宋体" w:hAnsi="宋体" w:eastAsia="宋体" w:cs="宋体"/>
                <w:b w:val="0"/>
                <w:bCs w:val="0"/>
                <w:sz w:val="24"/>
                <w:highlight w:val="none"/>
                <w:vertAlign w:val="baseline"/>
                <w:lang w:val="zh-CN"/>
              </w:rPr>
              <w:t>颜色要求：所有文字、图、表均为黑色；</w:t>
            </w:r>
          </w:p>
          <w:p w14:paraId="2DDDC65D">
            <w:pPr>
              <w:numPr>
                <w:ilvl w:val="0"/>
                <w:numId w:val="0"/>
              </w:numPr>
              <w:autoSpaceDE w:val="0"/>
              <w:autoSpaceDN w:val="0"/>
              <w:adjustRightInd w:val="0"/>
              <w:spacing w:line="440" w:lineRule="exact"/>
              <w:jc w:val="both"/>
              <w:rPr>
                <w:rFonts w:hint="eastAsia" w:ascii="宋体" w:hAnsi="宋体" w:eastAsia="宋体" w:cs="宋体"/>
                <w:b w:val="0"/>
                <w:bCs w:val="0"/>
                <w:sz w:val="24"/>
                <w:highlight w:val="none"/>
                <w:vertAlign w:val="baseline"/>
                <w:lang w:val="zh-CN"/>
              </w:rPr>
            </w:pPr>
            <w:r>
              <w:rPr>
                <w:rFonts w:hint="eastAsia" w:ascii="宋体" w:hAnsi="宋体" w:eastAsia="宋体" w:cs="宋体"/>
                <w:b w:val="0"/>
                <w:bCs w:val="0"/>
                <w:sz w:val="24"/>
                <w:highlight w:val="none"/>
                <w:vertAlign w:val="baseline"/>
                <w:lang w:val="en-US" w:eastAsia="zh-CN"/>
              </w:rPr>
              <w:t>3.</w:t>
            </w:r>
            <w:r>
              <w:rPr>
                <w:rFonts w:hint="eastAsia" w:ascii="宋体" w:hAnsi="宋体" w:eastAsia="宋体" w:cs="宋体"/>
                <w:b w:val="0"/>
                <w:bCs w:val="0"/>
                <w:sz w:val="24"/>
                <w:highlight w:val="none"/>
                <w:vertAlign w:val="baseline"/>
                <w:lang w:val="zh-CN"/>
              </w:rPr>
              <w:t>字体要求：标题及正文部分所用文字均采用“宋体”四号“常规”字；所有字体均不得出现加粗、加色、倾斜、下划线等标记；</w:t>
            </w:r>
          </w:p>
          <w:p w14:paraId="0DB372D6">
            <w:pPr>
              <w:numPr>
                <w:ilvl w:val="0"/>
                <w:numId w:val="0"/>
              </w:numPr>
              <w:autoSpaceDE w:val="0"/>
              <w:autoSpaceDN w:val="0"/>
              <w:adjustRightInd w:val="0"/>
              <w:spacing w:line="440" w:lineRule="exact"/>
              <w:jc w:val="both"/>
              <w:rPr>
                <w:rFonts w:hint="eastAsia" w:ascii="宋体" w:hAnsi="宋体" w:eastAsia="宋体" w:cs="宋体"/>
                <w:b w:val="0"/>
                <w:bCs w:val="0"/>
                <w:sz w:val="24"/>
                <w:highlight w:val="none"/>
                <w:vertAlign w:val="baseline"/>
                <w:lang w:val="zh-CN"/>
              </w:rPr>
            </w:pPr>
            <w:r>
              <w:rPr>
                <w:rFonts w:hint="eastAsia" w:ascii="宋体" w:hAnsi="宋体" w:eastAsia="宋体" w:cs="宋体"/>
                <w:b w:val="0"/>
                <w:bCs w:val="0"/>
                <w:sz w:val="24"/>
                <w:highlight w:val="none"/>
                <w:vertAlign w:val="baseline"/>
                <w:lang w:val="en-US" w:eastAsia="zh-CN"/>
              </w:rPr>
              <w:t>4.</w:t>
            </w:r>
            <w:r>
              <w:rPr>
                <w:rFonts w:hint="eastAsia" w:ascii="宋体" w:hAnsi="宋体" w:eastAsia="宋体" w:cs="宋体"/>
                <w:b w:val="0"/>
                <w:bCs w:val="0"/>
                <w:sz w:val="24"/>
                <w:highlight w:val="none"/>
                <w:vertAlign w:val="baseline"/>
                <w:lang w:val="zh-CN"/>
              </w:rPr>
              <w:t>排版要求：页边距要求上边距2.5厘米，其余均为2厘米；不得设置封面、目录；正文行间距为固定值30磅；文字内容（含正文标题、正文）统一设为左对齐，首行缩进2字符，段落前后不设置空行；不得设置页眉、页脚和页码；</w:t>
            </w:r>
          </w:p>
          <w:p w14:paraId="2AEC105A">
            <w:pPr>
              <w:numPr>
                <w:ilvl w:val="0"/>
                <w:numId w:val="0"/>
              </w:numPr>
              <w:autoSpaceDE w:val="0"/>
              <w:autoSpaceDN w:val="0"/>
              <w:adjustRightInd w:val="0"/>
              <w:spacing w:line="440" w:lineRule="exact"/>
              <w:jc w:val="both"/>
              <w:rPr>
                <w:rFonts w:hint="eastAsia" w:ascii="宋体" w:hAnsi="宋体" w:eastAsia="宋体" w:cs="宋体"/>
                <w:b w:val="0"/>
                <w:bCs w:val="0"/>
                <w:sz w:val="24"/>
                <w:highlight w:val="none"/>
                <w:vertAlign w:val="baseline"/>
                <w:lang w:val="zh-CN"/>
              </w:rPr>
            </w:pPr>
            <w:r>
              <w:rPr>
                <w:rFonts w:hint="eastAsia" w:ascii="宋体" w:hAnsi="宋体" w:eastAsia="宋体" w:cs="宋体"/>
                <w:b w:val="0"/>
                <w:bCs w:val="0"/>
                <w:sz w:val="24"/>
                <w:highlight w:val="none"/>
                <w:vertAlign w:val="baseline"/>
                <w:lang w:val="en-US" w:eastAsia="zh-CN"/>
              </w:rPr>
              <w:t>5.</w:t>
            </w:r>
            <w:r>
              <w:rPr>
                <w:rFonts w:hint="eastAsia" w:ascii="宋体" w:hAnsi="宋体" w:eastAsia="宋体" w:cs="宋体"/>
                <w:b w:val="0"/>
                <w:bCs w:val="0"/>
                <w:sz w:val="24"/>
                <w:highlight w:val="none"/>
                <w:vertAlign w:val="baseline"/>
                <w:lang w:val="zh-CN"/>
              </w:rPr>
              <w:t>图、表要求：图内的字体、字号不作要求。表内文字均采用“宋体”四号“常规”字，均不得出现加粗、加色、倾斜、下划线等标记；表内文字设为上下居中、左对齐，特殊格式（首行缩进）为无。图、表整体对齐形式统一设为居中对齐，不得将表格以图片格式插入技术标（暗标）文件。</w:t>
            </w:r>
          </w:p>
          <w:p w14:paraId="14C17FB0">
            <w:pPr>
              <w:numPr>
                <w:ilvl w:val="0"/>
                <w:numId w:val="0"/>
              </w:numPr>
              <w:autoSpaceDE w:val="0"/>
              <w:autoSpaceDN w:val="0"/>
              <w:adjustRightInd w:val="0"/>
              <w:spacing w:line="440" w:lineRule="exact"/>
              <w:jc w:val="both"/>
              <w:rPr>
                <w:rFonts w:hint="eastAsia" w:ascii="宋体" w:hAnsi="宋体" w:eastAsia="宋体" w:cs="宋体"/>
                <w:b w:val="0"/>
                <w:bCs w:val="0"/>
                <w:sz w:val="24"/>
                <w:highlight w:val="none"/>
                <w:vertAlign w:val="baseline"/>
                <w:lang w:val="en-US" w:eastAsia="zh-CN"/>
              </w:rPr>
            </w:pPr>
            <w:r>
              <w:rPr>
                <w:rFonts w:hint="eastAsia" w:ascii="宋体" w:hAnsi="宋体" w:eastAsia="宋体" w:cs="宋体"/>
                <w:b w:val="0"/>
                <w:bCs w:val="0"/>
                <w:sz w:val="24"/>
                <w:highlight w:val="none"/>
                <w:vertAlign w:val="baseline"/>
                <w:lang w:val="en-US" w:eastAsia="zh-CN"/>
              </w:rPr>
              <w:t>6.</w:t>
            </w:r>
            <w:r>
              <w:rPr>
                <w:rFonts w:hint="eastAsia" w:ascii="宋体" w:hAnsi="宋体" w:eastAsia="宋体" w:cs="宋体"/>
                <w:b w:val="0"/>
                <w:bCs w:val="0"/>
                <w:sz w:val="24"/>
                <w:highlight w:val="none"/>
                <w:vertAlign w:val="baseline"/>
                <w:lang w:val="zh-CN"/>
              </w:rPr>
              <w:t>其它：除满足上述各项要求外，构成投标文件的“技术暗标”的正文中均不得出现供应商的名称和其它可识别供应商身份的字符、徽标、人员名称以及其他可能被辨别出供应商身份的任何标记。</w:t>
            </w:r>
          </w:p>
        </w:tc>
      </w:tr>
      <w:tr w14:paraId="4383D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4" w:type="dxa"/>
            <w:noWrap w:val="0"/>
            <w:vAlign w:val="top"/>
          </w:tcPr>
          <w:p w14:paraId="333EC747">
            <w:pPr>
              <w:numPr>
                <w:ilvl w:val="0"/>
                <w:numId w:val="0"/>
              </w:numPr>
              <w:autoSpaceDE w:val="0"/>
              <w:autoSpaceDN w:val="0"/>
              <w:adjustRightInd w:val="0"/>
              <w:spacing w:line="440" w:lineRule="exact"/>
              <w:jc w:val="both"/>
              <w:rPr>
                <w:rFonts w:hint="eastAsia" w:ascii="宋体" w:hAnsi="宋体" w:eastAsia="宋体" w:cs="宋体"/>
                <w:b w:val="0"/>
                <w:bCs w:val="0"/>
                <w:sz w:val="24"/>
                <w:highlight w:val="none"/>
                <w:vertAlign w:val="baseline"/>
                <w:lang w:val="zh-CN"/>
              </w:rPr>
            </w:pPr>
            <w:r>
              <w:rPr>
                <w:rFonts w:hint="eastAsia" w:ascii="宋体" w:hAnsi="宋体" w:eastAsia="宋体" w:cs="宋体"/>
                <w:b/>
                <w:bCs/>
                <w:sz w:val="24"/>
                <w:highlight w:val="none"/>
                <w:vertAlign w:val="baseline"/>
                <w:lang w:val="zh-CN"/>
              </w:rPr>
              <w:t>无效投标情形</w:t>
            </w:r>
          </w:p>
        </w:tc>
        <w:tc>
          <w:tcPr>
            <w:tcW w:w="6813" w:type="dxa"/>
            <w:noWrap w:val="0"/>
            <w:vAlign w:val="top"/>
          </w:tcPr>
          <w:p w14:paraId="645DCE5E">
            <w:pPr>
              <w:numPr>
                <w:ilvl w:val="0"/>
                <w:numId w:val="0"/>
              </w:numPr>
              <w:autoSpaceDE w:val="0"/>
              <w:autoSpaceDN w:val="0"/>
              <w:adjustRightInd w:val="0"/>
              <w:spacing w:line="440" w:lineRule="exact"/>
              <w:jc w:val="left"/>
              <w:rPr>
                <w:rFonts w:hint="eastAsia" w:ascii="宋体" w:hAnsi="宋体" w:eastAsia="宋体" w:cs="宋体"/>
                <w:b w:val="0"/>
                <w:bCs w:val="0"/>
                <w:sz w:val="24"/>
                <w:highlight w:val="none"/>
                <w:vertAlign w:val="baseline"/>
                <w:lang w:val="zh-CN"/>
              </w:rPr>
            </w:pPr>
            <w:r>
              <w:rPr>
                <w:rFonts w:hint="eastAsia" w:ascii="宋体" w:hAnsi="宋体" w:eastAsia="宋体" w:cs="宋体"/>
                <w:b w:val="0"/>
                <w:bCs w:val="0"/>
                <w:sz w:val="24"/>
                <w:highlight w:val="none"/>
                <w:vertAlign w:val="baseline"/>
                <w:lang w:val="zh-CN"/>
              </w:rPr>
              <w:t>投标人未按“暗标”要求编制技术标，或其技术标中泄露了身份信息，将作为</w:t>
            </w:r>
            <w:r>
              <w:rPr>
                <w:rFonts w:hint="eastAsia" w:ascii="宋体" w:hAnsi="宋体" w:eastAsia="宋体" w:cs="宋体"/>
                <w:b/>
                <w:bCs/>
                <w:sz w:val="24"/>
                <w:highlight w:val="none"/>
                <w:vertAlign w:val="baseline"/>
                <w:lang w:val="zh-CN"/>
              </w:rPr>
              <w:t>无效投标处理</w:t>
            </w:r>
            <w:r>
              <w:rPr>
                <w:rFonts w:hint="eastAsia" w:ascii="宋体" w:hAnsi="宋体" w:eastAsia="宋体" w:cs="宋体"/>
                <w:b w:val="0"/>
                <w:bCs w:val="0"/>
                <w:sz w:val="24"/>
                <w:highlight w:val="none"/>
                <w:vertAlign w:val="baseline"/>
                <w:lang w:val="zh-CN"/>
              </w:rPr>
              <w:t>。</w:t>
            </w:r>
          </w:p>
        </w:tc>
      </w:tr>
    </w:tbl>
    <w:p w14:paraId="2723FDF3">
      <w:pPr>
        <w:pStyle w:val="11"/>
        <w:spacing w:line="360" w:lineRule="auto"/>
        <w:rPr>
          <w:rFonts w:hAnsi="宋体"/>
          <w:b/>
          <w:sz w:val="32"/>
          <w:szCs w:val="32"/>
          <w:highlight w:val="none"/>
        </w:rPr>
      </w:pPr>
    </w:p>
    <w:p w14:paraId="02254186">
      <w:pPr>
        <w:spacing w:line="500" w:lineRule="exact"/>
        <w:rPr>
          <w:rFonts w:hint="eastAsia" w:ascii="宋体" w:hAnsi="宋体" w:eastAsia="宋体" w:cs="Times New Roman"/>
          <w:b/>
          <w:sz w:val="28"/>
          <w:szCs w:val="28"/>
          <w:highlight w:val="none"/>
        </w:rPr>
      </w:pPr>
      <w:r>
        <w:rPr>
          <w:rFonts w:hint="eastAsia" w:ascii="宋体" w:hAnsi="宋体" w:eastAsia="宋体" w:cs="Times New Roman"/>
          <w:b/>
          <w:sz w:val="28"/>
          <w:szCs w:val="28"/>
          <w:highlight w:val="none"/>
        </w:rPr>
        <w:t>说明：</w:t>
      </w:r>
    </w:p>
    <w:p w14:paraId="45C86A5F">
      <w:pPr>
        <w:spacing w:line="590" w:lineRule="exact"/>
        <w:ind w:left="159" w:leftChars="76" w:firstLine="417" w:firstLineChars="149"/>
        <w:rPr>
          <w:rFonts w:hint="eastAsia" w:ascii="宋体" w:hAnsi="宋体" w:eastAsia="宋体" w:cs="宋体"/>
          <w:sz w:val="28"/>
          <w:szCs w:val="28"/>
          <w:highlight w:val="none"/>
        </w:rPr>
      </w:pPr>
      <w:r>
        <w:rPr>
          <w:rFonts w:hint="eastAsia" w:ascii="宋体" w:hAnsi="宋体" w:eastAsia="宋体" w:cs="宋体"/>
          <w:sz w:val="28"/>
          <w:szCs w:val="28"/>
          <w:highlight w:val="none"/>
        </w:rPr>
        <w:t>一、投标人的投标文件和本章所制格式不一致的，采用综合评分法时评标委员会将在评分时以投标文件不规范予以扣分处理。</w:t>
      </w:r>
    </w:p>
    <w:p w14:paraId="1A290057">
      <w:pPr>
        <w:spacing w:line="590" w:lineRule="exact"/>
        <w:ind w:left="159" w:leftChars="76" w:firstLine="417" w:firstLineChars="149"/>
        <w:rPr>
          <w:rFonts w:hint="eastAsia" w:ascii="宋体" w:hAnsi="宋体" w:eastAsia="宋体" w:cs="宋体"/>
          <w:sz w:val="28"/>
          <w:szCs w:val="28"/>
          <w:highlight w:val="none"/>
        </w:rPr>
      </w:pPr>
      <w:r>
        <w:rPr>
          <w:rFonts w:hint="eastAsia" w:ascii="宋体" w:hAnsi="宋体" w:eastAsia="宋体" w:cs="宋体"/>
          <w:sz w:val="28"/>
          <w:szCs w:val="28"/>
          <w:highlight w:val="none"/>
        </w:rPr>
        <w:t>二、本章所制投标文件格式有关表格中的备注栏，由投标人根据自身投标情况作解释性说明，不作为必填项。</w:t>
      </w:r>
    </w:p>
    <w:p w14:paraId="6D337F32">
      <w:pPr>
        <w:spacing w:line="590" w:lineRule="exact"/>
        <w:ind w:left="159" w:leftChars="76" w:firstLine="417" w:firstLineChars="149"/>
        <w:rPr>
          <w:rFonts w:hint="eastAsia" w:ascii="宋体" w:hAnsi="宋体" w:eastAsia="宋体" w:cs="宋体"/>
          <w:sz w:val="28"/>
          <w:szCs w:val="28"/>
          <w:highlight w:val="none"/>
        </w:rPr>
      </w:pPr>
      <w:r>
        <w:rPr>
          <w:rFonts w:hint="eastAsia" w:ascii="宋体" w:hAnsi="宋体" w:eastAsia="宋体" w:cs="宋体"/>
          <w:sz w:val="28"/>
          <w:szCs w:val="28"/>
          <w:highlight w:val="none"/>
        </w:rPr>
        <w:t>三、投标人不予填写的地方，应当用“/”表示。</w:t>
      </w:r>
    </w:p>
    <w:p w14:paraId="18C1CBCA">
      <w:pPr>
        <w:spacing w:line="590" w:lineRule="exact"/>
        <w:ind w:left="159" w:leftChars="76" w:firstLine="417" w:firstLineChars="149"/>
        <w:rPr>
          <w:rFonts w:hint="eastAsia" w:ascii="宋体" w:hAnsi="宋体" w:eastAsia="宋体" w:cs="宋体"/>
          <w:sz w:val="28"/>
          <w:szCs w:val="28"/>
          <w:highlight w:val="none"/>
          <w:lang w:val="zh-CN"/>
        </w:rPr>
      </w:pPr>
      <w:r>
        <w:rPr>
          <w:rFonts w:hint="eastAsia" w:ascii="宋体" w:hAnsi="宋体" w:eastAsia="宋体" w:cs="宋体"/>
          <w:sz w:val="28"/>
          <w:szCs w:val="28"/>
          <w:highlight w:val="none"/>
          <w:lang w:val="zh-CN"/>
        </w:rPr>
        <w:t>四、投标人提供投标文件应当按照以下格式及要求进行编制，且应当不少于以下内容。</w:t>
      </w:r>
    </w:p>
    <w:p w14:paraId="61E9DABA">
      <w:pPr>
        <w:pStyle w:val="15"/>
        <w:rPr>
          <w:rFonts w:hint="eastAsia" w:ascii="宋体" w:hAnsi="宋体" w:eastAsia="宋体" w:cs="宋体"/>
          <w:kern w:val="2"/>
          <w:sz w:val="28"/>
          <w:szCs w:val="28"/>
          <w:highlight w:val="none"/>
          <w:lang w:val="en-US" w:eastAsia="zh-CN" w:bidi="ar-SA"/>
        </w:rPr>
      </w:pPr>
      <w:r>
        <w:rPr>
          <w:rFonts w:hint="eastAsia" w:ascii="宋体" w:hAnsi="宋体" w:eastAsia="宋体" w:cs="宋体"/>
          <w:sz w:val="28"/>
          <w:szCs w:val="28"/>
          <w:highlight w:val="none"/>
          <w:lang w:val="en-US" w:eastAsia="zh-CN"/>
        </w:rPr>
        <w:t xml:space="preserve">    五</w:t>
      </w:r>
      <w:r>
        <w:rPr>
          <w:rFonts w:hint="eastAsia" w:ascii="宋体" w:hAnsi="宋体" w:eastAsia="宋体" w:cs="宋体"/>
          <w:kern w:val="2"/>
          <w:sz w:val="28"/>
          <w:szCs w:val="28"/>
          <w:highlight w:val="none"/>
          <w:lang w:val="en-US" w:eastAsia="zh-CN" w:bidi="ar-SA"/>
        </w:rPr>
        <w:t>、</w:t>
      </w:r>
      <w:r>
        <w:rPr>
          <w:rFonts w:hint="eastAsia" w:ascii="宋体" w:hAnsi="宋体" w:eastAsia="宋体" w:cs="宋体"/>
          <w:kern w:val="2"/>
          <w:sz w:val="28"/>
          <w:szCs w:val="28"/>
          <w:highlight w:val="none"/>
          <w:lang w:val="zh-CN" w:eastAsia="zh-CN" w:bidi="ar-SA"/>
        </w:rPr>
        <w:t>本项目为全流程电子标，如采购文件中的响应文件格式与“政采云”平台格式有出入，请以“政采云”平台为准。</w:t>
      </w:r>
    </w:p>
    <w:p w14:paraId="198A1452">
      <w:pPr>
        <w:rPr>
          <w:rFonts w:hint="eastAsia"/>
        </w:rPr>
        <w:sectPr>
          <w:pgSz w:w="11906" w:h="16838"/>
          <w:pgMar w:top="1440" w:right="1080" w:bottom="1440" w:left="1080" w:header="851" w:footer="992" w:gutter="0"/>
          <w:pgBorders>
            <w:top w:val="none" w:sz="0" w:space="0"/>
            <w:left w:val="none" w:sz="0" w:space="0"/>
            <w:bottom w:val="none" w:sz="0" w:space="0"/>
            <w:right w:val="none" w:sz="0" w:space="0"/>
          </w:pgBorders>
          <w:pgNumType w:fmt="decimal"/>
          <w:cols w:space="0" w:num="1"/>
          <w:rtlGutter w:val="0"/>
          <w:docGrid w:type="lines" w:linePitch="460" w:charSpace="0"/>
        </w:sectPr>
      </w:pPr>
    </w:p>
    <w:p w14:paraId="17A76A40">
      <w:pPr>
        <w:spacing w:line="500" w:lineRule="exact"/>
        <w:jc w:val="right"/>
        <w:rPr>
          <w:rFonts w:ascii="宋体" w:hAnsi="宋体" w:eastAsia="宋体" w:cs="Times New Roman"/>
          <w:b w:val="0"/>
          <w:bCs/>
          <w:sz w:val="30"/>
          <w:szCs w:val="30"/>
          <w:highlight w:val="none"/>
        </w:rPr>
      </w:pPr>
      <w:r>
        <w:rPr>
          <w:rFonts w:hint="eastAsia" w:ascii="宋体" w:hAnsi="宋体" w:eastAsia="宋体" w:cs="Times New Roman"/>
          <w:b w:val="0"/>
          <w:bCs/>
          <w:sz w:val="44"/>
          <w:szCs w:val="44"/>
          <w:highlight w:val="none"/>
        </w:rPr>
        <w:t xml:space="preserve"> 正本/副本</w:t>
      </w:r>
    </w:p>
    <w:p w14:paraId="49D982B1">
      <w:pPr>
        <w:spacing w:line="500" w:lineRule="exact"/>
        <w:jc w:val="center"/>
        <w:rPr>
          <w:rFonts w:ascii="宋体" w:hAnsi="宋体" w:eastAsia="宋体" w:cs="Times New Roman"/>
          <w:b w:val="0"/>
          <w:bCs/>
          <w:sz w:val="44"/>
          <w:szCs w:val="44"/>
          <w:highlight w:val="none"/>
        </w:rPr>
      </w:pPr>
    </w:p>
    <w:p w14:paraId="12A37859">
      <w:pPr>
        <w:spacing w:line="500" w:lineRule="exact"/>
        <w:jc w:val="center"/>
        <w:rPr>
          <w:rFonts w:ascii="宋体" w:hAnsi="宋体" w:eastAsia="宋体" w:cs="Times New Roman"/>
          <w:b w:val="0"/>
          <w:bCs/>
          <w:sz w:val="44"/>
          <w:szCs w:val="44"/>
          <w:highlight w:val="none"/>
        </w:rPr>
      </w:pPr>
    </w:p>
    <w:p w14:paraId="4D3234EE">
      <w:pPr>
        <w:spacing w:line="500" w:lineRule="exact"/>
        <w:jc w:val="center"/>
        <w:rPr>
          <w:rFonts w:ascii="宋体" w:hAnsi="宋体" w:eastAsia="宋体" w:cs="Times New Roman"/>
          <w:b w:val="0"/>
          <w:bCs/>
          <w:sz w:val="44"/>
          <w:szCs w:val="44"/>
          <w:highlight w:val="none"/>
        </w:rPr>
      </w:pPr>
      <w:r>
        <w:rPr>
          <w:rFonts w:hint="eastAsia" w:ascii="宋体" w:hAnsi="宋体" w:eastAsia="宋体" w:cs="Times New Roman"/>
          <w:b w:val="0"/>
          <w:bCs/>
          <w:sz w:val="44"/>
          <w:szCs w:val="44"/>
          <w:highlight w:val="none"/>
          <w:lang w:eastAsia="zh-CN"/>
        </w:rPr>
        <w:t>前郭县</w:t>
      </w:r>
      <w:r>
        <w:rPr>
          <w:rFonts w:ascii="宋体" w:hAnsi="宋体" w:eastAsia="宋体" w:cs="Times New Roman"/>
          <w:b w:val="0"/>
          <w:bCs/>
          <w:sz w:val="44"/>
          <w:szCs w:val="44"/>
          <w:highlight w:val="none"/>
        </w:rPr>
        <w:t>政府采购项目</w:t>
      </w:r>
    </w:p>
    <w:p w14:paraId="1102280B">
      <w:pPr>
        <w:spacing w:line="500" w:lineRule="exact"/>
        <w:jc w:val="center"/>
        <w:rPr>
          <w:rFonts w:ascii="宋体" w:hAnsi="宋体" w:eastAsia="宋体" w:cs="Times New Roman"/>
          <w:b w:val="0"/>
          <w:bCs/>
          <w:sz w:val="44"/>
          <w:szCs w:val="44"/>
          <w:highlight w:val="none"/>
        </w:rPr>
      </w:pPr>
    </w:p>
    <w:p w14:paraId="59C2B4DF">
      <w:pPr>
        <w:spacing w:line="500" w:lineRule="exact"/>
        <w:jc w:val="center"/>
        <w:rPr>
          <w:rFonts w:ascii="宋体" w:hAnsi="宋体" w:eastAsia="宋体" w:cs="Times New Roman"/>
          <w:b w:val="0"/>
          <w:bCs/>
          <w:sz w:val="44"/>
          <w:szCs w:val="44"/>
          <w:highlight w:val="none"/>
        </w:rPr>
      </w:pPr>
    </w:p>
    <w:p w14:paraId="1C184FB6">
      <w:pPr>
        <w:spacing w:line="500" w:lineRule="exact"/>
        <w:jc w:val="center"/>
        <w:rPr>
          <w:rFonts w:ascii="宋体" w:hAnsi="宋体" w:eastAsia="宋体" w:cs="Times New Roman"/>
          <w:b w:val="0"/>
          <w:bCs/>
          <w:sz w:val="44"/>
          <w:szCs w:val="44"/>
          <w:highlight w:val="none"/>
        </w:rPr>
      </w:pPr>
    </w:p>
    <w:p w14:paraId="2E6F5268">
      <w:pPr>
        <w:spacing w:line="500" w:lineRule="exact"/>
        <w:jc w:val="center"/>
        <w:rPr>
          <w:rFonts w:ascii="宋体" w:hAnsi="宋体" w:eastAsia="宋体" w:cs="Times New Roman"/>
          <w:b w:val="0"/>
          <w:bCs/>
          <w:sz w:val="44"/>
          <w:szCs w:val="44"/>
          <w:highlight w:val="none"/>
        </w:rPr>
      </w:pPr>
    </w:p>
    <w:p w14:paraId="79B4B21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s="Times New Roman"/>
          <w:b w:val="0"/>
          <w:bCs/>
          <w:sz w:val="44"/>
          <w:szCs w:val="44"/>
          <w:highlight w:val="none"/>
        </w:rPr>
      </w:pPr>
    </w:p>
    <w:p w14:paraId="5378E44F">
      <w:pPr>
        <w:bidi w:val="0"/>
        <w:ind w:left="0" w:leftChars="0" w:right="0" w:rightChars="0" w:firstLine="0" w:firstLineChars="0"/>
        <w:jc w:val="center"/>
        <w:rPr>
          <w:rFonts w:hint="eastAsia"/>
          <w:sz w:val="72"/>
          <w:szCs w:val="72"/>
          <w:highlight w:val="none"/>
          <w:lang w:val="en-US" w:eastAsia="zh-CN"/>
        </w:rPr>
      </w:pPr>
      <w:bookmarkStart w:id="25" w:name="_Toc16822"/>
      <w:r>
        <w:rPr>
          <w:rFonts w:hint="eastAsia"/>
          <w:sz w:val="72"/>
          <w:szCs w:val="72"/>
          <w:highlight w:val="none"/>
          <w:lang w:val="en-US" w:eastAsia="zh-CN"/>
        </w:rPr>
        <w:t>投  标  文  件</w:t>
      </w:r>
      <w:bookmarkEnd w:id="25"/>
    </w:p>
    <w:p w14:paraId="7899A4F8">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cs="Times New Roman"/>
          <w:b w:val="0"/>
          <w:bCs/>
          <w:sz w:val="44"/>
          <w:szCs w:val="44"/>
          <w:highlight w:val="none"/>
        </w:rPr>
      </w:pPr>
    </w:p>
    <w:p w14:paraId="5DE50F78">
      <w:pPr>
        <w:spacing w:line="500" w:lineRule="exact"/>
        <w:jc w:val="left"/>
        <w:rPr>
          <w:rFonts w:ascii="宋体" w:hAnsi="宋体" w:eastAsia="宋体" w:cs="Times New Roman"/>
          <w:b/>
          <w:sz w:val="28"/>
          <w:szCs w:val="28"/>
          <w:highlight w:val="none"/>
        </w:rPr>
      </w:pPr>
    </w:p>
    <w:p w14:paraId="3EA68955">
      <w:pPr>
        <w:spacing w:line="780" w:lineRule="exact"/>
        <w:rPr>
          <w:rFonts w:ascii="宋体" w:hAnsi="宋体" w:eastAsia="宋体" w:cs="Times New Roman"/>
          <w:sz w:val="28"/>
          <w:szCs w:val="28"/>
          <w:highlight w:val="none"/>
        </w:rPr>
      </w:pPr>
    </w:p>
    <w:p w14:paraId="0F6EAB48">
      <w:pPr>
        <w:spacing w:line="500" w:lineRule="exact"/>
        <w:rPr>
          <w:rFonts w:ascii="宋体" w:hAnsi="宋体" w:eastAsia="宋体" w:cs="Times New Roman"/>
          <w:sz w:val="28"/>
          <w:szCs w:val="28"/>
          <w:highlight w:val="none"/>
        </w:rPr>
      </w:pPr>
    </w:p>
    <w:p w14:paraId="36E0587F">
      <w:pPr>
        <w:spacing w:line="500" w:lineRule="exact"/>
        <w:rPr>
          <w:rFonts w:ascii="宋体" w:hAnsi="宋体" w:eastAsia="宋体" w:cs="Times New Roman"/>
          <w:sz w:val="28"/>
          <w:szCs w:val="28"/>
          <w:highlight w:val="none"/>
        </w:rPr>
      </w:pPr>
    </w:p>
    <w:p w14:paraId="5346B5CD">
      <w:pPr>
        <w:spacing w:line="500" w:lineRule="exact"/>
        <w:rPr>
          <w:rFonts w:ascii="宋体" w:hAnsi="宋体" w:eastAsia="宋体" w:cs="Times New Roman"/>
          <w:b/>
          <w:sz w:val="28"/>
          <w:szCs w:val="28"/>
          <w:highlight w:val="none"/>
          <w:u w:val="single"/>
        </w:rPr>
      </w:pPr>
      <w:r>
        <w:rPr>
          <w:rFonts w:hint="eastAsia" w:ascii="宋体" w:hAnsi="宋体" w:eastAsia="宋体" w:cs="Times New Roman"/>
          <w:b/>
          <w:sz w:val="28"/>
          <w:szCs w:val="28"/>
          <w:highlight w:val="none"/>
        </w:rPr>
        <w:t>项目</w:t>
      </w:r>
      <w:r>
        <w:rPr>
          <w:rFonts w:ascii="宋体" w:hAnsi="宋体" w:eastAsia="宋体" w:cs="Times New Roman"/>
          <w:b/>
          <w:sz w:val="28"/>
          <w:szCs w:val="28"/>
          <w:highlight w:val="none"/>
        </w:rPr>
        <w:t>名称：</w:t>
      </w:r>
      <w:r>
        <w:rPr>
          <w:rFonts w:hint="eastAsia" w:ascii="宋体" w:hAnsi="宋体" w:eastAsia="宋体" w:cs="Times New Roman"/>
          <w:b/>
          <w:sz w:val="28"/>
          <w:szCs w:val="28"/>
          <w:highlight w:val="none"/>
          <w:u w:val="single"/>
        </w:rPr>
        <w:t xml:space="preserve">                                            </w:t>
      </w:r>
    </w:p>
    <w:p w14:paraId="02BC8244">
      <w:pPr>
        <w:spacing w:line="500" w:lineRule="exact"/>
        <w:rPr>
          <w:rFonts w:ascii="宋体" w:hAnsi="宋体" w:eastAsia="宋体" w:cs="Times New Roman"/>
          <w:b/>
          <w:sz w:val="28"/>
          <w:szCs w:val="28"/>
          <w:highlight w:val="none"/>
        </w:rPr>
      </w:pPr>
      <w:r>
        <w:rPr>
          <w:rFonts w:hint="eastAsia" w:ascii="宋体" w:hAnsi="宋体" w:eastAsia="宋体" w:cs="Times New Roman"/>
          <w:b/>
          <w:sz w:val="28"/>
          <w:szCs w:val="28"/>
          <w:highlight w:val="none"/>
        </w:rPr>
        <w:t>项目编号：</w:t>
      </w:r>
      <w:r>
        <w:rPr>
          <w:rFonts w:hint="eastAsia" w:ascii="宋体" w:hAnsi="宋体" w:eastAsia="宋体" w:cs="Times New Roman"/>
          <w:b/>
          <w:sz w:val="28"/>
          <w:szCs w:val="28"/>
          <w:highlight w:val="none"/>
          <w:u w:val="single"/>
        </w:rPr>
        <w:t xml:space="preserve">                                            </w:t>
      </w:r>
    </w:p>
    <w:p w14:paraId="58C3D898">
      <w:pPr>
        <w:spacing w:line="500" w:lineRule="exact"/>
        <w:rPr>
          <w:rFonts w:ascii="宋体" w:hAnsi="宋体" w:eastAsia="宋体" w:cs="Times New Roman"/>
          <w:b/>
          <w:sz w:val="28"/>
          <w:szCs w:val="28"/>
          <w:highlight w:val="none"/>
          <w:u w:val="single"/>
        </w:rPr>
      </w:pPr>
      <w:r>
        <w:rPr>
          <w:rFonts w:hint="eastAsia" w:ascii="宋体" w:hAnsi="宋体" w:eastAsia="宋体" w:cs="Times New Roman"/>
          <w:b/>
          <w:sz w:val="28"/>
          <w:szCs w:val="28"/>
          <w:highlight w:val="none"/>
        </w:rPr>
        <w:t>投标人全称</w:t>
      </w:r>
      <w:r>
        <w:rPr>
          <w:rFonts w:ascii="宋体" w:hAnsi="宋体" w:eastAsia="宋体" w:cs="Times New Roman"/>
          <w:b/>
          <w:sz w:val="28"/>
          <w:szCs w:val="28"/>
          <w:highlight w:val="none"/>
        </w:rPr>
        <w:t>：</w:t>
      </w:r>
      <w:r>
        <w:rPr>
          <w:rFonts w:hint="eastAsia" w:ascii="宋体" w:hAnsi="宋体" w:eastAsia="宋体" w:cs="Times New Roman"/>
          <w:b/>
          <w:sz w:val="28"/>
          <w:szCs w:val="28"/>
          <w:highlight w:val="none"/>
          <w:u w:val="single"/>
        </w:rPr>
        <w:t xml:space="preserve">                          （加盖单位公章</w:t>
      </w:r>
      <w:r>
        <w:rPr>
          <w:rFonts w:ascii="宋体" w:hAnsi="宋体" w:eastAsia="宋体" w:cs="Times New Roman"/>
          <w:b/>
          <w:sz w:val="28"/>
          <w:szCs w:val="28"/>
          <w:highlight w:val="none"/>
          <w:u w:val="single"/>
        </w:rPr>
        <w:t>）</w:t>
      </w:r>
    </w:p>
    <w:p w14:paraId="65262C59">
      <w:pPr>
        <w:spacing w:line="500" w:lineRule="exact"/>
        <w:rPr>
          <w:rFonts w:hint="default" w:ascii="宋体" w:hAnsi="宋体" w:eastAsia="宋体" w:cs="Times New Roman"/>
          <w:b/>
          <w:sz w:val="28"/>
          <w:szCs w:val="28"/>
          <w:highlight w:val="none"/>
          <w:u w:val="single"/>
          <w:lang w:val="en-US" w:eastAsia="zh-CN"/>
        </w:rPr>
      </w:pPr>
      <w:r>
        <w:rPr>
          <w:rFonts w:hint="eastAsia" w:ascii="宋体" w:hAnsi="宋体" w:eastAsia="宋体" w:cs="Times New Roman"/>
          <w:b/>
          <w:sz w:val="28"/>
          <w:szCs w:val="28"/>
          <w:highlight w:val="none"/>
          <w:u w:val="none"/>
        </w:rPr>
        <w:t>投标人地址：</w:t>
      </w:r>
      <w:r>
        <w:rPr>
          <w:rFonts w:hint="eastAsia" w:ascii="宋体" w:hAnsi="宋体" w:eastAsia="宋体" w:cs="Times New Roman"/>
          <w:b/>
          <w:sz w:val="28"/>
          <w:szCs w:val="28"/>
          <w:highlight w:val="none"/>
          <w:u w:val="single"/>
          <w:lang w:val="en-US" w:eastAsia="zh-CN"/>
        </w:rPr>
        <w:t xml:space="preserve">                            </w:t>
      </w:r>
      <w:r>
        <w:rPr>
          <w:rFonts w:hint="eastAsia" w:ascii="宋体" w:hAnsi="宋体" w:cs="Times New Roman"/>
          <w:b/>
          <w:sz w:val="28"/>
          <w:szCs w:val="28"/>
          <w:highlight w:val="none"/>
          <w:u w:val="single"/>
          <w:lang w:val="en-US" w:eastAsia="zh-CN"/>
        </w:rPr>
        <w:t xml:space="preserve">   </w:t>
      </w:r>
      <w:r>
        <w:rPr>
          <w:rFonts w:hint="eastAsia" w:ascii="宋体" w:hAnsi="宋体" w:eastAsia="宋体" w:cs="Times New Roman"/>
          <w:b/>
          <w:sz w:val="28"/>
          <w:szCs w:val="28"/>
          <w:highlight w:val="none"/>
          <w:u w:val="single"/>
          <w:lang w:val="en-US" w:eastAsia="zh-CN"/>
        </w:rPr>
        <w:t xml:space="preserve">           </w:t>
      </w:r>
    </w:p>
    <w:p w14:paraId="71790B8C">
      <w:pPr>
        <w:spacing w:line="500" w:lineRule="exact"/>
        <w:rPr>
          <w:rFonts w:ascii="宋体" w:hAnsi="宋体" w:eastAsia="宋体" w:cs="Times New Roman"/>
          <w:b/>
          <w:sz w:val="28"/>
          <w:szCs w:val="28"/>
          <w:highlight w:val="none"/>
        </w:rPr>
      </w:pPr>
      <w:r>
        <w:rPr>
          <w:rFonts w:hint="eastAsia" w:ascii="宋体" w:hAnsi="宋体" w:eastAsia="宋体" w:cs="Times New Roman"/>
          <w:b/>
          <w:sz w:val="28"/>
          <w:szCs w:val="28"/>
          <w:highlight w:val="none"/>
        </w:rPr>
        <w:t>日  期</w:t>
      </w:r>
      <w:r>
        <w:rPr>
          <w:rFonts w:ascii="宋体" w:hAnsi="宋体" w:eastAsia="宋体" w:cs="Times New Roman"/>
          <w:b/>
          <w:sz w:val="28"/>
          <w:szCs w:val="28"/>
          <w:highlight w:val="none"/>
        </w:rPr>
        <w:t>：</w:t>
      </w:r>
      <w:r>
        <w:rPr>
          <w:rFonts w:hint="eastAsia" w:ascii="宋体" w:hAnsi="宋体" w:eastAsia="宋体" w:cs="Times New Roman"/>
          <w:b/>
          <w:sz w:val="28"/>
          <w:szCs w:val="28"/>
          <w:highlight w:val="none"/>
          <w:u w:val="single"/>
        </w:rPr>
        <w:t xml:space="preserve">        </w:t>
      </w:r>
      <w:r>
        <w:rPr>
          <w:rFonts w:hint="eastAsia" w:ascii="宋体" w:hAnsi="宋体" w:cs="Times New Roman"/>
          <w:b/>
          <w:sz w:val="28"/>
          <w:szCs w:val="28"/>
          <w:highlight w:val="none"/>
          <w:u w:val="single"/>
          <w:lang w:val="en-US" w:eastAsia="zh-CN"/>
        </w:rPr>
        <w:t xml:space="preserve"> </w:t>
      </w:r>
      <w:r>
        <w:rPr>
          <w:rFonts w:hint="eastAsia" w:ascii="宋体" w:hAnsi="宋体" w:eastAsia="宋体" w:cs="Times New Roman"/>
          <w:b/>
          <w:sz w:val="28"/>
          <w:szCs w:val="28"/>
          <w:highlight w:val="none"/>
          <w:u w:val="single"/>
        </w:rPr>
        <w:t xml:space="preserve">              年 </w:t>
      </w:r>
      <w:r>
        <w:rPr>
          <w:rFonts w:ascii="宋体" w:hAnsi="宋体" w:eastAsia="宋体" w:cs="Times New Roman"/>
          <w:b/>
          <w:sz w:val="28"/>
          <w:szCs w:val="28"/>
          <w:highlight w:val="none"/>
          <w:u w:val="single"/>
        </w:rPr>
        <w:t xml:space="preserve">  </w:t>
      </w:r>
      <w:r>
        <w:rPr>
          <w:rFonts w:hint="eastAsia" w:ascii="宋体" w:hAnsi="宋体" w:eastAsia="宋体" w:cs="Times New Roman"/>
          <w:b/>
          <w:sz w:val="28"/>
          <w:szCs w:val="28"/>
          <w:highlight w:val="none"/>
          <w:u w:val="single"/>
        </w:rPr>
        <w:t xml:space="preserve">月 </w:t>
      </w:r>
      <w:r>
        <w:rPr>
          <w:rFonts w:ascii="宋体" w:hAnsi="宋体" w:eastAsia="宋体" w:cs="Times New Roman"/>
          <w:b/>
          <w:sz w:val="28"/>
          <w:szCs w:val="28"/>
          <w:highlight w:val="none"/>
          <w:u w:val="single"/>
        </w:rPr>
        <w:t xml:space="preserve">  </w:t>
      </w:r>
      <w:r>
        <w:rPr>
          <w:rFonts w:hint="eastAsia" w:ascii="宋体" w:hAnsi="宋体" w:eastAsia="宋体" w:cs="Times New Roman"/>
          <w:b/>
          <w:sz w:val="28"/>
          <w:szCs w:val="28"/>
          <w:highlight w:val="none"/>
          <w:u w:val="single"/>
        </w:rPr>
        <w:t xml:space="preserve">日           </w:t>
      </w:r>
    </w:p>
    <w:p w14:paraId="4C134762">
      <w:pPr>
        <w:rPr>
          <w:rFonts w:hint="eastAsia" w:ascii="宋体" w:hAnsi="宋体" w:eastAsia="宋体" w:cs="Times New Roman"/>
          <w:sz w:val="28"/>
          <w:szCs w:val="28"/>
          <w:highlight w:val="none"/>
          <w:lang w:val="en-US" w:eastAsia="zh-CN"/>
        </w:rPr>
      </w:pPr>
      <w:r>
        <w:rPr>
          <w:rFonts w:hint="eastAsia" w:ascii="宋体" w:hAnsi="宋体" w:cs="Times New Roman"/>
          <w:sz w:val="28"/>
          <w:szCs w:val="28"/>
          <w:highlight w:val="none"/>
          <w:lang w:val="en-US" w:eastAsia="zh-CN"/>
        </w:rPr>
        <w:t xml:space="preserve"> </w:t>
      </w:r>
    </w:p>
    <w:p w14:paraId="236C3504">
      <w:pPr>
        <w:pStyle w:val="8"/>
        <w:numPr>
          <w:ilvl w:val="0"/>
          <w:numId w:val="0"/>
        </w:numPr>
        <w:ind w:leftChars="0"/>
        <w:rPr>
          <w:rFonts w:hint="eastAsia"/>
        </w:rPr>
      </w:pPr>
      <w:r>
        <w:rPr>
          <w:rFonts w:hint="eastAsia" w:ascii="宋体" w:hAnsi="宋体"/>
          <w:b/>
          <w:bCs/>
          <w:sz w:val="32"/>
          <w:szCs w:val="32"/>
          <w:highlight w:val="none"/>
        </w:rPr>
        <w:br w:type="page"/>
      </w:r>
    </w:p>
    <w:p w14:paraId="25E55C80">
      <w:pPr>
        <w:bidi w:val="0"/>
        <w:rPr>
          <w:rFonts w:hint="eastAsia"/>
        </w:rPr>
      </w:pPr>
    </w:p>
    <w:p w14:paraId="31E1D322">
      <w:pPr>
        <w:spacing w:line="590" w:lineRule="exact"/>
        <w:ind w:left="0" w:leftChars="0" w:right="0" w:rightChars="0" w:firstLine="0" w:firstLineChars="0"/>
        <w:jc w:val="center"/>
        <w:rPr>
          <w:rFonts w:hint="eastAsia" w:ascii="宋体" w:hAnsi="宋体"/>
          <w:b/>
          <w:bCs/>
          <w:sz w:val="32"/>
          <w:szCs w:val="32"/>
          <w:highlight w:val="none"/>
        </w:rPr>
      </w:pPr>
      <w:r>
        <w:rPr>
          <w:rFonts w:hint="eastAsia" w:ascii="宋体" w:hAnsi="宋体"/>
          <w:b/>
          <w:bCs/>
          <w:sz w:val="32"/>
          <w:szCs w:val="32"/>
          <w:highlight w:val="none"/>
        </w:rPr>
        <w:t>目 录</w:t>
      </w:r>
    </w:p>
    <w:p w14:paraId="03CB91DB">
      <w:pPr>
        <w:spacing w:line="590" w:lineRule="exact"/>
        <w:ind w:left="0" w:leftChars="0" w:right="0" w:rightChars="0" w:firstLine="0" w:firstLineChars="0"/>
        <w:jc w:val="center"/>
        <w:rPr>
          <w:rFonts w:hint="eastAsia" w:ascii="宋体" w:hAnsi="宋体"/>
          <w:b/>
          <w:bCs/>
          <w:sz w:val="32"/>
          <w:szCs w:val="32"/>
          <w:highlight w:val="none"/>
        </w:rPr>
      </w:pPr>
      <w:r>
        <w:rPr>
          <w:rFonts w:hint="eastAsia" w:ascii="宋体" w:hAnsi="宋体"/>
          <w:b/>
          <w:bCs/>
          <w:sz w:val="32"/>
          <w:szCs w:val="32"/>
          <w:highlight w:val="none"/>
        </w:rPr>
        <w:t>请投标人自行编写</w:t>
      </w:r>
    </w:p>
    <w:p w14:paraId="0A849A09">
      <w:pPr>
        <w:spacing w:line="590" w:lineRule="exact"/>
        <w:ind w:firstLine="3213" w:firstLineChars="1000"/>
        <w:rPr>
          <w:rFonts w:ascii="宋体" w:hAnsi="宋体"/>
          <w:b/>
          <w:bCs/>
          <w:sz w:val="32"/>
          <w:szCs w:val="32"/>
          <w:highlight w:val="none"/>
        </w:rPr>
        <w:sectPr>
          <w:pgSz w:w="11906" w:h="16838"/>
          <w:pgMar w:top="1440" w:right="1080" w:bottom="1440" w:left="1080" w:header="851" w:footer="992" w:gutter="0"/>
          <w:pgBorders>
            <w:top w:val="none" w:sz="0" w:space="0"/>
            <w:left w:val="none" w:sz="0" w:space="0"/>
            <w:bottom w:val="none" w:sz="0" w:space="0"/>
            <w:right w:val="none" w:sz="0" w:space="0"/>
          </w:pgBorders>
          <w:pgNumType w:fmt="decimal"/>
          <w:cols w:space="0" w:num="1"/>
          <w:rtlGutter w:val="0"/>
          <w:docGrid w:type="lines" w:linePitch="460" w:charSpace="0"/>
        </w:sectPr>
      </w:pPr>
    </w:p>
    <w:p w14:paraId="04D66E84">
      <w:pPr>
        <w:spacing w:afterLines="200" w:line="590" w:lineRule="exact"/>
        <w:ind w:left="0" w:leftChars="0" w:right="0" w:rightChars="0" w:firstLine="0" w:firstLineChars="0"/>
        <w:jc w:val="center"/>
        <w:rPr>
          <w:rFonts w:hint="eastAsia"/>
          <w:lang w:eastAsia="zh-CN"/>
        </w:rPr>
      </w:pPr>
      <w:bookmarkStart w:id="26" w:name="_Toc27230"/>
      <w:r>
        <w:rPr>
          <w:rStyle w:val="33"/>
          <w:rFonts w:hint="eastAsia"/>
          <w:highlight w:val="none"/>
          <w:u w:val="none"/>
        </w:rPr>
        <w:t>一、投标</w:t>
      </w:r>
      <w:r>
        <w:rPr>
          <w:rStyle w:val="33"/>
          <w:rFonts w:hint="eastAsia" w:eastAsia="黑体"/>
          <w:highlight w:val="none"/>
          <w:u w:val="none"/>
          <w:lang w:val="en-US" w:eastAsia="zh-CN"/>
        </w:rPr>
        <w:t>函</w:t>
      </w:r>
      <w:bookmarkEnd w:id="26"/>
    </w:p>
    <w:p w14:paraId="1D5FE89F">
      <w:pPr>
        <w:bidi w:val="0"/>
        <w:rPr>
          <w:rFonts w:hint="eastAsia" w:ascii="宋体" w:hAnsi="宋体" w:eastAsia="宋体" w:cs="宋体"/>
          <w:sz w:val="24"/>
          <w:szCs w:val="24"/>
        </w:rPr>
      </w:pPr>
      <w:r>
        <w:rPr>
          <w:rFonts w:hint="eastAsia" w:ascii="宋体" w:hAnsi="宋体" w:eastAsia="宋体" w:cs="宋体"/>
          <w:sz w:val="24"/>
          <w:szCs w:val="24"/>
          <w:lang w:eastAsia="zh-CN"/>
        </w:rPr>
        <w:t>前郭尔罗斯蒙古族自治县政府采购中心</w:t>
      </w:r>
      <w:r>
        <w:rPr>
          <w:rFonts w:hint="eastAsia" w:ascii="宋体" w:hAnsi="宋体" w:eastAsia="宋体" w:cs="宋体"/>
          <w:sz w:val="24"/>
          <w:szCs w:val="24"/>
        </w:rPr>
        <w:t>：</w:t>
      </w:r>
    </w:p>
    <w:p w14:paraId="2BE05EBD">
      <w:pPr>
        <w:keepNext w:val="0"/>
        <w:keepLines w:val="0"/>
        <w:pageBreakBefore w:val="0"/>
        <w:widowControl w:val="0"/>
        <w:tabs>
          <w:tab w:val="left" w:pos="9460"/>
        </w:tabs>
        <w:kinsoku w:val="0"/>
        <w:wordWrap w:val="0"/>
        <w:overflowPunct/>
        <w:topLinePunct w:val="0"/>
        <w:autoSpaceDE w:val="0"/>
        <w:autoSpaceDN w:val="0"/>
        <w:bidi w:val="0"/>
        <w:adjustRightInd/>
        <w:snapToGrid/>
        <w:spacing w:before="1" w:line="365" w:lineRule="auto"/>
        <w:ind w:left="0" w:leftChars="0" w:right="210" w:righ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根据你方政</w:t>
      </w:r>
      <w:r>
        <w:rPr>
          <w:rFonts w:hint="eastAsia" w:ascii="宋体" w:hAnsi="宋体" w:eastAsia="宋体" w:cs="宋体"/>
          <w:sz w:val="24"/>
          <w:szCs w:val="24"/>
          <w:u w:val="none"/>
        </w:rPr>
        <w:t>府采购</w:t>
      </w:r>
      <w:r>
        <w:rPr>
          <w:rFonts w:hint="eastAsia" w:ascii="宋体" w:hAnsi="宋体" w:eastAsia="宋体" w:cs="宋体"/>
          <w:sz w:val="24"/>
          <w:szCs w:val="24"/>
          <w:u w:val="single"/>
          <w:lang w:val="en-US" w:eastAsia="zh-CN"/>
        </w:rPr>
        <w:t>2026年前郭县义务教育薄弱环节改善与能力提升—教学计算机采购项目</w:t>
      </w:r>
      <w:r>
        <w:rPr>
          <w:rFonts w:hint="eastAsia" w:ascii="宋体" w:hAnsi="宋体" w:eastAsia="宋体" w:cs="宋体"/>
          <w:sz w:val="24"/>
          <w:szCs w:val="24"/>
          <w:highlight w:val="none"/>
        </w:rPr>
        <w:t>的编号为</w:t>
      </w:r>
      <w:r>
        <w:rPr>
          <w:rFonts w:hint="eastAsia" w:ascii="宋体" w:hAnsi="宋体" w:eastAsia="宋体" w:cs="宋体"/>
          <w:sz w:val="24"/>
          <w:szCs w:val="24"/>
          <w:u w:val="single"/>
          <w:lang w:val="en-US" w:eastAsia="zh-CN"/>
        </w:rPr>
        <w:t>采购计划-[2026]-00220-2026008</w:t>
      </w:r>
      <w:r>
        <w:rPr>
          <w:rFonts w:hint="eastAsia" w:ascii="宋体" w:hAnsi="宋体" w:eastAsia="宋体" w:cs="宋体"/>
          <w:sz w:val="24"/>
          <w:szCs w:val="24"/>
          <w:highlight w:val="none"/>
        </w:rPr>
        <w:t>招标文件，我方正</w:t>
      </w:r>
      <w:r>
        <w:rPr>
          <w:rFonts w:hint="eastAsia" w:ascii="宋体" w:hAnsi="宋体" w:eastAsia="宋体" w:cs="宋体"/>
          <w:sz w:val="24"/>
          <w:szCs w:val="24"/>
        </w:rPr>
        <w:t>式授权的下述签字人</w:t>
      </w:r>
      <w:r>
        <w:rPr>
          <w:rFonts w:hint="eastAsia" w:ascii="宋体" w:hAnsi="宋体" w:eastAsia="宋体" w:cs="宋体"/>
          <w:sz w:val="24"/>
          <w:szCs w:val="24"/>
          <w:u w:val="single"/>
        </w:rPr>
        <w:t>（姓名和职务）</w:t>
      </w:r>
      <w:r>
        <w:rPr>
          <w:rFonts w:hint="eastAsia" w:ascii="宋体" w:hAnsi="宋体" w:eastAsia="宋体" w:cs="宋体"/>
          <w:sz w:val="24"/>
          <w:szCs w:val="24"/>
        </w:rPr>
        <w:t>代表我方</w:t>
      </w:r>
      <w:r>
        <w:rPr>
          <w:rFonts w:hint="eastAsia" w:ascii="宋体" w:hAnsi="宋体" w:eastAsia="宋体" w:cs="宋体"/>
          <w:sz w:val="24"/>
          <w:szCs w:val="24"/>
          <w:u w:val="single"/>
        </w:rPr>
        <w:t>（投标人的名称）</w:t>
      </w:r>
      <w:r>
        <w:rPr>
          <w:rFonts w:hint="eastAsia" w:ascii="宋体" w:hAnsi="宋体" w:eastAsia="宋体" w:cs="宋体"/>
          <w:sz w:val="24"/>
          <w:szCs w:val="24"/>
        </w:rPr>
        <w:t>，按照你方招标文件的规定</w:t>
      </w:r>
      <w:r>
        <w:rPr>
          <w:rFonts w:hint="eastAsia" w:ascii="宋体" w:hAnsi="宋体" w:eastAsia="宋体" w:cs="宋体"/>
          <w:sz w:val="24"/>
          <w:szCs w:val="24"/>
          <w:highlight w:val="none"/>
        </w:rPr>
        <w:t>递交</w:t>
      </w:r>
      <w:r>
        <w:rPr>
          <w:rFonts w:hint="eastAsia" w:ascii="宋体" w:hAnsi="宋体" w:eastAsia="宋体" w:cs="宋体"/>
          <w:sz w:val="24"/>
          <w:szCs w:val="24"/>
          <w:highlight w:val="none"/>
          <w:lang w:val="en-US" w:eastAsia="zh-CN"/>
        </w:rPr>
        <w:t>投标</w:t>
      </w:r>
      <w:r>
        <w:rPr>
          <w:rFonts w:hint="eastAsia" w:ascii="宋体" w:hAnsi="宋体" w:eastAsia="宋体" w:cs="宋体"/>
          <w:sz w:val="24"/>
          <w:szCs w:val="24"/>
          <w:highlight w:val="none"/>
        </w:rPr>
        <w:t>文件，并保证</w:t>
      </w:r>
      <w:r>
        <w:rPr>
          <w:rFonts w:hint="eastAsia" w:ascii="宋体" w:hAnsi="宋体" w:eastAsia="宋体" w:cs="宋体"/>
          <w:sz w:val="24"/>
          <w:szCs w:val="24"/>
        </w:rPr>
        <w:t>所提供的全部文件是真实的、有效的和准确的。</w:t>
      </w:r>
    </w:p>
    <w:p w14:paraId="6DD71B4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据此函，签字人兹宣布同意如下：</w:t>
      </w:r>
    </w:p>
    <w:p w14:paraId="3038B41C">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1.按招标文件规定提供货物的投标总价为（大写）</w:t>
      </w:r>
      <w:r>
        <w:rPr>
          <w:rFonts w:hint="eastAsia" w:ascii="宋体" w:hAnsi="宋体" w:eastAsia="宋体" w:cs="宋体"/>
          <w:sz w:val="24"/>
          <w:szCs w:val="24"/>
          <w:u w:val="single"/>
        </w:rPr>
        <w:t xml:space="preserve">     </w:t>
      </w:r>
      <w:r>
        <w:rPr>
          <w:rFonts w:hint="eastAsia" w:ascii="宋体" w:hAnsi="宋体" w:eastAsia="宋体" w:cs="宋体"/>
          <w:sz w:val="24"/>
          <w:szCs w:val="24"/>
        </w:rPr>
        <w:t>元人民币。</w:t>
      </w:r>
    </w:p>
    <w:p w14:paraId="494FD3DC">
      <w:pPr>
        <w:keepNext w:val="0"/>
        <w:keepLines w:val="0"/>
        <w:pageBreakBefore w:val="0"/>
        <w:widowControl w:val="0"/>
        <w:kinsoku/>
        <w:wordWrap/>
        <w:overflowPunct/>
        <w:topLinePunct w:val="0"/>
        <w:autoSpaceDE/>
        <w:autoSpaceDN/>
        <w:bidi w:val="0"/>
        <w:adjustRightInd/>
        <w:snapToGrid/>
        <w:ind w:left="10" w:leftChars="0" w:firstLine="468" w:firstLineChars="195"/>
        <w:textAlignment w:val="auto"/>
        <w:rPr>
          <w:rFonts w:hint="eastAsia" w:ascii="宋体" w:hAnsi="宋体" w:eastAsia="宋体" w:cs="宋体"/>
          <w:sz w:val="24"/>
          <w:szCs w:val="24"/>
        </w:rPr>
      </w:pPr>
      <w:r>
        <w:rPr>
          <w:rFonts w:hint="eastAsia" w:ascii="宋体" w:hAnsi="宋体" w:eastAsia="宋体" w:cs="宋体"/>
          <w:sz w:val="24"/>
          <w:szCs w:val="24"/>
        </w:rPr>
        <w:t>2.如果我方中标，我们保证根据招标文件规定履行合同责任和义务。</w:t>
      </w:r>
    </w:p>
    <w:p w14:paraId="432F146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3.我方人民币</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元的投标保证金与本投标文件同时提交。</w:t>
      </w:r>
    </w:p>
    <w:p w14:paraId="14D7DC3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4.如果我方中标，我方保证按照招标文件规定提交履约保证金，承担履约责任。</w:t>
      </w:r>
    </w:p>
    <w:p w14:paraId="72A390E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5.我们已详细阅读了全部招标文件，包括招标文件的修改、补充文件、参考资料及有关的附件，我们接受招标文件的全部条款和条件，我们知道必须放弃提出含糊不清或误解的问题的权利。</w:t>
      </w:r>
    </w:p>
    <w:p w14:paraId="6E48AA5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6.我们对招标文件关于时限、程序方面的规定没有异议，保证按照招标文件规定的时限和程序参加投标活动。</w:t>
      </w:r>
    </w:p>
    <w:p w14:paraId="356FBE02">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7.我们同意在投标人须知规定的开标时间起遵循本投标书，并在投标人须知规定的投标有效期满之前均具有约束力，并有可能中标。</w:t>
      </w:r>
    </w:p>
    <w:p w14:paraId="0EAC44A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8.我们如果在规定的投标有效期内撤回投标，则你方可不予退还我们的投标保证金。</w:t>
      </w:r>
    </w:p>
    <w:p w14:paraId="3A93973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9.我们保证向你方提供你方可能要求的与本投标有关的任何证据或资料。</w:t>
      </w:r>
    </w:p>
    <w:p w14:paraId="4120A5F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10.我们完全理解你方不一定要接受最低报价的投标或收到的任何投标。</w:t>
      </w:r>
    </w:p>
    <w:p w14:paraId="702363E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11.本投标自开标之时起90天内有效。</w:t>
      </w:r>
    </w:p>
    <w:p w14:paraId="4EC04A4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12.我方保证严格遵守《中华人民共和国政府采购法》的有关规定，若有下列情形之一的，我方将被处不予退还投标保证金，列入不良行为记录名单，在一至三年内禁止参加政府采购活动，并予以公告：</w:t>
      </w:r>
    </w:p>
    <w:p w14:paraId="66F4C47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（1）提供虚假材料谋取中标、成交的；</w:t>
      </w:r>
    </w:p>
    <w:p w14:paraId="2F53AFD3">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（2）采取不正当手段诋毁、排挤其他投标人的；</w:t>
      </w:r>
    </w:p>
    <w:p w14:paraId="4C369482">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（3）与其他投标人、采购中心或者采购单位人员或者其他有关人员恶意串通的；</w:t>
      </w:r>
    </w:p>
    <w:p w14:paraId="395C227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（4）向评标委员会成员、采购中心或者采购单位人员或者其他有关人员行贿或者提供其他不正当利益的；</w:t>
      </w:r>
    </w:p>
    <w:p w14:paraId="799219E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（5）被评定中标后无正当理由不与采购人或者采购代理机构订立合同，或者中标后不按招标文件和中标供应商的投标文件订立合同，或者与采购人另行订立背离合同实质性内容的协议的；</w:t>
      </w:r>
    </w:p>
    <w:p w14:paraId="0DED11D2">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（6）将中标项目转让给他人或者将中标项目分包给他人的；</w:t>
      </w:r>
    </w:p>
    <w:p w14:paraId="082A69D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（7）签订合同后拒绝履行合同义务的；</w:t>
      </w:r>
    </w:p>
    <w:p w14:paraId="7E9F5C4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（8）拒绝有关部门监督检查或提供虚假情况的。</w:t>
      </w:r>
    </w:p>
    <w:p w14:paraId="199D8BCF">
      <w:pPr>
        <w:bidi w:val="0"/>
        <w:ind w:firstLine="4800" w:firstLineChars="2000"/>
        <w:rPr>
          <w:rFonts w:hint="eastAsia" w:ascii="宋体" w:hAnsi="宋体" w:eastAsia="宋体" w:cs="宋体"/>
          <w:sz w:val="24"/>
          <w:szCs w:val="24"/>
        </w:rPr>
      </w:pPr>
    </w:p>
    <w:p w14:paraId="19E08B49">
      <w:pPr>
        <w:bidi w:val="0"/>
        <w:ind w:firstLine="4800" w:firstLineChars="2000"/>
        <w:rPr>
          <w:rFonts w:hint="eastAsia" w:ascii="宋体" w:hAnsi="宋体" w:eastAsia="宋体" w:cs="宋体"/>
          <w:sz w:val="24"/>
          <w:szCs w:val="24"/>
        </w:rPr>
      </w:pPr>
    </w:p>
    <w:p w14:paraId="1FE88B5E">
      <w:pPr>
        <w:bidi w:val="0"/>
        <w:ind w:firstLine="4800" w:firstLineChars="2000"/>
        <w:rPr>
          <w:rFonts w:hint="eastAsia" w:ascii="宋体" w:hAnsi="宋体" w:eastAsia="宋体" w:cs="宋体"/>
          <w:sz w:val="24"/>
          <w:szCs w:val="24"/>
        </w:rPr>
      </w:pPr>
      <w:r>
        <w:rPr>
          <w:rFonts w:hint="eastAsia" w:ascii="宋体" w:hAnsi="宋体" w:eastAsia="宋体" w:cs="宋体"/>
          <w:sz w:val="24"/>
          <w:szCs w:val="24"/>
        </w:rPr>
        <w:t>投标人名称（加盖投标人公章）：</w:t>
      </w:r>
    </w:p>
    <w:p w14:paraId="76B1B9DF">
      <w:pPr>
        <w:bidi w:val="0"/>
        <w:ind w:firstLine="4800" w:firstLineChars="2000"/>
        <w:rPr>
          <w:rFonts w:hint="eastAsia" w:ascii="宋体" w:hAnsi="宋体" w:eastAsia="宋体" w:cs="宋体"/>
          <w:sz w:val="24"/>
          <w:szCs w:val="24"/>
        </w:rPr>
      </w:pPr>
    </w:p>
    <w:p w14:paraId="2B3B69AF">
      <w:pPr>
        <w:bidi w:val="0"/>
        <w:ind w:firstLine="4800" w:firstLineChars="2000"/>
        <w:rPr>
          <w:rFonts w:hint="eastAsia" w:ascii="宋体" w:hAnsi="宋体" w:eastAsia="宋体" w:cs="宋体"/>
          <w:sz w:val="24"/>
          <w:szCs w:val="24"/>
        </w:rPr>
      </w:pPr>
    </w:p>
    <w:p w14:paraId="34D0BD84">
      <w:pPr>
        <w:bidi w:val="0"/>
        <w:ind w:firstLine="4800" w:firstLineChars="2000"/>
        <w:rPr>
          <w:rFonts w:hint="eastAsia" w:ascii="宋体" w:hAnsi="宋体" w:eastAsia="宋体" w:cs="宋体"/>
          <w:sz w:val="24"/>
          <w:szCs w:val="24"/>
        </w:rPr>
      </w:pPr>
      <w:r>
        <w:rPr>
          <w:rFonts w:hint="eastAsia" w:ascii="宋体" w:hAnsi="宋体" w:eastAsia="宋体" w:cs="宋体"/>
          <w:sz w:val="24"/>
          <w:szCs w:val="24"/>
        </w:rPr>
        <w:t>法定代表人或授权代理人（盖章或签字）</w:t>
      </w:r>
      <w:r>
        <w:rPr>
          <w:rFonts w:hint="eastAsia" w:ascii="宋体" w:hAnsi="宋体" w:eastAsia="宋体" w:cs="宋体"/>
          <w:sz w:val="24"/>
          <w:szCs w:val="24"/>
          <w:lang w:val="zh-CN"/>
        </w:rPr>
        <w:t>：</w:t>
      </w:r>
    </w:p>
    <w:p w14:paraId="1A67CA9B">
      <w:pPr>
        <w:keepNext w:val="0"/>
        <w:keepLines w:val="0"/>
        <w:pageBreakBefore w:val="0"/>
        <w:widowControl w:val="0"/>
        <w:kinsoku/>
        <w:wordWrap/>
        <w:overflowPunct/>
        <w:topLinePunct w:val="0"/>
        <w:autoSpaceDE/>
        <w:autoSpaceDN/>
        <w:bidi w:val="0"/>
        <w:adjustRightInd/>
        <w:snapToGrid/>
        <w:ind w:firstLine="5280" w:firstLineChars="2200"/>
        <w:textAlignment w:val="auto"/>
        <w:rPr>
          <w:rFonts w:hint="eastAsia" w:ascii="宋体" w:hAnsi="宋体" w:eastAsia="宋体" w:cs="宋体"/>
          <w:sz w:val="24"/>
          <w:szCs w:val="24"/>
        </w:rPr>
      </w:pPr>
    </w:p>
    <w:p w14:paraId="01A71075">
      <w:pPr>
        <w:keepNext w:val="0"/>
        <w:keepLines w:val="0"/>
        <w:pageBreakBefore w:val="0"/>
        <w:widowControl w:val="0"/>
        <w:kinsoku/>
        <w:wordWrap/>
        <w:overflowPunct/>
        <w:topLinePunct w:val="0"/>
        <w:autoSpaceDE/>
        <w:autoSpaceDN/>
        <w:bidi w:val="0"/>
        <w:adjustRightInd/>
        <w:snapToGrid/>
        <w:ind w:firstLine="4800" w:firstLineChars="2000"/>
        <w:textAlignment w:val="auto"/>
        <w:rPr>
          <w:rFonts w:hint="eastAsia" w:ascii="宋体" w:hAnsi="宋体" w:eastAsia="宋体" w:cs="宋体"/>
          <w:sz w:val="24"/>
          <w:szCs w:val="24"/>
        </w:rPr>
      </w:pPr>
      <w:r>
        <w:rPr>
          <w:rFonts w:hint="eastAsia" w:ascii="宋体" w:hAnsi="宋体" w:eastAsia="宋体" w:cs="宋体"/>
          <w:sz w:val="24"/>
          <w:szCs w:val="24"/>
        </w:rPr>
        <w:t>日期：          年     月   日</w:t>
      </w:r>
    </w:p>
    <w:p w14:paraId="4B4FCAC2">
      <w:pPr>
        <w:pStyle w:val="16"/>
        <w:shd w:val="clear" w:color="auto" w:fill="FFFFFF"/>
        <w:wordWrap w:val="0"/>
        <w:topLinePunct/>
        <w:spacing w:before="0" w:beforeAutospacing="0" w:after="0" w:afterAutospacing="0" w:line="360" w:lineRule="auto"/>
        <w:ind w:firstLine="482" w:firstLineChars="200"/>
        <w:jc w:val="both"/>
        <w:rPr>
          <w:rFonts w:hint="eastAsia" w:ascii="宋体" w:hAnsi="宋体" w:eastAsia="宋体" w:cs="宋体"/>
          <w:b/>
          <w:bCs/>
          <w:color w:val="000000"/>
          <w:sz w:val="24"/>
          <w:szCs w:val="24"/>
          <w:highlight w:val="none"/>
          <w:shd w:val="clear" w:color="auto" w:fill="FFFFFF"/>
        </w:rPr>
        <w:sectPr>
          <w:pgSz w:w="11906" w:h="16838"/>
          <w:pgMar w:top="1440" w:right="1080" w:bottom="1440" w:left="1080" w:header="851" w:footer="992" w:gutter="0"/>
          <w:pgBorders>
            <w:top w:val="none" w:sz="0" w:space="0"/>
            <w:left w:val="none" w:sz="0" w:space="0"/>
            <w:bottom w:val="none" w:sz="0" w:space="0"/>
            <w:right w:val="none" w:sz="0" w:space="0"/>
          </w:pgBorders>
          <w:pgNumType w:fmt="decimal"/>
          <w:cols w:space="0" w:num="1"/>
          <w:rtlGutter w:val="0"/>
          <w:docGrid w:type="lines" w:linePitch="460" w:charSpace="0"/>
        </w:sectPr>
      </w:pPr>
    </w:p>
    <w:p w14:paraId="1306D039">
      <w:pPr>
        <w:pStyle w:val="3"/>
        <w:bidi w:val="0"/>
        <w:jc w:val="center"/>
        <w:rPr>
          <w:rFonts w:hint="eastAsia"/>
          <w:highlight w:val="none"/>
          <w:lang w:val="en-US" w:eastAsia="zh-CN"/>
        </w:rPr>
      </w:pPr>
      <w:bookmarkStart w:id="27" w:name="_Toc21258"/>
      <w:bookmarkStart w:id="28" w:name="_Toc1469"/>
      <w:r>
        <w:rPr>
          <w:rFonts w:hint="eastAsia"/>
          <w:highlight w:val="none"/>
          <w:lang w:val="en-US" w:eastAsia="zh-CN"/>
        </w:rPr>
        <w:t>二、法定代表人身份证明</w:t>
      </w:r>
      <w:bookmarkEnd w:id="27"/>
      <w:bookmarkEnd w:id="28"/>
    </w:p>
    <w:p w14:paraId="3B88F8F2">
      <w:pPr>
        <w:tabs>
          <w:tab w:val="left" w:pos="1920"/>
        </w:tabs>
        <w:spacing w:line="500" w:lineRule="exact"/>
        <w:ind w:left="840"/>
        <w:rPr>
          <w:rFonts w:ascii="宋体" w:hAnsi="宋体" w:eastAsia="宋体" w:cs="Times New Roman"/>
          <w:b/>
          <w:sz w:val="28"/>
          <w:szCs w:val="28"/>
          <w:highlight w:val="none"/>
        </w:rPr>
      </w:pPr>
      <w:r>
        <w:rPr>
          <w:rFonts w:ascii="宋体" w:hAnsi="宋体" w:eastAsia="宋体" w:cs="Times New Roman"/>
          <w:b/>
          <w:sz w:val="28"/>
          <w:szCs w:val="28"/>
          <w:highlight w:val="none"/>
        </w:rPr>
        <w:tab/>
      </w:r>
    </w:p>
    <w:p w14:paraId="372899BC">
      <w:pPr>
        <w:spacing w:line="500" w:lineRule="exact"/>
        <w:ind w:firstLine="480" w:firstLineChars="200"/>
        <w:rPr>
          <w:rFonts w:ascii="宋体" w:hAnsi="宋体" w:eastAsia="宋体" w:cs="Times New Roman"/>
          <w:sz w:val="24"/>
          <w:szCs w:val="28"/>
          <w:highlight w:val="none"/>
        </w:rPr>
      </w:pPr>
      <w:r>
        <w:rPr>
          <w:rFonts w:hint="eastAsia" w:ascii="宋体" w:hAnsi="宋体" w:eastAsia="宋体" w:cs="Times New Roman"/>
          <w:sz w:val="24"/>
          <w:szCs w:val="28"/>
          <w:highlight w:val="none"/>
        </w:rPr>
        <w:t>投标人（公司）名称：</w:t>
      </w:r>
      <w:r>
        <w:rPr>
          <w:rFonts w:hint="eastAsia" w:ascii="宋体" w:hAnsi="宋体" w:eastAsia="宋体" w:cs="Times New Roman"/>
          <w:sz w:val="24"/>
          <w:szCs w:val="28"/>
          <w:highlight w:val="none"/>
          <w:u w:val="single"/>
        </w:rPr>
        <w:t xml:space="preserve">                          </w:t>
      </w:r>
    </w:p>
    <w:p w14:paraId="4FE046BF">
      <w:pPr>
        <w:spacing w:line="500" w:lineRule="exact"/>
        <w:ind w:firstLine="480" w:firstLineChars="200"/>
        <w:rPr>
          <w:rFonts w:ascii="宋体" w:hAnsi="宋体" w:eastAsia="宋体" w:cs="Times New Roman"/>
          <w:sz w:val="24"/>
          <w:szCs w:val="28"/>
          <w:highlight w:val="none"/>
          <w:u w:val="single"/>
        </w:rPr>
      </w:pPr>
      <w:r>
        <w:rPr>
          <w:rFonts w:hint="eastAsia" w:ascii="宋体" w:hAnsi="宋体" w:eastAsia="宋体" w:cs="Times New Roman"/>
          <w:sz w:val="24"/>
          <w:szCs w:val="28"/>
          <w:highlight w:val="none"/>
        </w:rPr>
        <w:t>单位性质：</w:t>
      </w:r>
      <w:r>
        <w:rPr>
          <w:rFonts w:hint="eastAsia" w:ascii="宋体" w:hAnsi="宋体" w:eastAsia="宋体" w:cs="Times New Roman"/>
          <w:sz w:val="24"/>
          <w:szCs w:val="28"/>
          <w:highlight w:val="none"/>
          <w:u w:val="single"/>
        </w:rPr>
        <w:t xml:space="preserve">                                  </w:t>
      </w:r>
      <w:r>
        <w:rPr>
          <w:rFonts w:ascii="宋体" w:hAnsi="宋体" w:eastAsia="宋体" w:cs="Times New Roman"/>
          <w:sz w:val="24"/>
          <w:szCs w:val="28"/>
          <w:highlight w:val="none"/>
          <w:u w:val="single"/>
        </w:rPr>
        <w:t xml:space="preserve">  </w:t>
      </w:r>
    </w:p>
    <w:p w14:paraId="6AECBB72">
      <w:pPr>
        <w:spacing w:line="500" w:lineRule="exact"/>
        <w:ind w:firstLine="480" w:firstLineChars="200"/>
        <w:rPr>
          <w:rFonts w:ascii="宋体" w:hAnsi="宋体" w:eastAsia="宋体" w:cs="Times New Roman"/>
          <w:sz w:val="24"/>
          <w:szCs w:val="28"/>
          <w:highlight w:val="none"/>
          <w:u w:val="single"/>
        </w:rPr>
      </w:pPr>
      <w:r>
        <w:rPr>
          <w:rFonts w:hint="eastAsia" w:ascii="宋体" w:hAnsi="宋体" w:eastAsia="宋体" w:cs="Times New Roman"/>
          <w:sz w:val="24"/>
          <w:szCs w:val="28"/>
          <w:highlight w:val="none"/>
        </w:rPr>
        <w:t>公司地址：</w:t>
      </w:r>
      <w:r>
        <w:rPr>
          <w:rFonts w:hint="eastAsia" w:ascii="宋体" w:hAnsi="宋体" w:eastAsia="宋体" w:cs="Times New Roman"/>
          <w:sz w:val="24"/>
          <w:szCs w:val="28"/>
          <w:highlight w:val="none"/>
          <w:u w:val="single"/>
        </w:rPr>
        <w:t xml:space="preserve">                              </w:t>
      </w:r>
      <w:r>
        <w:rPr>
          <w:rFonts w:ascii="宋体" w:hAnsi="宋体" w:eastAsia="宋体" w:cs="Times New Roman"/>
          <w:sz w:val="24"/>
          <w:szCs w:val="28"/>
          <w:highlight w:val="none"/>
          <w:u w:val="single"/>
        </w:rPr>
        <w:t xml:space="preserve">      </w:t>
      </w:r>
      <w:r>
        <w:rPr>
          <w:rFonts w:hint="eastAsia" w:ascii="宋体" w:hAnsi="宋体" w:eastAsia="宋体" w:cs="Times New Roman"/>
          <w:sz w:val="24"/>
          <w:szCs w:val="28"/>
          <w:highlight w:val="none"/>
          <w:u w:val="single"/>
        </w:rPr>
        <w:t xml:space="preserve"> </w:t>
      </w:r>
    </w:p>
    <w:p w14:paraId="676FA62E">
      <w:pPr>
        <w:spacing w:line="500" w:lineRule="exact"/>
        <w:ind w:firstLine="480" w:firstLineChars="200"/>
        <w:rPr>
          <w:rFonts w:ascii="宋体" w:hAnsi="宋体" w:eastAsia="宋体" w:cs="Times New Roman"/>
          <w:sz w:val="24"/>
          <w:szCs w:val="28"/>
          <w:highlight w:val="none"/>
        </w:rPr>
      </w:pPr>
      <w:r>
        <w:rPr>
          <w:rFonts w:hint="eastAsia" w:ascii="宋体" w:hAnsi="宋体" w:eastAsia="宋体" w:cs="Times New Roman"/>
          <w:sz w:val="24"/>
          <w:szCs w:val="28"/>
          <w:highlight w:val="none"/>
        </w:rPr>
        <w:t>成立时间：</w:t>
      </w:r>
      <w:r>
        <w:rPr>
          <w:rFonts w:hint="eastAsia" w:ascii="宋体" w:hAnsi="宋体" w:eastAsia="宋体" w:cs="Times New Roman"/>
          <w:sz w:val="24"/>
          <w:szCs w:val="28"/>
          <w:highlight w:val="none"/>
          <w:u w:val="single"/>
        </w:rPr>
        <w:t xml:space="preserve">           </w:t>
      </w:r>
      <w:r>
        <w:rPr>
          <w:rFonts w:hint="eastAsia" w:ascii="宋体" w:hAnsi="宋体" w:eastAsia="宋体" w:cs="Times New Roman"/>
          <w:sz w:val="24"/>
          <w:szCs w:val="28"/>
          <w:highlight w:val="none"/>
        </w:rPr>
        <w:t>年</w:t>
      </w:r>
      <w:r>
        <w:rPr>
          <w:rFonts w:hint="eastAsia" w:ascii="宋体" w:hAnsi="宋体" w:eastAsia="宋体" w:cs="Times New Roman"/>
          <w:sz w:val="24"/>
          <w:szCs w:val="28"/>
          <w:highlight w:val="none"/>
          <w:u w:val="single"/>
        </w:rPr>
        <w:t xml:space="preserve">         </w:t>
      </w:r>
      <w:r>
        <w:rPr>
          <w:rFonts w:hint="eastAsia" w:ascii="宋体" w:hAnsi="宋体" w:eastAsia="宋体" w:cs="Times New Roman"/>
          <w:sz w:val="24"/>
          <w:szCs w:val="28"/>
          <w:highlight w:val="none"/>
        </w:rPr>
        <w:t>月</w:t>
      </w:r>
      <w:r>
        <w:rPr>
          <w:rFonts w:hint="eastAsia" w:ascii="宋体" w:hAnsi="宋体" w:eastAsia="宋体" w:cs="Times New Roman"/>
          <w:sz w:val="24"/>
          <w:szCs w:val="28"/>
          <w:highlight w:val="none"/>
          <w:u w:val="single"/>
        </w:rPr>
        <w:t xml:space="preserve">           </w:t>
      </w:r>
      <w:r>
        <w:rPr>
          <w:rFonts w:hint="eastAsia" w:ascii="宋体" w:hAnsi="宋体" w:eastAsia="宋体" w:cs="Times New Roman"/>
          <w:sz w:val="24"/>
          <w:szCs w:val="28"/>
          <w:highlight w:val="none"/>
        </w:rPr>
        <w:t>日</w:t>
      </w:r>
    </w:p>
    <w:p w14:paraId="74842C7E">
      <w:pPr>
        <w:spacing w:line="500" w:lineRule="exact"/>
        <w:ind w:firstLine="480" w:firstLineChars="200"/>
        <w:rPr>
          <w:rFonts w:ascii="宋体" w:hAnsi="宋体" w:eastAsia="宋体" w:cs="Times New Roman"/>
          <w:sz w:val="24"/>
          <w:szCs w:val="28"/>
          <w:highlight w:val="none"/>
          <w:u w:val="single"/>
        </w:rPr>
      </w:pPr>
      <w:r>
        <w:rPr>
          <w:rFonts w:hint="eastAsia" w:ascii="宋体" w:hAnsi="宋体" w:eastAsia="宋体" w:cs="Times New Roman"/>
          <w:sz w:val="24"/>
          <w:szCs w:val="28"/>
          <w:highlight w:val="none"/>
        </w:rPr>
        <w:t>经营期限：</w:t>
      </w:r>
      <w:r>
        <w:rPr>
          <w:rFonts w:hint="eastAsia" w:ascii="宋体" w:hAnsi="宋体" w:eastAsia="宋体" w:cs="Times New Roman"/>
          <w:sz w:val="24"/>
          <w:szCs w:val="28"/>
          <w:highlight w:val="none"/>
          <w:u w:val="single"/>
        </w:rPr>
        <w:t xml:space="preserve">                                   </w:t>
      </w:r>
    </w:p>
    <w:p w14:paraId="7F2E7CA8">
      <w:pPr>
        <w:spacing w:line="500" w:lineRule="exact"/>
        <w:ind w:firstLine="480" w:firstLineChars="200"/>
        <w:rPr>
          <w:rFonts w:ascii="宋体" w:hAnsi="宋体" w:eastAsia="宋体" w:cs="Times New Roman"/>
          <w:sz w:val="24"/>
          <w:szCs w:val="28"/>
          <w:highlight w:val="none"/>
          <w:u w:val="single"/>
        </w:rPr>
      </w:pPr>
      <w:r>
        <w:rPr>
          <w:rFonts w:hint="eastAsia" w:ascii="宋体" w:hAnsi="宋体" w:eastAsia="宋体" w:cs="Times New Roman"/>
          <w:sz w:val="24"/>
          <w:szCs w:val="28"/>
          <w:highlight w:val="none"/>
        </w:rPr>
        <w:t>姓 名：</w:t>
      </w:r>
      <w:r>
        <w:rPr>
          <w:rFonts w:ascii="宋体" w:hAnsi="宋体" w:eastAsia="宋体" w:cs="Times New Roman"/>
          <w:sz w:val="24"/>
          <w:szCs w:val="28"/>
          <w:highlight w:val="none"/>
          <w:u w:val="single"/>
        </w:rPr>
        <w:t xml:space="preserve">      </w:t>
      </w:r>
      <w:r>
        <w:rPr>
          <w:rFonts w:hint="eastAsia" w:ascii="宋体" w:hAnsi="宋体" w:eastAsia="宋体" w:cs="Times New Roman"/>
          <w:sz w:val="24"/>
          <w:szCs w:val="28"/>
          <w:highlight w:val="none"/>
          <w:u w:val="single"/>
        </w:rPr>
        <w:t xml:space="preserve"> </w:t>
      </w:r>
      <w:r>
        <w:rPr>
          <w:rFonts w:hint="eastAsia" w:ascii="宋体" w:hAnsi="宋体" w:eastAsia="宋体" w:cs="Times New Roman"/>
          <w:sz w:val="24"/>
          <w:szCs w:val="28"/>
          <w:highlight w:val="none"/>
        </w:rPr>
        <w:t>性别：</w:t>
      </w:r>
      <w:r>
        <w:rPr>
          <w:rFonts w:hint="eastAsia" w:ascii="宋体" w:hAnsi="宋体" w:eastAsia="宋体" w:cs="Times New Roman"/>
          <w:sz w:val="24"/>
          <w:szCs w:val="28"/>
          <w:highlight w:val="none"/>
          <w:u w:val="single"/>
        </w:rPr>
        <w:t xml:space="preserve">    </w:t>
      </w:r>
      <w:r>
        <w:rPr>
          <w:rFonts w:hint="eastAsia" w:ascii="宋体" w:hAnsi="宋体" w:eastAsia="宋体" w:cs="Times New Roman"/>
          <w:sz w:val="24"/>
          <w:szCs w:val="28"/>
          <w:highlight w:val="none"/>
        </w:rPr>
        <w:t>年龄：</w:t>
      </w:r>
      <w:r>
        <w:rPr>
          <w:rFonts w:hint="eastAsia" w:ascii="宋体" w:hAnsi="宋体" w:eastAsia="宋体" w:cs="Times New Roman"/>
          <w:sz w:val="24"/>
          <w:szCs w:val="28"/>
          <w:highlight w:val="none"/>
          <w:u w:val="single"/>
        </w:rPr>
        <w:t xml:space="preserve">     </w:t>
      </w:r>
    </w:p>
    <w:p w14:paraId="1C627AEB">
      <w:pPr>
        <w:spacing w:line="500" w:lineRule="exact"/>
        <w:ind w:firstLine="480" w:firstLineChars="200"/>
        <w:rPr>
          <w:rFonts w:ascii="宋体" w:hAnsi="宋体" w:eastAsia="宋体" w:cs="Times New Roman"/>
          <w:sz w:val="24"/>
          <w:szCs w:val="28"/>
          <w:highlight w:val="none"/>
          <w:u w:val="single"/>
        </w:rPr>
      </w:pPr>
      <w:r>
        <w:rPr>
          <w:rFonts w:hint="eastAsia" w:ascii="宋体" w:hAnsi="宋体" w:eastAsia="宋体" w:cs="Times New Roman"/>
          <w:sz w:val="24"/>
          <w:szCs w:val="28"/>
          <w:highlight w:val="none"/>
        </w:rPr>
        <w:t>职务：</w:t>
      </w:r>
      <w:r>
        <w:rPr>
          <w:rFonts w:hint="eastAsia" w:ascii="宋体" w:hAnsi="宋体" w:eastAsia="宋体" w:cs="Times New Roman"/>
          <w:sz w:val="24"/>
          <w:szCs w:val="28"/>
          <w:highlight w:val="none"/>
          <w:u w:val="single"/>
        </w:rPr>
        <w:t xml:space="preserve">        </w:t>
      </w:r>
      <w:r>
        <w:rPr>
          <w:rFonts w:hint="eastAsia" w:ascii="宋体" w:hAnsi="宋体" w:eastAsia="宋体" w:cs="Times New Roman"/>
          <w:sz w:val="24"/>
          <w:szCs w:val="28"/>
          <w:highlight w:val="none"/>
        </w:rPr>
        <w:t>系</w:t>
      </w:r>
      <w:r>
        <w:rPr>
          <w:rFonts w:hint="eastAsia" w:ascii="宋体" w:hAnsi="宋体" w:eastAsia="宋体" w:cs="Times New Roman"/>
          <w:sz w:val="24"/>
          <w:szCs w:val="28"/>
          <w:highlight w:val="none"/>
          <w:u w:val="single"/>
        </w:rPr>
        <w:t xml:space="preserve">                     </w:t>
      </w:r>
      <w:r>
        <w:rPr>
          <w:rFonts w:hint="eastAsia" w:ascii="宋体" w:hAnsi="宋体" w:eastAsia="宋体" w:cs="Times New Roman"/>
          <w:sz w:val="24"/>
          <w:szCs w:val="28"/>
          <w:highlight w:val="none"/>
        </w:rPr>
        <w:t>（投标人名称）的法定代表人（</w:t>
      </w:r>
      <w:r>
        <w:rPr>
          <w:rFonts w:hint="eastAsia" w:ascii="宋体" w:hAnsi="宋体" w:cs="Times New Roman"/>
          <w:sz w:val="24"/>
          <w:szCs w:val="28"/>
          <w:highlight w:val="none"/>
          <w:lang w:val="en-US" w:eastAsia="zh-CN"/>
        </w:rPr>
        <w:t>或</w:t>
      </w:r>
      <w:r>
        <w:rPr>
          <w:rFonts w:hint="eastAsia" w:ascii="宋体" w:hAnsi="宋体" w:eastAsia="宋体" w:cs="Times New Roman"/>
          <w:sz w:val="24"/>
          <w:szCs w:val="28"/>
          <w:highlight w:val="none"/>
        </w:rPr>
        <w:t>负责人</w:t>
      </w:r>
      <w:r>
        <w:rPr>
          <w:rFonts w:ascii="宋体" w:hAnsi="宋体" w:eastAsia="宋体" w:cs="Times New Roman"/>
          <w:sz w:val="24"/>
          <w:szCs w:val="28"/>
          <w:highlight w:val="none"/>
        </w:rPr>
        <w:t>）</w:t>
      </w:r>
      <w:r>
        <w:rPr>
          <w:rFonts w:hint="eastAsia" w:ascii="宋体" w:hAnsi="宋体" w:eastAsia="宋体" w:cs="Times New Roman"/>
          <w:sz w:val="24"/>
          <w:szCs w:val="28"/>
          <w:highlight w:val="none"/>
        </w:rPr>
        <w:t>。</w:t>
      </w:r>
    </w:p>
    <w:p w14:paraId="1C9407CC">
      <w:pPr>
        <w:spacing w:line="500" w:lineRule="exact"/>
        <w:ind w:firstLine="480" w:firstLineChars="200"/>
        <w:rPr>
          <w:rFonts w:ascii="宋体" w:hAnsi="宋体" w:eastAsia="宋体" w:cs="Times New Roman"/>
          <w:sz w:val="24"/>
          <w:szCs w:val="28"/>
          <w:highlight w:val="none"/>
        </w:rPr>
      </w:pPr>
      <w:r>
        <w:rPr>
          <w:rFonts w:hint="eastAsia" w:ascii="宋体" w:hAnsi="宋体" w:eastAsia="宋体" w:cs="Times New Roman"/>
          <w:sz w:val="24"/>
          <w:szCs w:val="28"/>
          <w:highlight w:val="none"/>
        </w:rPr>
        <w:t>特此证明。</w:t>
      </w:r>
    </w:p>
    <w:p w14:paraId="7E3FDCFE">
      <w:pPr>
        <w:spacing w:line="500" w:lineRule="exact"/>
        <w:ind w:firstLine="482" w:firstLineChars="200"/>
        <w:rPr>
          <w:rFonts w:ascii="宋体" w:hAnsi="宋体" w:eastAsia="宋体" w:cs="Times New Roman"/>
          <w:b/>
          <w:sz w:val="24"/>
          <w:szCs w:val="28"/>
          <w:highlight w:val="none"/>
        </w:rPr>
      </w:pPr>
      <w:r>
        <w:rPr>
          <w:rFonts w:hint="eastAsia" w:ascii="宋体" w:hAnsi="宋体" w:eastAsia="宋体" w:cs="Times New Roman"/>
          <w:b/>
          <w:sz w:val="24"/>
          <w:szCs w:val="28"/>
          <w:highlight w:val="none"/>
        </w:rPr>
        <w:t>附：法定代表人（负责人</w:t>
      </w:r>
      <w:r>
        <w:rPr>
          <w:rFonts w:ascii="宋体" w:hAnsi="宋体" w:eastAsia="宋体" w:cs="Times New Roman"/>
          <w:b/>
          <w:sz w:val="24"/>
          <w:szCs w:val="28"/>
          <w:highlight w:val="none"/>
        </w:rPr>
        <w:t>）</w:t>
      </w:r>
      <w:r>
        <w:rPr>
          <w:rFonts w:hint="eastAsia" w:ascii="宋体" w:hAnsi="宋体" w:eastAsia="宋体" w:cs="Times New Roman"/>
          <w:b/>
          <w:sz w:val="24"/>
          <w:szCs w:val="28"/>
          <w:highlight w:val="none"/>
        </w:rPr>
        <w:t>身份证复印件加盖公章（正反面）格式如下。</w:t>
      </w:r>
    </w:p>
    <w:p w14:paraId="37000DF3">
      <w:pPr>
        <w:spacing w:line="500" w:lineRule="exact"/>
        <w:ind w:firstLine="480" w:firstLineChars="200"/>
        <w:rPr>
          <w:rFonts w:ascii="宋体" w:hAnsi="宋体" w:eastAsia="宋体" w:cs="Times New Roman"/>
          <w:sz w:val="24"/>
          <w:szCs w:val="28"/>
          <w:highlight w:val="none"/>
        </w:rPr>
      </w:pPr>
    </w:p>
    <w:p w14:paraId="31B41053">
      <w:pPr>
        <w:ind w:firstLine="784" w:firstLineChars="245"/>
        <w:rPr>
          <w:rFonts w:ascii="宋体" w:hAnsi="宋体" w:eastAsia="宋体" w:cs="Times New Roman"/>
          <w:b/>
          <w:i/>
          <w:color w:val="000000"/>
          <w:szCs w:val="21"/>
          <w:highlight w:val="none"/>
        </w:rPr>
      </w:pPr>
      <w:r>
        <w:rPr>
          <w:rFonts w:hint="eastAsia" w:ascii="仿宋_GB2312" w:eastAsia="仿宋_GB2312" w:cs="Times New Roman"/>
          <w:sz w:val="32"/>
          <w:szCs w:val="22"/>
          <w:highlight w:val="none"/>
        </w:rPr>
        <mc:AlternateContent>
          <mc:Choice Requires="wps">
            <w:drawing>
              <wp:anchor distT="0" distB="0" distL="114300" distR="114300" simplePos="0" relativeHeight="251660288" behindDoc="0" locked="0" layoutInCell="1" allowOverlap="1">
                <wp:simplePos x="0" y="0"/>
                <wp:positionH relativeFrom="column">
                  <wp:posOffset>3200400</wp:posOffset>
                </wp:positionH>
                <wp:positionV relativeFrom="paragraph">
                  <wp:posOffset>33020</wp:posOffset>
                </wp:positionV>
                <wp:extent cx="2628900" cy="1584960"/>
                <wp:effectExtent l="4445" t="4445" r="14605" b="10795"/>
                <wp:wrapNone/>
                <wp:docPr id="17" name="圆角矩形 17"/>
                <wp:cNvGraphicFramePr/>
                <a:graphic xmlns:a="http://schemas.openxmlformats.org/drawingml/2006/main">
                  <a:graphicData uri="http://schemas.microsoft.com/office/word/2010/wordprocessingShape">
                    <wps:wsp>
                      <wps:cNvSpPr>
                        <a:spLocks noChangeArrowheads="1"/>
                      </wps:cNvSpPr>
                      <wps:spPr bwMode="auto">
                        <a:xfrm>
                          <a:off x="0" y="0"/>
                          <a:ext cx="2628900" cy="1584960"/>
                        </a:xfrm>
                        <a:prstGeom prst="roundRect">
                          <a:avLst>
                            <a:gd name="adj" fmla="val 7648"/>
                          </a:avLst>
                        </a:prstGeom>
                        <a:noFill/>
                        <a:ln w="3175">
                          <a:solidFill>
                            <a:srgbClr val="000000"/>
                          </a:solidFill>
                          <a:round/>
                        </a:ln>
                        <a:effectLst/>
                      </wps:spPr>
                      <wps:txbx>
                        <w:txbxContent>
                          <w:p w14:paraId="72BA8332">
                            <w:pPr>
                              <w:rPr>
                                <w:rFonts w:eastAsia="宋体" w:cs="Times New Roman"/>
                                <w:szCs w:val="22"/>
                              </w:rPr>
                            </w:pPr>
                          </w:p>
                          <w:p w14:paraId="509E494C">
                            <w:pPr>
                              <w:rPr>
                                <w:rFonts w:eastAsia="宋体" w:cs="Times New Roman"/>
                                <w:szCs w:val="22"/>
                              </w:rPr>
                            </w:pPr>
                          </w:p>
                          <w:p w14:paraId="2116967D">
                            <w:pPr>
                              <w:rPr>
                                <w:rFonts w:eastAsia="宋体" w:cs="Times New Roman"/>
                                <w:szCs w:val="22"/>
                              </w:rPr>
                            </w:pPr>
                          </w:p>
                          <w:p w14:paraId="5DD5EE8E">
                            <w:pPr>
                              <w:jc w:val="center"/>
                              <w:rPr>
                                <w:rFonts w:eastAsia="宋体" w:cs="Times New Roman"/>
                                <w:b/>
                                <w:sz w:val="28"/>
                              </w:rPr>
                            </w:pPr>
                            <w:r>
                              <w:rPr>
                                <w:rFonts w:hint="eastAsia" w:eastAsia="宋体" w:cs="Times New Roman"/>
                                <w:b/>
                                <w:sz w:val="28"/>
                              </w:rPr>
                              <w:t>法</w:t>
                            </w:r>
                            <w:r>
                              <w:rPr>
                                <w:rFonts w:eastAsia="宋体" w:cs="Times New Roman"/>
                                <w:b/>
                                <w:sz w:val="28"/>
                              </w:rPr>
                              <w:t>定代表人居民身份证反面</w:t>
                            </w:r>
                          </w:p>
                          <w:p w14:paraId="57A11506">
                            <w:pPr>
                              <w:pStyle w:val="17"/>
                              <w:rPr>
                                <w:rFonts w:hint="eastAsia" w:ascii="Times New Roman" w:hAnsi="Times New Roman" w:eastAsia="宋体" w:cs="Times New Roman"/>
                                <w:b w:val="0"/>
                                <w:bCs w:val="0"/>
                                <w:kern w:val="2"/>
                                <w:sz w:val="21"/>
                                <w:szCs w:val="24"/>
                                <w:lang w:val="en-US" w:eastAsia="zh-CN" w:bidi="ar-SA"/>
                              </w:rPr>
                            </w:pPr>
                          </w:p>
                        </w:txbxContent>
                      </wps:txbx>
                      <wps:bodyPr rot="0" vert="horz" wrap="square" lIns="91440" tIns="45720" rIns="91440" bIns="45720" anchor="t" anchorCtr="0" upright="1">
                        <a:noAutofit/>
                      </wps:bodyPr>
                    </wps:wsp>
                  </a:graphicData>
                </a:graphic>
              </wp:anchor>
            </w:drawing>
          </mc:Choice>
          <mc:Fallback>
            <w:pict>
              <v:roundrect id="_x0000_s1026" o:spid="_x0000_s1026" o:spt="2" style="position:absolute;left:0pt;margin-left:252pt;margin-top:2.6pt;height:124.8pt;width:207pt;z-index:251660288;mso-width-relative:page;mso-height-relative:page;" filled="f" stroked="t" coordsize="21600,21600" arcsize="0.0764814814814815" o:gfxdata="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JuoH9HaAAAACQEAAA8AAAAAAAAAAQAgAAAAIgAAAGRycy9kb3ducmV2LnhtbFBLAQIUABQAAAAI&#10;AIdO4kA6cyFBXQIAAIsEAAAOAAAAAAAAAAEAIAAAACkBAABkcnMvZTJvRG9jLnhtbFBLBQYAAAAA&#10;BgAGAFkBAAD4BQAAAAA=&#10;">
                <v:fill on="f" focussize="0,0"/>
                <v:stroke weight="0.25pt" color="#000000" joinstyle="round"/>
                <v:imagedata o:title=""/>
                <o:lock v:ext="edit" aspectratio="f"/>
                <v:textbox>
                  <w:txbxContent>
                    <w:p w14:paraId="72BA8332">
                      <w:pPr>
                        <w:rPr>
                          <w:rFonts w:eastAsia="宋体" w:cs="Times New Roman"/>
                          <w:szCs w:val="22"/>
                        </w:rPr>
                      </w:pPr>
                    </w:p>
                    <w:p w14:paraId="509E494C">
                      <w:pPr>
                        <w:rPr>
                          <w:rFonts w:eastAsia="宋体" w:cs="Times New Roman"/>
                          <w:szCs w:val="22"/>
                        </w:rPr>
                      </w:pPr>
                    </w:p>
                    <w:p w14:paraId="2116967D">
                      <w:pPr>
                        <w:rPr>
                          <w:rFonts w:eastAsia="宋体" w:cs="Times New Roman"/>
                          <w:szCs w:val="22"/>
                        </w:rPr>
                      </w:pPr>
                    </w:p>
                    <w:p w14:paraId="5DD5EE8E">
                      <w:pPr>
                        <w:jc w:val="center"/>
                        <w:rPr>
                          <w:rFonts w:eastAsia="宋体" w:cs="Times New Roman"/>
                          <w:b/>
                          <w:sz w:val="28"/>
                        </w:rPr>
                      </w:pPr>
                      <w:r>
                        <w:rPr>
                          <w:rFonts w:hint="eastAsia" w:eastAsia="宋体" w:cs="Times New Roman"/>
                          <w:b/>
                          <w:sz w:val="28"/>
                        </w:rPr>
                        <w:t>法</w:t>
                      </w:r>
                      <w:r>
                        <w:rPr>
                          <w:rFonts w:eastAsia="宋体" w:cs="Times New Roman"/>
                          <w:b/>
                          <w:sz w:val="28"/>
                        </w:rPr>
                        <w:t>定代表人居民身份证反面</w:t>
                      </w:r>
                    </w:p>
                    <w:p w14:paraId="57A11506">
                      <w:pPr>
                        <w:pStyle w:val="17"/>
                        <w:rPr>
                          <w:rFonts w:hint="eastAsia" w:ascii="Times New Roman" w:hAnsi="Times New Roman" w:eastAsia="宋体" w:cs="Times New Roman"/>
                          <w:b w:val="0"/>
                          <w:bCs w:val="0"/>
                          <w:kern w:val="2"/>
                          <w:sz w:val="21"/>
                          <w:szCs w:val="24"/>
                          <w:lang w:val="en-US" w:eastAsia="zh-CN" w:bidi="ar-SA"/>
                        </w:rPr>
                      </w:pPr>
                    </w:p>
                  </w:txbxContent>
                </v:textbox>
              </v:roundrect>
            </w:pict>
          </mc:Fallback>
        </mc:AlternateContent>
      </w:r>
      <w:r>
        <w:rPr>
          <w:rFonts w:hint="eastAsia" w:ascii="仿宋_GB2312" w:eastAsia="仿宋_GB2312" w:cs="Times New Roman"/>
          <w:sz w:val="32"/>
          <w:szCs w:val="22"/>
          <w:highlight w:val="none"/>
        </w:rPr>
        <mc:AlternateContent>
          <mc:Choice Requires="wps">
            <w:drawing>
              <wp:anchor distT="0" distB="0" distL="114300" distR="114300" simplePos="0" relativeHeight="251659264" behindDoc="0" locked="0" layoutInCell="1" allowOverlap="1">
                <wp:simplePos x="0" y="0"/>
                <wp:positionH relativeFrom="column">
                  <wp:posOffset>-26035</wp:posOffset>
                </wp:positionH>
                <wp:positionV relativeFrom="paragraph">
                  <wp:posOffset>33020</wp:posOffset>
                </wp:positionV>
                <wp:extent cx="2628900" cy="1584960"/>
                <wp:effectExtent l="4445" t="4445" r="14605" b="10795"/>
                <wp:wrapNone/>
                <wp:docPr id="16" name="圆角矩形 16"/>
                <wp:cNvGraphicFramePr/>
                <a:graphic xmlns:a="http://schemas.openxmlformats.org/drawingml/2006/main">
                  <a:graphicData uri="http://schemas.microsoft.com/office/word/2010/wordprocessingShape">
                    <wps:wsp>
                      <wps:cNvSpPr>
                        <a:spLocks noChangeArrowheads="1"/>
                      </wps:cNvSpPr>
                      <wps:spPr bwMode="auto">
                        <a:xfrm>
                          <a:off x="0" y="0"/>
                          <a:ext cx="2628900" cy="1584960"/>
                        </a:xfrm>
                        <a:prstGeom prst="roundRect">
                          <a:avLst>
                            <a:gd name="adj" fmla="val 7648"/>
                          </a:avLst>
                        </a:prstGeom>
                        <a:noFill/>
                        <a:ln w="3175">
                          <a:solidFill>
                            <a:srgbClr val="000000"/>
                          </a:solidFill>
                          <a:round/>
                        </a:ln>
                        <a:effectLst/>
                      </wps:spPr>
                      <wps:txbx>
                        <w:txbxContent>
                          <w:p w14:paraId="17C40F3B">
                            <w:pPr>
                              <w:rPr>
                                <w:rFonts w:eastAsia="宋体" w:cs="Times New Roman"/>
                                <w:szCs w:val="22"/>
                              </w:rPr>
                            </w:pPr>
                          </w:p>
                          <w:p w14:paraId="5EFB24B6">
                            <w:pPr>
                              <w:rPr>
                                <w:rFonts w:eastAsia="宋体" w:cs="Times New Roman"/>
                                <w:szCs w:val="22"/>
                              </w:rPr>
                            </w:pPr>
                          </w:p>
                          <w:p w14:paraId="1A733273">
                            <w:pPr>
                              <w:rPr>
                                <w:rFonts w:eastAsia="宋体" w:cs="Times New Roman"/>
                                <w:szCs w:val="22"/>
                              </w:rPr>
                            </w:pPr>
                          </w:p>
                          <w:p w14:paraId="6CECCAC8">
                            <w:pPr>
                              <w:jc w:val="center"/>
                              <w:rPr>
                                <w:rFonts w:eastAsia="宋体" w:cs="Times New Roman"/>
                                <w:b/>
                                <w:sz w:val="28"/>
                              </w:rPr>
                            </w:pPr>
                            <w:r>
                              <w:rPr>
                                <w:rFonts w:hint="eastAsia" w:eastAsia="宋体" w:cs="Times New Roman"/>
                                <w:b/>
                                <w:sz w:val="28"/>
                              </w:rPr>
                              <w:t>法</w:t>
                            </w:r>
                            <w:r>
                              <w:rPr>
                                <w:rFonts w:eastAsia="宋体" w:cs="Times New Roman"/>
                                <w:b/>
                                <w:sz w:val="28"/>
                              </w:rPr>
                              <w:t>定代表人居民</w:t>
                            </w:r>
                            <w:r>
                              <w:rPr>
                                <w:rFonts w:hint="eastAsia" w:eastAsia="宋体" w:cs="Times New Roman"/>
                                <w:b/>
                                <w:sz w:val="28"/>
                              </w:rPr>
                              <w:t>身</w:t>
                            </w:r>
                            <w:r>
                              <w:rPr>
                                <w:rFonts w:eastAsia="宋体" w:cs="Times New Roman"/>
                                <w:b/>
                                <w:sz w:val="28"/>
                              </w:rPr>
                              <w:t>份证正面</w:t>
                            </w:r>
                          </w:p>
                          <w:p w14:paraId="21A35769">
                            <w:pPr>
                              <w:widowControl w:val="0"/>
                              <w:spacing w:after="120"/>
                              <w:ind w:left="420" w:leftChars="200" w:firstLine="420" w:firstLineChars="200"/>
                              <w:jc w:val="both"/>
                              <w:rPr>
                                <w:rFonts w:ascii="Times New Roman" w:hAnsi="Times New Roman" w:eastAsia="宋体" w:cs="Times New Roman"/>
                                <w:kern w:val="2"/>
                                <w:sz w:val="21"/>
                                <w:szCs w:val="24"/>
                                <w:lang w:val="en-US" w:eastAsia="zh-CN" w:bidi="ar-SA"/>
                              </w:rPr>
                            </w:pPr>
                          </w:p>
                        </w:txbxContent>
                      </wps:txbx>
                      <wps:bodyPr rot="0" vert="horz" wrap="square" lIns="91440" tIns="45720" rIns="91440" bIns="45720" anchor="t" anchorCtr="0" upright="1">
                        <a:noAutofit/>
                      </wps:bodyPr>
                    </wps:wsp>
                  </a:graphicData>
                </a:graphic>
              </wp:anchor>
            </w:drawing>
          </mc:Choice>
          <mc:Fallback>
            <w:pict>
              <v:roundrect id="_x0000_s1026" o:spid="_x0000_s1026" o:spt="2" style="position:absolute;left:0pt;margin-left:-2.05pt;margin-top:2.6pt;height:124.8pt;width:207pt;z-index:251659264;mso-width-relative:page;mso-height-relative:page;" filled="f" stroked="t" coordsize="21600,21600" arcsize="0.0764814814814815" o:gfxdata="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uEp379kAAAAIAQAADwAAAAAAAAABACAAAAAiAAAAZHJzL2Rvd25yZXYueG1sUEsBAhQAFAAAAAgA&#10;h07iQHlFfpNdAgAAiwQAAA4AAAAAAAAAAQAgAAAAKAEAAGRycy9lMm9Eb2MueG1sUEsFBgAAAAAG&#10;AAYAWQEAAPcFAAAAAA==&#10;">
                <v:fill on="f" focussize="0,0"/>
                <v:stroke weight="0.25pt" color="#000000" joinstyle="round"/>
                <v:imagedata o:title=""/>
                <o:lock v:ext="edit" aspectratio="f"/>
                <v:textbox>
                  <w:txbxContent>
                    <w:p w14:paraId="17C40F3B">
                      <w:pPr>
                        <w:rPr>
                          <w:rFonts w:eastAsia="宋体" w:cs="Times New Roman"/>
                          <w:szCs w:val="22"/>
                        </w:rPr>
                      </w:pPr>
                    </w:p>
                    <w:p w14:paraId="5EFB24B6">
                      <w:pPr>
                        <w:rPr>
                          <w:rFonts w:eastAsia="宋体" w:cs="Times New Roman"/>
                          <w:szCs w:val="22"/>
                        </w:rPr>
                      </w:pPr>
                    </w:p>
                    <w:p w14:paraId="1A733273">
                      <w:pPr>
                        <w:rPr>
                          <w:rFonts w:eastAsia="宋体" w:cs="Times New Roman"/>
                          <w:szCs w:val="22"/>
                        </w:rPr>
                      </w:pPr>
                    </w:p>
                    <w:p w14:paraId="6CECCAC8">
                      <w:pPr>
                        <w:jc w:val="center"/>
                        <w:rPr>
                          <w:rFonts w:eastAsia="宋体" w:cs="Times New Roman"/>
                          <w:b/>
                          <w:sz w:val="28"/>
                        </w:rPr>
                      </w:pPr>
                      <w:r>
                        <w:rPr>
                          <w:rFonts w:hint="eastAsia" w:eastAsia="宋体" w:cs="Times New Roman"/>
                          <w:b/>
                          <w:sz w:val="28"/>
                        </w:rPr>
                        <w:t>法</w:t>
                      </w:r>
                      <w:r>
                        <w:rPr>
                          <w:rFonts w:eastAsia="宋体" w:cs="Times New Roman"/>
                          <w:b/>
                          <w:sz w:val="28"/>
                        </w:rPr>
                        <w:t>定代表人居民</w:t>
                      </w:r>
                      <w:r>
                        <w:rPr>
                          <w:rFonts w:hint="eastAsia" w:eastAsia="宋体" w:cs="Times New Roman"/>
                          <w:b/>
                          <w:sz w:val="28"/>
                        </w:rPr>
                        <w:t>身</w:t>
                      </w:r>
                      <w:r>
                        <w:rPr>
                          <w:rFonts w:eastAsia="宋体" w:cs="Times New Roman"/>
                          <w:b/>
                          <w:sz w:val="28"/>
                        </w:rPr>
                        <w:t>份证正面</w:t>
                      </w:r>
                    </w:p>
                    <w:p w14:paraId="21A35769">
                      <w:pPr>
                        <w:widowControl w:val="0"/>
                        <w:spacing w:after="120"/>
                        <w:ind w:left="420" w:leftChars="200" w:firstLine="420" w:firstLineChars="200"/>
                        <w:jc w:val="both"/>
                        <w:rPr>
                          <w:rFonts w:ascii="Times New Roman" w:hAnsi="Times New Roman" w:eastAsia="宋体" w:cs="Times New Roman"/>
                          <w:kern w:val="2"/>
                          <w:sz w:val="21"/>
                          <w:szCs w:val="24"/>
                          <w:lang w:val="en-US" w:eastAsia="zh-CN" w:bidi="ar-SA"/>
                        </w:rPr>
                      </w:pPr>
                    </w:p>
                  </w:txbxContent>
                </v:textbox>
              </v:roundrect>
            </w:pict>
          </mc:Fallback>
        </mc:AlternateContent>
      </w:r>
      <w:r>
        <w:rPr>
          <w:rFonts w:hint="eastAsia" w:ascii="宋体" w:hAnsi="宋体" w:eastAsia="宋体" w:cs="Times New Roman"/>
          <w:b/>
          <w:i/>
          <w:color w:val="000000"/>
          <w:szCs w:val="21"/>
          <w:highlight w:val="none"/>
        </w:rPr>
        <w:t xml:space="preserve">                           </w:t>
      </w:r>
    </w:p>
    <w:p w14:paraId="7ED2C597">
      <w:pPr>
        <w:ind w:firstLine="1068" w:firstLineChars="445"/>
        <w:rPr>
          <w:rFonts w:ascii="仿宋_GB2312" w:eastAsia="仿宋_GB2312" w:cs="Times New Roman"/>
          <w:sz w:val="24"/>
          <w:szCs w:val="22"/>
          <w:highlight w:val="none"/>
        </w:rPr>
      </w:pPr>
      <w:r>
        <w:rPr>
          <w:rFonts w:hint="eastAsia" w:ascii="仿宋_GB2312" w:eastAsia="仿宋_GB2312" w:cs="Times New Roman"/>
          <w:sz w:val="24"/>
          <w:szCs w:val="22"/>
          <w:highlight w:val="none"/>
        </w:rPr>
        <w:t xml:space="preserve"> </w:t>
      </w:r>
    </w:p>
    <w:p w14:paraId="31A0F5E3">
      <w:pPr>
        <w:ind w:firstLine="828" w:firstLineChars="345"/>
        <w:rPr>
          <w:rFonts w:ascii="仿宋_GB2312" w:eastAsia="仿宋_GB2312" w:cs="Times New Roman"/>
          <w:sz w:val="24"/>
          <w:szCs w:val="22"/>
          <w:highlight w:val="none"/>
        </w:rPr>
      </w:pPr>
    </w:p>
    <w:p w14:paraId="2726AE5B">
      <w:pPr>
        <w:ind w:firstLine="1188" w:firstLineChars="495"/>
        <w:rPr>
          <w:rFonts w:ascii="宋体" w:hAnsi="宋体" w:eastAsia="宋体" w:cs="Times New Roman"/>
          <w:b/>
          <w:sz w:val="24"/>
          <w:szCs w:val="22"/>
          <w:highlight w:val="none"/>
        </w:rPr>
      </w:pPr>
      <w:r>
        <w:rPr>
          <w:rFonts w:hint="eastAsia" w:ascii="宋体" w:hAnsi="宋体" w:eastAsia="宋体" w:cs="Times New Roman"/>
          <w:sz w:val="24"/>
          <w:szCs w:val="22"/>
          <w:highlight w:val="none"/>
        </w:rPr>
        <w:t xml:space="preserve">                            </w:t>
      </w:r>
    </w:p>
    <w:p w14:paraId="0C42B90A">
      <w:pPr>
        <w:spacing w:line="500" w:lineRule="exact"/>
        <w:ind w:firstLine="562" w:firstLineChars="200"/>
        <w:rPr>
          <w:rFonts w:ascii="宋体" w:hAnsi="宋体" w:eastAsia="宋体" w:cs="Times New Roman"/>
          <w:b/>
          <w:sz w:val="28"/>
          <w:szCs w:val="28"/>
          <w:highlight w:val="none"/>
        </w:rPr>
      </w:pPr>
    </w:p>
    <w:p w14:paraId="26717770">
      <w:pPr>
        <w:spacing w:line="500" w:lineRule="exact"/>
        <w:ind w:firstLine="560" w:firstLineChars="200"/>
        <w:jc w:val="right"/>
        <w:rPr>
          <w:rFonts w:ascii="宋体" w:hAnsi="宋体" w:eastAsia="宋体" w:cs="Times New Roman"/>
          <w:sz w:val="28"/>
          <w:szCs w:val="28"/>
          <w:highlight w:val="none"/>
        </w:rPr>
      </w:pPr>
    </w:p>
    <w:p w14:paraId="19FE459F">
      <w:pPr>
        <w:spacing w:line="500" w:lineRule="exact"/>
        <w:ind w:firstLine="560" w:firstLineChars="200"/>
        <w:jc w:val="right"/>
        <w:rPr>
          <w:rFonts w:ascii="宋体" w:hAnsi="宋体" w:eastAsia="宋体" w:cs="Times New Roman"/>
          <w:sz w:val="28"/>
          <w:szCs w:val="28"/>
          <w:highlight w:val="none"/>
        </w:rPr>
      </w:pPr>
    </w:p>
    <w:p w14:paraId="47C25758">
      <w:pPr>
        <w:wordWrap w:val="0"/>
        <w:spacing w:line="500" w:lineRule="exact"/>
        <w:ind w:right="374" w:firstLine="560" w:firstLineChars="200"/>
        <w:jc w:val="right"/>
        <w:rPr>
          <w:rFonts w:ascii="宋体" w:hAnsi="宋体" w:eastAsia="宋体" w:cs="Times New Roman"/>
          <w:sz w:val="28"/>
          <w:szCs w:val="28"/>
          <w:highlight w:val="none"/>
        </w:rPr>
      </w:pPr>
      <w:r>
        <w:rPr>
          <w:rFonts w:hint="eastAsia" w:ascii="宋体" w:hAnsi="宋体" w:eastAsia="宋体" w:cs="Times New Roman"/>
          <w:sz w:val="28"/>
          <w:szCs w:val="28"/>
          <w:highlight w:val="none"/>
        </w:rPr>
        <w:t xml:space="preserve">       </w:t>
      </w:r>
      <w:r>
        <w:rPr>
          <w:rFonts w:ascii="宋体" w:hAnsi="宋体" w:eastAsia="宋体" w:cs="Times New Roman"/>
          <w:sz w:val="28"/>
          <w:szCs w:val="28"/>
          <w:highlight w:val="none"/>
        </w:rPr>
        <w:t xml:space="preserve">      </w:t>
      </w:r>
    </w:p>
    <w:p w14:paraId="5E6F81D8">
      <w:pPr>
        <w:spacing w:line="500" w:lineRule="exact"/>
        <w:ind w:right="94" w:firstLine="560" w:firstLineChars="200"/>
        <w:jc w:val="right"/>
        <w:rPr>
          <w:rFonts w:ascii="宋体" w:hAnsi="宋体" w:eastAsia="宋体" w:cs="Times New Roman"/>
          <w:sz w:val="28"/>
          <w:szCs w:val="28"/>
          <w:highlight w:val="none"/>
        </w:rPr>
      </w:pPr>
      <w:r>
        <w:rPr>
          <w:rFonts w:ascii="宋体" w:hAnsi="宋体" w:eastAsia="宋体" w:cs="Times New Roman"/>
          <w:sz w:val="28"/>
          <w:szCs w:val="28"/>
          <w:highlight w:val="none"/>
        </w:rPr>
        <w:t xml:space="preserve"> </w:t>
      </w:r>
      <w:r>
        <w:rPr>
          <w:rFonts w:hint="eastAsia" w:ascii="宋体" w:hAnsi="宋体" w:eastAsia="宋体" w:cs="Times New Roman"/>
          <w:sz w:val="28"/>
          <w:szCs w:val="28"/>
          <w:highlight w:val="none"/>
          <w:lang w:val="en-US" w:eastAsia="zh-CN"/>
        </w:rPr>
        <w:t xml:space="preserve">   </w:t>
      </w:r>
      <w:r>
        <w:rPr>
          <w:rFonts w:hint="eastAsia" w:ascii="宋体" w:hAnsi="宋体" w:eastAsia="宋体" w:cs="Times New Roman"/>
          <w:sz w:val="28"/>
          <w:szCs w:val="28"/>
          <w:highlight w:val="none"/>
        </w:rPr>
        <w:t>投标人全称：</w:t>
      </w:r>
      <w:r>
        <w:rPr>
          <w:rFonts w:hint="eastAsia" w:ascii="宋体" w:hAnsi="宋体" w:eastAsia="宋体" w:cs="Times New Roman"/>
          <w:sz w:val="28"/>
          <w:szCs w:val="28"/>
          <w:highlight w:val="none"/>
          <w:u w:val="single"/>
        </w:rPr>
        <w:t xml:space="preserve">                 </w:t>
      </w:r>
      <w:r>
        <w:rPr>
          <w:rFonts w:hint="eastAsia" w:ascii="宋体" w:hAnsi="宋体" w:eastAsia="宋体" w:cs="Times New Roman"/>
          <w:sz w:val="28"/>
          <w:szCs w:val="28"/>
          <w:highlight w:val="none"/>
        </w:rPr>
        <w:t>（</w:t>
      </w:r>
      <w:r>
        <w:rPr>
          <w:rFonts w:hint="eastAsia"/>
          <w:sz w:val="24"/>
          <w:szCs w:val="32"/>
        </w:rPr>
        <w:t>加盖公章</w:t>
      </w:r>
      <w:r>
        <w:rPr>
          <w:rFonts w:hint="eastAsia" w:ascii="宋体" w:hAnsi="宋体" w:eastAsia="宋体" w:cs="Times New Roman"/>
          <w:sz w:val="28"/>
          <w:szCs w:val="28"/>
          <w:highlight w:val="none"/>
        </w:rPr>
        <w:t>）</w:t>
      </w:r>
    </w:p>
    <w:p w14:paraId="2D052E34">
      <w:pPr>
        <w:wordWrap w:val="0"/>
        <w:spacing w:line="500" w:lineRule="exact"/>
        <w:ind w:firstLine="560" w:firstLineChars="200"/>
        <w:jc w:val="center"/>
        <w:rPr>
          <w:rFonts w:ascii="宋体" w:hAnsi="宋体" w:eastAsia="宋体" w:cs="Times New Roman"/>
          <w:sz w:val="28"/>
          <w:szCs w:val="28"/>
          <w:highlight w:val="none"/>
        </w:rPr>
      </w:pPr>
      <w:r>
        <w:rPr>
          <w:rFonts w:hint="eastAsia" w:ascii="宋体" w:hAnsi="宋体" w:eastAsia="宋体" w:cs="Times New Roman"/>
          <w:sz w:val="28"/>
          <w:szCs w:val="28"/>
          <w:highlight w:val="none"/>
          <w:lang w:val="en-US" w:eastAsia="zh-CN"/>
        </w:rPr>
        <w:t xml:space="preserve">                         </w:t>
      </w:r>
      <w:r>
        <w:rPr>
          <w:rFonts w:hint="eastAsia" w:ascii="宋体" w:hAnsi="宋体" w:eastAsia="宋体" w:cs="Times New Roman"/>
          <w:sz w:val="28"/>
          <w:szCs w:val="28"/>
          <w:highlight w:val="none"/>
        </w:rPr>
        <w:t>法定代表人：</w:t>
      </w:r>
      <w:r>
        <w:rPr>
          <w:rFonts w:hint="eastAsia" w:ascii="宋体" w:hAnsi="宋体" w:eastAsia="宋体" w:cs="Times New Roman"/>
          <w:sz w:val="28"/>
          <w:szCs w:val="28"/>
          <w:highlight w:val="none"/>
          <w:u w:val="single"/>
        </w:rPr>
        <w:t xml:space="preserve"> </w:t>
      </w:r>
      <w:r>
        <w:rPr>
          <w:rFonts w:ascii="宋体" w:hAnsi="宋体" w:eastAsia="宋体" w:cs="Times New Roman"/>
          <w:sz w:val="28"/>
          <w:szCs w:val="28"/>
          <w:highlight w:val="none"/>
          <w:u w:val="single"/>
        </w:rPr>
        <w:t xml:space="preserve">        </w:t>
      </w:r>
      <w:r>
        <w:rPr>
          <w:rFonts w:hint="eastAsia" w:ascii="宋体" w:hAnsi="宋体" w:eastAsia="宋体" w:cs="Times New Roman"/>
          <w:sz w:val="28"/>
          <w:szCs w:val="28"/>
          <w:highlight w:val="none"/>
          <w:u w:val="single"/>
        </w:rPr>
        <w:t>（</w:t>
      </w:r>
      <w:r>
        <w:rPr>
          <w:rFonts w:hint="eastAsia" w:ascii="宋体" w:hAnsi="宋体" w:eastAsia="宋体" w:cs="Times New Roman"/>
          <w:sz w:val="28"/>
          <w:szCs w:val="28"/>
          <w:highlight w:val="none"/>
        </w:rPr>
        <w:t>手书签名或盖名章）</w:t>
      </w:r>
    </w:p>
    <w:p w14:paraId="10B87358">
      <w:pPr>
        <w:wordWrap w:val="0"/>
        <w:spacing w:line="500" w:lineRule="exact"/>
        <w:ind w:firstLine="560" w:firstLineChars="200"/>
        <w:jc w:val="center"/>
        <w:rPr>
          <w:rFonts w:ascii="宋体" w:hAnsi="宋体" w:eastAsia="宋体" w:cs="Times New Roman"/>
          <w:sz w:val="28"/>
          <w:szCs w:val="28"/>
          <w:highlight w:val="none"/>
          <w:u w:val="single"/>
        </w:rPr>
      </w:pPr>
      <w:r>
        <w:rPr>
          <w:rFonts w:hint="eastAsia" w:ascii="宋体" w:hAnsi="宋体" w:eastAsia="宋体" w:cs="Times New Roman"/>
          <w:sz w:val="28"/>
          <w:szCs w:val="28"/>
          <w:highlight w:val="none"/>
          <w:lang w:val="en-US" w:eastAsia="zh-CN"/>
        </w:rPr>
        <w:t xml:space="preserve">                     </w:t>
      </w:r>
      <w:r>
        <w:rPr>
          <w:rFonts w:hint="eastAsia" w:ascii="宋体" w:hAnsi="宋体" w:eastAsia="宋体" w:cs="Times New Roman"/>
          <w:sz w:val="28"/>
          <w:szCs w:val="28"/>
          <w:highlight w:val="none"/>
        </w:rPr>
        <w:t>签</w:t>
      </w:r>
      <w:r>
        <w:rPr>
          <w:rFonts w:ascii="宋体" w:hAnsi="宋体" w:eastAsia="宋体" w:cs="Times New Roman"/>
          <w:sz w:val="28"/>
          <w:szCs w:val="28"/>
          <w:highlight w:val="none"/>
        </w:rPr>
        <w:t>署</w:t>
      </w:r>
      <w:r>
        <w:rPr>
          <w:rFonts w:hint="eastAsia" w:ascii="宋体" w:hAnsi="宋体" w:eastAsia="宋体" w:cs="Times New Roman"/>
          <w:sz w:val="28"/>
          <w:szCs w:val="28"/>
          <w:highlight w:val="none"/>
        </w:rPr>
        <w:t>日期：</w:t>
      </w:r>
      <w:r>
        <w:rPr>
          <w:rFonts w:hint="eastAsia" w:ascii="宋体" w:hAnsi="宋体" w:eastAsia="宋体" w:cs="Times New Roman"/>
          <w:sz w:val="28"/>
          <w:szCs w:val="28"/>
          <w:highlight w:val="none"/>
          <w:u w:val="single"/>
          <w:lang w:val="en-US" w:eastAsia="zh-CN"/>
        </w:rPr>
        <w:t xml:space="preserve">            </w:t>
      </w:r>
      <w:r>
        <w:rPr>
          <w:rFonts w:hint="eastAsia" w:ascii="宋体" w:hAnsi="宋体" w:eastAsia="宋体" w:cs="Times New Roman"/>
          <w:sz w:val="28"/>
          <w:szCs w:val="28"/>
          <w:highlight w:val="none"/>
          <w:u w:val="none"/>
        </w:rPr>
        <w:t>年</w:t>
      </w:r>
      <w:r>
        <w:rPr>
          <w:rFonts w:hint="eastAsia" w:ascii="宋体" w:hAnsi="宋体" w:eastAsia="宋体" w:cs="Times New Roman"/>
          <w:sz w:val="28"/>
          <w:szCs w:val="28"/>
          <w:highlight w:val="none"/>
          <w:u w:val="single"/>
        </w:rPr>
        <w:t xml:space="preserve">     </w:t>
      </w:r>
      <w:r>
        <w:rPr>
          <w:rFonts w:hint="eastAsia" w:ascii="宋体" w:hAnsi="宋体" w:eastAsia="宋体" w:cs="Times New Roman"/>
          <w:sz w:val="28"/>
          <w:szCs w:val="28"/>
          <w:highlight w:val="none"/>
          <w:u w:val="none"/>
        </w:rPr>
        <w:t>月</w:t>
      </w:r>
      <w:r>
        <w:rPr>
          <w:rFonts w:hint="eastAsia" w:ascii="宋体" w:hAnsi="宋体" w:eastAsia="宋体" w:cs="Times New Roman"/>
          <w:sz w:val="28"/>
          <w:szCs w:val="28"/>
          <w:highlight w:val="none"/>
          <w:u w:val="single"/>
        </w:rPr>
        <w:t xml:space="preserve">    </w:t>
      </w:r>
      <w:r>
        <w:rPr>
          <w:rFonts w:hint="eastAsia" w:ascii="宋体" w:hAnsi="宋体" w:eastAsia="宋体" w:cs="Times New Roman"/>
          <w:sz w:val="28"/>
          <w:szCs w:val="28"/>
          <w:highlight w:val="none"/>
          <w:u w:val="none"/>
        </w:rPr>
        <w:t>日</w:t>
      </w:r>
    </w:p>
    <w:p w14:paraId="3DB02137">
      <w:pPr>
        <w:pStyle w:val="3"/>
        <w:bidi w:val="0"/>
        <w:jc w:val="center"/>
        <w:rPr>
          <w:rFonts w:hint="eastAsia"/>
          <w:lang w:val="en-US" w:eastAsia="zh-CN"/>
        </w:rPr>
      </w:pPr>
    </w:p>
    <w:p w14:paraId="1D36C2F5">
      <w:pPr>
        <w:pStyle w:val="3"/>
        <w:bidi w:val="0"/>
        <w:jc w:val="center"/>
        <w:rPr>
          <w:rFonts w:hint="eastAsia"/>
          <w:lang w:val="en-US" w:eastAsia="zh-CN"/>
        </w:rPr>
      </w:pPr>
      <w:r>
        <w:rPr>
          <w:rFonts w:hint="eastAsia"/>
          <w:lang w:val="en-US" w:eastAsia="zh-CN"/>
        </w:rPr>
        <w:t>三、法定代表人授权书</w:t>
      </w:r>
    </w:p>
    <w:p w14:paraId="37F88B10">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sz w:val="24"/>
          <w:szCs w:val="32"/>
        </w:rPr>
      </w:pPr>
      <w:r>
        <w:rPr>
          <w:rFonts w:hint="eastAsia"/>
          <w:sz w:val="24"/>
          <w:szCs w:val="32"/>
        </w:rPr>
        <w:t>（法定代表人投标的可不提供）</w:t>
      </w:r>
    </w:p>
    <w:p w14:paraId="0B984C71">
      <w:pPr>
        <w:keepNext w:val="0"/>
        <w:keepLines w:val="0"/>
        <w:pageBreakBefore w:val="0"/>
        <w:widowControl w:val="0"/>
        <w:kinsoku/>
        <w:wordWrap w:val="0"/>
        <w:overflowPunct/>
        <w:topLinePunct w:val="0"/>
        <w:autoSpaceDE/>
        <w:autoSpaceDN/>
        <w:bidi w:val="0"/>
        <w:adjustRightInd/>
        <w:snapToGrid/>
        <w:ind w:firstLine="480" w:firstLineChars="200"/>
        <w:textAlignment w:val="auto"/>
        <w:rPr>
          <w:rFonts w:hint="eastAsia"/>
          <w:sz w:val="24"/>
          <w:szCs w:val="32"/>
        </w:rPr>
      </w:pPr>
    </w:p>
    <w:p w14:paraId="1ECEAD9A">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eastAsia"/>
          <w:sz w:val="24"/>
          <w:szCs w:val="32"/>
        </w:rPr>
      </w:pPr>
      <w:r>
        <w:rPr>
          <w:rFonts w:hint="eastAsia"/>
          <w:sz w:val="24"/>
          <w:szCs w:val="32"/>
        </w:rPr>
        <w:t>本授权书声明：注册于</w:t>
      </w:r>
      <w:r>
        <w:rPr>
          <w:rFonts w:hint="eastAsia"/>
          <w:sz w:val="24"/>
          <w:szCs w:val="32"/>
          <w:u w:val="single"/>
        </w:rPr>
        <w:t>（注册地点）</w:t>
      </w:r>
      <w:r>
        <w:rPr>
          <w:rFonts w:hint="eastAsia"/>
          <w:sz w:val="24"/>
          <w:szCs w:val="32"/>
        </w:rPr>
        <w:t>的</w:t>
      </w:r>
      <w:r>
        <w:rPr>
          <w:rFonts w:hint="eastAsia"/>
          <w:sz w:val="24"/>
          <w:szCs w:val="32"/>
          <w:u w:val="single"/>
        </w:rPr>
        <w:t>（投标人名称）</w:t>
      </w:r>
      <w:r>
        <w:rPr>
          <w:rFonts w:hint="eastAsia"/>
          <w:sz w:val="24"/>
          <w:szCs w:val="32"/>
        </w:rPr>
        <w:t>公司的</w:t>
      </w:r>
      <w:r>
        <w:rPr>
          <w:rFonts w:hint="eastAsia"/>
          <w:sz w:val="24"/>
          <w:szCs w:val="32"/>
          <w:u w:val="single"/>
        </w:rPr>
        <w:t>（投标人法定代表人姓名、职务）</w:t>
      </w:r>
      <w:r>
        <w:rPr>
          <w:rFonts w:hint="eastAsia"/>
          <w:sz w:val="24"/>
          <w:szCs w:val="32"/>
        </w:rPr>
        <w:t>代表本公司授权</w:t>
      </w:r>
      <w:r>
        <w:rPr>
          <w:rFonts w:hint="eastAsia"/>
          <w:sz w:val="24"/>
          <w:szCs w:val="32"/>
          <w:u w:val="single"/>
        </w:rPr>
        <w:t>（被授权人单位名称）</w:t>
      </w:r>
      <w:r>
        <w:rPr>
          <w:rFonts w:hint="eastAsia"/>
          <w:sz w:val="24"/>
          <w:szCs w:val="32"/>
        </w:rPr>
        <w:t>的</w:t>
      </w:r>
      <w:r>
        <w:rPr>
          <w:rFonts w:hint="eastAsia"/>
          <w:sz w:val="24"/>
          <w:szCs w:val="32"/>
          <w:u w:val="single"/>
          <w:lang w:eastAsia="zh-CN"/>
        </w:rPr>
        <w:t>（</w:t>
      </w:r>
      <w:r>
        <w:rPr>
          <w:rFonts w:hint="eastAsia"/>
          <w:sz w:val="24"/>
          <w:szCs w:val="32"/>
          <w:u w:val="single"/>
        </w:rPr>
        <w:t>被授权人姓名、职务</w:t>
      </w:r>
      <w:r>
        <w:rPr>
          <w:rFonts w:hint="eastAsia"/>
          <w:sz w:val="24"/>
          <w:szCs w:val="32"/>
          <w:u w:val="single"/>
          <w:lang w:eastAsia="zh-CN"/>
        </w:rPr>
        <w:t>）</w:t>
      </w:r>
      <w:r>
        <w:rPr>
          <w:rFonts w:hint="eastAsia"/>
          <w:sz w:val="24"/>
          <w:szCs w:val="32"/>
        </w:rPr>
        <w:t>为本公司的合法代理</w:t>
      </w:r>
      <w:r>
        <w:rPr>
          <w:rFonts w:hint="eastAsia"/>
          <w:color w:val="auto"/>
          <w:sz w:val="24"/>
          <w:szCs w:val="32"/>
          <w:highlight w:val="none"/>
        </w:rPr>
        <w:t>人，就</w:t>
      </w:r>
      <w:r>
        <w:rPr>
          <w:rFonts w:hint="eastAsia" w:ascii="Times New Roman" w:hAnsi="Times New Roman"/>
          <w:sz w:val="24"/>
          <w:szCs w:val="24"/>
          <w:u w:val="single"/>
          <w:lang w:val="en-US" w:eastAsia="zh-CN"/>
        </w:rPr>
        <w:t>2026年前郭县义务教育薄弱环节改善与能力提升—教学计算机采购项目</w:t>
      </w:r>
      <w:r>
        <w:rPr>
          <w:rFonts w:hint="eastAsia"/>
          <w:color w:val="auto"/>
          <w:sz w:val="24"/>
          <w:szCs w:val="32"/>
          <w:highlight w:val="none"/>
        </w:rPr>
        <w:t>（</w:t>
      </w:r>
      <w:r>
        <w:rPr>
          <w:rFonts w:hint="eastAsia"/>
          <w:color w:val="auto"/>
          <w:sz w:val="24"/>
          <w:szCs w:val="32"/>
          <w:highlight w:val="none"/>
          <w:lang w:val="en-US" w:eastAsia="zh-CN"/>
        </w:rPr>
        <w:t>项目编</w:t>
      </w:r>
      <w:r>
        <w:rPr>
          <w:rFonts w:hint="eastAsia"/>
          <w:color w:val="auto"/>
          <w:sz w:val="24"/>
          <w:szCs w:val="32"/>
          <w:highlight w:val="none"/>
        </w:rPr>
        <w:t>号</w:t>
      </w:r>
      <w:r>
        <w:rPr>
          <w:rFonts w:hint="eastAsia"/>
          <w:color w:val="auto"/>
          <w:sz w:val="24"/>
          <w:szCs w:val="32"/>
          <w:highlight w:val="none"/>
          <w:lang w:eastAsia="zh-CN"/>
        </w:rPr>
        <w:t>：</w:t>
      </w:r>
      <w:r>
        <w:rPr>
          <w:rFonts w:hint="eastAsia" w:ascii="Times New Roman" w:hAnsi="Times New Roman"/>
          <w:sz w:val="24"/>
          <w:szCs w:val="24"/>
          <w:u w:val="single"/>
          <w:lang w:val="en-US" w:eastAsia="zh-CN"/>
        </w:rPr>
        <w:t>采购计划-[2026]-00220-2026008</w:t>
      </w:r>
      <w:r>
        <w:rPr>
          <w:rFonts w:hint="eastAsia"/>
          <w:color w:val="auto"/>
          <w:sz w:val="24"/>
          <w:szCs w:val="32"/>
          <w:highlight w:val="none"/>
        </w:rPr>
        <w:t>的投标以及合同的谈判</w:t>
      </w:r>
      <w:r>
        <w:rPr>
          <w:rFonts w:hint="eastAsia"/>
          <w:sz w:val="24"/>
          <w:szCs w:val="32"/>
        </w:rPr>
        <w:t>、签约、执行、完成和保修等全权负责，以本公司名义处理一切与之有关的事务。代理人在投标、开标、评标、合同谈判和履行过程中所签署的一切文件和处理的与之有关的一切事务，我均予以承认。代理人无转委托权。</w:t>
      </w:r>
    </w:p>
    <w:p w14:paraId="22B0DBB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32"/>
        </w:rPr>
      </w:pPr>
      <w:r>
        <w:rPr>
          <w:rFonts w:hint="eastAsia"/>
          <w:sz w:val="24"/>
          <w:szCs w:val="32"/>
        </w:rPr>
        <w:t>本授权书于</w:t>
      </w:r>
      <w:r>
        <w:rPr>
          <w:rFonts w:hint="eastAsia"/>
          <w:sz w:val="24"/>
          <w:szCs w:val="32"/>
          <w:u w:val="single"/>
          <w:lang w:val="en-US" w:eastAsia="zh-CN"/>
        </w:rPr>
        <w:t xml:space="preserve">     </w:t>
      </w:r>
      <w:r>
        <w:rPr>
          <w:rFonts w:hint="eastAsia"/>
          <w:sz w:val="24"/>
          <w:szCs w:val="32"/>
        </w:rPr>
        <w:t>年</w:t>
      </w:r>
      <w:r>
        <w:rPr>
          <w:rFonts w:hint="eastAsia"/>
          <w:sz w:val="24"/>
          <w:szCs w:val="32"/>
          <w:u w:val="single"/>
        </w:rPr>
        <w:t xml:space="preserve">    </w:t>
      </w:r>
      <w:r>
        <w:rPr>
          <w:rFonts w:hint="eastAsia"/>
          <w:sz w:val="24"/>
          <w:szCs w:val="32"/>
        </w:rPr>
        <w:t>月</w:t>
      </w:r>
      <w:r>
        <w:rPr>
          <w:rFonts w:hint="eastAsia"/>
          <w:sz w:val="24"/>
          <w:szCs w:val="32"/>
          <w:u w:val="single"/>
        </w:rPr>
        <w:t xml:space="preserve">   </w:t>
      </w:r>
      <w:r>
        <w:rPr>
          <w:rFonts w:hint="eastAsia"/>
          <w:sz w:val="24"/>
          <w:szCs w:val="32"/>
        </w:rPr>
        <w:t>日签字生效，特此声明。</w:t>
      </w:r>
    </w:p>
    <w:p w14:paraId="5347A13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32"/>
        </w:rPr>
      </w:pPr>
    </w:p>
    <w:p w14:paraId="2B61ABE2">
      <w:pPr>
        <w:keepNext w:val="0"/>
        <w:keepLines w:val="0"/>
        <w:pageBreakBefore w:val="0"/>
        <w:widowControl w:val="0"/>
        <w:kinsoku/>
        <w:wordWrap/>
        <w:overflowPunct/>
        <w:topLinePunct w:val="0"/>
        <w:autoSpaceDE/>
        <w:autoSpaceDN/>
        <w:bidi w:val="0"/>
        <w:adjustRightInd/>
        <w:snapToGrid/>
        <w:ind w:firstLine="5760" w:firstLineChars="2400"/>
        <w:jc w:val="both"/>
        <w:textAlignment w:val="auto"/>
        <w:rPr>
          <w:rFonts w:hint="default" w:eastAsiaTheme="minorEastAsia"/>
          <w:sz w:val="24"/>
          <w:szCs w:val="32"/>
          <w:u w:val="single"/>
          <w:lang w:val="en-US" w:eastAsia="zh-CN"/>
        </w:rPr>
      </w:pPr>
      <w:r>
        <w:rPr>
          <w:rFonts w:hint="eastAsia"/>
          <w:sz w:val="24"/>
          <w:szCs w:val="32"/>
        </w:rPr>
        <w:t>投标人名称（加盖公章）：</w:t>
      </w:r>
      <w:r>
        <w:rPr>
          <w:rFonts w:hint="eastAsia"/>
          <w:sz w:val="24"/>
          <w:szCs w:val="32"/>
          <w:lang w:val="en-US" w:eastAsia="zh-CN"/>
        </w:rPr>
        <w:t>__________</w:t>
      </w:r>
    </w:p>
    <w:p w14:paraId="37A5A9B7">
      <w:pPr>
        <w:keepNext w:val="0"/>
        <w:keepLines w:val="0"/>
        <w:pageBreakBefore w:val="0"/>
        <w:widowControl w:val="0"/>
        <w:kinsoku/>
        <w:wordWrap/>
        <w:overflowPunct/>
        <w:topLinePunct w:val="0"/>
        <w:autoSpaceDE/>
        <w:autoSpaceDN/>
        <w:bidi w:val="0"/>
        <w:adjustRightInd/>
        <w:snapToGrid/>
        <w:ind w:firstLine="480" w:firstLineChars="200"/>
        <w:jc w:val="right"/>
        <w:textAlignment w:val="auto"/>
        <w:rPr>
          <w:rFonts w:hint="default" w:eastAsiaTheme="minorEastAsia"/>
          <w:sz w:val="24"/>
          <w:szCs w:val="32"/>
          <w:u w:val="single"/>
          <w:lang w:val="en-US" w:eastAsia="zh-CN"/>
        </w:rPr>
      </w:pPr>
      <w:r>
        <w:rPr>
          <w:rFonts w:hint="eastAsia"/>
          <w:sz w:val="24"/>
          <w:szCs w:val="32"/>
        </w:rPr>
        <w:t>授权人（法定代表人）签名：</w:t>
      </w:r>
      <w:r>
        <w:rPr>
          <w:rFonts w:hint="eastAsia"/>
          <w:sz w:val="24"/>
          <w:szCs w:val="32"/>
          <w:u w:val="none"/>
          <w:lang w:val="en-US" w:eastAsia="zh-CN"/>
        </w:rPr>
        <w:t>_______</w:t>
      </w:r>
    </w:p>
    <w:p w14:paraId="0C07E9DD">
      <w:pPr>
        <w:keepNext w:val="0"/>
        <w:keepLines w:val="0"/>
        <w:pageBreakBefore w:val="0"/>
        <w:widowControl w:val="0"/>
        <w:kinsoku/>
        <w:wordWrap/>
        <w:overflowPunct/>
        <w:topLinePunct w:val="0"/>
        <w:autoSpaceDE/>
        <w:autoSpaceDN/>
        <w:bidi w:val="0"/>
        <w:adjustRightInd/>
        <w:snapToGrid/>
        <w:ind w:firstLine="480" w:firstLineChars="200"/>
        <w:jc w:val="right"/>
        <w:textAlignment w:val="auto"/>
        <w:rPr>
          <w:rFonts w:hint="default" w:eastAsiaTheme="minorEastAsia"/>
          <w:sz w:val="24"/>
          <w:szCs w:val="32"/>
          <w:lang w:val="en-US" w:eastAsia="zh-CN"/>
        </w:rPr>
      </w:pPr>
      <w:r>
        <w:rPr>
          <w:rFonts w:hint="eastAsia"/>
          <w:sz w:val="24"/>
          <w:szCs w:val="32"/>
        </w:rPr>
        <w:t>被授权人（代理人）签名：</w:t>
      </w:r>
      <w:r>
        <w:rPr>
          <w:rFonts w:hint="eastAsia"/>
          <w:sz w:val="24"/>
          <w:szCs w:val="32"/>
          <w:lang w:val="en-US" w:eastAsia="zh-CN"/>
        </w:rPr>
        <w:t xml:space="preserve">_________ </w:t>
      </w:r>
    </w:p>
    <w:p w14:paraId="1AB00F7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32"/>
        </w:rPr>
      </w:pPr>
    </w:p>
    <w:p w14:paraId="46606D89">
      <w:pPr>
        <w:bidi w:val="0"/>
        <w:rPr>
          <w:rFonts w:hint="eastAsia"/>
          <w:lang w:eastAsia="zh-CN"/>
        </w:rPr>
        <w:sectPr>
          <w:pgSz w:w="11906" w:h="16838"/>
          <w:pgMar w:top="1440" w:right="1080" w:bottom="1440" w:left="1080" w:header="851" w:footer="992" w:gutter="0"/>
          <w:pgBorders>
            <w:top w:val="none" w:sz="0" w:space="0"/>
            <w:left w:val="none" w:sz="0" w:space="0"/>
            <w:bottom w:val="none" w:sz="0" w:space="0"/>
            <w:right w:val="none" w:sz="0" w:space="0"/>
          </w:pgBorders>
          <w:pgNumType w:fmt="decimal"/>
          <w:cols w:space="0" w:num="1"/>
          <w:rtlGutter w:val="0"/>
          <w:docGrid w:type="lines" w:linePitch="460" w:charSpace="0"/>
        </w:sectPr>
      </w:pPr>
    </w:p>
    <w:p w14:paraId="6CB3828C">
      <w:pPr>
        <w:pStyle w:val="3"/>
        <w:bidi w:val="0"/>
        <w:jc w:val="center"/>
        <w:rPr>
          <w:rFonts w:hint="eastAsia"/>
          <w:lang w:val="en-US" w:eastAsia="zh-CN"/>
        </w:rPr>
      </w:pPr>
      <w:r>
        <w:rPr>
          <w:rFonts w:hint="eastAsia"/>
          <w:lang w:val="en-US" w:eastAsia="zh-CN"/>
        </w:rPr>
        <w:t>四、投标人资格资信证明</w:t>
      </w:r>
    </w:p>
    <w:p w14:paraId="48A327D3">
      <w:pPr>
        <w:pStyle w:val="7"/>
        <w:bidi w:val="0"/>
        <w:jc w:val="center"/>
        <w:rPr>
          <w:rFonts w:hint="eastAsia" w:ascii="Arial" w:hAnsi="Arial" w:eastAsia="黑体" w:cstheme="minorBidi"/>
          <w:b w:val="0"/>
          <w:bCs/>
          <w:kern w:val="2"/>
          <w:sz w:val="24"/>
          <w:szCs w:val="24"/>
          <w:lang w:val="en-US" w:eastAsia="zh-CN" w:bidi="ar-SA"/>
        </w:rPr>
      </w:pPr>
      <w:r>
        <w:rPr>
          <w:rFonts w:hint="eastAsia" w:cstheme="minorBidi"/>
          <w:b w:val="0"/>
          <w:bCs/>
          <w:kern w:val="2"/>
          <w:sz w:val="24"/>
          <w:szCs w:val="24"/>
          <w:lang w:val="en-US" w:eastAsia="zh-CN" w:bidi="ar-SA"/>
        </w:rPr>
        <w:t>（一）</w:t>
      </w:r>
      <w:r>
        <w:rPr>
          <w:rFonts w:hint="eastAsia" w:ascii="Arial" w:hAnsi="Arial" w:eastAsia="黑体" w:cstheme="minorBidi"/>
          <w:b w:val="0"/>
          <w:bCs/>
          <w:kern w:val="2"/>
          <w:sz w:val="24"/>
          <w:szCs w:val="24"/>
          <w:lang w:val="en-US" w:eastAsia="zh-CN" w:bidi="ar-SA"/>
        </w:rPr>
        <w:t>投标人基本情况和资格声明</w:t>
      </w:r>
    </w:p>
    <w:p w14:paraId="047CF3D9">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Times New Roman"/>
          <w:sz w:val="24"/>
          <w:highlight w:val="none"/>
          <w:lang w:val="en-US" w:eastAsia="zh-CN"/>
        </w:rPr>
      </w:pPr>
      <w:r>
        <w:rPr>
          <w:rFonts w:hint="eastAsia" w:ascii="宋体" w:hAnsi="宋体" w:eastAsia="宋体" w:cs="Times New Roman"/>
          <w:sz w:val="24"/>
          <w:highlight w:val="none"/>
          <w:lang w:val="en-US" w:eastAsia="zh-CN"/>
        </w:rPr>
        <w:t>1、供应商基本情况(文字描述：企业性质、发展历程、经营规模、服务理念、主营产品、技术力量等。图片描述：经营场所、主要产品、生产场所、工艺流程等。）</w:t>
      </w:r>
    </w:p>
    <w:p w14:paraId="271E8163">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default" w:ascii="宋体" w:hAnsi="宋体" w:eastAsia="宋体" w:cs="Times New Roman"/>
          <w:sz w:val="24"/>
          <w:highlight w:val="none"/>
          <w:lang w:val="en-US" w:eastAsia="zh-CN"/>
        </w:rPr>
      </w:pPr>
      <w:r>
        <w:rPr>
          <w:rFonts w:hint="eastAsia" w:ascii="宋体" w:hAnsi="宋体" w:eastAsia="宋体" w:cs="Times New Roman"/>
          <w:sz w:val="24"/>
          <w:highlight w:val="none"/>
          <w:lang w:val="en-US" w:eastAsia="zh-CN"/>
        </w:rPr>
        <w:t>2、供应商资格声明</w:t>
      </w:r>
      <w:r>
        <w:rPr>
          <w:rFonts w:hint="eastAsia" w:ascii="宋体" w:hAnsi="宋体" w:cs="Times New Roman"/>
          <w:sz w:val="24"/>
          <w:highlight w:val="none"/>
          <w:lang w:val="en-US" w:eastAsia="zh-CN"/>
        </w:rPr>
        <w:t>书</w:t>
      </w:r>
    </w:p>
    <w:p w14:paraId="46242A86">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sz w:val="24"/>
          <w:highlight w:val="none"/>
          <w:lang w:val="en-US" w:eastAsia="zh-CN"/>
        </w:rPr>
      </w:pPr>
      <w:r>
        <w:rPr>
          <w:rFonts w:hint="eastAsia" w:ascii="宋体" w:hAnsi="宋体"/>
          <w:sz w:val="24"/>
          <w:highlight w:val="none"/>
          <w:lang w:val="en-US" w:eastAsia="zh-CN"/>
        </w:rPr>
        <w:t xml:space="preserve">致前郭县政府采购中心： </w:t>
      </w:r>
    </w:p>
    <w:p w14:paraId="097416CD">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Times New Roman"/>
          <w:sz w:val="24"/>
          <w:lang w:val="en-US" w:eastAsia="zh-CN"/>
        </w:rPr>
      </w:pPr>
      <w:r>
        <w:rPr>
          <w:rFonts w:hint="eastAsia" w:ascii="宋体" w:hAnsi="宋体" w:eastAsia="宋体" w:cs="Times New Roman"/>
          <w:sz w:val="24"/>
          <w:lang w:val="en-US" w:eastAsia="zh-CN"/>
        </w:rPr>
        <w:t>按照《中华人民共和国政府采购法实施条例》第 17 条和你中心发布的</w:t>
      </w:r>
      <w:r>
        <w:rPr>
          <w:rFonts w:hint="eastAsia" w:ascii="宋体" w:hAnsi="宋体" w:eastAsia="宋体" w:cs="Times New Roman"/>
          <w:sz w:val="24"/>
          <w:u w:val="single"/>
          <w:lang w:val="en-US" w:eastAsia="zh-CN"/>
        </w:rPr>
        <w:t>（项目名称）</w:t>
      </w:r>
      <w:r>
        <w:rPr>
          <w:rFonts w:hint="eastAsia" w:ascii="宋体" w:hAnsi="宋体" w:eastAsia="宋体" w:cs="Times New Roman"/>
          <w:sz w:val="24"/>
          <w:lang w:val="en-US" w:eastAsia="zh-CN"/>
        </w:rPr>
        <w:t xml:space="preserve"> 的编号为</w:t>
      </w:r>
      <w:r>
        <w:rPr>
          <w:rFonts w:hint="eastAsia" w:ascii="宋体" w:hAnsi="宋体" w:eastAsia="宋体" w:cs="Times New Roman"/>
          <w:sz w:val="24"/>
          <w:u w:val="single"/>
          <w:lang w:val="en-US" w:eastAsia="zh-CN"/>
        </w:rPr>
        <w:t>（项目编号）</w:t>
      </w:r>
      <w:r>
        <w:rPr>
          <w:rFonts w:hint="eastAsia" w:ascii="宋体" w:hAnsi="宋体" w:eastAsia="宋体" w:cs="Times New Roman"/>
          <w:sz w:val="24"/>
          <w:lang w:val="en-US" w:eastAsia="zh-CN"/>
        </w:rPr>
        <w:t xml:space="preserve">招标文件的规定，我公司郑重声明如下： </w:t>
      </w:r>
    </w:p>
    <w:p w14:paraId="244F608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sz w:val="24"/>
          <w:lang w:val="en-US" w:eastAsia="zh-CN"/>
        </w:rPr>
      </w:pPr>
      <w:r>
        <w:rPr>
          <w:rFonts w:hint="eastAsia" w:ascii="宋体" w:hAnsi="宋体"/>
          <w:sz w:val="24"/>
          <w:lang w:val="en-US" w:eastAsia="zh-CN"/>
        </w:rPr>
        <w:t>（1）我公司是按照中华人民共和国法律在工商管理机关登记注册的企业法人，注册地点为</w:t>
      </w:r>
      <w:r>
        <w:rPr>
          <w:rFonts w:hint="eastAsia" w:ascii="宋体" w:hAnsi="宋体"/>
          <w:sz w:val="24"/>
          <w:u w:val="single"/>
          <w:lang w:val="en-US" w:eastAsia="zh-CN"/>
        </w:rPr>
        <w:t xml:space="preserve">      </w:t>
      </w:r>
      <w:r>
        <w:rPr>
          <w:rFonts w:hint="eastAsia" w:ascii="宋体" w:hAnsi="宋体"/>
          <w:sz w:val="24"/>
          <w:lang w:val="en-US" w:eastAsia="zh-CN"/>
        </w:rPr>
        <w:t>，公司全称为</w:t>
      </w:r>
      <w:r>
        <w:rPr>
          <w:rFonts w:hint="eastAsia" w:ascii="宋体" w:hAnsi="宋体"/>
          <w:sz w:val="24"/>
          <w:u w:val="single"/>
          <w:lang w:val="en-US" w:eastAsia="zh-CN"/>
        </w:rPr>
        <w:t xml:space="preserve">                 </w:t>
      </w:r>
      <w:r>
        <w:rPr>
          <w:rFonts w:hint="eastAsia" w:ascii="宋体" w:hAnsi="宋体"/>
          <w:sz w:val="24"/>
          <w:lang w:val="en-US" w:eastAsia="zh-CN"/>
        </w:rPr>
        <w:t>，法定代表人为</w:t>
      </w:r>
      <w:r>
        <w:rPr>
          <w:rFonts w:hint="eastAsia" w:ascii="宋体" w:hAnsi="宋体"/>
          <w:sz w:val="24"/>
          <w:u w:val="single"/>
          <w:lang w:val="en-US" w:eastAsia="zh-CN"/>
        </w:rPr>
        <w:t xml:space="preserve">          </w:t>
      </w:r>
      <w:r>
        <w:rPr>
          <w:rFonts w:hint="eastAsia" w:ascii="宋体" w:hAnsi="宋体"/>
          <w:sz w:val="24"/>
          <w:lang w:val="en-US" w:eastAsia="zh-CN"/>
        </w:rPr>
        <w:t>，</w:t>
      </w:r>
      <w:r>
        <w:rPr>
          <w:rFonts w:hint="eastAsia"/>
          <w:sz w:val="24"/>
          <w:szCs w:val="24"/>
        </w:rPr>
        <w:t>具有独立承担民事责任的能力。</w:t>
      </w:r>
      <w:r>
        <w:rPr>
          <w:rFonts w:hint="eastAsia" w:ascii="宋体" w:hAnsi="宋体"/>
          <w:sz w:val="24"/>
          <w:lang w:val="en-US" w:eastAsia="zh-CN"/>
        </w:rPr>
        <w:t xml:space="preserve"> </w:t>
      </w:r>
    </w:p>
    <w:p w14:paraId="7C5AFC10">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宋体" w:hAnsi="宋体"/>
          <w:sz w:val="24"/>
          <w:lang w:val="en-US" w:eastAsia="zh-CN"/>
        </w:rPr>
      </w:pPr>
      <w:r>
        <w:rPr>
          <w:rFonts w:hint="eastAsia" w:ascii="宋体" w:hAnsi="宋体"/>
          <w:sz w:val="24"/>
          <w:lang w:val="en-US" w:eastAsia="zh-CN"/>
        </w:rPr>
        <w:t xml:space="preserve">（2）我公司具有良好的商业信誉和健全的财务会计制度。 </w:t>
      </w:r>
    </w:p>
    <w:p w14:paraId="07B788EE">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宋体" w:hAnsi="宋体"/>
          <w:sz w:val="24"/>
          <w:lang w:val="en-US" w:eastAsia="zh-CN"/>
        </w:rPr>
      </w:pPr>
      <w:r>
        <w:rPr>
          <w:rFonts w:hint="eastAsia" w:ascii="宋体" w:hAnsi="宋体"/>
          <w:sz w:val="24"/>
          <w:lang w:val="en-US" w:eastAsia="zh-CN"/>
        </w:rPr>
        <w:t xml:space="preserve">（3）我公司具有履行本项目采购合同所必需的设备和专业技术能力。 </w:t>
      </w:r>
    </w:p>
    <w:p w14:paraId="264E0248">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宋体" w:hAnsi="宋体"/>
          <w:sz w:val="24"/>
          <w:lang w:val="en-US" w:eastAsia="zh-CN"/>
        </w:rPr>
      </w:pPr>
      <w:r>
        <w:rPr>
          <w:rFonts w:hint="eastAsia" w:ascii="宋体" w:hAnsi="宋体"/>
          <w:sz w:val="24"/>
          <w:lang w:val="en-US" w:eastAsia="zh-CN"/>
        </w:rPr>
        <w:t xml:space="preserve">（4）我公司具有依法缴纳税收和社会保障资金的良好记录。 </w:t>
      </w:r>
    </w:p>
    <w:p w14:paraId="3DE0E44F">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宋体" w:hAnsi="宋体"/>
          <w:sz w:val="24"/>
          <w:lang w:val="en-US" w:eastAsia="zh-CN"/>
        </w:rPr>
      </w:pPr>
      <w:r>
        <w:rPr>
          <w:rFonts w:hint="eastAsia" w:ascii="宋体" w:hAnsi="宋体"/>
          <w:sz w:val="24"/>
          <w:lang w:val="en-US" w:eastAsia="zh-CN"/>
        </w:rPr>
        <w:t xml:space="preserve">（5）我公司在参与本次政府采购活动之前三年内，在经营活动中无重大违法记录。 </w:t>
      </w:r>
    </w:p>
    <w:p w14:paraId="0D8DC582">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宋体" w:hAnsi="宋体"/>
          <w:sz w:val="24"/>
          <w:lang w:val="en-US" w:eastAsia="zh-CN"/>
        </w:rPr>
      </w:pPr>
      <w:r>
        <w:rPr>
          <w:rFonts w:hint="eastAsia" w:ascii="宋体" w:hAnsi="宋体"/>
          <w:sz w:val="24"/>
          <w:lang w:val="en-US" w:eastAsia="zh-CN"/>
        </w:rPr>
        <w:t xml:space="preserve">（6）我公司在参与本次政府采购活动时未受到任何地方政府采购部门作出的暂停参加政府采购活动的处罚。 </w:t>
      </w:r>
    </w:p>
    <w:p w14:paraId="1A0D4275">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宋体" w:hAnsi="宋体"/>
          <w:sz w:val="24"/>
          <w:lang w:val="en-US" w:eastAsia="zh-CN"/>
        </w:rPr>
      </w:pPr>
      <w:r>
        <w:rPr>
          <w:rFonts w:hint="eastAsia" w:ascii="宋体" w:hAnsi="宋体"/>
          <w:sz w:val="24"/>
          <w:lang w:val="en-US" w:eastAsia="zh-CN"/>
        </w:rPr>
        <w:t xml:space="preserve">我公司保证上述声明的事项都是真实的，如有虚假，我公司承担相应的法律责任，并承担因此给你中心以及本项目采购人所造成的损失。 </w:t>
      </w:r>
    </w:p>
    <w:p w14:paraId="7E7B462C">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宋体" w:hAnsi="宋体"/>
          <w:sz w:val="24"/>
          <w:lang w:val="en-US" w:eastAsia="zh-CN"/>
        </w:rPr>
      </w:pPr>
      <w:r>
        <w:rPr>
          <w:rFonts w:hint="eastAsia" w:ascii="宋体" w:hAnsi="宋体"/>
          <w:sz w:val="24"/>
          <w:lang w:val="en-US" w:eastAsia="zh-CN"/>
        </w:rPr>
        <w:t xml:space="preserve">我公司已经按照你中心招标文件的要求提交了所要求提交的能够证明上述声明事项真实性的全部文件材料，并保证随时按照你中心的要求提供能够证明上述声明事项真实性的任何有效文件。 </w:t>
      </w:r>
    </w:p>
    <w:p w14:paraId="448826B1">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sz w:val="24"/>
          <w:lang w:val="en-US" w:eastAsia="zh-CN"/>
        </w:rPr>
      </w:pPr>
    </w:p>
    <w:p w14:paraId="780A2381">
      <w:pPr>
        <w:pStyle w:val="19"/>
        <w:rPr>
          <w:rFonts w:hint="eastAsia"/>
          <w:lang w:val="en-US" w:eastAsia="zh-CN"/>
        </w:rPr>
      </w:pPr>
    </w:p>
    <w:p w14:paraId="4793D1B0">
      <w:pPr>
        <w:keepNext w:val="0"/>
        <w:keepLines w:val="0"/>
        <w:pageBreakBefore w:val="0"/>
        <w:widowControl w:val="0"/>
        <w:kinsoku/>
        <w:wordWrap/>
        <w:overflowPunct/>
        <w:topLinePunct w:val="0"/>
        <w:autoSpaceDE/>
        <w:autoSpaceDN/>
        <w:bidi w:val="0"/>
        <w:adjustRightInd/>
        <w:snapToGrid/>
        <w:spacing w:line="460" w:lineRule="exact"/>
        <w:ind w:firstLine="5520" w:firstLineChars="2300"/>
        <w:textAlignment w:val="auto"/>
        <w:rPr>
          <w:rFonts w:hint="eastAsia" w:ascii="宋体" w:hAnsi="宋体"/>
          <w:sz w:val="24"/>
          <w:lang w:val="en-US" w:eastAsia="zh-CN"/>
        </w:rPr>
      </w:pPr>
    </w:p>
    <w:p w14:paraId="6AE62E6E">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right"/>
        <w:textAlignment w:val="auto"/>
        <w:rPr>
          <w:rFonts w:hint="eastAsia" w:ascii="宋体" w:hAnsi="宋体"/>
          <w:sz w:val="24"/>
          <w:lang w:val="en-US" w:eastAsia="zh-CN"/>
        </w:rPr>
      </w:pPr>
      <w:r>
        <w:rPr>
          <w:rFonts w:hint="eastAsia" w:ascii="宋体" w:hAnsi="宋体"/>
          <w:sz w:val="24"/>
          <w:lang w:val="en-US" w:eastAsia="zh-CN"/>
        </w:rPr>
        <w:t>投标人全称并加盖单位公章：</w:t>
      </w:r>
    </w:p>
    <w:p w14:paraId="1F1E7C28">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right"/>
        <w:textAlignment w:val="auto"/>
        <w:rPr>
          <w:rFonts w:hint="eastAsia" w:ascii="宋体" w:hAnsi="宋体"/>
          <w:sz w:val="24"/>
          <w:lang w:val="en-US" w:eastAsia="zh-CN"/>
        </w:rPr>
      </w:pPr>
      <w:r>
        <w:rPr>
          <w:rFonts w:hint="eastAsia" w:ascii="宋体" w:hAnsi="宋体"/>
          <w:sz w:val="24"/>
          <w:lang w:val="en-US" w:eastAsia="zh-CN"/>
        </w:rPr>
        <w:t>日期：   年   月  日</w:t>
      </w:r>
    </w:p>
    <w:p w14:paraId="048F3FFB">
      <w:pPr>
        <w:pStyle w:val="25"/>
        <w:rPr>
          <w:rFonts w:hint="eastAsia"/>
          <w:lang w:eastAsia="zh-CN"/>
        </w:rPr>
      </w:pPr>
    </w:p>
    <w:p w14:paraId="34D93833">
      <w:pPr>
        <w:ind w:firstLine="562" w:firstLineChars="200"/>
        <w:jc w:val="center"/>
        <w:rPr>
          <w:rFonts w:hint="eastAsia" w:ascii="宋体" w:hAnsi="宋体"/>
          <w:b/>
          <w:bCs/>
          <w:sz w:val="28"/>
          <w:szCs w:val="28"/>
        </w:rPr>
      </w:pPr>
      <w:r>
        <w:rPr>
          <w:rFonts w:hint="eastAsia" w:ascii="宋体" w:hAnsi="宋体"/>
          <w:b/>
          <w:bCs/>
          <w:sz w:val="28"/>
          <w:szCs w:val="28"/>
          <w:lang w:eastAsia="zh-CN"/>
        </w:rPr>
        <w:t>（</w:t>
      </w:r>
      <w:r>
        <w:rPr>
          <w:rFonts w:hint="eastAsia" w:ascii="宋体" w:hAnsi="宋体"/>
          <w:b/>
          <w:bCs/>
          <w:sz w:val="28"/>
          <w:szCs w:val="28"/>
          <w:lang w:val="en-US" w:eastAsia="zh-CN"/>
        </w:rPr>
        <w:t>二</w:t>
      </w:r>
      <w:r>
        <w:rPr>
          <w:rFonts w:hint="eastAsia" w:ascii="宋体" w:hAnsi="宋体"/>
          <w:b/>
          <w:bCs/>
          <w:sz w:val="28"/>
          <w:szCs w:val="28"/>
          <w:lang w:eastAsia="zh-CN"/>
        </w:rPr>
        <w:t>）</w:t>
      </w:r>
      <w:r>
        <w:rPr>
          <w:rFonts w:hint="eastAsia" w:ascii="宋体" w:hAnsi="宋体"/>
          <w:b/>
          <w:bCs/>
          <w:sz w:val="28"/>
          <w:szCs w:val="28"/>
        </w:rPr>
        <w:t>资格证明文件</w:t>
      </w:r>
    </w:p>
    <w:p w14:paraId="28B5FF6B">
      <w:pPr>
        <w:bidi w:val="0"/>
        <w:ind w:firstLine="480" w:firstLineChars="200"/>
        <w:rPr>
          <w:rFonts w:hint="eastAsia"/>
          <w:highlight w:val="none"/>
          <w:lang w:val="zh-CN"/>
        </w:rPr>
      </w:pPr>
      <w:r>
        <w:rPr>
          <w:rFonts w:hint="eastAsia" w:ascii="宋体" w:hAnsi="宋体" w:eastAsia="宋体" w:cs="宋体"/>
          <w:sz w:val="24"/>
          <w:szCs w:val="24"/>
          <w:highlight w:val="none"/>
          <w:lang w:val="en-US" w:eastAsia="zh-CN"/>
        </w:rPr>
        <w:t>详见</w:t>
      </w:r>
      <w:r>
        <w:rPr>
          <w:rFonts w:hint="eastAsia" w:ascii="宋体" w:hAnsi="宋体" w:eastAsia="宋体" w:cs="宋体"/>
          <w:sz w:val="24"/>
          <w:szCs w:val="24"/>
          <w:highlight w:val="none"/>
          <w:lang w:val="zh-CN"/>
        </w:rPr>
        <w:t>“第</w:t>
      </w:r>
      <w:r>
        <w:rPr>
          <w:rFonts w:hint="eastAsia" w:ascii="宋体" w:hAnsi="宋体" w:eastAsia="宋体" w:cs="宋体"/>
          <w:sz w:val="24"/>
          <w:szCs w:val="24"/>
          <w:highlight w:val="none"/>
          <w:lang w:val="en-US" w:eastAsia="zh-CN"/>
        </w:rPr>
        <w:t>五</w:t>
      </w:r>
      <w:r>
        <w:rPr>
          <w:rFonts w:hint="eastAsia" w:ascii="宋体" w:hAnsi="宋体" w:eastAsia="宋体" w:cs="宋体"/>
          <w:sz w:val="24"/>
          <w:szCs w:val="24"/>
          <w:highlight w:val="none"/>
          <w:lang w:val="zh-CN"/>
        </w:rPr>
        <w:t>章 评标办法</w:t>
      </w:r>
      <w:r>
        <w:rPr>
          <w:rFonts w:hint="eastAsia" w:ascii="宋体" w:hAnsi="宋体" w:eastAsia="宋体" w:cs="宋体"/>
          <w:sz w:val="24"/>
          <w:szCs w:val="24"/>
          <w:highlight w:val="none"/>
          <w:lang w:val="en-US" w:eastAsia="zh-CN"/>
        </w:rPr>
        <w:t xml:space="preserve"> 二、</w:t>
      </w:r>
      <w:r>
        <w:rPr>
          <w:rFonts w:hint="eastAsia" w:ascii="宋体" w:hAnsi="宋体" w:eastAsia="宋体" w:cs="宋体"/>
          <w:sz w:val="24"/>
          <w:szCs w:val="24"/>
          <w:highlight w:val="none"/>
          <w:lang w:val="zh-CN"/>
        </w:rPr>
        <w:t>评审细则</w:t>
      </w:r>
      <w:r>
        <w:rPr>
          <w:rFonts w:hint="eastAsia" w:ascii="宋体" w:hAnsi="宋体" w:eastAsia="宋体" w:cs="宋体"/>
          <w:sz w:val="24"/>
          <w:szCs w:val="24"/>
          <w:highlight w:val="none"/>
          <w:lang w:val="zh-CN" w:eastAsia="zh-CN"/>
        </w:rPr>
        <w:t>（</w:t>
      </w:r>
      <w:r>
        <w:rPr>
          <w:rFonts w:hint="eastAsia" w:ascii="宋体" w:hAnsi="宋体" w:eastAsia="宋体" w:cs="宋体"/>
          <w:sz w:val="24"/>
          <w:szCs w:val="24"/>
          <w:highlight w:val="none"/>
          <w:lang w:val="en-US" w:eastAsia="zh-CN"/>
        </w:rPr>
        <w:t>一</w:t>
      </w:r>
      <w:r>
        <w:rPr>
          <w:rFonts w:hint="eastAsia" w:ascii="宋体" w:hAnsi="宋体" w:eastAsia="宋体" w:cs="宋体"/>
          <w:sz w:val="24"/>
          <w:szCs w:val="24"/>
          <w:highlight w:val="none"/>
          <w:lang w:val="zh-CN" w:eastAsia="zh-CN"/>
        </w:rPr>
        <w:t>）</w:t>
      </w:r>
      <w:r>
        <w:rPr>
          <w:rFonts w:hint="eastAsia" w:ascii="宋体" w:hAnsi="宋体" w:eastAsia="宋体" w:cs="宋体"/>
          <w:sz w:val="24"/>
          <w:szCs w:val="24"/>
          <w:highlight w:val="none"/>
          <w:lang w:val="zh-CN"/>
        </w:rPr>
        <w:t>资格及符合性评审</w:t>
      </w:r>
      <w:r>
        <w:rPr>
          <w:rFonts w:hint="eastAsia" w:ascii="宋体" w:hAnsi="宋体" w:eastAsia="宋体" w:cs="宋体"/>
          <w:sz w:val="24"/>
          <w:szCs w:val="24"/>
          <w:highlight w:val="none"/>
          <w:lang w:val="zh-CN" w:eastAsia="zh-CN"/>
        </w:rPr>
        <w:t>（初步评审）”</w:t>
      </w:r>
    </w:p>
    <w:p w14:paraId="19615E3B">
      <w:pPr>
        <w:pStyle w:val="25"/>
        <w:rPr>
          <w:rFonts w:hint="eastAsia"/>
          <w:highlight w:val="none"/>
          <w:lang w:eastAsia="zh-CN"/>
        </w:rPr>
        <w:sectPr>
          <w:pgSz w:w="11906" w:h="16838"/>
          <w:pgMar w:top="1440" w:right="1080" w:bottom="1440" w:left="1080" w:header="851" w:footer="992" w:gutter="0"/>
          <w:pgBorders>
            <w:top w:val="none" w:sz="0" w:space="0"/>
            <w:left w:val="none" w:sz="0" w:space="0"/>
            <w:bottom w:val="none" w:sz="0" w:space="0"/>
            <w:right w:val="none" w:sz="0" w:space="0"/>
          </w:pgBorders>
          <w:pgNumType w:fmt="decimal"/>
          <w:cols w:space="0" w:num="1"/>
          <w:rtlGutter w:val="0"/>
          <w:docGrid w:type="lines" w:linePitch="460" w:charSpace="0"/>
        </w:sectPr>
      </w:pPr>
    </w:p>
    <w:p w14:paraId="3DEE3F7D">
      <w:pPr>
        <w:pStyle w:val="25"/>
        <w:rPr>
          <w:rFonts w:hint="eastAsia"/>
          <w:lang w:eastAsia="zh-CN"/>
        </w:rPr>
        <w:sectPr>
          <w:type w:val="continuous"/>
          <w:pgSz w:w="11906" w:h="16838"/>
          <w:pgMar w:top="1440" w:right="1080" w:bottom="1440" w:left="1080" w:header="851" w:footer="992" w:gutter="0"/>
          <w:pgBorders>
            <w:top w:val="none" w:sz="0" w:space="0"/>
            <w:left w:val="none" w:sz="0" w:space="0"/>
            <w:bottom w:val="none" w:sz="0" w:space="0"/>
            <w:right w:val="none" w:sz="0" w:space="0"/>
          </w:pgBorders>
          <w:pgNumType w:fmt="decimal"/>
          <w:cols w:space="0" w:num="1"/>
          <w:rtlGutter w:val="0"/>
          <w:docGrid w:type="lines" w:linePitch="460" w:charSpace="0"/>
        </w:sectPr>
      </w:pPr>
    </w:p>
    <w:p w14:paraId="2052EB4B">
      <w:pPr>
        <w:pStyle w:val="3"/>
        <w:bidi w:val="0"/>
        <w:jc w:val="center"/>
        <w:rPr>
          <w:rFonts w:hint="eastAsia"/>
          <w:lang w:val="en-US" w:eastAsia="zh-CN"/>
        </w:rPr>
      </w:pPr>
      <w:r>
        <w:rPr>
          <w:rFonts w:hint="eastAsia"/>
          <w:lang w:val="en-US" w:eastAsia="zh-CN"/>
        </w:rPr>
        <w:t>五、开标一览表</w:t>
      </w:r>
    </w:p>
    <w:tbl>
      <w:tblPr>
        <w:tblStyle w:val="20"/>
        <w:tblW w:w="14520" w:type="dxa"/>
        <w:tblInd w:w="1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20"/>
      </w:tblGrid>
      <w:tr w14:paraId="6246F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3" w:hRule="atLeast"/>
        </w:trPr>
        <w:tc>
          <w:tcPr>
            <w:tcW w:w="14520" w:type="dxa"/>
            <w:noWrap w:val="0"/>
            <w:vAlign w:val="center"/>
          </w:tcPr>
          <w:p w14:paraId="1CDDE87D">
            <w:pPr>
              <w:jc w:val="center"/>
              <w:rPr>
                <w:rFonts w:hint="eastAsia" w:ascii="新宋体" w:hAnsi="新宋体" w:eastAsia="新宋体"/>
                <w:color w:val="000000"/>
                <w:sz w:val="28"/>
                <w:szCs w:val="28"/>
                <w:highlight w:val="none"/>
              </w:rPr>
            </w:pPr>
            <w:r>
              <w:rPr>
                <w:rFonts w:hint="eastAsia" w:ascii="新宋体" w:hAnsi="新宋体" w:eastAsia="新宋体"/>
                <w:color w:val="000000"/>
                <w:sz w:val="28"/>
                <w:szCs w:val="28"/>
                <w:highlight w:val="none"/>
              </w:rPr>
              <w:t>按照本项目</w:t>
            </w:r>
            <w:r>
              <w:rPr>
                <w:rFonts w:hint="eastAsia" w:ascii="新宋体" w:hAnsi="新宋体" w:eastAsia="新宋体"/>
                <w:color w:val="000000"/>
                <w:sz w:val="28"/>
                <w:szCs w:val="28"/>
                <w:highlight w:val="none"/>
                <w:lang w:val="en-US" w:eastAsia="zh-CN"/>
              </w:rPr>
              <w:t>政采云</w:t>
            </w:r>
            <w:r>
              <w:rPr>
                <w:rFonts w:hint="eastAsia" w:ascii="新宋体" w:hAnsi="新宋体" w:eastAsia="新宋体"/>
                <w:color w:val="000000"/>
                <w:sz w:val="28"/>
                <w:szCs w:val="28"/>
                <w:highlight w:val="none"/>
              </w:rPr>
              <w:t>系统中所规</w:t>
            </w:r>
            <w:r>
              <w:rPr>
                <w:rFonts w:hint="eastAsia" w:ascii="新宋体" w:hAnsi="新宋体" w:eastAsia="新宋体"/>
                <w:color w:val="000000"/>
                <w:sz w:val="28"/>
                <w:szCs w:val="28"/>
                <w:highlight w:val="none"/>
                <w:lang w:eastAsia="zh-CN"/>
              </w:rPr>
              <w:t>定的</w:t>
            </w:r>
            <w:r>
              <w:rPr>
                <w:rFonts w:hint="eastAsia" w:ascii="新宋体" w:hAnsi="新宋体" w:eastAsia="新宋体"/>
                <w:color w:val="000000"/>
                <w:sz w:val="28"/>
                <w:szCs w:val="28"/>
                <w:highlight w:val="none"/>
              </w:rPr>
              <w:t>格式及要求进行填写</w:t>
            </w:r>
          </w:p>
        </w:tc>
      </w:tr>
    </w:tbl>
    <w:p w14:paraId="0019F81B">
      <w:pPr>
        <w:pStyle w:val="19"/>
        <w:rPr>
          <w:rFonts w:hint="eastAsia"/>
        </w:rPr>
      </w:pPr>
    </w:p>
    <w:p w14:paraId="2A0CDC7D">
      <w:pPr>
        <w:rPr>
          <w:rFonts w:hint="eastAsia"/>
        </w:rPr>
      </w:pPr>
    </w:p>
    <w:p w14:paraId="399758C2">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1、投标报价包括完成本次</w:t>
      </w:r>
      <w:r>
        <w:rPr>
          <w:rFonts w:hint="eastAsia"/>
          <w:lang w:val="en-US" w:eastAsia="zh-CN"/>
        </w:rPr>
        <w:t>项目</w:t>
      </w:r>
      <w:r>
        <w:rPr>
          <w:rFonts w:hint="eastAsia"/>
        </w:rPr>
        <w:t>所需全部费用。</w:t>
      </w:r>
    </w:p>
    <w:p w14:paraId="28BF66B4">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2、开标一览表中须填报所投报各包的投标报价的总价，无需填报每包中所涉及的具体单项价格。</w:t>
      </w:r>
    </w:p>
    <w:p w14:paraId="34A5ED25">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3、开标一览表</w:t>
      </w:r>
      <w:r>
        <w:rPr>
          <w:rFonts w:hint="eastAsia"/>
          <w:lang w:eastAsia="zh-CN"/>
        </w:rPr>
        <w:t>中的</w:t>
      </w:r>
      <w:r>
        <w:rPr>
          <w:rFonts w:hint="eastAsia"/>
        </w:rPr>
        <w:t>投标总价须与投标文件中投标报价明细表的投标总价保持一致，如出现不同，以开标一览表</w:t>
      </w:r>
      <w:r>
        <w:rPr>
          <w:rFonts w:hint="eastAsia"/>
          <w:lang w:eastAsia="zh-CN"/>
        </w:rPr>
        <w:t>中的</w:t>
      </w:r>
      <w:r>
        <w:rPr>
          <w:rFonts w:hint="eastAsia"/>
        </w:rPr>
        <w:t>价格为准。</w:t>
      </w:r>
    </w:p>
    <w:p w14:paraId="45C87822">
      <w:pPr>
        <w:pStyle w:val="25"/>
        <w:ind w:left="0" w:leftChars="0" w:firstLine="0" w:firstLineChars="0"/>
        <w:rPr>
          <w:rFonts w:hint="default"/>
          <w:lang w:val="en-US" w:eastAsia="zh-CN"/>
        </w:rPr>
        <w:sectPr>
          <w:headerReference r:id="rId17" w:type="default"/>
          <w:footerReference r:id="rId18" w:type="default"/>
          <w:pgSz w:w="16838" w:h="11906" w:orient="landscape"/>
          <w:pgMar w:top="1080" w:right="1440" w:bottom="1080" w:left="1440" w:header="851" w:footer="992" w:gutter="0"/>
          <w:pgBorders>
            <w:top w:val="none" w:sz="0" w:space="0"/>
            <w:left w:val="none" w:sz="0" w:space="0"/>
            <w:bottom w:val="none" w:sz="0" w:space="0"/>
            <w:right w:val="none" w:sz="0" w:space="0"/>
          </w:pgBorders>
          <w:pgNumType w:fmt="decimal"/>
          <w:cols w:space="0" w:num="1"/>
          <w:rtlGutter w:val="0"/>
          <w:docGrid w:type="lines" w:linePitch="460" w:charSpace="0"/>
        </w:sectPr>
      </w:pPr>
    </w:p>
    <w:p w14:paraId="41B5559F">
      <w:pPr>
        <w:pStyle w:val="3"/>
        <w:bidi w:val="0"/>
        <w:jc w:val="center"/>
        <w:rPr>
          <w:rFonts w:hint="default"/>
          <w:lang w:val="en-US" w:eastAsia="zh-CN"/>
        </w:rPr>
      </w:pPr>
      <w:r>
        <w:rPr>
          <w:rFonts w:hint="eastAsia"/>
          <w:lang w:val="en-US" w:eastAsia="zh-CN"/>
        </w:rPr>
        <w:t>六、投标报价明细表</w:t>
      </w:r>
    </w:p>
    <w:p w14:paraId="2C077F37">
      <w:pPr>
        <w:pStyle w:val="3"/>
        <w:numPr>
          <w:ilvl w:val="0"/>
          <w:numId w:val="0"/>
        </w:numPr>
        <w:bidi w:val="0"/>
        <w:jc w:val="both"/>
        <w:rPr>
          <w:rFonts w:hint="eastAsia" w:ascii="Times New Roman" w:hAnsi="Times New Roman"/>
          <w:b w:val="0"/>
          <w:bCs w:val="0"/>
          <w:sz w:val="24"/>
          <w:szCs w:val="24"/>
          <w:lang w:val="en-US" w:eastAsia="zh-CN"/>
        </w:rPr>
      </w:pPr>
      <w:bookmarkStart w:id="29" w:name="_Toc10278"/>
      <w:r>
        <w:rPr>
          <w:rFonts w:hint="eastAsia"/>
          <w:sz w:val="24"/>
          <w:szCs w:val="24"/>
        </w:rPr>
        <w:t>项目名称</w:t>
      </w:r>
      <w:r>
        <w:rPr>
          <w:rFonts w:hint="eastAsia"/>
          <w:b w:val="0"/>
          <w:bCs w:val="0"/>
          <w:sz w:val="24"/>
          <w:szCs w:val="24"/>
        </w:rPr>
        <w:t>：</w:t>
      </w:r>
      <w:r>
        <w:rPr>
          <w:rFonts w:hint="eastAsia" w:ascii="Times New Roman" w:hAnsi="Times New Roman"/>
          <w:sz w:val="24"/>
          <w:szCs w:val="24"/>
          <w:lang w:val="en-US" w:eastAsia="zh-CN"/>
        </w:rPr>
        <w:t>2026年前郭县义务教育薄弱环节改善与能力提升—教学计算机采购项目</w:t>
      </w:r>
    </w:p>
    <w:tbl>
      <w:tblPr>
        <w:tblStyle w:val="21"/>
        <w:tblpPr w:leftFromText="180" w:rightFromText="180" w:vertAnchor="text" w:horzAnchor="page" w:tblpX="1336" w:tblpY="447"/>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
        <w:gridCol w:w="705"/>
        <w:gridCol w:w="515"/>
        <w:gridCol w:w="554"/>
        <w:gridCol w:w="3226"/>
        <w:gridCol w:w="3120"/>
        <w:gridCol w:w="960"/>
        <w:gridCol w:w="1149"/>
        <w:gridCol w:w="846"/>
        <w:gridCol w:w="823"/>
        <w:gridCol w:w="994"/>
        <w:gridCol w:w="693"/>
      </w:tblGrid>
      <w:tr w14:paraId="54504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Pr>
          <w:p w14:paraId="548EFF1A">
            <w:pPr>
              <w:jc w:val="both"/>
              <w:rPr>
                <w:rFonts w:hint="default" w:eastAsiaTheme="minorEastAsia"/>
                <w:b/>
                <w:bCs/>
                <w:sz w:val="24"/>
                <w:szCs w:val="32"/>
                <w:vertAlign w:val="baseline"/>
                <w:lang w:val="en-US" w:eastAsia="zh-CN"/>
              </w:rPr>
            </w:pPr>
            <w:r>
              <w:rPr>
                <w:rFonts w:hint="eastAsia" w:asciiTheme="minorHAnsi" w:eastAsiaTheme="minorEastAsia"/>
                <w:b/>
                <w:bCs/>
                <w:sz w:val="24"/>
                <w:szCs w:val="32"/>
                <w:vertAlign w:val="baseline"/>
                <w:lang w:val="en-US" w:eastAsia="zh-CN"/>
              </w:rPr>
              <w:t>序号</w:t>
            </w:r>
          </w:p>
        </w:tc>
        <w:tc>
          <w:tcPr>
            <w:tcW w:w="705" w:type="dxa"/>
          </w:tcPr>
          <w:p w14:paraId="34AA29D2">
            <w:pPr>
              <w:jc w:val="both"/>
              <w:rPr>
                <w:rFonts w:hint="eastAsia"/>
                <w:b/>
                <w:bCs/>
                <w:sz w:val="24"/>
                <w:szCs w:val="32"/>
                <w:vertAlign w:val="baseline"/>
                <w:lang w:val="en-US" w:eastAsia="zh-CN"/>
              </w:rPr>
            </w:pPr>
            <w:r>
              <w:rPr>
                <w:rFonts w:hint="eastAsia" w:asciiTheme="minorHAnsi" w:eastAsiaTheme="minorEastAsia"/>
                <w:b/>
                <w:bCs/>
                <w:sz w:val="24"/>
                <w:szCs w:val="32"/>
                <w:vertAlign w:val="baseline"/>
                <w:lang w:val="en-US" w:eastAsia="zh-CN"/>
              </w:rPr>
              <w:t>货物</w:t>
            </w:r>
          </w:p>
          <w:p w14:paraId="580D01E0">
            <w:pPr>
              <w:jc w:val="both"/>
              <w:rPr>
                <w:rFonts w:hint="eastAsia" w:eastAsiaTheme="minorEastAsia"/>
                <w:b/>
                <w:bCs/>
                <w:sz w:val="24"/>
                <w:szCs w:val="32"/>
                <w:vertAlign w:val="baseline"/>
                <w:lang w:val="en-US" w:eastAsia="zh-CN"/>
              </w:rPr>
            </w:pPr>
            <w:r>
              <w:rPr>
                <w:rFonts w:hint="eastAsia" w:asciiTheme="minorHAnsi" w:eastAsiaTheme="minorEastAsia"/>
                <w:b/>
                <w:bCs/>
                <w:sz w:val="24"/>
                <w:szCs w:val="32"/>
                <w:vertAlign w:val="baseline"/>
                <w:lang w:val="en-US" w:eastAsia="zh-CN"/>
              </w:rPr>
              <w:t>名称</w:t>
            </w:r>
          </w:p>
        </w:tc>
        <w:tc>
          <w:tcPr>
            <w:tcW w:w="515" w:type="dxa"/>
          </w:tcPr>
          <w:p w14:paraId="21E10D7B">
            <w:pPr>
              <w:jc w:val="both"/>
              <w:rPr>
                <w:rFonts w:hint="eastAsia" w:eastAsiaTheme="minorEastAsia"/>
                <w:b/>
                <w:bCs/>
                <w:sz w:val="24"/>
                <w:szCs w:val="32"/>
                <w:vertAlign w:val="baseline"/>
                <w:lang w:val="en-US" w:eastAsia="zh-CN"/>
              </w:rPr>
            </w:pPr>
            <w:r>
              <w:rPr>
                <w:rFonts w:hint="eastAsia" w:asciiTheme="minorHAnsi" w:eastAsiaTheme="minorEastAsia"/>
                <w:b/>
                <w:bCs/>
                <w:sz w:val="24"/>
                <w:szCs w:val="32"/>
                <w:vertAlign w:val="baseline"/>
                <w:lang w:val="en-US" w:eastAsia="zh-CN"/>
              </w:rPr>
              <w:t>品牌</w:t>
            </w:r>
          </w:p>
        </w:tc>
        <w:tc>
          <w:tcPr>
            <w:tcW w:w="554" w:type="dxa"/>
          </w:tcPr>
          <w:p w14:paraId="72BEFA45">
            <w:pPr>
              <w:jc w:val="both"/>
              <w:rPr>
                <w:rFonts w:hint="eastAsia" w:eastAsiaTheme="minorEastAsia"/>
                <w:b/>
                <w:bCs/>
                <w:sz w:val="24"/>
                <w:szCs w:val="32"/>
                <w:vertAlign w:val="baseline"/>
                <w:lang w:val="en-US" w:eastAsia="zh-CN"/>
              </w:rPr>
            </w:pPr>
            <w:r>
              <w:rPr>
                <w:rFonts w:hint="eastAsia" w:asciiTheme="minorHAnsi" w:eastAsiaTheme="minorEastAsia"/>
                <w:b/>
                <w:bCs/>
                <w:sz w:val="24"/>
                <w:szCs w:val="32"/>
                <w:vertAlign w:val="baseline"/>
                <w:lang w:val="en-US" w:eastAsia="zh-CN"/>
              </w:rPr>
              <w:t>型号</w:t>
            </w:r>
          </w:p>
        </w:tc>
        <w:tc>
          <w:tcPr>
            <w:tcW w:w="3226" w:type="dxa"/>
            <w:vAlign w:val="center"/>
          </w:tcPr>
          <w:p w14:paraId="32775BEB">
            <w:pPr>
              <w:jc w:val="center"/>
              <w:rPr>
                <w:rFonts w:hint="eastAsia"/>
                <w:b/>
                <w:bCs/>
                <w:sz w:val="24"/>
                <w:szCs w:val="32"/>
                <w:vertAlign w:val="baseline"/>
              </w:rPr>
            </w:pPr>
            <w:r>
              <w:rPr>
                <w:rFonts w:hint="eastAsia"/>
                <w:b/>
                <w:bCs/>
                <w:sz w:val="24"/>
                <w:szCs w:val="32"/>
                <w:vertAlign w:val="baseline"/>
              </w:rPr>
              <w:t>主要功能配置及技术指标要求</w:t>
            </w:r>
          </w:p>
        </w:tc>
        <w:tc>
          <w:tcPr>
            <w:tcW w:w="3120" w:type="dxa"/>
            <w:vAlign w:val="center"/>
          </w:tcPr>
          <w:p w14:paraId="4F68C4D8">
            <w:pPr>
              <w:jc w:val="center"/>
              <w:rPr>
                <w:rFonts w:hint="default" w:eastAsiaTheme="minorEastAsia"/>
                <w:b/>
                <w:bCs/>
                <w:sz w:val="24"/>
                <w:szCs w:val="32"/>
                <w:highlight w:val="yellow"/>
                <w:vertAlign w:val="baseline"/>
                <w:lang w:val="en-US" w:eastAsia="zh-CN"/>
              </w:rPr>
            </w:pPr>
            <w:r>
              <w:rPr>
                <w:rFonts w:hint="eastAsia" w:asciiTheme="minorHAnsi" w:eastAsiaTheme="minorEastAsia"/>
                <w:b/>
                <w:bCs/>
                <w:sz w:val="24"/>
                <w:szCs w:val="32"/>
                <w:highlight w:val="none"/>
                <w:vertAlign w:val="baseline"/>
                <w:lang w:val="en-US" w:eastAsia="zh-CN"/>
              </w:rPr>
              <w:t>功能配置和技术参数偏离情况</w:t>
            </w:r>
          </w:p>
        </w:tc>
        <w:tc>
          <w:tcPr>
            <w:tcW w:w="960" w:type="dxa"/>
          </w:tcPr>
          <w:p w14:paraId="0A9FF3F3">
            <w:pPr>
              <w:jc w:val="both"/>
              <w:rPr>
                <w:rFonts w:hint="eastAsia"/>
                <w:b/>
                <w:bCs/>
                <w:sz w:val="24"/>
                <w:szCs w:val="32"/>
                <w:vertAlign w:val="baseline"/>
              </w:rPr>
            </w:pPr>
            <w:r>
              <w:rPr>
                <w:rFonts w:hint="eastAsia"/>
                <w:b/>
                <w:bCs/>
                <w:sz w:val="24"/>
                <w:szCs w:val="32"/>
                <w:vertAlign w:val="baseline"/>
              </w:rPr>
              <w:t>原产地及制造厂商</w:t>
            </w:r>
          </w:p>
        </w:tc>
        <w:tc>
          <w:tcPr>
            <w:tcW w:w="1149" w:type="dxa"/>
          </w:tcPr>
          <w:p w14:paraId="4DF5157E">
            <w:pPr>
              <w:jc w:val="center"/>
              <w:rPr>
                <w:rFonts w:hint="eastAsia"/>
                <w:b/>
                <w:bCs/>
                <w:sz w:val="24"/>
                <w:szCs w:val="32"/>
                <w:vertAlign w:val="baseline"/>
                <w:lang w:val="en-US" w:eastAsia="zh-CN"/>
              </w:rPr>
            </w:pPr>
            <w:r>
              <w:rPr>
                <w:rFonts w:hint="eastAsia" w:asciiTheme="minorHAnsi" w:eastAsiaTheme="minorEastAsia"/>
                <w:b/>
                <w:bCs/>
                <w:sz w:val="24"/>
                <w:szCs w:val="32"/>
                <w:vertAlign w:val="baseline"/>
                <w:lang w:val="en-US" w:eastAsia="zh-CN"/>
              </w:rPr>
              <w:t>数量</w:t>
            </w:r>
          </w:p>
          <w:p w14:paraId="4BA5792E">
            <w:pPr>
              <w:jc w:val="both"/>
              <w:rPr>
                <w:rFonts w:hint="eastAsia"/>
                <w:b/>
                <w:bCs/>
                <w:sz w:val="24"/>
                <w:szCs w:val="32"/>
                <w:lang w:val="en-US" w:eastAsia="zh-CN"/>
              </w:rPr>
            </w:pPr>
            <w:r>
              <w:rPr>
                <w:rFonts w:hint="eastAsia" w:asciiTheme="minorHAnsi" w:eastAsiaTheme="minorEastAsia"/>
                <w:b/>
                <w:bCs/>
                <w:sz w:val="24"/>
                <w:szCs w:val="32"/>
                <w:vertAlign w:val="baseline"/>
                <w:lang w:val="en-US" w:eastAsia="zh-CN"/>
              </w:rPr>
              <w:t>（单位）</w:t>
            </w:r>
          </w:p>
        </w:tc>
        <w:tc>
          <w:tcPr>
            <w:tcW w:w="846" w:type="dxa"/>
          </w:tcPr>
          <w:p w14:paraId="7F469466">
            <w:pPr>
              <w:jc w:val="both"/>
              <w:rPr>
                <w:rFonts w:hint="default" w:eastAsiaTheme="minorEastAsia"/>
                <w:b/>
                <w:bCs/>
                <w:sz w:val="24"/>
                <w:szCs w:val="32"/>
                <w:vertAlign w:val="baseline"/>
                <w:lang w:val="en-US" w:eastAsia="zh-CN"/>
              </w:rPr>
            </w:pPr>
            <w:r>
              <w:rPr>
                <w:rFonts w:hint="eastAsia" w:asciiTheme="minorHAnsi" w:eastAsiaTheme="minorEastAsia"/>
                <w:b/>
                <w:bCs/>
                <w:sz w:val="24"/>
                <w:szCs w:val="32"/>
                <w:vertAlign w:val="baseline"/>
                <w:lang w:val="en-US" w:eastAsia="zh-CN"/>
              </w:rPr>
              <w:t>单价（元）</w:t>
            </w:r>
          </w:p>
        </w:tc>
        <w:tc>
          <w:tcPr>
            <w:tcW w:w="823" w:type="dxa"/>
          </w:tcPr>
          <w:p w14:paraId="70EC72C8">
            <w:pPr>
              <w:jc w:val="both"/>
              <w:rPr>
                <w:rFonts w:hint="eastAsia" w:eastAsiaTheme="minorEastAsia"/>
                <w:b/>
                <w:bCs/>
                <w:sz w:val="24"/>
                <w:szCs w:val="32"/>
                <w:vertAlign w:val="baseline"/>
                <w:lang w:val="en-US" w:eastAsia="zh-CN"/>
              </w:rPr>
            </w:pPr>
            <w:r>
              <w:rPr>
                <w:rFonts w:hint="eastAsia" w:asciiTheme="minorHAnsi" w:eastAsiaTheme="minorEastAsia"/>
                <w:b/>
                <w:bCs/>
                <w:sz w:val="24"/>
                <w:szCs w:val="32"/>
                <w:vertAlign w:val="baseline"/>
                <w:lang w:val="en-US" w:eastAsia="zh-CN"/>
              </w:rPr>
              <w:t>合计（元）</w:t>
            </w:r>
          </w:p>
        </w:tc>
        <w:tc>
          <w:tcPr>
            <w:tcW w:w="994" w:type="dxa"/>
          </w:tcPr>
          <w:p w14:paraId="519C3BD8">
            <w:pPr>
              <w:jc w:val="both"/>
              <w:rPr>
                <w:rFonts w:hint="eastAsia" w:eastAsiaTheme="minorEastAsia"/>
                <w:b/>
                <w:bCs/>
                <w:sz w:val="24"/>
                <w:szCs w:val="32"/>
                <w:vertAlign w:val="baseline"/>
                <w:lang w:val="en-US" w:eastAsia="zh-CN"/>
              </w:rPr>
            </w:pPr>
            <w:r>
              <w:rPr>
                <w:rFonts w:hint="eastAsia" w:asciiTheme="minorHAnsi" w:eastAsiaTheme="minorEastAsia"/>
                <w:b/>
                <w:bCs/>
                <w:sz w:val="24"/>
                <w:szCs w:val="32"/>
                <w:vertAlign w:val="baseline"/>
                <w:lang w:val="en-US" w:eastAsia="zh-CN"/>
              </w:rPr>
              <w:t>质保期</w:t>
            </w:r>
          </w:p>
        </w:tc>
        <w:tc>
          <w:tcPr>
            <w:tcW w:w="693" w:type="dxa"/>
          </w:tcPr>
          <w:p w14:paraId="3FB4550B">
            <w:pPr>
              <w:jc w:val="both"/>
              <w:rPr>
                <w:rFonts w:hint="eastAsia" w:eastAsiaTheme="minorEastAsia"/>
                <w:b/>
                <w:bCs/>
                <w:sz w:val="24"/>
                <w:szCs w:val="32"/>
                <w:vertAlign w:val="baseline"/>
                <w:lang w:val="en-US" w:eastAsia="zh-CN"/>
              </w:rPr>
            </w:pPr>
            <w:r>
              <w:rPr>
                <w:rFonts w:hint="eastAsia" w:asciiTheme="minorHAnsi" w:eastAsiaTheme="minorEastAsia"/>
                <w:b/>
                <w:bCs/>
                <w:sz w:val="24"/>
                <w:szCs w:val="32"/>
                <w:vertAlign w:val="baseline"/>
                <w:lang w:val="en-US" w:eastAsia="zh-CN"/>
              </w:rPr>
              <w:t>备注</w:t>
            </w:r>
          </w:p>
        </w:tc>
      </w:tr>
      <w:tr w14:paraId="41CAA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535" w:type="dxa"/>
          </w:tcPr>
          <w:p w14:paraId="2083438F">
            <w:pPr>
              <w:rPr>
                <w:rFonts w:hint="eastAsia"/>
                <w:vertAlign w:val="baseline"/>
              </w:rPr>
            </w:pPr>
          </w:p>
        </w:tc>
        <w:tc>
          <w:tcPr>
            <w:tcW w:w="705" w:type="dxa"/>
          </w:tcPr>
          <w:p w14:paraId="65555982">
            <w:pPr>
              <w:rPr>
                <w:rFonts w:hint="eastAsia"/>
                <w:vertAlign w:val="baseline"/>
              </w:rPr>
            </w:pPr>
          </w:p>
        </w:tc>
        <w:tc>
          <w:tcPr>
            <w:tcW w:w="515" w:type="dxa"/>
          </w:tcPr>
          <w:p w14:paraId="34D3E5F5">
            <w:pPr>
              <w:rPr>
                <w:rFonts w:hint="eastAsia"/>
                <w:vertAlign w:val="baseline"/>
              </w:rPr>
            </w:pPr>
          </w:p>
        </w:tc>
        <w:tc>
          <w:tcPr>
            <w:tcW w:w="554" w:type="dxa"/>
          </w:tcPr>
          <w:p w14:paraId="208C5C76">
            <w:pPr>
              <w:rPr>
                <w:rFonts w:hint="eastAsia"/>
                <w:vertAlign w:val="baseline"/>
              </w:rPr>
            </w:pPr>
          </w:p>
        </w:tc>
        <w:tc>
          <w:tcPr>
            <w:tcW w:w="3226" w:type="dxa"/>
          </w:tcPr>
          <w:p w14:paraId="4B851E88">
            <w:pPr>
              <w:rPr>
                <w:rFonts w:hint="eastAsia"/>
                <w:vertAlign w:val="baseline"/>
              </w:rPr>
            </w:pPr>
          </w:p>
        </w:tc>
        <w:tc>
          <w:tcPr>
            <w:tcW w:w="3120" w:type="dxa"/>
          </w:tcPr>
          <w:p w14:paraId="40B41BEF">
            <w:pPr>
              <w:rPr>
                <w:rFonts w:hint="eastAsia"/>
                <w:vertAlign w:val="baseline"/>
              </w:rPr>
            </w:pPr>
          </w:p>
        </w:tc>
        <w:tc>
          <w:tcPr>
            <w:tcW w:w="960" w:type="dxa"/>
          </w:tcPr>
          <w:p w14:paraId="1314756F">
            <w:pPr>
              <w:rPr>
                <w:rFonts w:hint="eastAsia"/>
                <w:vertAlign w:val="baseline"/>
              </w:rPr>
            </w:pPr>
          </w:p>
        </w:tc>
        <w:tc>
          <w:tcPr>
            <w:tcW w:w="1149" w:type="dxa"/>
          </w:tcPr>
          <w:p w14:paraId="134BF1CF">
            <w:pPr>
              <w:rPr>
                <w:rFonts w:hint="eastAsia"/>
                <w:vertAlign w:val="baseline"/>
              </w:rPr>
            </w:pPr>
          </w:p>
        </w:tc>
        <w:tc>
          <w:tcPr>
            <w:tcW w:w="846" w:type="dxa"/>
          </w:tcPr>
          <w:p w14:paraId="41A644A5">
            <w:pPr>
              <w:rPr>
                <w:rFonts w:hint="eastAsia"/>
                <w:vertAlign w:val="baseline"/>
              </w:rPr>
            </w:pPr>
          </w:p>
        </w:tc>
        <w:tc>
          <w:tcPr>
            <w:tcW w:w="823" w:type="dxa"/>
          </w:tcPr>
          <w:p w14:paraId="3848D602">
            <w:pPr>
              <w:rPr>
                <w:rFonts w:hint="eastAsia"/>
                <w:vertAlign w:val="baseline"/>
              </w:rPr>
            </w:pPr>
          </w:p>
        </w:tc>
        <w:tc>
          <w:tcPr>
            <w:tcW w:w="994" w:type="dxa"/>
          </w:tcPr>
          <w:p w14:paraId="7D7933E3">
            <w:pPr>
              <w:rPr>
                <w:rFonts w:hint="eastAsia"/>
                <w:vertAlign w:val="baseline"/>
              </w:rPr>
            </w:pPr>
          </w:p>
        </w:tc>
        <w:tc>
          <w:tcPr>
            <w:tcW w:w="693" w:type="dxa"/>
          </w:tcPr>
          <w:p w14:paraId="62B3A642">
            <w:pPr>
              <w:rPr>
                <w:rFonts w:hint="eastAsia"/>
                <w:vertAlign w:val="baseline"/>
              </w:rPr>
            </w:pPr>
          </w:p>
        </w:tc>
      </w:tr>
      <w:tr w14:paraId="42774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535" w:type="dxa"/>
          </w:tcPr>
          <w:p w14:paraId="765EA3B7">
            <w:pPr>
              <w:rPr>
                <w:rFonts w:hint="eastAsia"/>
                <w:vertAlign w:val="baseline"/>
              </w:rPr>
            </w:pPr>
          </w:p>
        </w:tc>
        <w:tc>
          <w:tcPr>
            <w:tcW w:w="705" w:type="dxa"/>
          </w:tcPr>
          <w:p w14:paraId="53C98B74">
            <w:pPr>
              <w:rPr>
                <w:rFonts w:hint="eastAsia"/>
                <w:vertAlign w:val="baseline"/>
              </w:rPr>
            </w:pPr>
          </w:p>
        </w:tc>
        <w:tc>
          <w:tcPr>
            <w:tcW w:w="515" w:type="dxa"/>
          </w:tcPr>
          <w:p w14:paraId="379D66A9">
            <w:pPr>
              <w:rPr>
                <w:rFonts w:hint="eastAsia"/>
                <w:vertAlign w:val="baseline"/>
              </w:rPr>
            </w:pPr>
          </w:p>
        </w:tc>
        <w:tc>
          <w:tcPr>
            <w:tcW w:w="554" w:type="dxa"/>
          </w:tcPr>
          <w:p w14:paraId="080E6171">
            <w:pPr>
              <w:rPr>
                <w:rFonts w:hint="eastAsia"/>
                <w:vertAlign w:val="baseline"/>
              </w:rPr>
            </w:pPr>
          </w:p>
        </w:tc>
        <w:tc>
          <w:tcPr>
            <w:tcW w:w="3226" w:type="dxa"/>
          </w:tcPr>
          <w:p w14:paraId="114BB9DA">
            <w:pPr>
              <w:rPr>
                <w:rFonts w:hint="eastAsia"/>
                <w:vertAlign w:val="baseline"/>
              </w:rPr>
            </w:pPr>
          </w:p>
        </w:tc>
        <w:tc>
          <w:tcPr>
            <w:tcW w:w="3120" w:type="dxa"/>
          </w:tcPr>
          <w:p w14:paraId="19FF88EA">
            <w:pPr>
              <w:rPr>
                <w:rFonts w:hint="eastAsia"/>
                <w:vertAlign w:val="baseline"/>
              </w:rPr>
            </w:pPr>
          </w:p>
        </w:tc>
        <w:tc>
          <w:tcPr>
            <w:tcW w:w="960" w:type="dxa"/>
          </w:tcPr>
          <w:p w14:paraId="409BC68F">
            <w:pPr>
              <w:rPr>
                <w:rFonts w:hint="eastAsia"/>
                <w:vertAlign w:val="baseline"/>
              </w:rPr>
            </w:pPr>
          </w:p>
        </w:tc>
        <w:tc>
          <w:tcPr>
            <w:tcW w:w="1149" w:type="dxa"/>
          </w:tcPr>
          <w:p w14:paraId="2D93F1BE">
            <w:pPr>
              <w:rPr>
                <w:rFonts w:hint="eastAsia"/>
                <w:vertAlign w:val="baseline"/>
              </w:rPr>
            </w:pPr>
          </w:p>
        </w:tc>
        <w:tc>
          <w:tcPr>
            <w:tcW w:w="846" w:type="dxa"/>
          </w:tcPr>
          <w:p w14:paraId="5089D400">
            <w:pPr>
              <w:rPr>
                <w:rFonts w:hint="eastAsia"/>
                <w:vertAlign w:val="baseline"/>
              </w:rPr>
            </w:pPr>
          </w:p>
        </w:tc>
        <w:tc>
          <w:tcPr>
            <w:tcW w:w="823" w:type="dxa"/>
          </w:tcPr>
          <w:p w14:paraId="513FCD5F">
            <w:pPr>
              <w:rPr>
                <w:rFonts w:hint="eastAsia"/>
                <w:vertAlign w:val="baseline"/>
              </w:rPr>
            </w:pPr>
          </w:p>
        </w:tc>
        <w:tc>
          <w:tcPr>
            <w:tcW w:w="994" w:type="dxa"/>
          </w:tcPr>
          <w:p w14:paraId="690AE365">
            <w:pPr>
              <w:rPr>
                <w:rFonts w:hint="eastAsia"/>
                <w:vertAlign w:val="baseline"/>
              </w:rPr>
            </w:pPr>
          </w:p>
        </w:tc>
        <w:tc>
          <w:tcPr>
            <w:tcW w:w="693" w:type="dxa"/>
          </w:tcPr>
          <w:p w14:paraId="6370A228">
            <w:pPr>
              <w:rPr>
                <w:rFonts w:hint="eastAsia"/>
                <w:vertAlign w:val="baseline"/>
              </w:rPr>
            </w:pPr>
          </w:p>
        </w:tc>
      </w:tr>
      <w:tr w14:paraId="6F16D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1755" w:type="dxa"/>
            <w:gridSpan w:val="3"/>
            <w:vAlign w:val="center"/>
          </w:tcPr>
          <w:p w14:paraId="5FC4C681">
            <w:pPr>
              <w:jc w:val="center"/>
              <w:rPr>
                <w:rFonts w:hint="eastAsia"/>
                <w:sz w:val="24"/>
                <w:szCs w:val="24"/>
                <w:vertAlign w:val="baseline"/>
              </w:rPr>
            </w:pPr>
            <w:r>
              <w:rPr>
                <w:b/>
                <w:bCs/>
                <w:spacing w:val="12"/>
                <w:sz w:val="24"/>
                <w:szCs w:val="24"/>
              </w:rPr>
              <w:t>投标总</w:t>
            </w:r>
            <w:r>
              <w:rPr>
                <w:b/>
                <w:bCs/>
                <w:spacing w:val="-3"/>
                <w:sz w:val="24"/>
                <w:szCs w:val="24"/>
              </w:rPr>
              <w:t>价</w:t>
            </w:r>
          </w:p>
        </w:tc>
        <w:tc>
          <w:tcPr>
            <w:tcW w:w="12365" w:type="dxa"/>
            <w:gridSpan w:val="9"/>
            <w:vAlign w:val="center"/>
          </w:tcPr>
          <w:p w14:paraId="03B4DDD5">
            <w:pPr>
              <w:jc w:val="both"/>
              <w:rPr>
                <w:rFonts w:hint="eastAsia"/>
                <w:sz w:val="24"/>
                <w:szCs w:val="24"/>
                <w:vertAlign w:val="baseline"/>
              </w:rPr>
            </w:pPr>
            <w:r>
              <w:rPr>
                <w:b/>
                <w:bCs/>
                <w:spacing w:val="-7"/>
                <w:sz w:val="24"/>
                <w:szCs w:val="24"/>
                <w:shd w:val="clear" w:fill="FFFFFE"/>
              </w:rPr>
              <w:t>人民币（大写</w:t>
            </w:r>
            <w:r>
              <w:rPr>
                <w:b/>
                <w:bCs/>
                <w:spacing w:val="-59"/>
                <w:sz w:val="24"/>
                <w:szCs w:val="24"/>
                <w:shd w:val="clear" w:fill="FFFFFE"/>
              </w:rPr>
              <w:t>）：</w:t>
            </w:r>
            <w:r>
              <w:rPr>
                <w:spacing w:val="2"/>
                <w:sz w:val="24"/>
                <w:szCs w:val="24"/>
                <w:shd w:val="clear" w:fill="FFFFFE"/>
              </w:rPr>
              <w:t xml:space="preserve">                      </w:t>
            </w:r>
            <w:r>
              <w:rPr>
                <w:rFonts w:hint="eastAsia" w:asciiTheme="minorHAnsi" w:eastAsiaTheme="minorEastAsia"/>
                <w:spacing w:val="2"/>
                <w:sz w:val="24"/>
                <w:szCs w:val="24"/>
                <w:shd w:val="clear" w:fill="FFFFFE"/>
                <w:lang w:val="en-US" w:eastAsia="zh-CN"/>
              </w:rPr>
              <w:t xml:space="preserve">             </w:t>
            </w:r>
            <w:r>
              <w:rPr>
                <w:spacing w:val="1"/>
                <w:sz w:val="24"/>
                <w:szCs w:val="24"/>
                <w:shd w:val="clear" w:fill="FFFFFE"/>
              </w:rPr>
              <w:t xml:space="preserve">    </w:t>
            </w:r>
            <w:r>
              <w:rPr>
                <w:b/>
                <w:bCs/>
                <w:spacing w:val="-7"/>
                <w:sz w:val="24"/>
                <w:szCs w:val="24"/>
                <w:shd w:val="clear" w:fill="FFFFFE"/>
              </w:rPr>
              <w:t>小写：</w:t>
            </w:r>
          </w:p>
        </w:tc>
      </w:tr>
    </w:tbl>
    <w:p w14:paraId="2F4E69A8">
      <w:pPr>
        <w:bidi w:val="0"/>
        <w:rPr>
          <w:rFonts w:hint="eastAsia"/>
          <w:sz w:val="24"/>
          <w:szCs w:val="24"/>
        </w:rPr>
      </w:pPr>
    </w:p>
    <w:p w14:paraId="6C3F9B05">
      <w:pPr>
        <w:rPr>
          <w:rFonts w:hint="eastAsia"/>
          <w:sz w:val="24"/>
          <w:szCs w:val="24"/>
        </w:rPr>
      </w:pPr>
    </w:p>
    <w:p w14:paraId="152313AB">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宋体" w:hAnsi="宋体" w:eastAsia="宋体" w:cs="宋体"/>
          <w:b w:val="0"/>
          <w:bCs w:val="0"/>
          <w:sz w:val="24"/>
          <w:szCs w:val="24"/>
          <w:highlight w:val="none"/>
          <w:lang w:val="en-US"/>
        </w:rPr>
      </w:pPr>
      <w:r>
        <w:rPr>
          <w:rFonts w:hint="eastAsia" w:ascii="宋体" w:hAnsi="宋体" w:eastAsia="宋体" w:cs="宋体"/>
          <w:b w:val="0"/>
          <w:bCs w:val="0"/>
          <w:sz w:val="24"/>
          <w:szCs w:val="24"/>
          <w:highlight w:val="none"/>
          <w:lang w:val="en-US" w:eastAsia="zh-CN"/>
        </w:rPr>
        <w:t>注：</w:t>
      </w:r>
      <w:r>
        <w:rPr>
          <w:rFonts w:hint="eastAsia" w:ascii="宋体" w:hAnsi="宋体" w:eastAsia="宋体" w:cs="宋体"/>
          <w:b w:val="0"/>
          <w:bCs w:val="0"/>
          <w:sz w:val="24"/>
          <w:szCs w:val="24"/>
          <w:highlight w:val="none"/>
        </w:rPr>
        <w:t>1</w:t>
      </w:r>
      <w:r>
        <w:rPr>
          <w:rFonts w:hint="eastAsia" w:ascii="宋体" w:hAnsi="宋体" w:eastAsia="宋体" w:cs="宋体"/>
          <w:b w:val="0"/>
          <w:bCs w:val="0"/>
          <w:sz w:val="24"/>
          <w:szCs w:val="24"/>
          <w:highlight w:val="none"/>
          <w:lang w:val="en-US" w:eastAsia="zh-CN"/>
        </w:rPr>
        <w:t>.</w:t>
      </w:r>
      <w:r>
        <w:rPr>
          <w:rFonts w:hint="eastAsia" w:ascii="宋体" w:hAnsi="宋体" w:eastAsia="宋体" w:cs="宋体"/>
          <w:b w:val="0"/>
          <w:bCs w:val="0"/>
          <w:sz w:val="24"/>
          <w:szCs w:val="24"/>
          <w:highlight w:val="none"/>
        </w:rPr>
        <w:t>投标人必须按“</w:t>
      </w:r>
      <w:r>
        <w:rPr>
          <w:rFonts w:hint="eastAsia" w:ascii="宋体" w:hAnsi="宋体" w:cs="宋体"/>
          <w:b w:val="0"/>
          <w:bCs w:val="0"/>
          <w:sz w:val="24"/>
          <w:szCs w:val="24"/>
          <w:highlight w:val="none"/>
          <w:lang w:eastAsia="zh-CN"/>
        </w:rPr>
        <w:t>投标报价明细表</w:t>
      </w:r>
      <w:r>
        <w:rPr>
          <w:rFonts w:hint="eastAsia" w:ascii="宋体" w:hAnsi="宋体" w:eastAsia="宋体" w:cs="宋体"/>
          <w:b w:val="0"/>
          <w:bCs w:val="0"/>
          <w:sz w:val="24"/>
          <w:szCs w:val="24"/>
          <w:highlight w:val="none"/>
        </w:rPr>
        <w:t>”的格式详细报出投标总价的各个组成部分的报价，</w:t>
      </w:r>
      <w:r>
        <w:rPr>
          <w:rFonts w:hint="eastAsia" w:ascii="宋体" w:hAnsi="宋体" w:cs="宋体"/>
          <w:b w:val="0"/>
          <w:bCs w:val="0"/>
          <w:sz w:val="24"/>
          <w:szCs w:val="24"/>
          <w:highlight w:val="none"/>
          <w:lang w:val="en-US" w:eastAsia="zh-CN"/>
        </w:rPr>
        <w:t>与完成本项有关的各种费用均应包含在总报价中，数量单位必须写明。</w:t>
      </w:r>
    </w:p>
    <w:p w14:paraId="2771F7C0">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left"/>
        <w:textAlignment w:val="auto"/>
        <w:rPr>
          <w:rFonts w:hint="eastAsia" w:ascii="宋体" w:hAnsi="宋体" w:cs="宋体"/>
          <w:b w:val="0"/>
          <w:bCs w:val="0"/>
          <w:sz w:val="24"/>
          <w:szCs w:val="24"/>
          <w:highlight w:val="none"/>
          <w:lang w:eastAsia="zh-CN"/>
        </w:rPr>
      </w:pPr>
      <w:r>
        <w:rPr>
          <w:rFonts w:hint="eastAsia" w:ascii="宋体" w:hAnsi="宋体" w:cs="宋体"/>
          <w:b w:val="0"/>
          <w:bCs w:val="0"/>
          <w:sz w:val="24"/>
          <w:szCs w:val="24"/>
          <w:highlight w:val="none"/>
          <w:lang w:val="en-US" w:eastAsia="zh-CN"/>
        </w:rPr>
        <w:t>2.</w:t>
      </w:r>
      <w:r>
        <w:rPr>
          <w:rFonts w:hint="eastAsia" w:ascii="宋体" w:hAnsi="宋体" w:cs="宋体"/>
          <w:b w:val="0"/>
          <w:bCs w:val="0"/>
          <w:sz w:val="24"/>
          <w:szCs w:val="24"/>
          <w:highlight w:val="none"/>
          <w:lang w:eastAsia="zh-CN"/>
        </w:rPr>
        <w:t>“投标报价明细表”各分项报价合计应当与“</w:t>
      </w:r>
      <w:r>
        <w:rPr>
          <w:rFonts w:hint="eastAsia" w:ascii="宋体" w:hAnsi="宋体" w:cs="宋体"/>
          <w:b w:val="0"/>
          <w:bCs w:val="0"/>
          <w:sz w:val="24"/>
          <w:szCs w:val="24"/>
          <w:highlight w:val="none"/>
          <w:lang w:val="en-US" w:eastAsia="zh-CN"/>
        </w:rPr>
        <w:t>开标一览表</w:t>
      </w:r>
      <w:r>
        <w:rPr>
          <w:rFonts w:hint="eastAsia" w:ascii="宋体" w:hAnsi="宋体" w:cs="宋体"/>
          <w:b w:val="0"/>
          <w:bCs w:val="0"/>
          <w:sz w:val="24"/>
          <w:szCs w:val="24"/>
          <w:highlight w:val="none"/>
          <w:lang w:eastAsia="zh-CN"/>
        </w:rPr>
        <w:t>”投标总报价相等。</w:t>
      </w:r>
    </w:p>
    <w:p w14:paraId="276444D3">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left"/>
        <w:textAlignment w:val="auto"/>
        <w:rPr>
          <w:rFonts w:hint="eastAsia" w:ascii="宋体" w:hAnsi="宋体" w:cs="宋体"/>
          <w:b w:val="0"/>
          <w:bCs w:val="0"/>
          <w:sz w:val="24"/>
          <w:szCs w:val="24"/>
          <w:highlight w:val="none"/>
          <w:lang w:eastAsia="zh-CN"/>
        </w:rPr>
      </w:pPr>
      <w:r>
        <w:rPr>
          <w:rFonts w:hint="eastAsia" w:ascii="宋体" w:hAnsi="宋体" w:cs="宋体"/>
          <w:b w:val="0"/>
          <w:bCs w:val="0"/>
          <w:kern w:val="2"/>
          <w:sz w:val="24"/>
          <w:szCs w:val="24"/>
          <w:lang w:val="en-US" w:eastAsia="zh-CN" w:bidi="ar-SA"/>
        </w:rPr>
        <w:t>3.</w:t>
      </w:r>
      <w:r>
        <w:rPr>
          <w:rFonts w:hint="eastAsia" w:ascii="宋体" w:hAnsi="宋体" w:cs="宋体"/>
          <w:b w:val="0"/>
          <w:bCs w:val="0"/>
          <w:sz w:val="24"/>
          <w:szCs w:val="24"/>
          <w:highlight w:val="none"/>
          <w:lang w:val="en-US" w:eastAsia="zh-CN"/>
        </w:rPr>
        <w:t xml:space="preserve">所有投标货物均应标明品牌型号、详细功能配置、主要技术参数、功能配置及技术指标偏离情况、原产地及制造厂商等，凡未按要求填写的，均按无效投标处理。 </w:t>
      </w:r>
    </w:p>
    <w:p w14:paraId="7DECDC23">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val="0"/>
          <w:sz w:val="24"/>
          <w:szCs w:val="24"/>
          <w:highlight w:val="none"/>
          <w:lang w:eastAsia="zh-CN"/>
        </w:rPr>
      </w:pPr>
      <w:r>
        <w:rPr>
          <w:rFonts w:hint="eastAsia" w:ascii="宋体" w:hAnsi="宋体" w:eastAsia="宋体" w:cs="宋体"/>
          <w:b w:val="0"/>
          <w:bCs w:val="0"/>
          <w:sz w:val="24"/>
          <w:szCs w:val="24"/>
          <w:highlight w:val="none"/>
          <w:lang w:val="en-US" w:eastAsia="zh-CN"/>
        </w:rPr>
        <w:t>4.</w:t>
      </w:r>
      <w:r>
        <w:rPr>
          <w:rFonts w:hint="eastAsia" w:ascii="宋体" w:hAnsi="宋体" w:eastAsia="宋体" w:cs="宋体"/>
          <w:b w:val="0"/>
          <w:bCs w:val="0"/>
          <w:sz w:val="24"/>
          <w:szCs w:val="24"/>
          <w:highlight w:val="none"/>
        </w:rPr>
        <w:t>投标人必须按此表格式中的对应栏目内容填写，若需增加栏目，请在栏目“</w:t>
      </w:r>
      <w:r>
        <w:rPr>
          <w:rFonts w:hint="eastAsia" w:ascii="宋体" w:hAnsi="宋体" w:eastAsia="宋体" w:cs="宋体"/>
          <w:b w:val="0"/>
          <w:bCs w:val="0"/>
          <w:sz w:val="24"/>
          <w:szCs w:val="24"/>
          <w:highlight w:val="none"/>
          <w:lang w:eastAsia="zh-CN"/>
        </w:rPr>
        <w:t>备注</w:t>
      </w:r>
      <w:r>
        <w:rPr>
          <w:rFonts w:hint="eastAsia" w:ascii="宋体" w:hAnsi="宋体" w:eastAsia="宋体" w:cs="宋体"/>
          <w:b w:val="0"/>
          <w:bCs w:val="0"/>
          <w:sz w:val="24"/>
          <w:szCs w:val="24"/>
          <w:highlight w:val="none"/>
        </w:rPr>
        <w:t>”中填写，并</w:t>
      </w:r>
      <w:r>
        <w:rPr>
          <w:rFonts w:hint="eastAsia" w:ascii="宋体" w:hAnsi="宋体" w:eastAsia="宋体" w:cs="宋体"/>
          <w:b w:val="0"/>
          <w:bCs w:val="0"/>
          <w:sz w:val="24"/>
          <w:szCs w:val="24"/>
          <w:highlight w:val="none"/>
          <w:lang w:eastAsia="zh-CN"/>
        </w:rPr>
        <w:t>做</w:t>
      </w:r>
      <w:r>
        <w:rPr>
          <w:rFonts w:hint="eastAsia" w:ascii="宋体" w:hAnsi="宋体" w:eastAsia="宋体" w:cs="宋体"/>
          <w:b w:val="0"/>
          <w:bCs w:val="0"/>
          <w:sz w:val="24"/>
          <w:szCs w:val="24"/>
          <w:highlight w:val="none"/>
        </w:rPr>
        <w:t>详细说明</w:t>
      </w:r>
      <w:r>
        <w:rPr>
          <w:rFonts w:hint="eastAsia" w:ascii="宋体" w:hAnsi="宋体" w:eastAsia="宋体" w:cs="宋体"/>
          <w:b w:val="0"/>
          <w:bCs w:val="0"/>
          <w:sz w:val="24"/>
          <w:szCs w:val="24"/>
          <w:highlight w:val="none"/>
          <w:lang w:eastAsia="zh-CN"/>
        </w:rPr>
        <w:t>。</w:t>
      </w:r>
    </w:p>
    <w:p w14:paraId="02A0C368">
      <w:pPr>
        <w:pStyle w:val="19"/>
        <w:rPr>
          <w:rFonts w:hint="eastAsia"/>
          <w:lang w:val="en-US" w:eastAsia="zh-CN"/>
        </w:rPr>
      </w:pPr>
    </w:p>
    <w:p w14:paraId="7BCD7B3F">
      <w:pPr>
        <w:spacing w:line="500" w:lineRule="exact"/>
        <w:ind w:firstLine="5880" w:firstLineChars="2100"/>
        <w:jc w:val="right"/>
        <w:rPr>
          <w:rFonts w:hint="eastAsia" w:ascii="宋体" w:hAnsi="宋体" w:eastAsia="宋体" w:cs="Times New Roman"/>
          <w:sz w:val="28"/>
          <w:szCs w:val="28"/>
          <w:highlight w:val="none"/>
        </w:rPr>
      </w:pPr>
      <w:r>
        <w:rPr>
          <w:rFonts w:hint="eastAsia" w:ascii="宋体" w:hAnsi="宋体" w:eastAsia="宋体" w:cs="Times New Roman"/>
          <w:sz w:val="28"/>
          <w:szCs w:val="28"/>
          <w:highlight w:val="none"/>
        </w:rPr>
        <w:t>投标人名称（加盖投标人公章）：</w:t>
      </w:r>
    </w:p>
    <w:p w14:paraId="6866713E">
      <w:pPr>
        <w:spacing w:line="500" w:lineRule="exact"/>
        <w:ind w:firstLine="5880" w:firstLineChars="2100"/>
        <w:jc w:val="right"/>
        <w:rPr>
          <w:rFonts w:hint="eastAsia" w:ascii="宋体" w:hAnsi="宋体" w:eastAsia="宋体" w:cs="Times New Roman"/>
          <w:sz w:val="28"/>
          <w:szCs w:val="28"/>
          <w:highlight w:val="none"/>
        </w:rPr>
      </w:pPr>
      <w:r>
        <w:rPr>
          <w:rFonts w:hint="eastAsia" w:ascii="宋体" w:hAnsi="宋体" w:eastAsia="宋体" w:cs="Times New Roman"/>
          <w:sz w:val="28"/>
          <w:szCs w:val="28"/>
          <w:highlight w:val="none"/>
        </w:rPr>
        <w:t>法定代表人或授权代理人（盖章或签字）：</w:t>
      </w:r>
    </w:p>
    <w:p w14:paraId="7B070DE6">
      <w:pPr>
        <w:spacing w:line="500" w:lineRule="exact"/>
        <w:ind w:firstLine="5880" w:firstLineChars="2100"/>
        <w:jc w:val="right"/>
        <w:rPr>
          <w:rFonts w:hint="eastAsia" w:ascii="宋体" w:hAnsi="宋体" w:eastAsia="宋体" w:cs="Times New Roman"/>
          <w:sz w:val="28"/>
          <w:szCs w:val="28"/>
          <w:highlight w:val="none"/>
        </w:rPr>
      </w:pPr>
      <w:r>
        <w:rPr>
          <w:rFonts w:hint="eastAsia" w:ascii="宋体" w:hAnsi="宋体" w:eastAsia="宋体" w:cs="Times New Roman"/>
          <w:sz w:val="28"/>
          <w:szCs w:val="28"/>
          <w:highlight w:val="none"/>
        </w:rPr>
        <w:t>日期：          年     月   日</w:t>
      </w:r>
    </w:p>
    <w:p w14:paraId="753B05D4">
      <w:pPr>
        <w:spacing w:line="500" w:lineRule="exact"/>
        <w:ind w:firstLine="4410" w:firstLineChars="2100"/>
        <w:jc w:val="right"/>
        <w:rPr>
          <w:rFonts w:ascii="宋体" w:hAnsi="宋体"/>
          <w:szCs w:val="21"/>
          <w:highlight w:val="none"/>
          <w:u w:val="single"/>
        </w:rPr>
        <w:sectPr>
          <w:pgSz w:w="16838" w:h="11906" w:orient="landscape"/>
          <w:pgMar w:top="1440" w:right="1080" w:bottom="1440" w:left="1080" w:header="851" w:footer="567" w:gutter="0"/>
          <w:pgBorders>
            <w:top w:val="none" w:sz="0" w:space="0"/>
            <w:left w:val="none" w:sz="0" w:space="0"/>
            <w:bottom w:val="none" w:sz="0" w:space="0"/>
            <w:right w:val="none" w:sz="0" w:space="0"/>
          </w:pgBorders>
          <w:pgNumType w:fmt="decimal"/>
          <w:cols w:space="720" w:num="1"/>
          <w:docGrid w:linePitch="312" w:charSpace="0"/>
        </w:sectPr>
      </w:pPr>
    </w:p>
    <w:p w14:paraId="055056A9">
      <w:pPr>
        <w:pageBreakBefore w:val="0"/>
        <w:kinsoku/>
        <w:overflowPunct/>
        <w:topLinePunct w:val="0"/>
        <w:bidi w:val="0"/>
        <w:spacing w:line="360" w:lineRule="auto"/>
        <w:jc w:val="center"/>
        <w:textAlignment w:val="auto"/>
        <w:rPr>
          <w:rFonts w:hint="eastAsia" w:ascii="Arial" w:hAnsi="Arial" w:eastAsia="黑体" w:cstheme="minorBidi"/>
          <w:b/>
          <w:kern w:val="2"/>
          <w:sz w:val="32"/>
          <w:szCs w:val="24"/>
          <w:lang w:val="en-US" w:eastAsia="zh-CN" w:bidi="ar-SA"/>
        </w:rPr>
      </w:pPr>
      <w:r>
        <w:rPr>
          <w:rFonts w:hint="eastAsia" w:ascii="Arial" w:hAnsi="Arial" w:eastAsia="黑体" w:cstheme="minorBidi"/>
          <w:b/>
          <w:kern w:val="2"/>
          <w:sz w:val="32"/>
          <w:szCs w:val="24"/>
          <w:lang w:val="en-US" w:eastAsia="zh-CN" w:bidi="ar-SA"/>
        </w:rPr>
        <w:t>七、类似项目业绩一览表</w:t>
      </w:r>
    </w:p>
    <w:p w14:paraId="6D625CAE">
      <w:pPr>
        <w:pageBreakBefore w:val="0"/>
        <w:kinsoku/>
        <w:overflowPunct/>
        <w:topLinePunct w:val="0"/>
        <w:autoSpaceDE w:val="0"/>
        <w:autoSpaceDN w:val="0"/>
        <w:bidi w:val="0"/>
        <w:adjustRightInd w:val="0"/>
        <w:spacing w:before="156" w:beforeLines="50" w:after="156" w:afterLines="50" w:line="360" w:lineRule="auto"/>
        <w:jc w:val="center"/>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（如有</w:t>
      </w:r>
      <w:r>
        <w:rPr>
          <w:rFonts w:hint="eastAsia" w:ascii="宋体" w:hAnsi="宋体" w:eastAsia="宋体" w:cs="宋体"/>
          <w:color w:val="auto"/>
          <w:kern w:val="0"/>
          <w:sz w:val="24"/>
          <w:lang w:eastAsia="zh-CN"/>
        </w:rPr>
        <w:t>，</w:t>
      </w:r>
      <w:r>
        <w:rPr>
          <w:rFonts w:hint="eastAsia" w:ascii="宋体" w:hAnsi="宋体" w:eastAsia="宋体" w:cs="宋体"/>
          <w:color w:val="auto"/>
          <w:kern w:val="0"/>
          <w:sz w:val="24"/>
          <w:lang w:val="en-US" w:eastAsia="zh-CN"/>
        </w:rPr>
        <w:t>需</w:t>
      </w:r>
      <w:r>
        <w:rPr>
          <w:rFonts w:hint="eastAsia" w:ascii="宋体" w:hAnsi="宋体" w:eastAsia="宋体" w:cs="宋体"/>
          <w:color w:val="auto"/>
          <w:kern w:val="0"/>
          <w:sz w:val="24"/>
        </w:rPr>
        <w:t>提供）</w:t>
      </w:r>
    </w:p>
    <w:p w14:paraId="54EA8BCC">
      <w:pPr>
        <w:pageBreakBefore w:val="0"/>
        <w:kinsoku/>
        <w:overflowPunct/>
        <w:topLinePunct w:val="0"/>
        <w:autoSpaceDE w:val="0"/>
        <w:autoSpaceDN w:val="0"/>
        <w:bidi w:val="0"/>
        <w:adjustRightInd w:val="0"/>
        <w:spacing w:before="156" w:beforeLines="50" w:after="156" w:afterLines="50" w:line="360" w:lineRule="auto"/>
        <w:textAlignment w:val="auto"/>
        <w:rPr>
          <w:rFonts w:hint="eastAsia" w:ascii="宋体" w:hAnsi="宋体" w:eastAsia="宋体" w:cs="宋体"/>
          <w:color w:val="auto"/>
          <w:kern w:val="0"/>
          <w:szCs w:val="21"/>
        </w:rPr>
      </w:pPr>
      <w:r>
        <w:rPr>
          <w:rFonts w:hint="eastAsia" w:ascii="宋体" w:hAnsi="宋体" w:eastAsia="宋体" w:cs="宋体"/>
          <w:color w:val="auto"/>
          <w:kern w:val="0"/>
          <w:szCs w:val="21"/>
        </w:rPr>
        <w:t xml:space="preserve">    </w:t>
      </w:r>
    </w:p>
    <w:tbl>
      <w:tblPr>
        <w:tblStyle w:val="20"/>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44"/>
        <w:gridCol w:w="1344"/>
        <w:gridCol w:w="2039"/>
        <w:gridCol w:w="878"/>
        <w:gridCol w:w="1370"/>
        <w:gridCol w:w="2190"/>
        <w:gridCol w:w="1011"/>
      </w:tblGrid>
      <w:tr w14:paraId="330403C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844" w:type="dxa"/>
            <w:noWrap w:val="0"/>
            <w:vAlign w:val="center"/>
          </w:tcPr>
          <w:p w14:paraId="350FE62A">
            <w:pPr>
              <w:pageBreakBefore w:val="0"/>
              <w:kinsoku/>
              <w:overflowPunct/>
              <w:topLinePunct w:val="0"/>
              <w:autoSpaceDE w:val="0"/>
              <w:autoSpaceDN w:val="0"/>
              <w:bidi w:val="0"/>
              <w:adjustRightInd w:val="0"/>
              <w:spacing w:line="360" w:lineRule="auto"/>
              <w:jc w:val="center"/>
              <w:textAlignment w:val="auto"/>
              <w:rPr>
                <w:rFonts w:hint="eastAsia" w:ascii="宋体" w:hAnsi="宋体" w:eastAsia="宋体" w:cs="宋体"/>
                <w:color w:val="auto"/>
                <w:sz w:val="21"/>
                <w:szCs w:val="21"/>
                <w:lang w:val="zh-CN"/>
              </w:rPr>
            </w:pPr>
            <w:r>
              <w:rPr>
                <w:rFonts w:hint="eastAsia" w:ascii="宋体" w:hAnsi="宋体" w:eastAsia="宋体" w:cs="宋体"/>
                <w:color w:val="auto"/>
                <w:sz w:val="21"/>
                <w:szCs w:val="21"/>
                <w:lang w:val="zh-CN"/>
              </w:rPr>
              <w:t>序号</w:t>
            </w:r>
          </w:p>
        </w:tc>
        <w:tc>
          <w:tcPr>
            <w:tcW w:w="1344" w:type="dxa"/>
            <w:noWrap w:val="0"/>
            <w:vAlign w:val="center"/>
          </w:tcPr>
          <w:p w14:paraId="59019CC3">
            <w:pPr>
              <w:pageBreakBefore w:val="0"/>
              <w:kinsoku/>
              <w:overflowPunct/>
              <w:topLinePunct w:val="0"/>
              <w:autoSpaceDE w:val="0"/>
              <w:autoSpaceDN w:val="0"/>
              <w:bidi w:val="0"/>
              <w:adjustRightInd w:val="0"/>
              <w:spacing w:line="360" w:lineRule="auto"/>
              <w:jc w:val="center"/>
              <w:textAlignment w:val="auto"/>
              <w:rPr>
                <w:rFonts w:hint="eastAsia" w:ascii="宋体" w:hAnsi="宋体" w:eastAsia="宋体" w:cs="宋体"/>
                <w:color w:val="auto"/>
                <w:sz w:val="21"/>
                <w:szCs w:val="21"/>
                <w:lang w:val="zh-CN"/>
              </w:rPr>
            </w:pPr>
            <w:r>
              <w:rPr>
                <w:rFonts w:hint="eastAsia" w:ascii="宋体" w:hAnsi="宋体" w:eastAsia="宋体" w:cs="宋体"/>
                <w:color w:val="auto"/>
                <w:sz w:val="21"/>
                <w:szCs w:val="21"/>
                <w:lang w:val="zh-CN"/>
              </w:rPr>
              <w:t>项目单位</w:t>
            </w:r>
          </w:p>
        </w:tc>
        <w:tc>
          <w:tcPr>
            <w:tcW w:w="2039" w:type="dxa"/>
            <w:noWrap w:val="0"/>
            <w:vAlign w:val="center"/>
          </w:tcPr>
          <w:p w14:paraId="23F9016A">
            <w:pPr>
              <w:pageBreakBefore w:val="0"/>
              <w:kinsoku/>
              <w:overflowPunct/>
              <w:topLinePunct w:val="0"/>
              <w:autoSpaceDE w:val="0"/>
              <w:autoSpaceDN w:val="0"/>
              <w:bidi w:val="0"/>
              <w:adjustRightInd w:val="0"/>
              <w:spacing w:line="360" w:lineRule="auto"/>
              <w:jc w:val="center"/>
              <w:textAlignment w:val="auto"/>
              <w:rPr>
                <w:rFonts w:hint="eastAsia" w:ascii="宋体" w:hAnsi="宋体" w:eastAsia="宋体" w:cs="宋体"/>
                <w:color w:val="auto"/>
                <w:sz w:val="21"/>
                <w:szCs w:val="21"/>
                <w:lang w:val="zh-CN"/>
              </w:rPr>
            </w:pPr>
            <w:r>
              <w:rPr>
                <w:rFonts w:hint="eastAsia" w:ascii="宋体" w:hAnsi="宋体" w:eastAsia="宋体" w:cs="宋体"/>
                <w:color w:val="auto"/>
                <w:sz w:val="21"/>
                <w:szCs w:val="21"/>
                <w:lang w:val="zh-CN"/>
              </w:rPr>
              <w:t>项目名称</w:t>
            </w:r>
          </w:p>
        </w:tc>
        <w:tc>
          <w:tcPr>
            <w:tcW w:w="878" w:type="dxa"/>
            <w:noWrap w:val="0"/>
            <w:vAlign w:val="center"/>
          </w:tcPr>
          <w:p w14:paraId="1E04F5BC">
            <w:pPr>
              <w:pageBreakBefore w:val="0"/>
              <w:kinsoku/>
              <w:overflowPunct/>
              <w:topLinePunct w:val="0"/>
              <w:autoSpaceDE w:val="0"/>
              <w:autoSpaceDN w:val="0"/>
              <w:bidi w:val="0"/>
              <w:adjustRightInd w:val="0"/>
              <w:spacing w:line="360" w:lineRule="auto"/>
              <w:jc w:val="center"/>
              <w:textAlignment w:val="auto"/>
              <w:rPr>
                <w:rFonts w:hint="eastAsia" w:ascii="宋体" w:hAnsi="宋体" w:eastAsia="宋体" w:cs="宋体"/>
                <w:color w:val="auto"/>
                <w:sz w:val="21"/>
                <w:szCs w:val="21"/>
                <w:lang w:val="zh-CN"/>
              </w:rPr>
            </w:pPr>
            <w:r>
              <w:rPr>
                <w:rFonts w:hint="eastAsia" w:ascii="宋体" w:hAnsi="宋体" w:eastAsia="宋体" w:cs="宋体"/>
                <w:color w:val="auto"/>
                <w:sz w:val="21"/>
                <w:szCs w:val="21"/>
                <w:lang w:val="zh-CN"/>
              </w:rPr>
              <w:t>合同总价</w:t>
            </w:r>
          </w:p>
        </w:tc>
        <w:tc>
          <w:tcPr>
            <w:tcW w:w="1370" w:type="dxa"/>
            <w:noWrap w:val="0"/>
            <w:vAlign w:val="center"/>
          </w:tcPr>
          <w:p w14:paraId="73F032CB">
            <w:pPr>
              <w:pageBreakBefore w:val="0"/>
              <w:kinsoku/>
              <w:overflowPunct/>
              <w:topLinePunct w:val="0"/>
              <w:autoSpaceDE w:val="0"/>
              <w:autoSpaceDN w:val="0"/>
              <w:bidi w:val="0"/>
              <w:adjustRightInd w:val="0"/>
              <w:spacing w:line="360" w:lineRule="auto"/>
              <w:jc w:val="center"/>
              <w:textAlignment w:val="auto"/>
              <w:rPr>
                <w:rFonts w:hint="eastAsia" w:ascii="宋体" w:hAnsi="宋体" w:eastAsia="宋体" w:cs="宋体"/>
                <w:color w:val="auto"/>
                <w:sz w:val="21"/>
                <w:szCs w:val="21"/>
                <w:lang w:val="zh-CN"/>
              </w:rPr>
            </w:pPr>
            <w:r>
              <w:rPr>
                <w:rFonts w:hint="eastAsia" w:ascii="宋体" w:hAnsi="宋体" w:eastAsia="宋体" w:cs="宋体"/>
                <w:color w:val="auto"/>
                <w:sz w:val="21"/>
                <w:szCs w:val="21"/>
                <w:lang w:val="zh-CN"/>
              </w:rPr>
              <w:t>项目起止时间</w:t>
            </w:r>
          </w:p>
        </w:tc>
        <w:tc>
          <w:tcPr>
            <w:tcW w:w="2190" w:type="dxa"/>
            <w:noWrap w:val="0"/>
            <w:vAlign w:val="center"/>
          </w:tcPr>
          <w:p w14:paraId="56F507D7">
            <w:pPr>
              <w:pageBreakBefore w:val="0"/>
              <w:kinsoku/>
              <w:overflowPunct/>
              <w:topLinePunct w:val="0"/>
              <w:autoSpaceDE w:val="0"/>
              <w:autoSpaceDN w:val="0"/>
              <w:bidi w:val="0"/>
              <w:adjustRightInd w:val="0"/>
              <w:spacing w:line="36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zh-CN"/>
              </w:rPr>
              <w:t>项目单位</w:t>
            </w:r>
            <w:r>
              <w:rPr>
                <w:rFonts w:hint="eastAsia" w:ascii="宋体" w:hAnsi="宋体" w:eastAsia="宋体" w:cs="宋体"/>
                <w:color w:val="auto"/>
                <w:sz w:val="21"/>
                <w:szCs w:val="21"/>
              </w:rPr>
              <w:t xml:space="preserve">      </w:t>
            </w:r>
          </w:p>
          <w:p w14:paraId="7764F96B">
            <w:pPr>
              <w:pageBreakBefore w:val="0"/>
              <w:kinsoku/>
              <w:overflowPunct/>
              <w:topLinePunct w:val="0"/>
              <w:autoSpaceDE w:val="0"/>
              <w:autoSpaceDN w:val="0"/>
              <w:bidi w:val="0"/>
              <w:adjustRightInd w:val="0"/>
              <w:spacing w:line="360" w:lineRule="auto"/>
              <w:jc w:val="center"/>
              <w:textAlignment w:val="auto"/>
              <w:rPr>
                <w:rFonts w:hint="eastAsia" w:ascii="宋体" w:hAnsi="宋体" w:eastAsia="宋体" w:cs="宋体"/>
                <w:color w:val="auto"/>
                <w:sz w:val="21"/>
                <w:szCs w:val="21"/>
                <w:lang w:val="zh-CN"/>
              </w:rPr>
            </w:pPr>
            <w:r>
              <w:rPr>
                <w:rFonts w:hint="eastAsia" w:ascii="宋体" w:hAnsi="宋体" w:eastAsia="宋体" w:cs="宋体"/>
                <w:color w:val="auto"/>
                <w:sz w:val="21"/>
                <w:szCs w:val="21"/>
                <w:lang w:val="zh-CN"/>
              </w:rPr>
              <w:t>联系人电话</w:t>
            </w:r>
          </w:p>
        </w:tc>
        <w:tc>
          <w:tcPr>
            <w:tcW w:w="1011" w:type="dxa"/>
            <w:noWrap w:val="0"/>
            <w:vAlign w:val="center"/>
          </w:tcPr>
          <w:p w14:paraId="1B136544">
            <w:pPr>
              <w:pageBreakBefore w:val="0"/>
              <w:kinsoku/>
              <w:overflowPunct/>
              <w:topLinePunct w:val="0"/>
              <w:autoSpaceDE w:val="0"/>
              <w:autoSpaceDN w:val="0"/>
              <w:bidi w:val="0"/>
              <w:adjustRightInd w:val="0"/>
              <w:spacing w:line="360" w:lineRule="auto"/>
              <w:jc w:val="center"/>
              <w:textAlignment w:val="auto"/>
              <w:rPr>
                <w:rFonts w:hint="eastAsia" w:ascii="宋体" w:hAnsi="宋体" w:eastAsia="宋体" w:cs="宋体"/>
                <w:color w:val="auto"/>
                <w:sz w:val="21"/>
                <w:szCs w:val="21"/>
                <w:lang w:val="zh-CN"/>
              </w:rPr>
            </w:pPr>
            <w:r>
              <w:rPr>
                <w:rFonts w:hint="eastAsia" w:ascii="宋体" w:hAnsi="宋体" w:eastAsia="宋体" w:cs="宋体"/>
                <w:color w:val="auto"/>
                <w:sz w:val="21"/>
                <w:szCs w:val="21"/>
                <w:lang w:val="zh-CN"/>
              </w:rPr>
              <w:t>备注</w:t>
            </w:r>
          </w:p>
        </w:tc>
      </w:tr>
      <w:tr w14:paraId="7A1123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844" w:type="dxa"/>
            <w:noWrap w:val="0"/>
            <w:vAlign w:val="center"/>
          </w:tcPr>
          <w:p w14:paraId="35B62BC2">
            <w:pPr>
              <w:pStyle w:val="43"/>
              <w:pageBreakBefore w:val="0"/>
              <w:kinsoku/>
              <w:overflowPunct/>
              <w:topLinePunct w:val="0"/>
              <w:bidi w:val="0"/>
              <w:spacing w:line="36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w:t>
            </w:r>
          </w:p>
        </w:tc>
        <w:tc>
          <w:tcPr>
            <w:tcW w:w="1344" w:type="dxa"/>
            <w:noWrap w:val="0"/>
            <w:vAlign w:val="center"/>
          </w:tcPr>
          <w:p w14:paraId="071B2888">
            <w:pPr>
              <w:pStyle w:val="43"/>
              <w:pageBreakBefore w:val="0"/>
              <w:kinsoku/>
              <w:overflowPunct/>
              <w:topLinePunct w:val="0"/>
              <w:bidi w:val="0"/>
              <w:spacing w:line="360" w:lineRule="auto"/>
              <w:jc w:val="center"/>
              <w:textAlignment w:val="auto"/>
              <w:rPr>
                <w:rFonts w:hint="eastAsia" w:ascii="宋体" w:hAnsi="宋体" w:eastAsia="宋体" w:cs="宋体"/>
                <w:color w:val="auto"/>
                <w:sz w:val="21"/>
                <w:szCs w:val="21"/>
              </w:rPr>
            </w:pPr>
          </w:p>
        </w:tc>
        <w:tc>
          <w:tcPr>
            <w:tcW w:w="2039" w:type="dxa"/>
            <w:noWrap w:val="0"/>
            <w:vAlign w:val="top"/>
          </w:tcPr>
          <w:p w14:paraId="0BE381D3">
            <w:pPr>
              <w:pStyle w:val="43"/>
              <w:pageBreakBefore w:val="0"/>
              <w:kinsoku/>
              <w:overflowPunct/>
              <w:topLinePunct w:val="0"/>
              <w:bidi w:val="0"/>
              <w:spacing w:line="360" w:lineRule="auto"/>
              <w:textAlignment w:val="auto"/>
              <w:rPr>
                <w:rFonts w:hint="eastAsia" w:ascii="宋体" w:hAnsi="宋体" w:eastAsia="宋体" w:cs="宋体"/>
                <w:color w:val="auto"/>
                <w:sz w:val="21"/>
                <w:szCs w:val="21"/>
              </w:rPr>
            </w:pPr>
          </w:p>
        </w:tc>
        <w:tc>
          <w:tcPr>
            <w:tcW w:w="878" w:type="dxa"/>
            <w:noWrap w:val="0"/>
            <w:vAlign w:val="top"/>
          </w:tcPr>
          <w:p w14:paraId="205DC563">
            <w:pPr>
              <w:pStyle w:val="43"/>
              <w:pageBreakBefore w:val="0"/>
              <w:kinsoku/>
              <w:overflowPunct/>
              <w:topLinePunct w:val="0"/>
              <w:bidi w:val="0"/>
              <w:spacing w:line="360" w:lineRule="auto"/>
              <w:textAlignment w:val="auto"/>
              <w:rPr>
                <w:rFonts w:hint="eastAsia" w:ascii="宋体" w:hAnsi="宋体" w:eastAsia="宋体" w:cs="宋体"/>
                <w:color w:val="auto"/>
                <w:sz w:val="21"/>
                <w:szCs w:val="21"/>
              </w:rPr>
            </w:pPr>
          </w:p>
        </w:tc>
        <w:tc>
          <w:tcPr>
            <w:tcW w:w="1370" w:type="dxa"/>
            <w:noWrap w:val="0"/>
            <w:vAlign w:val="top"/>
          </w:tcPr>
          <w:p w14:paraId="294CA198">
            <w:pPr>
              <w:pStyle w:val="43"/>
              <w:pageBreakBefore w:val="0"/>
              <w:kinsoku/>
              <w:overflowPunct/>
              <w:topLinePunct w:val="0"/>
              <w:bidi w:val="0"/>
              <w:spacing w:line="360" w:lineRule="auto"/>
              <w:textAlignment w:val="auto"/>
              <w:rPr>
                <w:rFonts w:hint="eastAsia" w:ascii="宋体" w:hAnsi="宋体" w:eastAsia="宋体" w:cs="宋体"/>
                <w:color w:val="auto"/>
                <w:sz w:val="21"/>
                <w:szCs w:val="21"/>
              </w:rPr>
            </w:pPr>
          </w:p>
        </w:tc>
        <w:tc>
          <w:tcPr>
            <w:tcW w:w="2190" w:type="dxa"/>
            <w:noWrap w:val="0"/>
            <w:vAlign w:val="top"/>
          </w:tcPr>
          <w:p w14:paraId="6B3A5965">
            <w:pPr>
              <w:pStyle w:val="43"/>
              <w:pageBreakBefore w:val="0"/>
              <w:kinsoku/>
              <w:overflowPunct/>
              <w:topLinePunct w:val="0"/>
              <w:bidi w:val="0"/>
              <w:spacing w:line="360" w:lineRule="auto"/>
              <w:textAlignment w:val="auto"/>
              <w:rPr>
                <w:rFonts w:hint="eastAsia" w:ascii="宋体" w:hAnsi="宋体" w:eastAsia="宋体" w:cs="宋体"/>
                <w:color w:val="auto"/>
                <w:sz w:val="21"/>
                <w:szCs w:val="21"/>
              </w:rPr>
            </w:pPr>
          </w:p>
        </w:tc>
        <w:tc>
          <w:tcPr>
            <w:tcW w:w="1011" w:type="dxa"/>
            <w:noWrap w:val="0"/>
            <w:vAlign w:val="top"/>
          </w:tcPr>
          <w:p w14:paraId="03FE91F2">
            <w:pPr>
              <w:pStyle w:val="43"/>
              <w:pageBreakBefore w:val="0"/>
              <w:kinsoku/>
              <w:overflowPunct/>
              <w:topLinePunct w:val="0"/>
              <w:bidi w:val="0"/>
              <w:spacing w:line="360" w:lineRule="auto"/>
              <w:textAlignment w:val="auto"/>
              <w:rPr>
                <w:rFonts w:hint="eastAsia" w:ascii="宋体" w:hAnsi="宋体" w:eastAsia="宋体" w:cs="宋体"/>
                <w:color w:val="auto"/>
                <w:sz w:val="21"/>
                <w:szCs w:val="21"/>
              </w:rPr>
            </w:pPr>
          </w:p>
        </w:tc>
      </w:tr>
      <w:tr w14:paraId="1BE263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844" w:type="dxa"/>
            <w:noWrap w:val="0"/>
            <w:vAlign w:val="center"/>
          </w:tcPr>
          <w:p w14:paraId="3761A246">
            <w:pPr>
              <w:pStyle w:val="43"/>
              <w:pageBreakBefore w:val="0"/>
              <w:kinsoku/>
              <w:overflowPunct/>
              <w:topLinePunct w:val="0"/>
              <w:bidi w:val="0"/>
              <w:spacing w:line="36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w:t>
            </w:r>
          </w:p>
        </w:tc>
        <w:tc>
          <w:tcPr>
            <w:tcW w:w="1344" w:type="dxa"/>
            <w:noWrap w:val="0"/>
            <w:vAlign w:val="center"/>
          </w:tcPr>
          <w:p w14:paraId="14D89AE3">
            <w:pPr>
              <w:pStyle w:val="43"/>
              <w:pageBreakBefore w:val="0"/>
              <w:kinsoku/>
              <w:overflowPunct/>
              <w:topLinePunct w:val="0"/>
              <w:bidi w:val="0"/>
              <w:spacing w:line="360" w:lineRule="auto"/>
              <w:jc w:val="center"/>
              <w:textAlignment w:val="auto"/>
              <w:rPr>
                <w:rFonts w:hint="eastAsia" w:ascii="宋体" w:hAnsi="宋体" w:eastAsia="宋体" w:cs="宋体"/>
                <w:color w:val="auto"/>
                <w:sz w:val="21"/>
                <w:szCs w:val="21"/>
              </w:rPr>
            </w:pPr>
          </w:p>
        </w:tc>
        <w:tc>
          <w:tcPr>
            <w:tcW w:w="2039" w:type="dxa"/>
            <w:noWrap w:val="0"/>
            <w:vAlign w:val="top"/>
          </w:tcPr>
          <w:p w14:paraId="15255260">
            <w:pPr>
              <w:pStyle w:val="43"/>
              <w:pageBreakBefore w:val="0"/>
              <w:kinsoku/>
              <w:overflowPunct/>
              <w:topLinePunct w:val="0"/>
              <w:bidi w:val="0"/>
              <w:spacing w:line="360" w:lineRule="auto"/>
              <w:textAlignment w:val="auto"/>
              <w:rPr>
                <w:rFonts w:hint="eastAsia" w:ascii="宋体" w:hAnsi="宋体" w:eastAsia="宋体" w:cs="宋体"/>
                <w:color w:val="auto"/>
                <w:sz w:val="21"/>
                <w:szCs w:val="21"/>
              </w:rPr>
            </w:pPr>
          </w:p>
        </w:tc>
        <w:tc>
          <w:tcPr>
            <w:tcW w:w="878" w:type="dxa"/>
            <w:noWrap w:val="0"/>
            <w:vAlign w:val="top"/>
          </w:tcPr>
          <w:p w14:paraId="2C4C57A8">
            <w:pPr>
              <w:pStyle w:val="43"/>
              <w:pageBreakBefore w:val="0"/>
              <w:kinsoku/>
              <w:overflowPunct/>
              <w:topLinePunct w:val="0"/>
              <w:bidi w:val="0"/>
              <w:spacing w:line="360" w:lineRule="auto"/>
              <w:textAlignment w:val="auto"/>
              <w:rPr>
                <w:rFonts w:hint="eastAsia" w:ascii="宋体" w:hAnsi="宋体" w:eastAsia="宋体" w:cs="宋体"/>
                <w:color w:val="auto"/>
                <w:sz w:val="21"/>
                <w:szCs w:val="21"/>
              </w:rPr>
            </w:pPr>
          </w:p>
        </w:tc>
        <w:tc>
          <w:tcPr>
            <w:tcW w:w="1370" w:type="dxa"/>
            <w:noWrap w:val="0"/>
            <w:vAlign w:val="top"/>
          </w:tcPr>
          <w:p w14:paraId="584D1266">
            <w:pPr>
              <w:pStyle w:val="43"/>
              <w:pageBreakBefore w:val="0"/>
              <w:kinsoku/>
              <w:overflowPunct/>
              <w:topLinePunct w:val="0"/>
              <w:bidi w:val="0"/>
              <w:spacing w:line="360" w:lineRule="auto"/>
              <w:textAlignment w:val="auto"/>
              <w:rPr>
                <w:rFonts w:hint="eastAsia" w:ascii="宋体" w:hAnsi="宋体" w:eastAsia="宋体" w:cs="宋体"/>
                <w:color w:val="auto"/>
                <w:sz w:val="21"/>
                <w:szCs w:val="21"/>
              </w:rPr>
            </w:pPr>
          </w:p>
        </w:tc>
        <w:tc>
          <w:tcPr>
            <w:tcW w:w="2190" w:type="dxa"/>
            <w:noWrap w:val="0"/>
            <w:vAlign w:val="top"/>
          </w:tcPr>
          <w:p w14:paraId="1CBEB771">
            <w:pPr>
              <w:pStyle w:val="43"/>
              <w:pageBreakBefore w:val="0"/>
              <w:kinsoku/>
              <w:overflowPunct/>
              <w:topLinePunct w:val="0"/>
              <w:bidi w:val="0"/>
              <w:spacing w:line="360" w:lineRule="auto"/>
              <w:textAlignment w:val="auto"/>
              <w:rPr>
                <w:rFonts w:hint="eastAsia" w:ascii="宋体" w:hAnsi="宋体" w:eastAsia="宋体" w:cs="宋体"/>
                <w:color w:val="auto"/>
                <w:sz w:val="21"/>
                <w:szCs w:val="21"/>
              </w:rPr>
            </w:pPr>
          </w:p>
        </w:tc>
        <w:tc>
          <w:tcPr>
            <w:tcW w:w="1011" w:type="dxa"/>
            <w:noWrap w:val="0"/>
            <w:vAlign w:val="top"/>
          </w:tcPr>
          <w:p w14:paraId="4406BBAE">
            <w:pPr>
              <w:pStyle w:val="43"/>
              <w:pageBreakBefore w:val="0"/>
              <w:kinsoku/>
              <w:overflowPunct/>
              <w:topLinePunct w:val="0"/>
              <w:bidi w:val="0"/>
              <w:spacing w:line="360" w:lineRule="auto"/>
              <w:textAlignment w:val="auto"/>
              <w:rPr>
                <w:rFonts w:hint="eastAsia" w:ascii="宋体" w:hAnsi="宋体" w:eastAsia="宋体" w:cs="宋体"/>
                <w:color w:val="auto"/>
                <w:sz w:val="21"/>
                <w:szCs w:val="21"/>
              </w:rPr>
            </w:pPr>
          </w:p>
        </w:tc>
      </w:tr>
      <w:tr w14:paraId="2DC791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4" w:type="dxa"/>
            <w:noWrap w:val="0"/>
            <w:vAlign w:val="center"/>
          </w:tcPr>
          <w:p w14:paraId="6FC0ACB1">
            <w:pPr>
              <w:pStyle w:val="43"/>
              <w:pageBreakBefore w:val="0"/>
              <w:kinsoku/>
              <w:overflowPunct/>
              <w:topLinePunct w:val="0"/>
              <w:bidi w:val="0"/>
              <w:spacing w:line="36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w:t>
            </w:r>
          </w:p>
        </w:tc>
        <w:tc>
          <w:tcPr>
            <w:tcW w:w="1344" w:type="dxa"/>
            <w:noWrap w:val="0"/>
            <w:vAlign w:val="center"/>
          </w:tcPr>
          <w:p w14:paraId="051A19BB">
            <w:pPr>
              <w:pStyle w:val="43"/>
              <w:pageBreakBefore w:val="0"/>
              <w:kinsoku/>
              <w:overflowPunct/>
              <w:topLinePunct w:val="0"/>
              <w:bidi w:val="0"/>
              <w:spacing w:line="360" w:lineRule="auto"/>
              <w:jc w:val="center"/>
              <w:textAlignment w:val="auto"/>
              <w:rPr>
                <w:rFonts w:hint="eastAsia" w:ascii="宋体" w:hAnsi="宋体" w:eastAsia="宋体" w:cs="宋体"/>
                <w:color w:val="auto"/>
                <w:sz w:val="21"/>
                <w:szCs w:val="21"/>
              </w:rPr>
            </w:pPr>
          </w:p>
        </w:tc>
        <w:tc>
          <w:tcPr>
            <w:tcW w:w="2039" w:type="dxa"/>
            <w:noWrap w:val="0"/>
            <w:vAlign w:val="top"/>
          </w:tcPr>
          <w:p w14:paraId="74258A70">
            <w:pPr>
              <w:pStyle w:val="43"/>
              <w:pageBreakBefore w:val="0"/>
              <w:kinsoku/>
              <w:overflowPunct/>
              <w:topLinePunct w:val="0"/>
              <w:bidi w:val="0"/>
              <w:spacing w:line="360" w:lineRule="auto"/>
              <w:textAlignment w:val="auto"/>
              <w:rPr>
                <w:rFonts w:hint="eastAsia" w:ascii="宋体" w:hAnsi="宋体" w:eastAsia="宋体" w:cs="宋体"/>
                <w:color w:val="auto"/>
                <w:sz w:val="21"/>
                <w:szCs w:val="21"/>
              </w:rPr>
            </w:pPr>
          </w:p>
        </w:tc>
        <w:tc>
          <w:tcPr>
            <w:tcW w:w="878" w:type="dxa"/>
            <w:noWrap w:val="0"/>
            <w:vAlign w:val="top"/>
          </w:tcPr>
          <w:p w14:paraId="33A0A291">
            <w:pPr>
              <w:pStyle w:val="43"/>
              <w:pageBreakBefore w:val="0"/>
              <w:kinsoku/>
              <w:overflowPunct/>
              <w:topLinePunct w:val="0"/>
              <w:bidi w:val="0"/>
              <w:spacing w:line="360" w:lineRule="auto"/>
              <w:textAlignment w:val="auto"/>
              <w:rPr>
                <w:rFonts w:hint="eastAsia" w:ascii="宋体" w:hAnsi="宋体" w:eastAsia="宋体" w:cs="宋体"/>
                <w:color w:val="auto"/>
                <w:sz w:val="21"/>
                <w:szCs w:val="21"/>
              </w:rPr>
            </w:pPr>
          </w:p>
        </w:tc>
        <w:tc>
          <w:tcPr>
            <w:tcW w:w="1370" w:type="dxa"/>
            <w:noWrap w:val="0"/>
            <w:vAlign w:val="top"/>
          </w:tcPr>
          <w:p w14:paraId="0063A084">
            <w:pPr>
              <w:pStyle w:val="43"/>
              <w:pageBreakBefore w:val="0"/>
              <w:kinsoku/>
              <w:overflowPunct/>
              <w:topLinePunct w:val="0"/>
              <w:bidi w:val="0"/>
              <w:spacing w:line="360" w:lineRule="auto"/>
              <w:textAlignment w:val="auto"/>
              <w:rPr>
                <w:rFonts w:hint="eastAsia" w:ascii="宋体" w:hAnsi="宋体" w:eastAsia="宋体" w:cs="宋体"/>
                <w:color w:val="auto"/>
                <w:sz w:val="21"/>
                <w:szCs w:val="21"/>
              </w:rPr>
            </w:pPr>
          </w:p>
        </w:tc>
        <w:tc>
          <w:tcPr>
            <w:tcW w:w="2190" w:type="dxa"/>
            <w:noWrap w:val="0"/>
            <w:vAlign w:val="top"/>
          </w:tcPr>
          <w:p w14:paraId="4F47F891">
            <w:pPr>
              <w:pStyle w:val="43"/>
              <w:pageBreakBefore w:val="0"/>
              <w:kinsoku/>
              <w:overflowPunct/>
              <w:topLinePunct w:val="0"/>
              <w:bidi w:val="0"/>
              <w:spacing w:line="360" w:lineRule="auto"/>
              <w:textAlignment w:val="auto"/>
              <w:rPr>
                <w:rFonts w:hint="eastAsia" w:ascii="宋体" w:hAnsi="宋体" w:eastAsia="宋体" w:cs="宋体"/>
                <w:color w:val="auto"/>
                <w:sz w:val="21"/>
                <w:szCs w:val="21"/>
              </w:rPr>
            </w:pPr>
          </w:p>
        </w:tc>
        <w:tc>
          <w:tcPr>
            <w:tcW w:w="1011" w:type="dxa"/>
            <w:noWrap w:val="0"/>
            <w:vAlign w:val="top"/>
          </w:tcPr>
          <w:p w14:paraId="7F00FFF9">
            <w:pPr>
              <w:pStyle w:val="43"/>
              <w:pageBreakBefore w:val="0"/>
              <w:kinsoku/>
              <w:overflowPunct/>
              <w:topLinePunct w:val="0"/>
              <w:bidi w:val="0"/>
              <w:spacing w:line="360" w:lineRule="auto"/>
              <w:textAlignment w:val="auto"/>
              <w:rPr>
                <w:rFonts w:hint="eastAsia" w:ascii="宋体" w:hAnsi="宋体" w:eastAsia="宋体" w:cs="宋体"/>
                <w:color w:val="auto"/>
                <w:sz w:val="21"/>
                <w:szCs w:val="21"/>
              </w:rPr>
            </w:pPr>
          </w:p>
        </w:tc>
      </w:tr>
      <w:tr w14:paraId="66A987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844" w:type="dxa"/>
            <w:noWrap w:val="0"/>
            <w:vAlign w:val="center"/>
          </w:tcPr>
          <w:p w14:paraId="0BCEE7BE">
            <w:pPr>
              <w:pStyle w:val="43"/>
              <w:pageBreakBefore w:val="0"/>
              <w:kinsoku/>
              <w:overflowPunct/>
              <w:topLinePunct w:val="0"/>
              <w:bidi w:val="0"/>
              <w:spacing w:line="36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w:t>
            </w:r>
          </w:p>
        </w:tc>
        <w:tc>
          <w:tcPr>
            <w:tcW w:w="1344" w:type="dxa"/>
            <w:noWrap w:val="0"/>
            <w:vAlign w:val="top"/>
          </w:tcPr>
          <w:p w14:paraId="1F8B34EF">
            <w:pPr>
              <w:pStyle w:val="43"/>
              <w:pageBreakBefore w:val="0"/>
              <w:kinsoku/>
              <w:overflowPunct/>
              <w:topLinePunct w:val="0"/>
              <w:bidi w:val="0"/>
              <w:spacing w:line="360" w:lineRule="auto"/>
              <w:textAlignment w:val="auto"/>
              <w:rPr>
                <w:rFonts w:hint="eastAsia" w:ascii="宋体" w:hAnsi="宋体" w:eastAsia="宋体" w:cs="宋体"/>
                <w:color w:val="auto"/>
                <w:sz w:val="21"/>
                <w:szCs w:val="21"/>
              </w:rPr>
            </w:pPr>
          </w:p>
        </w:tc>
        <w:tc>
          <w:tcPr>
            <w:tcW w:w="2039" w:type="dxa"/>
            <w:noWrap w:val="0"/>
            <w:vAlign w:val="top"/>
          </w:tcPr>
          <w:p w14:paraId="71EF5704">
            <w:pPr>
              <w:pStyle w:val="43"/>
              <w:pageBreakBefore w:val="0"/>
              <w:kinsoku/>
              <w:overflowPunct/>
              <w:topLinePunct w:val="0"/>
              <w:bidi w:val="0"/>
              <w:spacing w:line="360" w:lineRule="auto"/>
              <w:textAlignment w:val="auto"/>
              <w:rPr>
                <w:rFonts w:hint="eastAsia" w:ascii="宋体" w:hAnsi="宋体" w:eastAsia="宋体" w:cs="宋体"/>
                <w:color w:val="auto"/>
                <w:sz w:val="21"/>
                <w:szCs w:val="21"/>
              </w:rPr>
            </w:pPr>
          </w:p>
        </w:tc>
        <w:tc>
          <w:tcPr>
            <w:tcW w:w="878" w:type="dxa"/>
            <w:noWrap w:val="0"/>
            <w:vAlign w:val="top"/>
          </w:tcPr>
          <w:p w14:paraId="77A006D5">
            <w:pPr>
              <w:pStyle w:val="43"/>
              <w:pageBreakBefore w:val="0"/>
              <w:kinsoku/>
              <w:overflowPunct/>
              <w:topLinePunct w:val="0"/>
              <w:bidi w:val="0"/>
              <w:spacing w:line="360" w:lineRule="auto"/>
              <w:textAlignment w:val="auto"/>
              <w:rPr>
                <w:rFonts w:hint="eastAsia" w:ascii="宋体" w:hAnsi="宋体" w:eastAsia="宋体" w:cs="宋体"/>
                <w:color w:val="auto"/>
                <w:sz w:val="21"/>
                <w:szCs w:val="21"/>
              </w:rPr>
            </w:pPr>
          </w:p>
        </w:tc>
        <w:tc>
          <w:tcPr>
            <w:tcW w:w="1370" w:type="dxa"/>
            <w:noWrap w:val="0"/>
            <w:vAlign w:val="top"/>
          </w:tcPr>
          <w:p w14:paraId="3F64FB04">
            <w:pPr>
              <w:pStyle w:val="43"/>
              <w:pageBreakBefore w:val="0"/>
              <w:kinsoku/>
              <w:overflowPunct/>
              <w:topLinePunct w:val="0"/>
              <w:bidi w:val="0"/>
              <w:spacing w:line="360" w:lineRule="auto"/>
              <w:textAlignment w:val="auto"/>
              <w:rPr>
                <w:rFonts w:hint="eastAsia" w:ascii="宋体" w:hAnsi="宋体" w:eastAsia="宋体" w:cs="宋体"/>
                <w:color w:val="auto"/>
                <w:sz w:val="21"/>
                <w:szCs w:val="21"/>
              </w:rPr>
            </w:pPr>
          </w:p>
        </w:tc>
        <w:tc>
          <w:tcPr>
            <w:tcW w:w="2190" w:type="dxa"/>
            <w:noWrap w:val="0"/>
            <w:vAlign w:val="top"/>
          </w:tcPr>
          <w:p w14:paraId="0F5FF2F7">
            <w:pPr>
              <w:pStyle w:val="43"/>
              <w:pageBreakBefore w:val="0"/>
              <w:kinsoku/>
              <w:overflowPunct/>
              <w:topLinePunct w:val="0"/>
              <w:bidi w:val="0"/>
              <w:spacing w:line="360" w:lineRule="auto"/>
              <w:textAlignment w:val="auto"/>
              <w:rPr>
                <w:rFonts w:hint="eastAsia" w:ascii="宋体" w:hAnsi="宋体" w:eastAsia="宋体" w:cs="宋体"/>
                <w:color w:val="auto"/>
                <w:sz w:val="21"/>
                <w:szCs w:val="21"/>
              </w:rPr>
            </w:pPr>
          </w:p>
        </w:tc>
        <w:tc>
          <w:tcPr>
            <w:tcW w:w="1011" w:type="dxa"/>
            <w:noWrap w:val="0"/>
            <w:vAlign w:val="top"/>
          </w:tcPr>
          <w:p w14:paraId="752D1DEF">
            <w:pPr>
              <w:pStyle w:val="43"/>
              <w:pageBreakBefore w:val="0"/>
              <w:kinsoku/>
              <w:overflowPunct/>
              <w:topLinePunct w:val="0"/>
              <w:bidi w:val="0"/>
              <w:spacing w:line="360" w:lineRule="auto"/>
              <w:textAlignment w:val="auto"/>
              <w:rPr>
                <w:rFonts w:hint="eastAsia" w:ascii="宋体" w:hAnsi="宋体" w:eastAsia="宋体" w:cs="宋体"/>
                <w:color w:val="auto"/>
                <w:sz w:val="21"/>
                <w:szCs w:val="21"/>
              </w:rPr>
            </w:pPr>
          </w:p>
        </w:tc>
      </w:tr>
      <w:tr w14:paraId="44E9C0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844" w:type="dxa"/>
            <w:noWrap w:val="0"/>
            <w:vAlign w:val="center"/>
          </w:tcPr>
          <w:p w14:paraId="46F6AA3C">
            <w:pPr>
              <w:pStyle w:val="43"/>
              <w:pageBreakBefore w:val="0"/>
              <w:kinsoku/>
              <w:overflowPunct/>
              <w:topLinePunct w:val="0"/>
              <w:bidi w:val="0"/>
              <w:spacing w:line="36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5</w:t>
            </w:r>
          </w:p>
        </w:tc>
        <w:tc>
          <w:tcPr>
            <w:tcW w:w="1344" w:type="dxa"/>
            <w:noWrap w:val="0"/>
            <w:vAlign w:val="top"/>
          </w:tcPr>
          <w:p w14:paraId="1049EAB0">
            <w:pPr>
              <w:pStyle w:val="43"/>
              <w:pageBreakBefore w:val="0"/>
              <w:kinsoku/>
              <w:overflowPunct/>
              <w:topLinePunct w:val="0"/>
              <w:bidi w:val="0"/>
              <w:spacing w:line="360" w:lineRule="auto"/>
              <w:textAlignment w:val="auto"/>
              <w:rPr>
                <w:rFonts w:hint="eastAsia" w:ascii="宋体" w:hAnsi="宋体" w:eastAsia="宋体" w:cs="宋体"/>
                <w:color w:val="auto"/>
                <w:sz w:val="21"/>
                <w:szCs w:val="21"/>
              </w:rPr>
            </w:pPr>
          </w:p>
        </w:tc>
        <w:tc>
          <w:tcPr>
            <w:tcW w:w="2039" w:type="dxa"/>
            <w:noWrap w:val="0"/>
            <w:vAlign w:val="top"/>
          </w:tcPr>
          <w:p w14:paraId="29A3F3F7">
            <w:pPr>
              <w:pStyle w:val="43"/>
              <w:pageBreakBefore w:val="0"/>
              <w:kinsoku/>
              <w:overflowPunct/>
              <w:topLinePunct w:val="0"/>
              <w:bidi w:val="0"/>
              <w:spacing w:line="360" w:lineRule="auto"/>
              <w:textAlignment w:val="auto"/>
              <w:rPr>
                <w:rFonts w:hint="eastAsia" w:ascii="宋体" w:hAnsi="宋体" w:eastAsia="宋体" w:cs="宋体"/>
                <w:color w:val="auto"/>
                <w:sz w:val="21"/>
                <w:szCs w:val="21"/>
              </w:rPr>
            </w:pPr>
          </w:p>
        </w:tc>
        <w:tc>
          <w:tcPr>
            <w:tcW w:w="878" w:type="dxa"/>
            <w:noWrap w:val="0"/>
            <w:vAlign w:val="top"/>
          </w:tcPr>
          <w:p w14:paraId="443EC230">
            <w:pPr>
              <w:pStyle w:val="43"/>
              <w:pageBreakBefore w:val="0"/>
              <w:kinsoku/>
              <w:overflowPunct/>
              <w:topLinePunct w:val="0"/>
              <w:bidi w:val="0"/>
              <w:spacing w:line="360" w:lineRule="auto"/>
              <w:textAlignment w:val="auto"/>
              <w:rPr>
                <w:rFonts w:hint="eastAsia" w:ascii="宋体" w:hAnsi="宋体" w:eastAsia="宋体" w:cs="宋体"/>
                <w:color w:val="auto"/>
                <w:sz w:val="21"/>
                <w:szCs w:val="21"/>
              </w:rPr>
            </w:pPr>
          </w:p>
        </w:tc>
        <w:tc>
          <w:tcPr>
            <w:tcW w:w="1370" w:type="dxa"/>
            <w:noWrap w:val="0"/>
            <w:vAlign w:val="top"/>
          </w:tcPr>
          <w:p w14:paraId="25BEA749">
            <w:pPr>
              <w:pStyle w:val="43"/>
              <w:pageBreakBefore w:val="0"/>
              <w:kinsoku/>
              <w:overflowPunct/>
              <w:topLinePunct w:val="0"/>
              <w:bidi w:val="0"/>
              <w:spacing w:line="360" w:lineRule="auto"/>
              <w:textAlignment w:val="auto"/>
              <w:rPr>
                <w:rFonts w:hint="eastAsia" w:ascii="宋体" w:hAnsi="宋体" w:eastAsia="宋体" w:cs="宋体"/>
                <w:color w:val="auto"/>
                <w:sz w:val="21"/>
                <w:szCs w:val="21"/>
              </w:rPr>
            </w:pPr>
          </w:p>
        </w:tc>
        <w:tc>
          <w:tcPr>
            <w:tcW w:w="2190" w:type="dxa"/>
            <w:noWrap w:val="0"/>
            <w:vAlign w:val="top"/>
          </w:tcPr>
          <w:p w14:paraId="28D1210D">
            <w:pPr>
              <w:pStyle w:val="43"/>
              <w:pageBreakBefore w:val="0"/>
              <w:kinsoku/>
              <w:overflowPunct/>
              <w:topLinePunct w:val="0"/>
              <w:bidi w:val="0"/>
              <w:spacing w:line="360" w:lineRule="auto"/>
              <w:textAlignment w:val="auto"/>
              <w:rPr>
                <w:rFonts w:hint="eastAsia" w:ascii="宋体" w:hAnsi="宋体" w:eastAsia="宋体" w:cs="宋体"/>
                <w:color w:val="auto"/>
                <w:sz w:val="21"/>
                <w:szCs w:val="21"/>
              </w:rPr>
            </w:pPr>
          </w:p>
        </w:tc>
        <w:tc>
          <w:tcPr>
            <w:tcW w:w="1011" w:type="dxa"/>
            <w:noWrap w:val="0"/>
            <w:vAlign w:val="top"/>
          </w:tcPr>
          <w:p w14:paraId="2996D00D">
            <w:pPr>
              <w:pStyle w:val="43"/>
              <w:pageBreakBefore w:val="0"/>
              <w:kinsoku/>
              <w:overflowPunct/>
              <w:topLinePunct w:val="0"/>
              <w:bidi w:val="0"/>
              <w:spacing w:line="360" w:lineRule="auto"/>
              <w:textAlignment w:val="auto"/>
              <w:rPr>
                <w:rFonts w:hint="eastAsia" w:ascii="宋体" w:hAnsi="宋体" w:eastAsia="宋体" w:cs="宋体"/>
                <w:color w:val="auto"/>
                <w:sz w:val="21"/>
                <w:szCs w:val="21"/>
              </w:rPr>
            </w:pPr>
          </w:p>
        </w:tc>
      </w:tr>
      <w:tr w14:paraId="3083FC2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844" w:type="dxa"/>
            <w:noWrap w:val="0"/>
            <w:vAlign w:val="center"/>
          </w:tcPr>
          <w:p w14:paraId="53DFBB44">
            <w:pPr>
              <w:pStyle w:val="43"/>
              <w:pageBreakBefore w:val="0"/>
              <w:kinsoku/>
              <w:overflowPunct/>
              <w:topLinePunct w:val="0"/>
              <w:bidi w:val="0"/>
              <w:spacing w:line="36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6</w:t>
            </w:r>
          </w:p>
        </w:tc>
        <w:tc>
          <w:tcPr>
            <w:tcW w:w="1344" w:type="dxa"/>
            <w:noWrap w:val="0"/>
            <w:vAlign w:val="top"/>
          </w:tcPr>
          <w:p w14:paraId="3619DDE3">
            <w:pPr>
              <w:pStyle w:val="43"/>
              <w:pageBreakBefore w:val="0"/>
              <w:kinsoku/>
              <w:overflowPunct/>
              <w:topLinePunct w:val="0"/>
              <w:bidi w:val="0"/>
              <w:spacing w:line="360" w:lineRule="auto"/>
              <w:textAlignment w:val="auto"/>
              <w:rPr>
                <w:rFonts w:hint="eastAsia" w:ascii="宋体" w:hAnsi="宋体" w:eastAsia="宋体" w:cs="宋体"/>
                <w:color w:val="auto"/>
                <w:sz w:val="21"/>
                <w:szCs w:val="21"/>
              </w:rPr>
            </w:pPr>
          </w:p>
        </w:tc>
        <w:tc>
          <w:tcPr>
            <w:tcW w:w="2039" w:type="dxa"/>
            <w:noWrap w:val="0"/>
            <w:vAlign w:val="top"/>
          </w:tcPr>
          <w:p w14:paraId="1C72DD5F">
            <w:pPr>
              <w:pStyle w:val="43"/>
              <w:pageBreakBefore w:val="0"/>
              <w:kinsoku/>
              <w:overflowPunct/>
              <w:topLinePunct w:val="0"/>
              <w:bidi w:val="0"/>
              <w:spacing w:line="360" w:lineRule="auto"/>
              <w:textAlignment w:val="auto"/>
              <w:rPr>
                <w:rFonts w:hint="eastAsia" w:ascii="宋体" w:hAnsi="宋体" w:eastAsia="宋体" w:cs="宋体"/>
                <w:color w:val="auto"/>
                <w:sz w:val="21"/>
                <w:szCs w:val="21"/>
              </w:rPr>
            </w:pPr>
          </w:p>
        </w:tc>
        <w:tc>
          <w:tcPr>
            <w:tcW w:w="878" w:type="dxa"/>
            <w:noWrap w:val="0"/>
            <w:vAlign w:val="top"/>
          </w:tcPr>
          <w:p w14:paraId="770F9DFF">
            <w:pPr>
              <w:pStyle w:val="43"/>
              <w:pageBreakBefore w:val="0"/>
              <w:kinsoku/>
              <w:overflowPunct/>
              <w:topLinePunct w:val="0"/>
              <w:bidi w:val="0"/>
              <w:spacing w:line="360" w:lineRule="auto"/>
              <w:textAlignment w:val="auto"/>
              <w:rPr>
                <w:rFonts w:hint="eastAsia" w:ascii="宋体" w:hAnsi="宋体" w:eastAsia="宋体" w:cs="宋体"/>
                <w:color w:val="auto"/>
                <w:sz w:val="21"/>
                <w:szCs w:val="21"/>
              </w:rPr>
            </w:pPr>
          </w:p>
        </w:tc>
        <w:tc>
          <w:tcPr>
            <w:tcW w:w="1370" w:type="dxa"/>
            <w:noWrap w:val="0"/>
            <w:vAlign w:val="top"/>
          </w:tcPr>
          <w:p w14:paraId="0629B3E9">
            <w:pPr>
              <w:pStyle w:val="43"/>
              <w:pageBreakBefore w:val="0"/>
              <w:kinsoku/>
              <w:overflowPunct/>
              <w:topLinePunct w:val="0"/>
              <w:bidi w:val="0"/>
              <w:spacing w:line="360" w:lineRule="auto"/>
              <w:textAlignment w:val="auto"/>
              <w:rPr>
                <w:rFonts w:hint="eastAsia" w:ascii="宋体" w:hAnsi="宋体" w:eastAsia="宋体" w:cs="宋体"/>
                <w:color w:val="auto"/>
                <w:sz w:val="21"/>
                <w:szCs w:val="21"/>
              </w:rPr>
            </w:pPr>
          </w:p>
        </w:tc>
        <w:tc>
          <w:tcPr>
            <w:tcW w:w="2190" w:type="dxa"/>
            <w:noWrap w:val="0"/>
            <w:vAlign w:val="top"/>
          </w:tcPr>
          <w:p w14:paraId="0B2D2A9E">
            <w:pPr>
              <w:pStyle w:val="43"/>
              <w:pageBreakBefore w:val="0"/>
              <w:kinsoku/>
              <w:overflowPunct/>
              <w:topLinePunct w:val="0"/>
              <w:bidi w:val="0"/>
              <w:spacing w:line="360" w:lineRule="auto"/>
              <w:textAlignment w:val="auto"/>
              <w:rPr>
                <w:rFonts w:hint="eastAsia" w:ascii="宋体" w:hAnsi="宋体" w:eastAsia="宋体" w:cs="宋体"/>
                <w:color w:val="auto"/>
                <w:sz w:val="21"/>
                <w:szCs w:val="21"/>
              </w:rPr>
            </w:pPr>
          </w:p>
        </w:tc>
        <w:tc>
          <w:tcPr>
            <w:tcW w:w="1011" w:type="dxa"/>
            <w:noWrap w:val="0"/>
            <w:vAlign w:val="top"/>
          </w:tcPr>
          <w:p w14:paraId="07208806">
            <w:pPr>
              <w:pStyle w:val="43"/>
              <w:pageBreakBefore w:val="0"/>
              <w:kinsoku/>
              <w:overflowPunct/>
              <w:topLinePunct w:val="0"/>
              <w:bidi w:val="0"/>
              <w:spacing w:line="360" w:lineRule="auto"/>
              <w:textAlignment w:val="auto"/>
              <w:rPr>
                <w:rFonts w:hint="eastAsia" w:ascii="宋体" w:hAnsi="宋体" w:eastAsia="宋体" w:cs="宋体"/>
                <w:color w:val="auto"/>
                <w:sz w:val="21"/>
                <w:szCs w:val="21"/>
              </w:rPr>
            </w:pPr>
          </w:p>
        </w:tc>
      </w:tr>
      <w:tr w14:paraId="1DAFB2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844" w:type="dxa"/>
            <w:noWrap w:val="0"/>
            <w:vAlign w:val="center"/>
          </w:tcPr>
          <w:p w14:paraId="32BB75FC">
            <w:pPr>
              <w:pStyle w:val="43"/>
              <w:pageBreakBefore w:val="0"/>
              <w:kinsoku/>
              <w:overflowPunct/>
              <w:topLinePunct w:val="0"/>
              <w:bidi w:val="0"/>
              <w:spacing w:line="36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w:t>
            </w:r>
          </w:p>
        </w:tc>
        <w:tc>
          <w:tcPr>
            <w:tcW w:w="1344" w:type="dxa"/>
            <w:noWrap w:val="0"/>
            <w:vAlign w:val="top"/>
          </w:tcPr>
          <w:p w14:paraId="435F2782">
            <w:pPr>
              <w:pStyle w:val="43"/>
              <w:pageBreakBefore w:val="0"/>
              <w:kinsoku/>
              <w:overflowPunct/>
              <w:topLinePunct w:val="0"/>
              <w:bidi w:val="0"/>
              <w:spacing w:line="360" w:lineRule="auto"/>
              <w:textAlignment w:val="auto"/>
              <w:rPr>
                <w:rFonts w:hint="eastAsia" w:ascii="宋体" w:hAnsi="宋体" w:eastAsia="宋体" w:cs="宋体"/>
                <w:color w:val="auto"/>
                <w:sz w:val="21"/>
                <w:szCs w:val="21"/>
              </w:rPr>
            </w:pPr>
          </w:p>
        </w:tc>
        <w:tc>
          <w:tcPr>
            <w:tcW w:w="2039" w:type="dxa"/>
            <w:noWrap w:val="0"/>
            <w:vAlign w:val="top"/>
          </w:tcPr>
          <w:p w14:paraId="6C4D7BA8">
            <w:pPr>
              <w:pStyle w:val="43"/>
              <w:pageBreakBefore w:val="0"/>
              <w:kinsoku/>
              <w:overflowPunct/>
              <w:topLinePunct w:val="0"/>
              <w:bidi w:val="0"/>
              <w:spacing w:line="360" w:lineRule="auto"/>
              <w:textAlignment w:val="auto"/>
              <w:rPr>
                <w:rFonts w:hint="eastAsia" w:ascii="宋体" w:hAnsi="宋体" w:eastAsia="宋体" w:cs="宋体"/>
                <w:color w:val="auto"/>
                <w:sz w:val="21"/>
                <w:szCs w:val="21"/>
              </w:rPr>
            </w:pPr>
          </w:p>
        </w:tc>
        <w:tc>
          <w:tcPr>
            <w:tcW w:w="878" w:type="dxa"/>
            <w:noWrap w:val="0"/>
            <w:vAlign w:val="top"/>
          </w:tcPr>
          <w:p w14:paraId="2F81A733">
            <w:pPr>
              <w:pStyle w:val="43"/>
              <w:pageBreakBefore w:val="0"/>
              <w:kinsoku/>
              <w:overflowPunct/>
              <w:topLinePunct w:val="0"/>
              <w:bidi w:val="0"/>
              <w:spacing w:line="360" w:lineRule="auto"/>
              <w:textAlignment w:val="auto"/>
              <w:rPr>
                <w:rFonts w:hint="eastAsia" w:ascii="宋体" w:hAnsi="宋体" w:eastAsia="宋体" w:cs="宋体"/>
                <w:color w:val="auto"/>
                <w:sz w:val="21"/>
                <w:szCs w:val="21"/>
              </w:rPr>
            </w:pPr>
          </w:p>
        </w:tc>
        <w:tc>
          <w:tcPr>
            <w:tcW w:w="1370" w:type="dxa"/>
            <w:noWrap w:val="0"/>
            <w:vAlign w:val="top"/>
          </w:tcPr>
          <w:p w14:paraId="0CD0ECFB">
            <w:pPr>
              <w:pStyle w:val="43"/>
              <w:pageBreakBefore w:val="0"/>
              <w:kinsoku/>
              <w:overflowPunct/>
              <w:topLinePunct w:val="0"/>
              <w:bidi w:val="0"/>
              <w:spacing w:line="360" w:lineRule="auto"/>
              <w:textAlignment w:val="auto"/>
              <w:rPr>
                <w:rFonts w:hint="eastAsia" w:ascii="宋体" w:hAnsi="宋体" w:eastAsia="宋体" w:cs="宋体"/>
                <w:color w:val="auto"/>
                <w:sz w:val="21"/>
                <w:szCs w:val="21"/>
              </w:rPr>
            </w:pPr>
          </w:p>
        </w:tc>
        <w:tc>
          <w:tcPr>
            <w:tcW w:w="2190" w:type="dxa"/>
            <w:noWrap w:val="0"/>
            <w:vAlign w:val="top"/>
          </w:tcPr>
          <w:p w14:paraId="58310AB9">
            <w:pPr>
              <w:pStyle w:val="43"/>
              <w:pageBreakBefore w:val="0"/>
              <w:kinsoku/>
              <w:overflowPunct/>
              <w:topLinePunct w:val="0"/>
              <w:bidi w:val="0"/>
              <w:spacing w:line="360" w:lineRule="auto"/>
              <w:textAlignment w:val="auto"/>
              <w:rPr>
                <w:rFonts w:hint="eastAsia" w:ascii="宋体" w:hAnsi="宋体" w:eastAsia="宋体" w:cs="宋体"/>
                <w:color w:val="auto"/>
                <w:sz w:val="21"/>
                <w:szCs w:val="21"/>
              </w:rPr>
            </w:pPr>
          </w:p>
        </w:tc>
        <w:tc>
          <w:tcPr>
            <w:tcW w:w="1011" w:type="dxa"/>
            <w:noWrap w:val="0"/>
            <w:vAlign w:val="top"/>
          </w:tcPr>
          <w:p w14:paraId="7950F25B">
            <w:pPr>
              <w:pStyle w:val="43"/>
              <w:pageBreakBefore w:val="0"/>
              <w:kinsoku/>
              <w:overflowPunct/>
              <w:topLinePunct w:val="0"/>
              <w:bidi w:val="0"/>
              <w:spacing w:line="360" w:lineRule="auto"/>
              <w:textAlignment w:val="auto"/>
              <w:rPr>
                <w:rFonts w:hint="eastAsia" w:ascii="宋体" w:hAnsi="宋体" w:eastAsia="宋体" w:cs="宋体"/>
                <w:color w:val="auto"/>
                <w:sz w:val="21"/>
                <w:szCs w:val="21"/>
              </w:rPr>
            </w:pPr>
          </w:p>
        </w:tc>
      </w:tr>
      <w:tr w14:paraId="1E20CC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844" w:type="dxa"/>
            <w:noWrap w:val="0"/>
            <w:vAlign w:val="top"/>
          </w:tcPr>
          <w:p w14:paraId="26E40C44">
            <w:pPr>
              <w:pStyle w:val="43"/>
              <w:pageBreakBefore w:val="0"/>
              <w:kinsoku/>
              <w:overflowPunct/>
              <w:topLinePunct w:val="0"/>
              <w:bidi w:val="0"/>
              <w:spacing w:line="360" w:lineRule="auto"/>
              <w:textAlignment w:val="auto"/>
              <w:rPr>
                <w:rFonts w:hint="eastAsia" w:ascii="宋体" w:hAnsi="宋体" w:eastAsia="宋体" w:cs="宋体"/>
                <w:color w:val="auto"/>
                <w:sz w:val="21"/>
                <w:szCs w:val="21"/>
              </w:rPr>
            </w:pPr>
          </w:p>
        </w:tc>
        <w:tc>
          <w:tcPr>
            <w:tcW w:w="1344" w:type="dxa"/>
            <w:noWrap w:val="0"/>
            <w:vAlign w:val="top"/>
          </w:tcPr>
          <w:p w14:paraId="58686DE6">
            <w:pPr>
              <w:pStyle w:val="43"/>
              <w:pageBreakBefore w:val="0"/>
              <w:kinsoku/>
              <w:overflowPunct/>
              <w:topLinePunct w:val="0"/>
              <w:bidi w:val="0"/>
              <w:spacing w:line="360" w:lineRule="auto"/>
              <w:textAlignment w:val="auto"/>
              <w:rPr>
                <w:rFonts w:hint="eastAsia" w:ascii="宋体" w:hAnsi="宋体" w:eastAsia="宋体" w:cs="宋体"/>
                <w:color w:val="auto"/>
                <w:sz w:val="21"/>
                <w:szCs w:val="21"/>
              </w:rPr>
            </w:pPr>
          </w:p>
        </w:tc>
        <w:tc>
          <w:tcPr>
            <w:tcW w:w="2039" w:type="dxa"/>
            <w:noWrap w:val="0"/>
            <w:vAlign w:val="top"/>
          </w:tcPr>
          <w:p w14:paraId="4D406941">
            <w:pPr>
              <w:pStyle w:val="43"/>
              <w:pageBreakBefore w:val="0"/>
              <w:kinsoku/>
              <w:overflowPunct/>
              <w:topLinePunct w:val="0"/>
              <w:bidi w:val="0"/>
              <w:spacing w:line="360" w:lineRule="auto"/>
              <w:textAlignment w:val="auto"/>
              <w:rPr>
                <w:rFonts w:hint="eastAsia" w:ascii="宋体" w:hAnsi="宋体" w:eastAsia="宋体" w:cs="宋体"/>
                <w:color w:val="auto"/>
                <w:sz w:val="21"/>
                <w:szCs w:val="21"/>
              </w:rPr>
            </w:pPr>
          </w:p>
        </w:tc>
        <w:tc>
          <w:tcPr>
            <w:tcW w:w="878" w:type="dxa"/>
            <w:noWrap w:val="0"/>
            <w:vAlign w:val="top"/>
          </w:tcPr>
          <w:p w14:paraId="4D24796F">
            <w:pPr>
              <w:pStyle w:val="43"/>
              <w:pageBreakBefore w:val="0"/>
              <w:kinsoku/>
              <w:overflowPunct/>
              <w:topLinePunct w:val="0"/>
              <w:bidi w:val="0"/>
              <w:spacing w:line="360" w:lineRule="auto"/>
              <w:textAlignment w:val="auto"/>
              <w:rPr>
                <w:rFonts w:hint="eastAsia" w:ascii="宋体" w:hAnsi="宋体" w:eastAsia="宋体" w:cs="宋体"/>
                <w:color w:val="auto"/>
                <w:sz w:val="21"/>
                <w:szCs w:val="21"/>
              </w:rPr>
            </w:pPr>
          </w:p>
        </w:tc>
        <w:tc>
          <w:tcPr>
            <w:tcW w:w="1370" w:type="dxa"/>
            <w:noWrap w:val="0"/>
            <w:vAlign w:val="top"/>
          </w:tcPr>
          <w:p w14:paraId="6AB2E658">
            <w:pPr>
              <w:pStyle w:val="43"/>
              <w:pageBreakBefore w:val="0"/>
              <w:kinsoku/>
              <w:overflowPunct/>
              <w:topLinePunct w:val="0"/>
              <w:bidi w:val="0"/>
              <w:spacing w:line="360" w:lineRule="auto"/>
              <w:textAlignment w:val="auto"/>
              <w:rPr>
                <w:rFonts w:hint="eastAsia" w:ascii="宋体" w:hAnsi="宋体" w:eastAsia="宋体" w:cs="宋体"/>
                <w:color w:val="auto"/>
                <w:sz w:val="21"/>
                <w:szCs w:val="21"/>
              </w:rPr>
            </w:pPr>
          </w:p>
        </w:tc>
        <w:tc>
          <w:tcPr>
            <w:tcW w:w="2190" w:type="dxa"/>
            <w:noWrap w:val="0"/>
            <w:vAlign w:val="top"/>
          </w:tcPr>
          <w:p w14:paraId="5C14F747">
            <w:pPr>
              <w:pStyle w:val="43"/>
              <w:pageBreakBefore w:val="0"/>
              <w:kinsoku/>
              <w:overflowPunct/>
              <w:topLinePunct w:val="0"/>
              <w:bidi w:val="0"/>
              <w:spacing w:line="360" w:lineRule="auto"/>
              <w:textAlignment w:val="auto"/>
              <w:rPr>
                <w:rFonts w:hint="eastAsia" w:ascii="宋体" w:hAnsi="宋体" w:eastAsia="宋体" w:cs="宋体"/>
                <w:color w:val="auto"/>
                <w:sz w:val="21"/>
                <w:szCs w:val="21"/>
              </w:rPr>
            </w:pPr>
          </w:p>
        </w:tc>
        <w:tc>
          <w:tcPr>
            <w:tcW w:w="1011" w:type="dxa"/>
            <w:noWrap w:val="0"/>
            <w:vAlign w:val="top"/>
          </w:tcPr>
          <w:p w14:paraId="29FB2B96">
            <w:pPr>
              <w:pStyle w:val="43"/>
              <w:pageBreakBefore w:val="0"/>
              <w:kinsoku/>
              <w:overflowPunct/>
              <w:topLinePunct w:val="0"/>
              <w:bidi w:val="0"/>
              <w:spacing w:line="360" w:lineRule="auto"/>
              <w:textAlignment w:val="auto"/>
              <w:rPr>
                <w:rFonts w:hint="eastAsia" w:ascii="宋体" w:hAnsi="宋体" w:eastAsia="宋体" w:cs="宋体"/>
                <w:color w:val="auto"/>
                <w:sz w:val="21"/>
                <w:szCs w:val="21"/>
              </w:rPr>
            </w:pPr>
          </w:p>
        </w:tc>
      </w:tr>
    </w:tbl>
    <w:p w14:paraId="71CF769C">
      <w:pPr>
        <w:pStyle w:val="43"/>
        <w:pageBreakBefore w:val="0"/>
        <w:tabs>
          <w:tab w:val="left" w:pos="1050"/>
          <w:tab w:val="left" w:pos="1838"/>
        </w:tabs>
        <w:kinsoku/>
        <w:overflowPunct/>
        <w:topLinePunct w:val="0"/>
        <w:bidi w:val="0"/>
        <w:spacing w:line="360" w:lineRule="auto"/>
        <w:textAlignment w:val="auto"/>
        <w:rPr>
          <w:rFonts w:hint="eastAsia" w:ascii="宋体" w:hAnsi="宋体" w:eastAsia="宋体" w:cs="宋体"/>
          <w:color w:val="auto"/>
          <w:kern w:val="0"/>
          <w:sz w:val="21"/>
          <w:szCs w:val="21"/>
        </w:rPr>
      </w:pPr>
      <w:r>
        <w:rPr>
          <w:rFonts w:hint="eastAsia" w:ascii="宋体" w:hAnsi="宋体" w:eastAsia="宋体" w:cs="宋体"/>
          <w:color w:val="auto"/>
          <w:sz w:val="21"/>
          <w:szCs w:val="21"/>
        </w:rPr>
        <w:t>注：</w:t>
      </w:r>
      <w:r>
        <w:rPr>
          <w:rFonts w:hint="eastAsia" w:ascii="宋体" w:hAnsi="宋体" w:eastAsia="宋体" w:cs="宋体"/>
          <w:color w:val="auto"/>
          <w:sz w:val="21"/>
          <w:szCs w:val="21"/>
          <w:lang w:eastAsia="zh-CN"/>
        </w:rPr>
        <w:t>供应商</w:t>
      </w:r>
      <w:r>
        <w:rPr>
          <w:rFonts w:hint="eastAsia" w:ascii="宋体" w:hAnsi="宋体" w:eastAsia="宋体" w:cs="宋体"/>
          <w:color w:val="auto"/>
          <w:sz w:val="21"/>
          <w:szCs w:val="21"/>
        </w:rPr>
        <w:t>应在本表后按照</w:t>
      </w:r>
      <w:r>
        <w:rPr>
          <w:rFonts w:hint="eastAsia" w:ascii="宋体" w:hAnsi="宋体" w:eastAsia="宋体" w:cs="宋体"/>
          <w:color w:val="auto"/>
          <w:sz w:val="21"/>
          <w:szCs w:val="21"/>
          <w:lang w:eastAsia="zh-CN"/>
        </w:rPr>
        <w:t>采购文件</w:t>
      </w:r>
      <w:r>
        <w:rPr>
          <w:rFonts w:hint="eastAsia" w:ascii="宋体" w:hAnsi="宋体" w:eastAsia="宋体" w:cs="宋体"/>
          <w:color w:val="auto"/>
          <w:sz w:val="21"/>
          <w:szCs w:val="21"/>
        </w:rPr>
        <w:t>要求提供相关证明材料。</w:t>
      </w:r>
    </w:p>
    <w:p w14:paraId="2C29E5A2">
      <w:pPr>
        <w:pageBreakBefore w:val="0"/>
        <w:kinsoku/>
        <w:overflowPunct/>
        <w:topLinePunct w:val="0"/>
        <w:bidi w:val="0"/>
        <w:adjustRightInd w:val="0"/>
        <w:snapToGrid w:val="0"/>
        <w:spacing w:line="360" w:lineRule="auto"/>
        <w:ind w:firstLine="4200" w:firstLineChars="2000"/>
        <w:textAlignment w:val="auto"/>
        <w:rPr>
          <w:rFonts w:hint="eastAsia" w:ascii="宋体" w:hAnsi="宋体" w:eastAsia="宋体" w:cs="宋体"/>
          <w:color w:val="auto"/>
          <w:sz w:val="21"/>
          <w:szCs w:val="21"/>
          <w:lang w:eastAsia="zh-CN"/>
        </w:rPr>
      </w:pPr>
    </w:p>
    <w:p w14:paraId="148FB906">
      <w:pPr>
        <w:pageBreakBefore w:val="0"/>
        <w:kinsoku/>
        <w:overflowPunct/>
        <w:topLinePunct w:val="0"/>
        <w:bidi w:val="0"/>
        <w:adjustRightInd w:val="0"/>
        <w:snapToGrid w:val="0"/>
        <w:spacing w:line="360" w:lineRule="auto"/>
        <w:ind w:firstLine="4200" w:firstLineChars="2000"/>
        <w:textAlignment w:val="auto"/>
        <w:rPr>
          <w:rFonts w:hint="eastAsia" w:ascii="宋体" w:hAnsi="宋体" w:eastAsia="宋体" w:cs="宋体"/>
          <w:color w:val="auto"/>
          <w:sz w:val="21"/>
          <w:szCs w:val="21"/>
          <w:lang w:eastAsia="zh-CN"/>
        </w:rPr>
      </w:pPr>
    </w:p>
    <w:p w14:paraId="3CCE538E">
      <w:pPr>
        <w:pageBreakBefore w:val="0"/>
        <w:kinsoku/>
        <w:overflowPunct/>
        <w:topLinePunct w:val="0"/>
        <w:bidi w:val="0"/>
        <w:adjustRightInd w:val="0"/>
        <w:snapToGrid w:val="0"/>
        <w:spacing w:line="360" w:lineRule="auto"/>
        <w:ind w:firstLine="4200" w:firstLineChars="2000"/>
        <w:textAlignment w:val="auto"/>
        <w:rPr>
          <w:rFonts w:hint="eastAsia" w:ascii="宋体" w:hAnsi="宋体" w:eastAsia="宋体" w:cs="宋体"/>
          <w:color w:val="auto"/>
          <w:sz w:val="21"/>
          <w:szCs w:val="21"/>
          <w:u w:val="single"/>
        </w:rPr>
      </w:pPr>
      <w:r>
        <w:rPr>
          <w:rFonts w:hint="eastAsia" w:ascii="宋体" w:hAnsi="宋体" w:eastAsia="宋体" w:cs="宋体"/>
          <w:color w:val="auto"/>
          <w:sz w:val="21"/>
          <w:szCs w:val="21"/>
          <w:lang w:eastAsia="zh-CN"/>
        </w:rPr>
        <w:t>供应商</w:t>
      </w:r>
      <w:r>
        <w:rPr>
          <w:rFonts w:hint="eastAsia" w:ascii="宋体" w:hAnsi="宋体" w:eastAsia="宋体" w:cs="宋体"/>
          <w:color w:val="auto"/>
          <w:sz w:val="21"/>
          <w:szCs w:val="21"/>
        </w:rPr>
        <w:t>名称（</w:t>
      </w:r>
      <w:r>
        <w:rPr>
          <w:rFonts w:hint="eastAsia" w:ascii="宋体" w:hAnsi="宋体" w:eastAsia="宋体" w:cs="宋体"/>
          <w:color w:val="auto"/>
          <w:sz w:val="21"/>
          <w:szCs w:val="21"/>
          <w:lang w:eastAsia="zh-CN"/>
        </w:rPr>
        <w:t>盖章</w:t>
      </w:r>
      <w:r>
        <w:rPr>
          <w:rFonts w:hint="eastAsia" w:ascii="宋体" w:hAnsi="宋体" w:eastAsia="宋体" w:cs="宋体"/>
          <w:color w:val="auto"/>
          <w:sz w:val="21"/>
          <w:szCs w:val="21"/>
        </w:rPr>
        <w:t>）：</w:t>
      </w:r>
      <w:r>
        <w:rPr>
          <w:rFonts w:hint="eastAsia" w:ascii="宋体" w:hAnsi="宋体" w:eastAsia="宋体" w:cs="宋体"/>
          <w:color w:val="auto"/>
          <w:sz w:val="21"/>
          <w:szCs w:val="21"/>
          <w:u w:val="single"/>
        </w:rPr>
        <w:t xml:space="preserve">                                    </w:t>
      </w:r>
    </w:p>
    <w:p w14:paraId="6E37E4AA">
      <w:pPr>
        <w:pageBreakBefore w:val="0"/>
        <w:kinsoku/>
        <w:overflowPunct/>
        <w:topLinePunct w:val="0"/>
        <w:bidi w:val="0"/>
        <w:adjustRightInd w:val="0"/>
        <w:snapToGrid w:val="0"/>
        <w:spacing w:line="360" w:lineRule="auto"/>
        <w:ind w:firstLine="4200" w:firstLineChars="2000"/>
        <w:textAlignment w:val="auto"/>
        <w:rPr>
          <w:rFonts w:hint="eastAsia" w:ascii="宋体" w:hAnsi="宋体" w:eastAsia="宋体" w:cs="宋体"/>
          <w:snapToGrid w:val="0"/>
          <w:color w:val="auto"/>
          <w:kern w:val="0"/>
          <w:sz w:val="21"/>
          <w:szCs w:val="21"/>
        </w:rPr>
      </w:pPr>
      <w:r>
        <w:rPr>
          <w:rFonts w:hint="eastAsia" w:ascii="宋体" w:hAnsi="宋体" w:eastAsia="宋体" w:cs="宋体"/>
          <w:snapToGrid w:val="0"/>
          <w:color w:val="auto"/>
          <w:kern w:val="0"/>
          <w:sz w:val="21"/>
          <w:szCs w:val="21"/>
        </w:rPr>
        <w:t>法定代表人（单位负责人）</w:t>
      </w:r>
    </w:p>
    <w:p w14:paraId="0EF1B3A9">
      <w:pPr>
        <w:pageBreakBefore w:val="0"/>
        <w:kinsoku/>
        <w:overflowPunct/>
        <w:topLinePunct w:val="0"/>
        <w:bidi w:val="0"/>
        <w:adjustRightInd w:val="0"/>
        <w:snapToGrid w:val="0"/>
        <w:spacing w:line="360" w:lineRule="auto"/>
        <w:ind w:firstLine="4200" w:firstLineChars="2000"/>
        <w:textAlignment w:val="auto"/>
        <w:rPr>
          <w:rFonts w:hint="eastAsia" w:ascii="宋体" w:hAnsi="宋体" w:eastAsia="宋体" w:cs="宋体"/>
          <w:snapToGrid w:val="0"/>
          <w:color w:val="auto"/>
          <w:kern w:val="0"/>
          <w:sz w:val="21"/>
          <w:szCs w:val="21"/>
        </w:rPr>
      </w:pPr>
      <w:r>
        <w:rPr>
          <w:rFonts w:hint="eastAsia" w:ascii="宋体" w:hAnsi="宋体" w:eastAsia="宋体" w:cs="宋体"/>
          <w:snapToGrid w:val="0"/>
          <w:color w:val="auto"/>
          <w:kern w:val="0"/>
          <w:sz w:val="21"/>
          <w:szCs w:val="21"/>
        </w:rPr>
        <w:t>或授权代表（</w:t>
      </w:r>
      <w:r>
        <w:rPr>
          <w:rFonts w:hint="eastAsia" w:ascii="宋体" w:hAnsi="宋体" w:eastAsia="宋体" w:cs="宋体"/>
          <w:snapToGrid w:val="0"/>
          <w:color w:val="auto"/>
          <w:kern w:val="0"/>
          <w:sz w:val="21"/>
          <w:szCs w:val="21"/>
          <w:lang w:eastAsia="zh-CN"/>
        </w:rPr>
        <w:t>签字或盖章</w:t>
      </w:r>
      <w:r>
        <w:rPr>
          <w:rFonts w:hint="eastAsia" w:ascii="宋体" w:hAnsi="宋体" w:eastAsia="宋体" w:cs="宋体"/>
          <w:snapToGrid w:val="0"/>
          <w:color w:val="auto"/>
          <w:kern w:val="0"/>
          <w:sz w:val="21"/>
          <w:szCs w:val="21"/>
        </w:rPr>
        <w:t>）</w:t>
      </w:r>
      <w:r>
        <w:rPr>
          <w:rFonts w:hint="eastAsia" w:ascii="宋体" w:hAnsi="宋体" w:eastAsia="宋体" w:cs="宋体"/>
          <w:color w:val="auto"/>
          <w:sz w:val="21"/>
          <w:szCs w:val="21"/>
        </w:rPr>
        <w:t>：</w:t>
      </w:r>
      <w:r>
        <w:rPr>
          <w:rFonts w:hint="eastAsia" w:ascii="宋体" w:hAnsi="宋体" w:eastAsia="宋体" w:cs="宋体"/>
          <w:color w:val="auto"/>
          <w:sz w:val="21"/>
          <w:szCs w:val="21"/>
          <w:u w:val="single"/>
        </w:rPr>
        <w:t xml:space="preserve">                                </w:t>
      </w:r>
    </w:p>
    <w:p w14:paraId="7353FD47">
      <w:pPr>
        <w:pageBreakBefore w:val="0"/>
        <w:kinsoku/>
        <w:overflowPunct/>
        <w:topLinePunct w:val="0"/>
        <w:bidi w:val="0"/>
        <w:adjustRightInd w:val="0"/>
        <w:snapToGrid w:val="0"/>
        <w:spacing w:line="360" w:lineRule="auto"/>
        <w:ind w:firstLine="4200" w:firstLineChars="2000"/>
        <w:textAlignment w:val="auto"/>
        <w:outlineLvl w:val="0"/>
        <w:rPr>
          <w:rFonts w:hint="eastAsia" w:ascii="宋体" w:hAnsi="宋体" w:eastAsia="宋体" w:cs="宋体"/>
          <w:color w:val="auto"/>
          <w:sz w:val="21"/>
          <w:szCs w:val="21"/>
        </w:rPr>
      </w:pPr>
      <w:r>
        <w:rPr>
          <w:rFonts w:hint="eastAsia" w:ascii="宋体" w:hAnsi="宋体" w:eastAsia="宋体" w:cs="宋体"/>
          <w:color w:val="auto"/>
          <w:sz w:val="21"/>
          <w:szCs w:val="21"/>
        </w:rPr>
        <w:t>日期：</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日</w:t>
      </w:r>
      <w:r>
        <w:rPr>
          <w:rFonts w:hint="eastAsia" w:ascii="宋体" w:hAnsi="宋体" w:eastAsia="宋体" w:cs="宋体"/>
          <w:color w:val="auto"/>
          <w:sz w:val="21"/>
          <w:szCs w:val="21"/>
        </w:rPr>
        <w:br w:type="page"/>
      </w:r>
    </w:p>
    <w:p w14:paraId="4A80E201">
      <w:pPr>
        <w:pStyle w:val="25"/>
        <w:rPr>
          <w:rFonts w:hint="eastAsia"/>
        </w:rPr>
      </w:pPr>
    </w:p>
    <w:p w14:paraId="719953FD">
      <w:pPr>
        <w:pStyle w:val="3"/>
        <w:bidi w:val="0"/>
        <w:jc w:val="center"/>
        <w:rPr>
          <w:rFonts w:hint="default"/>
          <w:lang w:val="en-US" w:eastAsia="zh-CN"/>
        </w:rPr>
      </w:pPr>
      <w:r>
        <w:rPr>
          <w:rFonts w:hint="eastAsia"/>
          <w:lang w:val="en-US" w:eastAsia="zh-CN"/>
        </w:rPr>
        <w:t>八、其他资料</w:t>
      </w:r>
    </w:p>
    <w:p w14:paraId="3A598DA6">
      <w:pPr>
        <w:spacing w:line="360" w:lineRule="auto"/>
        <w:ind w:firstLine="480" w:firstLineChars="200"/>
        <w:rPr>
          <w:rFonts w:hint="default" w:ascii="宋体" w:hAnsi="宋体" w:eastAsia="宋体" w:cs="宋体"/>
          <w:sz w:val="24"/>
          <w:highlight w:val="none"/>
          <w:lang w:val="en-US" w:eastAsia="zh-CN"/>
        </w:rPr>
      </w:pPr>
      <w:r>
        <w:rPr>
          <w:rFonts w:hint="eastAsia" w:ascii="宋体" w:hAnsi="宋体" w:cs="宋体"/>
          <w:sz w:val="24"/>
          <w:highlight w:val="none"/>
        </w:rPr>
        <w:t>1.</w:t>
      </w:r>
      <w:r>
        <w:rPr>
          <w:sz w:val="24"/>
          <w:highlight w:val="none"/>
        </w:rPr>
        <w:t>招标文件</w:t>
      </w:r>
      <w:r>
        <w:rPr>
          <w:bCs/>
          <w:sz w:val="24"/>
          <w:highlight w:val="none"/>
        </w:rPr>
        <w:t>评分因素及评标标准中要求的证明材料</w:t>
      </w:r>
    </w:p>
    <w:p w14:paraId="382CD89D">
      <w:pPr>
        <w:ind w:firstLine="480" w:firstLineChars="200"/>
        <w:rPr>
          <w:rFonts w:hint="eastAsia" w:ascii="宋体" w:hAnsi="宋体" w:cs="宋体"/>
          <w:sz w:val="24"/>
          <w:highlight w:val="none"/>
        </w:rPr>
      </w:pPr>
      <w:r>
        <w:rPr>
          <w:rFonts w:hint="eastAsia"/>
          <w:sz w:val="24"/>
          <w:highlight w:val="none"/>
          <w:lang w:val="en-US" w:eastAsia="zh-CN"/>
        </w:rPr>
        <w:t>2.</w:t>
      </w:r>
      <w:r>
        <w:rPr>
          <w:rFonts w:hint="eastAsia" w:ascii="宋体" w:hAnsi="宋体" w:cs="宋体"/>
          <w:sz w:val="24"/>
          <w:highlight w:val="none"/>
        </w:rPr>
        <w:t>投标人认为需提供的其他</w:t>
      </w:r>
      <w:r>
        <w:rPr>
          <w:rFonts w:hint="eastAsia" w:ascii="宋体" w:hAnsi="宋体" w:cs="宋体"/>
          <w:sz w:val="24"/>
          <w:highlight w:val="none"/>
          <w:lang w:eastAsia="zh-CN"/>
        </w:rPr>
        <w:t>文件或</w:t>
      </w:r>
      <w:r>
        <w:rPr>
          <w:rFonts w:hint="eastAsia" w:ascii="宋体" w:hAnsi="宋体" w:cs="宋体"/>
          <w:sz w:val="24"/>
          <w:highlight w:val="none"/>
        </w:rPr>
        <w:t>资料</w:t>
      </w:r>
    </w:p>
    <w:p w14:paraId="4401FA5D">
      <w:pPr>
        <w:pStyle w:val="25"/>
        <w:rPr>
          <w:rFonts w:hint="eastAsia" w:ascii="宋体" w:hAnsi="宋体" w:cs="宋体"/>
          <w:sz w:val="24"/>
          <w:highlight w:val="none"/>
        </w:rPr>
        <w:sectPr>
          <w:footerReference r:id="rId19" w:type="default"/>
          <w:pgSz w:w="11906" w:h="16838"/>
          <w:pgMar w:top="1440" w:right="1080" w:bottom="1440" w:left="1080" w:header="851" w:footer="992" w:gutter="0"/>
          <w:pgNumType w:fmt="decimal"/>
          <w:cols w:space="0" w:num="1"/>
          <w:rtlGutter w:val="0"/>
          <w:docGrid w:type="lines" w:linePitch="460" w:charSpace="0"/>
        </w:sectPr>
      </w:pPr>
    </w:p>
    <w:p w14:paraId="1EADE0D5">
      <w:pPr>
        <w:pStyle w:val="6"/>
        <w:bidi w:val="0"/>
        <w:rPr>
          <w:rFonts w:hint="eastAsia" w:ascii="宋体" w:hAnsi="宋体"/>
          <w:b/>
          <w:bCs/>
          <w:color w:val="auto"/>
          <w:sz w:val="32"/>
          <w:szCs w:val="32"/>
          <w:lang w:val="en-US" w:eastAsia="zh-CN"/>
        </w:rPr>
      </w:pPr>
      <w:r>
        <w:rPr>
          <w:rFonts w:hint="eastAsia" w:ascii="宋体" w:hAnsi="宋体"/>
          <w:b/>
          <w:bCs/>
          <w:color w:val="auto"/>
          <w:sz w:val="32"/>
          <w:szCs w:val="32"/>
          <w:lang w:val="en-US" w:eastAsia="zh-CN"/>
        </w:rPr>
        <w:t>附件一</w:t>
      </w:r>
    </w:p>
    <w:p w14:paraId="43A3AB33">
      <w:pPr>
        <w:keepNext w:val="0"/>
        <w:keepLines w:val="0"/>
        <w:pageBreakBefore w:val="0"/>
        <w:widowControl w:val="0"/>
        <w:numPr>
          <w:ilvl w:val="0"/>
          <w:numId w:val="10"/>
        </w:numPr>
        <w:kinsoku/>
        <w:wordWrap/>
        <w:overflowPunct/>
        <w:topLinePunct w:val="0"/>
        <w:autoSpaceDE/>
        <w:autoSpaceDN/>
        <w:bidi w:val="0"/>
        <w:adjustRightInd/>
        <w:snapToGrid/>
        <w:spacing w:line="360" w:lineRule="exact"/>
        <w:ind w:left="0" w:leftChars="0" w:right="0" w:rightChars="0" w:firstLine="0" w:firstLineChars="0"/>
        <w:jc w:val="center"/>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中小企业声明函（货物）格式</w:t>
      </w:r>
    </w:p>
    <w:p w14:paraId="4ECFA8D1">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right="0" w:rightChars="0" w:firstLine="3840" w:firstLineChars="1600"/>
        <w:jc w:val="both"/>
        <w:textAlignment w:val="auto"/>
        <w:rPr>
          <w:rFonts w:hint="default" w:ascii="黑体" w:hAnsi="黑体" w:eastAsia="黑体" w:cs="黑体"/>
          <w:sz w:val="32"/>
          <w:szCs w:val="32"/>
          <w:highlight w:val="none"/>
          <w:lang w:val="en-US" w:eastAsia="zh-CN"/>
        </w:rPr>
      </w:pPr>
      <w:r>
        <w:rPr>
          <w:rFonts w:hint="eastAsia" w:ascii="宋体" w:hAnsi="宋体" w:eastAsia="宋体" w:cs="Times New Roman"/>
          <w:sz w:val="24"/>
          <w:szCs w:val="24"/>
          <w:lang w:val="en-US" w:eastAsia="zh-CN"/>
        </w:rPr>
        <w:t>（如有请提供）</w:t>
      </w:r>
    </w:p>
    <w:p w14:paraId="6747955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宋体" w:hAnsi="宋体" w:eastAsia="宋体" w:cs="Times New Roman"/>
          <w:b/>
          <w:sz w:val="28"/>
          <w:szCs w:val="28"/>
        </w:rPr>
      </w:pPr>
    </w:p>
    <w:p w14:paraId="20BD4D0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rPr>
        <w:t>本公司（联合体）郑重声明，根据《政府采购促进中小企业发展管理办法》（财库﹝2020﹞46 号）的规定</w:t>
      </w:r>
      <w:r>
        <w:rPr>
          <w:rFonts w:hint="eastAsia" w:ascii="宋体" w:hAnsi="宋体" w:eastAsia="宋体" w:cs="Times New Roman"/>
          <w:sz w:val="24"/>
          <w:szCs w:val="24"/>
          <w:highlight w:val="none"/>
        </w:rPr>
        <w:t xml:space="preserve">，本公司 （联合体）参加 </w:t>
      </w:r>
      <w:r>
        <w:rPr>
          <w:rFonts w:hint="eastAsia" w:ascii="宋体" w:hAnsi="宋体" w:eastAsia="宋体" w:cs="Times New Roman"/>
          <w:sz w:val="24"/>
          <w:szCs w:val="24"/>
          <w:highlight w:val="none"/>
          <w:u w:val="single"/>
        </w:rPr>
        <w:t xml:space="preserve">（ 单 位 名 称 ） </w:t>
      </w:r>
      <w:r>
        <w:rPr>
          <w:rFonts w:hint="eastAsia" w:ascii="宋体" w:hAnsi="宋体" w:eastAsia="宋体" w:cs="Times New Roman"/>
          <w:sz w:val="24"/>
          <w:szCs w:val="24"/>
          <w:highlight w:val="none"/>
        </w:rPr>
        <w:t xml:space="preserve">的 </w:t>
      </w:r>
      <w:r>
        <w:rPr>
          <w:rFonts w:hint="eastAsia" w:ascii="宋体" w:hAnsi="宋体" w:eastAsia="宋体" w:cs="Times New Roman"/>
          <w:sz w:val="24"/>
          <w:szCs w:val="24"/>
          <w:highlight w:val="none"/>
          <w:u w:val="single"/>
        </w:rPr>
        <w:t>（ 项 目 名 称 ）</w:t>
      </w:r>
      <w:r>
        <w:rPr>
          <w:rFonts w:hint="eastAsia" w:ascii="宋体" w:hAnsi="宋体" w:eastAsia="宋体" w:cs="Times New Roman"/>
          <w:sz w:val="24"/>
          <w:szCs w:val="24"/>
          <w:highlight w:val="none"/>
        </w:rPr>
        <w:t xml:space="preserve"> 采购活动，提供的货物全部由符合政策要求的中小企业制造。相关企业 （含联合体中的中小企业、签订分包意向协议的中小企业） 的具体情况如下：</w:t>
      </w:r>
    </w:p>
    <w:p w14:paraId="44F1EB3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Times New Roman"/>
          <w:sz w:val="24"/>
          <w:szCs w:val="24"/>
          <w:u w:val="single"/>
        </w:rPr>
      </w:pPr>
      <w:r>
        <w:rPr>
          <w:rFonts w:hint="eastAsia" w:ascii="宋体" w:hAnsi="宋体" w:eastAsia="宋体" w:cs="Times New Roman"/>
          <w:sz w:val="24"/>
          <w:szCs w:val="24"/>
          <w:highlight w:val="none"/>
          <w:lang w:val="en-US" w:eastAsia="zh-CN"/>
        </w:rPr>
        <w:t>1.</w:t>
      </w:r>
      <w:r>
        <w:rPr>
          <w:rFonts w:hint="eastAsia" w:ascii="宋体" w:hAnsi="宋体" w:eastAsia="宋体" w:cs="Times New Roman"/>
          <w:sz w:val="24"/>
          <w:szCs w:val="24"/>
          <w:highlight w:val="none"/>
          <w:u w:val="single"/>
        </w:rPr>
        <w:t>（ 标 的 名 称 ）</w:t>
      </w:r>
      <w:r>
        <w:rPr>
          <w:rFonts w:hint="eastAsia" w:ascii="宋体" w:hAnsi="宋体" w:eastAsia="宋体" w:cs="Times New Roman"/>
          <w:sz w:val="24"/>
          <w:szCs w:val="24"/>
          <w:highlight w:val="none"/>
        </w:rPr>
        <w:t xml:space="preserve"> ，属于 </w:t>
      </w:r>
      <w:r>
        <w:rPr>
          <w:rFonts w:hint="eastAsia" w:ascii="宋体" w:hAnsi="宋体" w:eastAsia="宋体" w:cs="Times New Roman"/>
          <w:sz w:val="24"/>
          <w:szCs w:val="24"/>
          <w:highlight w:val="none"/>
          <w:u w:val="single"/>
        </w:rPr>
        <w:t xml:space="preserve">（ 采 购 文 件 中 </w:t>
      </w:r>
      <w:r>
        <w:rPr>
          <w:rFonts w:hint="eastAsia" w:ascii="宋体" w:hAnsi="宋体" w:eastAsia="宋体" w:cs="Times New Roman"/>
          <w:sz w:val="24"/>
          <w:szCs w:val="24"/>
          <w:u w:val="single"/>
        </w:rPr>
        <w:t>明 确 的 所 属 行 业 ） 行 业</w:t>
      </w:r>
      <w:r>
        <w:rPr>
          <w:rFonts w:hint="eastAsia" w:ascii="宋体" w:hAnsi="宋体" w:eastAsia="宋体" w:cs="Times New Roman"/>
          <w:sz w:val="24"/>
          <w:szCs w:val="24"/>
        </w:rPr>
        <w:t xml:space="preserve"> ；制造商为</w:t>
      </w:r>
      <w:r>
        <w:rPr>
          <w:rFonts w:hint="eastAsia" w:ascii="宋体" w:hAnsi="宋体" w:eastAsia="宋体" w:cs="Times New Roman"/>
          <w:sz w:val="24"/>
          <w:szCs w:val="24"/>
          <w:u w:val="single"/>
        </w:rPr>
        <w:t xml:space="preserve"> （ 企 业 名 称 ）</w:t>
      </w:r>
      <w:r>
        <w:rPr>
          <w:rFonts w:hint="eastAsia" w:ascii="宋体" w:hAnsi="宋体" w:eastAsia="宋体" w:cs="Times New Roman"/>
          <w:sz w:val="24"/>
          <w:szCs w:val="24"/>
        </w:rPr>
        <w:t xml:space="preserve"> ，从业人员</w:t>
      </w:r>
      <w:r>
        <w:rPr>
          <w:rFonts w:hint="eastAsia" w:ascii="宋体" w:hAnsi="宋体" w:eastAsia="宋体" w:cs="Times New Roman"/>
          <w:sz w:val="24"/>
          <w:szCs w:val="24"/>
          <w:u w:val="single"/>
          <w:lang w:val="en-US" w:eastAsia="zh-CN"/>
        </w:rPr>
        <w:t xml:space="preserve">   </w:t>
      </w:r>
      <w:r>
        <w:rPr>
          <w:rFonts w:hint="eastAsia" w:ascii="宋体" w:hAnsi="宋体" w:eastAsia="宋体" w:cs="Times New Roman"/>
          <w:sz w:val="24"/>
          <w:szCs w:val="24"/>
        </w:rPr>
        <w:t>人，营业收入为</w:t>
      </w:r>
      <w:r>
        <w:rPr>
          <w:rFonts w:hint="eastAsia" w:ascii="宋体" w:hAnsi="宋体" w:eastAsia="宋体" w:cs="Times New Roman"/>
          <w:sz w:val="24"/>
          <w:szCs w:val="24"/>
          <w:u w:val="single"/>
          <w:lang w:val="en-US" w:eastAsia="zh-CN"/>
        </w:rPr>
        <w:t xml:space="preserve">    </w:t>
      </w:r>
      <w:r>
        <w:rPr>
          <w:rFonts w:hint="eastAsia" w:ascii="宋体" w:hAnsi="宋体" w:eastAsia="宋体" w:cs="Times New Roman"/>
          <w:sz w:val="24"/>
          <w:szCs w:val="24"/>
        </w:rPr>
        <w:t>万元，资产总额为</w:t>
      </w:r>
      <w:r>
        <w:rPr>
          <w:rFonts w:hint="eastAsia" w:ascii="宋体" w:hAnsi="宋体" w:eastAsia="宋体" w:cs="Times New Roman"/>
          <w:sz w:val="24"/>
          <w:szCs w:val="24"/>
          <w:u w:val="single"/>
          <w:lang w:val="en-US" w:eastAsia="zh-CN"/>
        </w:rPr>
        <w:t xml:space="preserve">   </w:t>
      </w:r>
      <w:r>
        <w:rPr>
          <w:rFonts w:hint="eastAsia" w:ascii="宋体" w:hAnsi="宋体" w:eastAsia="宋体" w:cs="Times New Roman"/>
          <w:sz w:val="24"/>
          <w:szCs w:val="24"/>
        </w:rPr>
        <w:t>万元</w:t>
      </w:r>
      <w:r>
        <w:rPr>
          <w:rFonts w:hint="eastAsia" w:ascii="宋体" w:hAnsi="宋体" w:eastAsia="宋体" w:cs="Times New Roman"/>
          <w:sz w:val="24"/>
          <w:szCs w:val="24"/>
          <w:vertAlign w:val="superscript"/>
          <w:lang w:val="en-US" w:eastAsia="zh-CN"/>
        </w:rPr>
        <w:t>1</w:t>
      </w:r>
      <w:r>
        <w:rPr>
          <w:rFonts w:hint="eastAsia" w:ascii="宋体" w:hAnsi="宋体" w:eastAsia="宋体" w:cs="Times New Roman"/>
          <w:sz w:val="24"/>
          <w:szCs w:val="24"/>
        </w:rPr>
        <w:t xml:space="preserve">，属于 </w:t>
      </w:r>
      <w:r>
        <w:rPr>
          <w:rFonts w:hint="eastAsia" w:ascii="宋体" w:hAnsi="宋体" w:eastAsia="宋体" w:cs="Times New Roman"/>
          <w:sz w:val="24"/>
          <w:szCs w:val="24"/>
          <w:u w:val="single"/>
        </w:rPr>
        <w:t xml:space="preserve">（ 中 型 企 业 、 小 型 企 业 、 微 型 企 业 ） ； </w:t>
      </w:r>
    </w:p>
    <w:p w14:paraId="799E0FBB">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Times New Roman"/>
          <w:sz w:val="24"/>
          <w:szCs w:val="24"/>
        </w:rPr>
      </w:pPr>
      <w:r>
        <w:rPr>
          <w:rFonts w:hint="eastAsia" w:ascii="宋体" w:hAnsi="宋体" w:eastAsia="宋体" w:cs="Times New Roman"/>
          <w:sz w:val="24"/>
          <w:szCs w:val="24"/>
        </w:rPr>
        <w:t xml:space="preserve">2. </w:t>
      </w:r>
      <w:r>
        <w:rPr>
          <w:rFonts w:hint="eastAsia" w:ascii="宋体" w:hAnsi="宋体" w:eastAsia="宋体" w:cs="Times New Roman"/>
          <w:sz w:val="24"/>
          <w:szCs w:val="24"/>
          <w:u w:val="single"/>
        </w:rPr>
        <w:t xml:space="preserve">（ 标 的 名 称 ） </w:t>
      </w:r>
      <w:r>
        <w:rPr>
          <w:rFonts w:hint="eastAsia" w:ascii="宋体" w:hAnsi="宋体" w:eastAsia="宋体" w:cs="Times New Roman"/>
          <w:sz w:val="24"/>
          <w:szCs w:val="24"/>
        </w:rPr>
        <w:t xml:space="preserve">，属于 </w:t>
      </w:r>
      <w:r>
        <w:rPr>
          <w:rFonts w:hint="eastAsia" w:ascii="宋体" w:hAnsi="宋体" w:eastAsia="宋体" w:cs="Times New Roman"/>
          <w:sz w:val="24"/>
          <w:szCs w:val="24"/>
          <w:u w:val="single"/>
        </w:rPr>
        <w:t xml:space="preserve">（ 采 购 文 件 中 明 确 的 所 属 行 业 ） 行 业 </w:t>
      </w:r>
      <w:r>
        <w:rPr>
          <w:rFonts w:hint="eastAsia" w:ascii="宋体" w:hAnsi="宋体" w:eastAsia="宋体" w:cs="Times New Roman"/>
          <w:sz w:val="24"/>
          <w:szCs w:val="24"/>
        </w:rPr>
        <w:t>；制造商为</w:t>
      </w:r>
      <w:r>
        <w:rPr>
          <w:rFonts w:hint="eastAsia" w:ascii="宋体" w:hAnsi="宋体" w:eastAsia="宋体" w:cs="Times New Roman"/>
          <w:sz w:val="24"/>
          <w:szCs w:val="24"/>
          <w:u w:val="single"/>
        </w:rPr>
        <w:t xml:space="preserve"> （ 企 业 名 称 ）</w:t>
      </w:r>
      <w:r>
        <w:rPr>
          <w:rFonts w:hint="eastAsia" w:ascii="宋体" w:hAnsi="宋体" w:eastAsia="宋体" w:cs="Times New Roman"/>
          <w:sz w:val="24"/>
          <w:szCs w:val="24"/>
        </w:rPr>
        <w:t xml:space="preserve"> ，从业人员</w:t>
      </w:r>
      <w:r>
        <w:rPr>
          <w:rFonts w:hint="eastAsia" w:ascii="宋体" w:hAnsi="宋体" w:eastAsia="宋体" w:cs="Times New Roman"/>
          <w:sz w:val="24"/>
          <w:szCs w:val="24"/>
          <w:u w:val="single"/>
          <w:lang w:val="en-US" w:eastAsia="zh-CN"/>
        </w:rPr>
        <w:t xml:space="preserve">   </w:t>
      </w:r>
      <w:r>
        <w:rPr>
          <w:rFonts w:hint="eastAsia" w:ascii="宋体" w:hAnsi="宋体" w:eastAsia="宋体" w:cs="Times New Roman"/>
          <w:sz w:val="24"/>
          <w:szCs w:val="24"/>
        </w:rPr>
        <w:t>人，营业收入为</w:t>
      </w:r>
      <w:r>
        <w:rPr>
          <w:rFonts w:hint="eastAsia" w:ascii="宋体" w:hAnsi="宋体" w:eastAsia="宋体" w:cs="Times New Roman"/>
          <w:sz w:val="24"/>
          <w:szCs w:val="24"/>
          <w:u w:val="single"/>
          <w:lang w:val="en-US" w:eastAsia="zh-CN"/>
        </w:rPr>
        <w:t xml:space="preserve">    </w:t>
      </w:r>
      <w:r>
        <w:rPr>
          <w:rFonts w:hint="eastAsia" w:ascii="宋体" w:hAnsi="宋体" w:eastAsia="宋体" w:cs="Times New Roman"/>
          <w:sz w:val="24"/>
          <w:szCs w:val="24"/>
        </w:rPr>
        <w:t>万元，资产总额为</w:t>
      </w:r>
      <w:r>
        <w:rPr>
          <w:rFonts w:hint="eastAsia" w:ascii="宋体" w:hAnsi="宋体" w:eastAsia="宋体" w:cs="Times New Roman"/>
          <w:sz w:val="24"/>
          <w:szCs w:val="24"/>
          <w:u w:val="single"/>
          <w:lang w:val="en-US" w:eastAsia="zh-CN"/>
        </w:rPr>
        <w:t xml:space="preserve">     </w:t>
      </w:r>
      <w:r>
        <w:rPr>
          <w:rFonts w:hint="eastAsia" w:ascii="宋体" w:hAnsi="宋体" w:eastAsia="宋体" w:cs="Times New Roman"/>
          <w:sz w:val="24"/>
          <w:szCs w:val="24"/>
        </w:rPr>
        <w:t>万元，属于</w:t>
      </w:r>
      <w:r>
        <w:rPr>
          <w:rFonts w:hint="eastAsia" w:ascii="宋体" w:hAnsi="宋体" w:eastAsia="宋体" w:cs="Times New Roman"/>
          <w:sz w:val="24"/>
          <w:szCs w:val="24"/>
          <w:u w:val="single"/>
        </w:rPr>
        <w:t xml:space="preserve"> （ 中 型 企 业 、 小 型 企 业 、 微 型 企 业 ）</w:t>
      </w:r>
      <w:r>
        <w:rPr>
          <w:rFonts w:hint="eastAsia" w:ascii="宋体" w:hAnsi="宋体" w:eastAsia="宋体" w:cs="Times New Roman"/>
          <w:sz w:val="24"/>
          <w:szCs w:val="24"/>
        </w:rPr>
        <w:t xml:space="preserve"> ；</w:t>
      </w:r>
    </w:p>
    <w:p w14:paraId="22AC6DF3">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Times New Roman"/>
          <w:sz w:val="24"/>
          <w:szCs w:val="24"/>
        </w:rPr>
      </w:pPr>
      <w:r>
        <w:rPr>
          <w:rFonts w:hint="eastAsia" w:ascii="宋体" w:hAnsi="宋体" w:eastAsia="宋体" w:cs="Times New Roman"/>
          <w:sz w:val="24"/>
          <w:szCs w:val="24"/>
        </w:rPr>
        <w:t xml:space="preserve"> ……</w:t>
      </w:r>
    </w:p>
    <w:p w14:paraId="47A3FDD8">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Times New Roman"/>
          <w:sz w:val="24"/>
          <w:szCs w:val="24"/>
        </w:rPr>
      </w:pPr>
      <w:r>
        <w:rPr>
          <w:rFonts w:hint="eastAsia" w:ascii="宋体" w:hAnsi="宋体" w:eastAsia="宋体" w:cs="Times New Roman"/>
          <w:sz w:val="24"/>
          <w:szCs w:val="24"/>
        </w:rPr>
        <w:t xml:space="preserve"> 以上企业，不属于大企业的分支机构，不存在控股股东为大企业的情形，也不存在与大企业的</w:t>
      </w:r>
      <w:r>
        <w:rPr>
          <w:rFonts w:hint="eastAsia" w:ascii="宋体" w:hAnsi="宋体" w:cs="Times New Roman"/>
          <w:sz w:val="24"/>
          <w:szCs w:val="24"/>
          <w:lang w:eastAsia="zh-CN"/>
        </w:rPr>
        <w:t>授权代理人</w:t>
      </w:r>
      <w:r>
        <w:rPr>
          <w:rFonts w:hint="eastAsia" w:ascii="宋体" w:hAnsi="宋体" w:eastAsia="宋体" w:cs="Times New Roman"/>
          <w:sz w:val="24"/>
          <w:szCs w:val="24"/>
        </w:rPr>
        <w:t>为同一人的情形。</w:t>
      </w:r>
    </w:p>
    <w:p w14:paraId="3DDED37C">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Times New Roman"/>
          <w:sz w:val="24"/>
          <w:szCs w:val="24"/>
        </w:rPr>
      </w:pPr>
      <w:r>
        <w:rPr>
          <w:rFonts w:hint="eastAsia" w:ascii="宋体" w:hAnsi="宋体" w:eastAsia="宋体" w:cs="Times New Roman"/>
          <w:sz w:val="24"/>
          <w:szCs w:val="24"/>
        </w:rPr>
        <w:t xml:space="preserve">本企业对上述声明内容的真实性负责。如有虚假，将依法承担相应责任。 </w:t>
      </w:r>
    </w:p>
    <w:p w14:paraId="6DC01B6C">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760" w:firstLineChars="1700"/>
        <w:textAlignment w:val="auto"/>
        <w:rPr>
          <w:rFonts w:hint="eastAsia" w:ascii="宋体" w:hAnsi="宋体" w:cs="Times New Roman"/>
          <w:sz w:val="28"/>
          <w:szCs w:val="28"/>
          <w:lang w:val="en-US" w:eastAsia="zh-CN"/>
        </w:rPr>
      </w:pPr>
    </w:p>
    <w:p w14:paraId="21FC98E4">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760" w:firstLineChars="1700"/>
        <w:textAlignment w:val="auto"/>
        <w:rPr>
          <w:rFonts w:hint="eastAsia" w:ascii="宋体" w:hAnsi="宋体" w:cs="Times New Roman"/>
          <w:sz w:val="28"/>
          <w:szCs w:val="28"/>
          <w:lang w:val="en-US" w:eastAsia="zh-CN"/>
        </w:rPr>
      </w:pPr>
    </w:p>
    <w:p w14:paraId="7BFFE6B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760" w:firstLineChars="1700"/>
        <w:textAlignment w:val="auto"/>
        <w:rPr>
          <w:rFonts w:hint="eastAsia" w:ascii="宋体" w:hAnsi="宋体" w:cs="Times New Roman"/>
          <w:sz w:val="28"/>
          <w:szCs w:val="28"/>
          <w:lang w:val="en-US" w:eastAsia="zh-CN"/>
        </w:rPr>
      </w:pPr>
    </w:p>
    <w:p w14:paraId="597933DF">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760" w:firstLineChars="1700"/>
        <w:textAlignment w:val="auto"/>
        <w:rPr>
          <w:rFonts w:hint="eastAsia" w:ascii="宋体" w:hAnsi="宋体" w:cs="Times New Roman"/>
          <w:sz w:val="28"/>
          <w:szCs w:val="28"/>
          <w:lang w:val="en-US" w:eastAsia="zh-CN"/>
        </w:rPr>
      </w:pPr>
    </w:p>
    <w:p w14:paraId="497D1929">
      <w:pPr>
        <w:keepNext w:val="0"/>
        <w:keepLines w:val="0"/>
        <w:widowControl/>
        <w:suppressLineNumbers w:val="0"/>
        <w:jc w:val="center"/>
        <w:rPr>
          <w:u w:val="single"/>
        </w:rPr>
      </w:pPr>
      <w:r>
        <w:rPr>
          <w:rFonts w:hint="eastAsia" w:ascii="宋体" w:hAnsi="宋体" w:eastAsia="宋体" w:cs="宋体"/>
          <w:color w:val="000000"/>
          <w:kern w:val="0"/>
          <w:sz w:val="24"/>
          <w:szCs w:val="24"/>
          <w:lang w:val="en-US" w:eastAsia="zh-CN" w:bidi="ar"/>
        </w:rPr>
        <w:t xml:space="preserve">                              企业名称（盖章）：</w:t>
      </w:r>
      <w:r>
        <w:rPr>
          <w:rFonts w:hint="eastAsia" w:ascii="Times New Roman" w:hAnsi="Times New Roman" w:eastAsia="宋体" w:cs="Times New Roman"/>
          <w:color w:val="000000"/>
          <w:kern w:val="0"/>
          <w:sz w:val="24"/>
          <w:szCs w:val="24"/>
          <w:u w:val="single"/>
          <w:lang w:val="en-US" w:eastAsia="zh-CN" w:bidi="ar"/>
        </w:rPr>
        <w:t xml:space="preserve">            </w:t>
      </w:r>
      <w:r>
        <w:rPr>
          <w:rFonts w:hint="default" w:ascii="Times New Roman" w:hAnsi="Times New Roman" w:eastAsia="宋体" w:cs="Times New Roman"/>
          <w:color w:val="000000"/>
          <w:kern w:val="0"/>
          <w:sz w:val="24"/>
          <w:szCs w:val="24"/>
          <w:u w:val="single"/>
          <w:lang w:val="en-US" w:eastAsia="zh-CN" w:bidi="ar"/>
        </w:rPr>
        <w:t xml:space="preserve"> </w:t>
      </w:r>
    </w:p>
    <w:p w14:paraId="752BF235">
      <w:pPr>
        <w:keepNext w:val="0"/>
        <w:keepLines w:val="0"/>
        <w:widowControl/>
        <w:suppressLineNumbers w:val="0"/>
        <w:jc w:val="center"/>
        <w:rPr>
          <w:rFonts w:hint="default" w:ascii="宋体" w:hAnsi="宋体" w:eastAsia="宋体" w:cs="宋体"/>
          <w:sz w:val="24"/>
          <w:szCs w:val="30"/>
          <w:highlight w:val="none"/>
          <w:u w:val="single"/>
          <w:lang w:val="en-US"/>
        </w:rPr>
      </w:pPr>
      <w:r>
        <w:rPr>
          <w:rFonts w:hint="eastAsia" w:ascii="宋体" w:hAnsi="宋体" w:cs="宋体"/>
          <w:color w:val="000000"/>
          <w:kern w:val="0"/>
          <w:sz w:val="24"/>
          <w:szCs w:val="24"/>
          <w:lang w:val="en-US" w:eastAsia="zh-CN" w:bidi="ar"/>
        </w:rPr>
        <w:t xml:space="preserve">                   </w:t>
      </w:r>
      <w:r>
        <w:rPr>
          <w:rFonts w:hint="eastAsia" w:ascii="宋体" w:hAnsi="宋体" w:eastAsia="宋体" w:cs="宋体"/>
          <w:color w:val="000000"/>
          <w:kern w:val="0"/>
          <w:sz w:val="24"/>
          <w:szCs w:val="24"/>
          <w:lang w:val="en-US" w:eastAsia="zh-CN" w:bidi="ar"/>
        </w:rPr>
        <w:t>日 期：</w:t>
      </w:r>
      <w:r>
        <w:rPr>
          <w:rFonts w:hint="eastAsia" w:cs="Times New Roman"/>
          <w:color w:val="000000"/>
          <w:kern w:val="0"/>
          <w:sz w:val="24"/>
          <w:szCs w:val="24"/>
          <w:u w:val="single"/>
          <w:lang w:val="en-US" w:eastAsia="zh-CN" w:bidi="ar"/>
        </w:rPr>
        <w:t xml:space="preserve">                         </w:t>
      </w:r>
    </w:p>
    <w:p w14:paraId="1486C11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30"/>
          <w:highlight w:val="none"/>
        </w:rPr>
      </w:pPr>
    </w:p>
    <w:p w14:paraId="6D219DE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30"/>
          <w:highlight w:val="none"/>
        </w:rPr>
      </w:pPr>
    </w:p>
    <w:p w14:paraId="5E25536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sz w:val="24"/>
          <w:szCs w:val="30"/>
          <w:highlight w:val="none"/>
        </w:rPr>
        <w:t>注：</w:t>
      </w:r>
      <w:r>
        <w:rPr>
          <w:rFonts w:hint="eastAsia" w:ascii="宋体" w:hAnsi="宋体" w:eastAsia="宋体" w:cs="宋体"/>
          <w:sz w:val="24"/>
          <w:szCs w:val="24"/>
          <w:highlight w:val="none"/>
        </w:rPr>
        <w:t>1、</w:t>
      </w:r>
      <w:r>
        <w:rPr>
          <w:rFonts w:hint="eastAsia" w:ascii="宋体" w:hAnsi="宋体" w:eastAsia="宋体" w:cs="宋体"/>
          <w:color w:val="000000" w:themeColor="text1"/>
          <w:sz w:val="24"/>
          <w:szCs w:val="24"/>
          <w14:textFill>
            <w14:solidFill>
              <w14:schemeClr w14:val="tx1"/>
            </w14:solidFill>
          </w14:textFill>
        </w:rPr>
        <w:t>本项目</w:t>
      </w:r>
      <w:r>
        <w:rPr>
          <w:rFonts w:hint="eastAsia" w:ascii="宋体" w:hAnsi="宋体" w:eastAsia="宋体" w:cs="宋体"/>
          <w:color w:val="000000" w:themeColor="text1"/>
          <w:sz w:val="24"/>
          <w:szCs w:val="24"/>
          <w:lang w:val="en-US" w:eastAsia="zh-CN"/>
          <w14:textFill>
            <w14:solidFill>
              <w14:schemeClr w14:val="tx1"/>
            </w14:solidFill>
          </w14:textFill>
        </w:rPr>
        <w:t>为</w:t>
      </w:r>
      <w:r>
        <w:rPr>
          <w:rFonts w:hint="eastAsia" w:ascii="宋体" w:hAnsi="宋体" w:eastAsia="宋体" w:cs="宋体"/>
          <w:color w:val="000000" w:themeColor="text1"/>
          <w:sz w:val="24"/>
          <w:szCs w:val="24"/>
          <w14:textFill>
            <w14:solidFill>
              <w14:schemeClr w14:val="tx1"/>
            </w14:solidFill>
          </w14:textFill>
        </w:rPr>
        <w:t>全部面向中小企业采购项目，投标人按采购文件格式要求填写中小企业声明函或监狱企业或残疾人福利性单位证明文件</w:t>
      </w:r>
      <w:r>
        <w:rPr>
          <w:rFonts w:hint="eastAsia" w:ascii="宋体" w:hAnsi="宋体" w:eastAsia="宋体" w:cs="宋体"/>
          <w:color w:val="000000" w:themeColor="text1"/>
          <w:sz w:val="24"/>
          <w:szCs w:val="24"/>
          <w:lang w:eastAsia="zh-CN"/>
          <w14:textFill>
            <w14:solidFill>
              <w14:schemeClr w14:val="tx1"/>
            </w14:solidFill>
          </w14:textFill>
        </w:rPr>
        <w:t>。中小企业所投产品非本企业生产，应提供产品制造企业为中小企业的声明函。</w:t>
      </w:r>
    </w:p>
    <w:p w14:paraId="18DD2E3A">
      <w:pPr>
        <w:keepNext w:val="0"/>
        <w:keepLines w:val="0"/>
        <w:pageBreakBefore w:val="0"/>
        <w:widowControl w:val="0"/>
        <w:numPr>
          <w:ilvl w:val="0"/>
          <w:numId w:val="11"/>
        </w:numPr>
        <w:kinsoku/>
        <w:wordWrap/>
        <w:overflowPunct/>
        <w:topLinePunct w:val="0"/>
        <w:autoSpaceDE/>
        <w:autoSpaceDN/>
        <w:bidi w:val="0"/>
        <w:adjustRightInd/>
        <w:snapToGrid/>
        <w:spacing w:line="360" w:lineRule="exact"/>
        <w:ind w:left="-60" w:leftChars="0" w:firstLine="480" w:firstLineChars="0"/>
        <w:textAlignment w:val="auto"/>
        <w:rPr>
          <w:rFonts w:hint="eastAsia" w:ascii="黑体" w:hAnsi="黑体" w:eastAsia="黑体" w:cs="黑体"/>
          <w:sz w:val="32"/>
          <w:szCs w:val="32"/>
          <w:lang w:val="en-US" w:eastAsia="zh-CN"/>
        </w:rPr>
      </w:pPr>
      <w:r>
        <w:rPr>
          <w:rFonts w:hint="eastAsia" w:ascii="宋体" w:hAnsi="宋体" w:eastAsia="宋体" w:cs="宋体"/>
          <w:color w:val="000000" w:themeColor="text1"/>
          <w:sz w:val="24"/>
          <w:szCs w:val="24"/>
          <w14:textFill>
            <w14:solidFill>
              <w14:schemeClr w14:val="tx1"/>
            </w14:solidFill>
          </w14:textFill>
        </w:rPr>
        <w:t>从业人员、营业收入、资产总额填报上一年度数据，无上一年度数据的新成立企业可不</w:t>
      </w:r>
      <w:r>
        <w:rPr>
          <w:rFonts w:hint="eastAsia" w:ascii="宋体" w:hAnsi="宋体"/>
          <w:sz w:val="24"/>
          <w:szCs w:val="30"/>
          <w:highlight w:val="none"/>
        </w:rPr>
        <w:t>填报。</w:t>
      </w:r>
    </w:p>
    <w:p w14:paraId="6FC8E701">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宋体" w:hAnsi="宋体"/>
          <w:sz w:val="24"/>
          <w:szCs w:val="30"/>
          <w:highlight w:val="none"/>
        </w:rPr>
      </w:pPr>
    </w:p>
    <w:p w14:paraId="04BF0DF8">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br w:type="page"/>
      </w:r>
    </w:p>
    <w:p w14:paraId="6724377D">
      <w:pPr>
        <w:bidi w:val="0"/>
        <w:rPr>
          <w:rFonts w:hint="eastAsia" w:ascii="黑体" w:hAnsi="黑体" w:eastAsia="黑体" w:cs="黑体"/>
          <w:sz w:val="32"/>
          <w:szCs w:val="32"/>
        </w:rPr>
      </w:pPr>
      <w:r>
        <w:rPr>
          <w:rFonts w:hint="eastAsia" w:ascii="黑体" w:hAnsi="黑体" w:eastAsia="黑体" w:cs="黑体"/>
          <w:sz w:val="32"/>
          <w:szCs w:val="32"/>
          <w:lang w:val="en-US" w:eastAsia="zh-CN"/>
        </w:rPr>
        <w:t>（二）</w:t>
      </w:r>
      <w:r>
        <w:rPr>
          <w:rFonts w:hint="eastAsia" w:ascii="黑体" w:hAnsi="黑体" w:eastAsia="黑体" w:cs="黑体"/>
          <w:sz w:val="32"/>
          <w:szCs w:val="32"/>
        </w:rPr>
        <w:t>残疾人福利性单位声明函（非残疾人福利性单位不提供）</w:t>
      </w:r>
    </w:p>
    <w:p w14:paraId="639103E8">
      <w:pPr>
        <w:snapToGrid w:val="0"/>
        <w:spacing w:line="230" w:lineRule="auto"/>
        <w:ind w:firstLine="419"/>
        <w:jc w:val="center"/>
        <w:rPr>
          <w:rFonts w:ascii="宋体" w:hAnsi="宋体" w:eastAsia="宋体" w:cs="Times New Roman"/>
          <w:sz w:val="28"/>
          <w:szCs w:val="28"/>
        </w:rPr>
      </w:pPr>
    </w:p>
    <w:p w14:paraId="545CB4D4">
      <w:pPr>
        <w:snapToGrid w:val="0"/>
        <w:spacing w:line="230" w:lineRule="auto"/>
        <w:ind w:firstLine="419"/>
        <w:rPr>
          <w:rFonts w:ascii="宋体" w:hAnsi="宋体" w:eastAsia="宋体" w:cs="宋体"/>
          <w:kern w:val="0"/>
          <w:sz w:val="28"/>
          <w:szCs w:val="28"/>
        </w:rPr>
      </w:pPr>
    </w:p>
    <w:p w14:paraId="2970511F">
      <w:pPr>
        <w:snapToGrid w:val="0"/>
        <w:spacing w:line="480" w:lineRule="auto"/>
        <w:ind w:firstLine="420"/>
        <w:rPr>
          <w:rFonts w:hint="eastAsia" w:ascii="宋体" w:hAnsi="宋体" w:eastAsia="宋体" w:cs="宋体"/>
          <w:kern w:val="0"/>
          <w:sz w:val="24"/>
          <w:szCs w:val="24"/>
        </w:rPr>
      </w:pPr>
      <w:r>
        <w:rPr>
          <w:rFonts w:hint="eastAsia" w:ascii="宋体" w:hAnsi="宋体" w:eastAsia="宋体" w:cs="宋体"/>
          <w:kern w:val="0"/>
          <w:sz w:val="24"/>
          <w:szCs w:val="24"/>
        </w:rPr>
        <w:t>本单位郑重声明，根据《财政部 民政部 中国残疾人联合会关于促进残疾人就业政府采购政策的通知》（财库</w:t>
      </w:r>
      <w:r>
        <w:rPr>
          <w:rFonts w:hint="eastAsia" w:ascii="宋体" w:hAnsi="宋体" w:eastAsia="宋体" w:cs="宋体"/>
          <w:kern w:val="0"/>
          <w:sz w:val="24"/>
          <w:szCs w:val="24"/>
          <w:lang w:eastAsia="zh-CN"/>
        </w:rPr>
        <w:t>〔2017〕141号</w:t>
      </w:r>
      <w:r>
        <w:rPr>
          <w:rFonts w:hint="eastAsia" w:ascii="宋体" w:hAnsi="宋体" w:eastAsia="宋体" w:cs="宋体"/>
          <w:kern w:val="0"/>
          <w:sz w:val="24"/>
          <w:szCs w:val="24"/>
        </w:rPr>
        <w:t>）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70C676BF">
      <w:pPr>
        <w:snapToGrid w:val="0"/>
        <w:spacing w:line="480" w:lineRule="auto"/>
        <w:ind w:firstLine="420"/>
        <w:rPr>
          <w:rFonts w:hint="eastAsia" w:ascii="宋体" w:hAnsi="宋体" w:eastAsia="宋体" w:cs="宋体"/>
          <w:kern w:val="0"/>
          <w:sz w:val="24"/>
          <w:szCs w:val="24"/>
        </w:rPr>
      </w:pPr>
      <w:r>
        <w:rPr>
          <w:rFonts w:hint="eastAsia" w:ascii="宋体" w:hAnsi="宋体" w:eastAsia="宋体" w:cs="宋体"/>
          <w:kern w:val="0"/>
          <w:sz w:val="24"/>
          <w:szCs w:val="24"/>
        </w:rPr>
        <w:t>本单位对上述声明的真实性负责。如有虚假，将依法承担相应责任。</w:t>
      </w:r>
    </w:p>
    <w:p w14:paraId="2F8B100C">
      <w:pPr>
        <w:snapToGrid w:val="0"/>
        <w:spacing w:line="360" w:lineRule="auto"/>
        <w:ind w:firstLine="419"/>
        <w:rPr>
          <w:rFonts w:ascii="宋体" w:hAnsi="宋体" w:eastAsia="宋体" w:cs="宋体"/>
          <w:kern w:val="0"/>
          <w:sz w:val="28"/>
          <w:szCs w:val="28"/>
        </w:rPr>
      </w:pPr>
    </w:p>
    <w:p w14:paraId="38330A07">
      <w:pPr>
        <w:spacing w:line="500" w:lineRule="exact"/>
        <w:ind w:firstLine="3360" w:firstLineChars="1400"/>
        <w:jc w:val="left"/>
        <w:rPr>
          <w:rFonts w:ascii="宋体" w:eastAsia="宋体" w:cs="Times New Roman"/>
          <w:sz w:val="24"/>
          <w:szCs w:val="22"/>
        </w:rPr>
      </w:pPr>
      <w:r>
        <w:rPr>
          <w:rFonts w:hint="eastAsia" w:ascii="宋体" w:cs="Times New Roman"/>
          <w:sz w:val="24"/>
          <w:szCs w:val="22"/>
          <w:lang w:val="en-US" w:eastAsia="zh-CN"/>
        </w:rPr>
        <w:t>投标人全称</w:t>
      </w:r>
      <w:r>
        <w:rPr>
          <w:rFonts w:ascii="宋体" w:eastAsia="宋体" w:cs="Times New Roman"/>
          <w:sz w:val="24"/>
          <w:szCs w:val="22"/>
        </w:rPr>
        <w:t>：</w:t>
      </w:r>
      <w:r>
        <w:rPr>
          <w:rFonts w:hint="eastAsia" w:ascii="宋体" w:eastAsia="宋体" w:cs="Times New Roman"/>
          <w:sz w:val="24"/>
          <w:szCs w:val="22"/>
          <w:u w:val="single"/>
        </w:rPr>
        <w:t xml:space="preserve">                          </w:t>
      </w:r>
      <w:r>
        <w:rPr>
          <w:rFonts w:ascii="宋体" w:eastAsia="宋体" w:cs="Times New Roman"/>
          <w:sz w:val="24"/>
          <w:szCs w:val="22"/>
        </w:rPr>
        <w:t>（盖</w:t>
      </w:r>
      <w:r>
        <w:rPr>
          <w:rFonts w:hint="eastAsia" w:ascii="宋体" w:eastAsia="宋体" w:cs="Times New Roman"/>
          <w:sz w:val="24"/>
          <w:szCs w:val="22"/>
        </w:rPr>
        <w:t>单位</w:t>
      </w:r>
      <w:r>
        <w:rPr>
          <w:rFonts w:ascii="宋体" w:eastAsia="宋体" w:cs="Times New Roman"/>
          <w:sz w:val="24"/>
          <w:szCs w:val="22"/>
        </w:rPr>
        <w:t>公章）</w:t>
      </w:r>
    </w:p>
    <w:p w14:paraId="2423B8F3">
      <w:pPr>
        <w:spacing w:line="500" w:lineRule="exact"/>
        <w:ind w:firstLine="3360" w:firstLineChars="1400"/>
        <w:jc w:val="left"/>
        <w:rPr>
          <w:rFonts w:ascii="宋体" w:eastAsia="宋体" w:cs="Times New Roman"/>
          <w:sz w:val="24"/>
          <w:szCs w:val="22"/>
        </w:rPr>
      </w:pPr>
      <w:r>
        <w:rPr>
          <w:rFonts w:hint="eastAsia" w:ascii="宋体" w:eastAsia="宋体" w:cs="Times New Roman"/>
          <w:sz w:val="24"/>
          <w:szCs w:val="22"/>
        </w:rPr>
        <w:t>法定代表人或授权代</w:t>
      </w:r>
      <w:r>
        <w:rPr>
          <w:rFonts w:hint="eastAsia" w:ascii="宋体" w:cs="Times New Roman"/>
          <w:sz w:val="24"/>
          <w:szCs w:val="22"/>
          <w:lang w:val="en-US" w:eastAsia="zh-CN"/>
        </w:rPr>
        <w:t>理人</w:t>
      </w:r>
      <w:r>
        <w:rPr>
          <w:rFonts w:hint="eastAsia" w:ascii="宋体" w:eastAsia="宋体" w:cs="Times New Roman"/>
          <w:sz w:val="24"/>
          <w:szCs w:val="22"/>
        </w:rPr>
        <w:t>：</w:t>
      </w:r>
      <w:r>
        <w:rPr>
          <w:rFonts w:hint="eastAsia" w:ascii="宋体" w:eastAsia="宋体" w:cs="Times New Roman"/>
          <w:sz w:val="24"/>
          <w:szCs w:val="22"/>
          <w:u w:val="single"/>
        </w:rPr>
        <w:t>　　</w:t>
      </w:r>
      <w:r>
        <w:rPr>
          <w:rFonts w:ascii="宋体" w:eastAsia="宋体" w:cs="Times New Roman"/>
          <w:sz w:val="24"/>
          <w:szCs w:val="22"/>
          <w:u w:val="single"/>
        </w:rPr>
        <w:t>　　　　　</w:t>
      </w:r>
      <w:r>
        <w:rPr>
          <w:rFonts w:hint="eastAsia" w:ascii="宋体" w:eastAsia="宋体" w:cs="Times New Roman"/>
          <w:sz w:val="24"/>
          <w:szCs w:val="22"/>
        </w:rPr>
        <w:t>（签字）</w:t>
      </w:r>
    </w:p>
    <w:p w14:paraId="1DDB359A">
      <w:pPr>
        <w:spacing w:line="500" w:lineRule="exact"/>
        <w:ind w:firstLine="3360" w:firstLineChars="1400"/>
        <w:jc w:val="left"/>
        <w:rPr>
          <w:rFonts w:ascii="宋体" w:hAnsi="宋体" w:eastAsia="宋体" w:cs="Times New Roman"/>
          <w:sz w:val="28"/>
          <w:szCs w:val="28"/>
          <w:u w:val="single"/>
        </w:rPr>
      </w:pPr>
      <w:r>
        <w:rPr>
          <w:rFonts w:ascii="宋体" w:eastAsia="宋体" w:cs="Times New Roman"/>
          <w:sz w:val="24"/>
          <w:szCs w:val="22"/>
        </w:rPr>
        <w:t>日期：</w:t>
      </w:r>
      <w:r>
        <w:rPr>
          <w:rFonts w:hint="eastAsia" w:ascii="宋体" w:eastAsia="宋体" w:cs="Times New Roman"/>
          <w:sz w:val="24"/>
          <w:szCs w:val="22"/>
          <w:u w:val="single"/>
        </w:rPr>
        <w:t xml:space="preserve">                               </w:t>
      </w:r>
    </w:p>
    <w:p w14:paraId="1379839C">
      <w:pPr>
        <w:tabs>
          <w:tab w:val="left" w:pos="4858"/>
        </w:tabs>
        <w:snapToGrid w:val="0"/>
        <w:spacing w:line="360" w:lineRule="auto"/>
        <w:ind w:firstLine="419"/>
        <w:rPr>
          <w:rFonts w:ascii="宋体" w:hAnsi="宋体" w:eastAsia="宋体" w:cs="宋体"/>
          <w:kern w:val="0"/>
          <w:sz w:val="28"/>
          <w:szCs w:val="28"/>
        </w:rPr>
      </w:pPr>
    </w:p>
    <w:p w14:paraId="55D95B66">
      <w:pPr>
        <w:bidi w:val="0"/>
        <w:rPr>
          <w:rFonts w:hint="eastAsia" w:ascii="黑体" w:hAnsi="黑体" w:eastAsia="黑体" w:cs="黑体"/>
          <w:sz w:val="32"/>
          <w:szCs w:val="32"/>
          <w:lang w:val="en-US" w:eastAsia="zh-CN"/>
        </w:rPr>
      </w:pPr>
    </w:p>
    <w:p w14:paraId="2B06AA16">
      <w:pPr>
        <w:bidi w:val="0"/>
        <w:rPr>
          <w:rFonts w:hint="eastAsia" w:ascii="黑体" w:hAnsi="黑体" w:eastAsia="黑体" w:cs="黑体"/>
          <w:sz w:val="32"/>
          <w:szCs w:val="32"/>
          <w:lang w:val="en-US" w:eastAsia="zh-CN"/>
        </w:rPr>
      </w:pPr>
    </w:p>
    <w:p w14:paraId="680186ED">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br w:type="page"/>
      </w:r>
    </w:p>
    <w:p w14:paraId="0AAB402C">
      <w:pPr>
        <w:bidi w:val="0"/>
        <w:rPr>
          <w:rFonts w:hint="eastAsia" w:ascii="黑体" w:hAnsi="黑体" w:eastAsia="黑体" w:cs="黑体"/>
          <w:sz w:val="32"/>
          <w:szCs w:val="32"/>
          <w:lang w:eastAsia="zh-CN"/>
        </w:rPr>
      </w:pPr>
      <w:r>
        <w:rPr>
          <w:rFonts w:hint="eastAsia" w:ascii="黑体" w:hAnsi="黑体" w:eastAsia="黑体" w:cs="黑体"/>
          <w:sz w:val="32"/>
          <w:szCs w:val="32"/>
          <w:lang w:val="en-US" w:eastAsia="zh-CN"/>
        </w:rPr>
        <w:t>（三）</w:t>
      </w:r>
      <w:r>
        <w:rPr>
          <w:rFonts w:hint="eastAsia" w:ascii="黑体" w:hAnsi="黑体" w:eastAsia="黑体" w:cs="黑体"/>
          <w:sz w:val="32"/>
          <w:szCs w:val="32"/>
        </w:rPr>
        <w:t>省级以上监狱管理局、戒毒管理局（含新疆生产建设兵团）出具的属于监狱企业的证明文件（非监狱企业不提供</w:t>
      </w:r>
      <w:r>
        <w:rPr>
          <w:rFonts w:hint="eastAsia" w:ascii="黑体" w:hAnsi="黑体" w:eastAsia="黑体" w:cs="黑体"/>
          <w:sz w:val="32"/>
          <w:szCs w:val="32"/>
          <w:lang w:eastAsia="zh-CN"/>
        </w:rPr>
        <w:t>）</w:t>
      </w:r>
      <w:bookmarkEnd w:id="29"/>
    </w:p>
    <w:p w14:paraId="3DFADD14">
      <w:pPr>
        <w:rPr>
          <w:rFonts w:hint="eastAsia" w:ascii="黑体" w:hAnsi="黑体" w:eastAsia="黑体" w:cs="黑体"/>
          <w:sz w:val="32"/>
          <w:szCs w:val="32"/>
          <w:lang w:eastAsia="zh-CN"/>
        </w:rPr>
      </w:pPr>
      <w:r>
        <w:rPr>
          <w:rFonts w:hint="eastAsia" w:ascii="黑体" w:hAnsi="黑体" w:eastAsia="黑体" w:cs="黑体"/>
          <w:sz w:val="32"/>
          <w:szCs w:val="32"/>
          <w:lang w:eastAsia="zh-CN"/>
        </w:rPr>
        <w:br w:type="page"/>
      </w:r>
    </w:p>
    <w:p w14:paraId="113B3AB1">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21" w:beforeAutospacing="0" w:after="21" w:afterAutospacing="0"/>
        <w:ind w:left="0" w:right="0" w:firstLine="0"/>
        <w:jc w:val="center"/>
        <w:rPr>
          <w:rFonts w:hint="eastAsia" w:ascii="宋体" w:hAnsi="宋体" w:eastAsia="宋体" w:cs="宋体"/>
          <w:i w:val="0"/>
          <w:iCs w:val="0"/>
          <w:caps w:val="0"/>
          <w:color w:val="333333"/>
          <w:spacing w:val="0"/>
          <w:sz w:val="25"/>
          <w:szCs w:val="25"/>
        </w:rPr>
      </w:pPr>
      <w:r>
        <w:rPr>
          <w:rFonts w:hint="eastAsia" w:ascii="黑体" w:hAnsi="黑体" w:eastAsia="黑体" w:cs="黑体"/>
          <w:sz w:val="32"/>
          <w:szCs w:val="32"/>
          <w:lang w:val="en-US" w:eastAsia="zh-CN"/>
        </w:rPr>
        <w:t>（四）关于符合本国产品标准的声明函</w:t>
      </w:r>
    </w:p>
    <w:p w14:paraId="35A09881">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21" w:beforeAutospacing="0" w:after="21" w:afterAutospacing="0"/>
        <w:ind w:left="0" w:right="0" w:firstLine="420"/>
        <w:rPr>
          <w:rFonts w:hint="eastAsia" w:ascii="宋体" w:hAnsi="宋体" w:eastAsia="宋体" w:cs="宋体"/>
          <w:i w:val="0"/>
          <w:iCs w:val="0"/>
          <w:caps w:val="0"/>
          <w:color w:val="333333"/>
          <w:spacing w:val="0"/>
          <w:sz w:val="17"/>
          <w:szCs w:val="17"/>
        </w:rPr>
      </w:pPr>
    </w:p>
    <w:p w14:paraId="4C970D7D">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21" w:beforeAutospacing="0" w:after="21" w:afterAutospacing="0"/>
        <w:ind w:left="0" w:right="0" w:firstLine="42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本公司（单位）郑重声明，根据《国务院办公厅关于在政府采购中实施本国产品标准及相关政策的通知》（国办发〔2025〕34号）的规定，本公司（单位）提供的以下产品属于本国产品。具体情况如下：</w:t>
      </w:r>
    </w:p>
    <w:p w14:paraId="3F740F16">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21" w:beforeAutospacing="0" w:after="21" w:afterAutospacing="0"/>
        <w:ind w:left="0" w:right="0" w:firstLine="42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1.（产品名称1）1，生产厂为（厂名）2，厂址为（生产厂址）。（产品名称1）的中国境内生产的组件成本占比≥（规定比例）3。（产品名称1）的（关键组件）4在中国境内生产。（产品名称1）的（关键工序）5在中国境内完成。</w:t>
      </w:r>
    </w:p>
    <w:p w14:paraId="3206178D">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21" w:beforeAutospacing="0" w:after="21" w:afterAutospacing="0"/>
        <w:ind w:left="0" w:right="0" w:firstLine="42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2.（产品名称2），生产厂为（厂名），厂址为（生产厂址）。（产品名称2）的中国境内生产的组件成本占比≥（规定比例）。（产品名称2）的（关键组件）在中国境内生产。（产品名称2）的（关键工序）在中国境内完成。</w:t>
      </w:r>
    </w:p>
    <w:p w14:paraId="70E65E45">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21" w:beforeAutospacing="0" w:after="21" w:afterAutospacing="0"/>
        <w:ind w:left="0" w:right="0" w:firstLine="42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w:t>
      </w:r>
    </w:p>
    <w:p w14:paraId="57817E8B">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21" w:beforeAutospacing="0" w:after="21" w:afterAutospacing="0"/>
        <w:ind w:left="0" w:right="0" w:firstLine="42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本公司（单位）对上述声明内容的真实性负责。如有虚假，愿承担相应法律责任。</w:t>
      </w:r>
    </w:p>
    <w:p w14:paraId="259673D8">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21" w:beforeAutospacing="0" w:after="21" w:afterAutospacing="0"/>
        <w:ind w:left="0" w:right="0" w:firstLine="420"/>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公司（单位）名称（盖章）：      </w:t>
      </w:r>
    </w:p>
    <w:p w14:paraId="6AD551F3">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21" w:beforeAutospacing="0" w:after="21" w:afterAutospacing="0"/>
        <w:ind w:left="0" w:right="0" w:firstLine="420"/>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日期：　　　　　年　　月　日    </w:t>
      </w:r>
    </w:p>
    <w:p w14:paraId="330A7F75">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21" w:beforeAutospacing="0" w:after="21" w:afterAutospacing="0"/>
        <w:ind w:left="0" w:right="0" w:firstLine="420"/>
        <w:rPr>
          <w:rFonts w:hint="eastAsia" w:ascii="宋体" w:hAnsi="宋体" w:eastAsia="宋体" w:cs="宋体"/>
          <w:kern w:val="0"/>
          <w:sz w:val="24"/>
          <w:szCs w:val="24"/>
          <w:lang w:val="en-US" w:eastAsia="zh-CN" w:bidi="ar-SA"/>
        </w:rPr>
      </w:pPr>
    </w:p>
    <w:p w14:paraId="646C1FAD">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21" w:beforeAutospacing="0" w:after="21" w:afterAutospacing="0"/>
        <w:ind w:left="0" w:right="0" w:firstLine="420"/>
        <w:rPr>
          <w:rFonts w:hint="eastAsia" w:ascii="宋体" w:hAnsi="宋体" w:eastAsia="宋体" w:cs="宋体"/>
          <w:kern w:val="0"/>
          <w:sz w:val="24"/>
          <w:szCs w:val="24"/>
          <w:lang w:val="en-US" w:eastAsia="zh-CN" w:bidi="ar-SA"/>
        </w:rPr>
      </w:pPr>
    </w:p>
    <w:p w14:paraId="6CCA6169">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21" w:beforeAutospacing="0" w:after="21" w:afterAutospacing="0"/>
        <w:ind w:left="0" w:right="0" w:firstLine="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_____________________________</w:t>
      </w:r>
    </w:p>
    <w:p w14:paraId="155B04B4">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21" w:beforeAutospacing="0" w:after="21" w:afterAutospacing="0"/>
        <w:ind w:left="0" w:right="0" w:firstLine="42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1.产品如有型号，请在“产品名称”栏一并填写。</w:t>
      </w:r>
    </w:p>
    <w:p w14:paraId="06ED0533">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21" w:beforeAutospacing="0" w:after="21" w:afterAutospacing="0"/>
        <w:ind w:left="0" w:right="0" w:firstLine="42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2.生产厂名与厂址应与生产厂营业执照载明的相关信息保持一致。</w:t>
      </w:r>
    </w:p>
    <w:p w14:paraId="7E442E6F">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21" w:beforeAutospacing="0" w:after="21" w:afterAutospacing="0"/>
        <w:ind w:left="0" w:right="0" w:firstLine="42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3.该产品的中国境内生产的组件成本占比相关要求实施前，“规定比例”栏可不填，下同。</w:t>
      </w:r>
    </w:p>
    <w:p w14:paraId="11B5D369">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21" w:beforeAutospacing="0" w:after="21" w:afterAutospacing="0"/>
        <w:ind w:left="0" w:right="0" w:firstLine="42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4.该产品的关键组件要求实施前，“关键组件”栏可不填，下同。</w:t>
      </w:r>
    </w:p>
    <w:p w14:paraId="6D4E6FAF">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spacing w:before="21" w:beforeAutospacing="0" w:after="21" w:afterAutospacing="0"/>
        <w:ind w:left="0" w:right="0" w:firstLine="42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5.该产品的关键工序要求实施前，“关键工序”栏可不填，下同。</w:t>
      </w:r>
    </w:p>
    <w:p w14:paraId="06AD1AD8">
      <w:pPr>
        <w:bidi w:val="0"/>
        <w:rPr>
          <w:rFonts w:hint="eastAsia" w:ascii="黑体" w:hAnsi="黑体" w:eastAsia="黑体" w:cs="黑体"/>
          <w:sz w:val="32"/>
          <w:szCs w:val="32"/>
          <w:lang w:eastAsia="zh-CN"/>
        </w:rPr>
      </w:pPr>
      <w:r>
        <w:rPr>
          <w:rFonts w:hint="eastAsia" w:ascii="宋体" w:hAnsi="宋体" w:eastAsia="宋体" w:cs="宋体"/>
          <w:kern w:val="0"/>
          <w:sz w:val="24"/>
          <w:szCs w:val="24"/>
          <w:lang w:val="en-US" w:eastAsia="zh-CN" w:bidi="ar-SA"/>
        </w:rPr>
        <w:br w:type="page"/>
      </w:r>
    </w:p>
    <w:sectPr>
      <w:headerReference r:id="rId20" w:type="default"/>
      <w:footerReference r:id="rId21" w:type="default"/>
      <w:pgSz w:w="11906" w:h="16838"/>
      <w:pgMar w:top="1440" w:right="1080" w:bottom="1440" w:left="1080" w:header="851" w:footer="992" w:gutter="0"/>
      <w:pgNumType w:fmt="decimal"/>
      <w:cols w:space="0" w:num="1"/>
      <w:rtlGutter w:val="0"/>
      <w:docGrid w:type="lines" w:linePitch="4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
    <w:altName w:val="Times New Roman"/>
    <w:panose1 w:val="00000000000000000000"/>
    <w:charset w:val="00"/>
    <w:family w:val="roman"/>
    <w:pitch w:val="default"/>
    <w:sig w:usb0="00000000" w:usb1="00000000" w:usb2="00000000" w:usb3="00000000" w:csb0="00000001" w:csb1="00000000"/>
  </w:font>
  <w:font w:name="华文楷体">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64E293">
    <w:pPr>
      <w:pStyle w:val="12"/>
      <w:tabs>
        <w:tab w:val="clear" w:pos="4153"/>
      </w:tabs>
      <w:jc w:val="cen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772F94">
    <w:pPr>
      <w:pStyle w:val="9"/>
      <w:spacing w:line="229" w:lineRule="auto"/>
      <w:jc w:val="center"/>
      <w:rPr>
        <w:rFonts w:hint="default" w:eastAsiaTheme="minorEastAsia"/>
        <w:sz w:val="18"/>
        <w:szCs w:val="18"/>
        <w:lang w:val="en-US" w:eastAsia="zh-CN"/>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1A80F0">
                          <w:pPr>
                            <w:pStyle w:val="12"/>
                          </w:pPr>
                          <w:r>
                            <w:fldChar w:fldCharType="begin"/>
                          </w:r>
                          <w:r>
                            <w:instrText xml:space="preserve"> PAGE  \* MERGEFORMAT </w:instrText>
                          </w:r>
                          <w:r>
                            <w:fldChar w:fldCharType="separate"/>
                          </w:r>
                          <w:r>
                            <w:t>37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611A80F0">
                    <w:pPr>
                      <w:pStyle w:val="12"/>
                    </w:pPr>
                    <w:r>
                      <w:fldChar w:fldCharType="begin"/>
                    </w:r>
                    <w:r>
                      <w:instrText xml:space="preserve"> PAGE  \* MERGEFORMAT </w:instrText>
                    </w:r>
                    <w:r>
                      <w:fldChar w:fldCharType="separate"/>
                    </w:r>
                    <w:r>
                      <w:t>37</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9B2BB6">
    <w:pPr>
      <w:pStyle w:val="12"/>
      <w:jc w:val="center"/>
      <w:rPr>
        <w:rFonts w:hint="default" w:eastAsiaTheme="minorEastAsia"/>
        <w:lang w:val="en-US" w:eastAsia="zh-CN"/>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7D560E">
                          <w:pPr>
                            <w:pStyle w:val="12"/>
                          </w:pPr>
                          <w:r>
                            <w:fldChar w:fldCharType="begin"/>
                          </w:r>
                          <w:r>
                            <w:instrText xml:space="preserve"> PAGE  \* MERGEFORMAT </w:instrText>
                          </w:r>
                          <w:r>
                            <w:fldChar w:fldCharType="separate"/>
                          </w:r>
                          <w:r>
                            <w:t>52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177D560E">
                    <w:pPr>
                      <w:pStyle w:val="12"/>
                    </w:pPr>
                    <w:r>
                      <w:fldChar w:fldCharType="begin"/>
                    </w:r>
                    <w:r>
                      <w:instrText xml:space="preserve"> PAGE  \* MERGEFORMAT </w:instrText>
                    </w:r>
                    <w:r>
                      <w:fldChar w:fldCharType="separate"/>
                    </w:r>
                    <w:r>
                      <w:t>52</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52F689">
    <w:pPr>
      <w:pStyle w:val="12"/>
      <w:rPr>
        <w:rFonts w:hint="default" w:eastAsiaTheme="minorEastAsia"/>
        <w:lang w:val="en-US" w:eastAsia="zh-CN"/>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1D27DF">
                          <w:pPr>
                            <w:pStyle w:val="12"/>
                          </w:pPr>
                          <w:r>
                            <w:fldChar w:fldCharType="begin"/>
                          </w:r>
                          <w:r>
                            <w:instrText xml:space="preserve"> PAGE  \* MERGEFORMAT </w:instrText>
                          </w:r>
                          <w:r>
                            <w:fldChar w:fldCharType="separate"/>
                          </w:r>
                          <w:r>
                            <w:t>54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641D27DF">
                    <w:pPr>
                      <w:pStyle w:val="12"/>
                    </w:pPr>
                    <w:r>
                      <w:fldChar w:fldCharType="begin"/>
                    </w:r>
                    <w:r>
                      <w:instrText xml:space="preserve"> PAGE  \* MERGEFORMAT </w:instrText>
                    </w:r>
                    <w:r>
                      <w:fldChar w:fldCharType="separate"/>
                    </w:r>
                    <w:r>
                      <w:t>54</w:t>
                    </w:r>
                    <w:r>
                      <w:fldChar w:fldCharType="end"/>
                    </w:r>
                  </w:p>
                </w:txbxContent>
              </v:textbox>
            </v:shape>
          </w:pict>
        </mc:Fallback>
      </mc:AlternateContent>
    </w:r>
    <w:r>
      <w:rPr>
        <w:rFonts w:hint="eastAsia"/>
        <w:lang w:val="en-US" w:eastAsia="zh-CN"/>
      </w:rPr>
      <w:t xml:space="preserve">                                                     </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DC2FF6">
    <w:pPr>
      <w:pStyle w:val="12"/>
      <w:jc w:val="center"/>
      <w:rPr>
        <w:rFonts w:hint="default" w:eastAsiaTheme="minorEastAsia"/>
        <w:lang w:val="en-US" w:eastAsia="zh-CN"/>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A0ABAC">
                          <w:pPr>
                            <w:pStyle w:val="12"/>
                          </w:pPr>
                          <w:r>
                            <w:fldChar w:fldCharType="begin"/>
                          </w:r>
                          <w:r>
                            <w:instrText xml:space="preserve"> PAGE  \* MERGEFORMAT </w:instrText>
                          </w:r>
                          <w:r>
                            <w:fldChar w:fldCharType="separate"/>
                          </w:r>
                          <w:r>
                            <w:t>58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3FA0ABAC">
                    <w:pPr>
                      <w:pStyle w:val="12"/>
                    </w:pPr>
                    <w:r>
                      <w:fldChar w:fldCharType="begin"/>
                    </w:r>
                    <w:r>
                      <w:instrText xml:space="preserve"> PAGE  \* MERGEFORMAT </w:instrText>
                    </w:r>
                    <w:r>
                      <w:fldChar w:fldCharType="separate"/>
                    </w:r>
                    <w:r>
                      <w:t>58</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EFC36E">
    <w:pPr>
      <w:pStyle w:val="12"/>
      <w:tabs>
        <w:tab w:val="clear" w:pos="4153"/>
      </w:tabs>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DA0616">
    <w:pPr>
      <w:pStyle w:val="12"/>
      <w:jc w:val="center"/>
      <w:rPr>
        <w:rFonts w:hint="eastAsia"/>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6EE9209">
                          <w:pPr>
                            <w:pStyle w:val="12"/>
                          </w:pPr>
                          <w:r>
                            <w:fldChar w:fldCharType="begin"/>
                          </w:r>
                          <w:r>
                            <w:instrText xml:space="preserve"> PAGE  \* MERGEFORMAT </w:instrText>
                          </w:r>
                          <w:r>
                            <w:fldChar w:fldCharType="separate"/>
                          </w:r>
                          <w:r>
                            <w:t>- 3 -</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76EE9209">
                    <w:pPr>
                      <w:pStyle w:val="12"/>
                    </w:pPr>
                    <w:r>
                      <w:fldChar w:fldCharType="begin"/>
                    </w:r>
                    <w:r>
                      <w:instrText xml:space="preserve"> PAGE  \* MERGEFORMAT </w:instrText>
                    </w:r>
                    <w:r>
                      <w:fldChar w:fldCharType="separate"/>
                    </w:r>
                    <w:r>
                      <w:t>- 3 -</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16B9B1">
    <w:pPr>
      <w:pStyle w:val="12"/>
      <w:jc w:val="center"/>
      <w:rPr>
        <w:rFonts w:hint="eastAsia"/>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E1317B9">
                          <w:pPr>
                            <w:pStyle w:val="12"/>
                          </w:pPr>
                          <w:r>
                            <w:fldChar w:fldCharType="begin"/>
                          </w:r>
                          <w:r>
                            <w:instrText xml:space="preserve"> PAGE  \* MERGEFORMAT </w:instrText>
                          </w:r>
                          <w:r>
                            <w:fldChar w:fldCharType="separate"/>
                          </w:r>
                          <w:r>
                            <w:t>- 1 -</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4E1317B9">
                    <w:pPr>
                      <w:pStyle w:val="12"/>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B18AC1">
    <w:pPr>
      <w:pStyle w:val="12"/>
      <w:jc w:val="center"/>
      <w:rPr>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14D5CB">
                          <w:pPr>
                            <w:pStyle w:val="12"/>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514D5CB">
                    <w:pPr>
                      <w:pStyle w:val="12"/>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D08C3D">
    <w:pPr>
      <w:spacing w:line="176" w:lineRule="auto"/>
      <w:ind w:left="408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3085DA">
                          <w:pPr>
                            <w:pStyle w:val="12"/>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273085DA">
                    <w:pPr>
                      <w:pStyle w:val="12"/>
                    </w:pPr>
                    <w:r>
                      <w:fldChar w:fldCharType="begin"/>
                    </w:r>
                    <w:r>
                      <w:instrText xml:space="preserve"> PAGE  \* MERGEFORMAT </w:instrText>
                    </w:r>
                    <w:r>
                      <w:fldChar w:fldCharType="separate"/>
                    </w:r>
                    <w:r>
                      <w:t>10</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4C36DA">
    <w:pPr>
      <w:spacing w:line="176" w:lineRule="auto"/>
      <w:ind w:left="408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69CD6D">
                          <w:pPr>
                            <w:pStyle w:val="12"/>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2769CD6D">
                    <w:pPr>
                      <w:pStyle w:val="12"/>
                    </w:pPr>
                    <w:r>
                      <w:fldChar w:fldCharType="begin"/>
                    </w:r>
                    <w:r>
                      <w:instrText xml:space="preserve"> PAGE  \* MERGEFORMAT </w:instrText>
                    </w:r>
                    <w:r>
                      <w:fldChar w:fldCharType="separate"/>
                    </w:r>
                    <w:r>
                      <w:t>13</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500735">
    <w:pPr>
      <w:spacing w:line="176" w:lineRule="auto"/>
      <w:ind w:left="409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CCEDDF">
                          <w:pPr>
                            <w:pStyle w:val="12"/>
                          </w:pPr>
                          <w:r>
                            <w:fldChar w:fldCharType="begin"/>
                          </w:r>
                          <w:r>
                            <w:instrText xml:space="preserve"> PAGE  \* MERGEFORMAT </w:instrText>
                          </w:r>
                          <w:r>
                            <w:fldChar w:fldCharType="separate"/>
                          </w:r>
                          <w:r>
                            <w:t>14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73CCEDDF">
                    <w:pPr>
                      <w:pStyle w:val="12"/>
                    </w:pPr>
                    <w:r>
                      <w:fldChar w:fldCharType="begin"/>
                    </w:r>
                    <w:r>
                      <w:instrText xml:space="preserve"> PAGE  \* MERGEFORMAT </w:instrText>
                    </w:r>
                    <w:r>
                      <w:fldChar w:fldCharType="separate"/>
                    </w:r>
                    <w:r>
                      <w:t>14</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7AC08A">
    <w:pPr>
      <w:pStyle w:val="9"/>
      <w:spacing w:line="229" w:lineRule="auto"/>
      <w:ind w:left="6526"/>
      <w:rPr>
        <w:rFonts w:hint="default" w:eastAsiaTheme="minorEastAsia"/>
        <w:sz w:val="18"/>
        <w:szCs w:val="18"/>
        <w:lang w:val="en-US" w:eastAsia="zh-CN"/>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17464C">
                          <w:pPr>
                            <w:pStyle w:val="12"/>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2417464C">
                    <w:pPr>
                      <w:pStyle w:val="12"/>
                    </w:pPr>
                    <w:r>
                      <w:fldChar w:fldCharType="begin"/>
                    </w:r>
                    <w:r>
                      <w:instrText xml:space="preserve"> PAGE  \* MERGEFORMAT </w:instrText>
                    </w:r>
                    <w:r>
                      <w:fldChar w:fldCharType="separate"/>
                    </w:r>
                    <w:r>
                      <w:t>20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70E90E">
    <w:pPr>
      <w:pStyle w:val="9"/>
      <w:spacing w:before="48" w:line="219" w:lineRule="auto"/>
      <w:ind w:left="27"/>
      <w:rPr>
        <w:rFonts w:hint="eastAsia" w:eastAsia="宋体"/>
        <w:sz w:val="18"/>
        <w:szCs w:val="18"/>
        <w:lang w:val="en-US"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0BA117">
    <w:pPr>
      <w:pStyle w:val="9"/>
      <w:spacing w:before="48" w:line="219" w:lineRule="auto"/>
      <w:ind w:left="27"/>
      <w:rPr>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797BF6">
    <w:pPr>
      <w:pStyle w:val="9"/>
      <w:spacing w:line="240" w:lineRule="auto"/>
      <w:ind w:left="0"/>
      <w:rPr>
        <w:sz w:val="18"/>
        <w:szCs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232452">
    <w:pPr>
      <w:pStyle w:val="14"/>
      <w:pBdr>
        <w:bottom w:val="none" w:color="auto" w:sz="0" w:space="1"/>
      </w:pBdr>
      <w:jc w:val="both"/>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201BCF">
    <w:pPr>
      <w:pStyle w:val="14"/>
      <w:pBdr>
        <w:bottom w:val="none" w:color="auto" w:sz="0" w:space="1"/>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61B409">
    <w:pPr>
      <w:pStyle w:val="1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7C125F"/>
    <w:multiLevelType w:val="singleLevel"/>
    <w:tmpl w:val="A57C125F"/>
    <w:lvl w:ilvl="0" w:tentative="0">
      <w:start w:val="1"/>
      <w:numFmt w:val="decimal"/>
      <w:pStyle w:val="8"/>
      <w:lvlText w:val="%1."/>
      <w:lvlJc w:val="left"/>
      <w:pPr>
        <w:tabs>
          <w:tab w:val="left" w:pos="360"/>
        </w:tabs>
        <w:ind w:left="360" w:hanging="360"/>
      </w:pPr>
    </w:lvl>
  </w:abstractNum>
  <w:abstractNum w:abstractNumId="1">
    <w:nsid w:val="D4B47AFD"/>
    <w:multiLevelType w:val="singleLevel"/>
    <w:tmpl w:val="D4B47AFD"/>
    <w:lvl w:ilvl="0" w:tentative="0">
      <w:start w:val="3"/>
      <w:numFmt w:val="decimal"/>
      <w:lvlText w:val="%1."/>
      <w:lvlJc w:val="left"/>
      <w:pPr>
        <w:tabs>
          <w:tab w:val="left" w:pos="312"/>
        </w:tabs>
      </w:pPr>
    </w:lvl>
  </w:abstractNum>
  <w:abstractNum w:abstractNumId="2">
    <w:nsid w:val="D7A5932A"/>
    <w:multiLevelType w:val="singleLevel"/>
    <w:tmpl w:val="D7A5932A"/>
    <w:lvl w:ilvl="0" w:tentative="0">
      <w:start w:val="1"/>
      <w:numFmt w:val="chineseCounting"/>
      <w:suff w:val="nothing"/>
      <w:lvlText w:val="（%1）"/>
      <w:lvlJc w:val="left"/>
      <w:rPr>
        <w:rFonts w:hint="eastAsia"/>
      </w:rPr>
    </w:lvl>
  </w:abstractNum>
  <w:abstractNum w:abstractNumId="3">
    <w:nsid w:val="E8A67870"/>
    <w:multiLevelType w:val="singleLevel"/>
    <w:tmpl w:val="E8A67870"/>
    <w:lvl w:ilvl="0" w:tentative="0">
      <w:start w:val="3"/>
      <w:numFmt w:val="chineseCounting"/>
      <w:suff w:val="nothing"/>
      <w:lvlText w:val="%1、"/>
      <w:lvlJc w:val="left"/>
      <w:rPr>
        <w:rFonts w:hint="eastAsia"/>
      </w:rPr>
    </w:lvl>
  </w:abstractNum>
  <w:abstractNum w:abstractNumId="4">
    <w:nsid w:val="0000000E"/>
    <w:multiLevelType w:val="multilevel"/>
    <w:tmpl w:val="0000000E"/>
    <w:lvl w:ilvl="0" w:tentative="0">
      <w:start w:val="1"/>
      <w:numFmt w:val="bullet"/>
      <w:pStyle w:val="49"/>
      <w:lvlText w:val=""/>
      <w:lvlJc w:val="left"/>
      <w:pPr>
        <w:tabs>
          <w:tab w:val="left" w:pos="540"/>
        </w:tabs>
        <w:ind w:left="540" w:firstLine="0"/>
      </w:pPr>
      <w:rPr>
        <w:rFonts w:hint="default" w:ascii="Wingdings" w:hAnsi="Wingdings"/>
        <w:sz w:val="16"/>
      </w:rPr>
    </w:lvl>
    <w:lvl w:ilvl="1" w:tentative="0">
      <w:start w:val="1"/>
      <w:numFmt w:val="bullet"/>
      <w:lvlText w:val=""/>
      <w:lvlJc w:val="left"/>
      <w:pPr>
        <w:tabs>
          <w:tab w:val="left" w:pos="1940"/>
        </w:tabs>
        <w:ind w:left="1940" w:hanging="420"/>
      </w:pPr>
      <w:rPr>
        <w:rFonts w:hint="default" w:ascii="Wingdings" w:hAnsi="Wingdings"/>
      </w:rPr>
    </w:lvl>
    <w:lvl w:ilvl="2" w:tentative="0">
      <w:start w:val="1"/>
      <w:numFmt w:val="bullet"/>
      <w:lvlText w:val=""/>
      <w:lvlJc w:val="left"/>
      <w:pPr>
        <w:tabs>
          <w:tab w:val="left" w:pos="2360"/>
        </w:tabs>
        <w:ind w:left="2360" w:hanging="420"/>
      </w:pPr>
      <w:rPr>
        <w:rFonts w:hint="default" w:ascii="Wingdings" w:hAnsi="Wingdings"/>
      </w:rPr>
    </w:lvl>
    <w:lvl w:ilvl="3" w:tentative="0">
      <w:start w:val="1"/>
      <w:numFmt w:val="bullet"/>
      <w:lvlText w:val=""/>
      <w:lvlJc w:val="left"/>
      <w:pPr>
        <w:tabs>
          <w:tab w:val="left" w:pos="2780"/>
        </w:tabs>
        <w:ind w:left="2780" w:hanging="420"/>
      </w:pPr>
      <w:rPr>
        <w:rFonts w:hint="default" w:ascii="Wingdings" w:hAnsi="Wingdings"/>
      </w:rPr>
    </w:lvl>
    <w:lvl w:ilvl="4" w:tentative="0">
      <w:start w:val="1"/>
      <w:numFmt w:val="bullet"/>
      <w:lvlText w:val=""/>
      <w:lvlJc w:val="left"/>
      <w:pPr>
        <w:tabs>
          <w:tab w:val="left" w:pos="3200"/>
        </w:tabs>
        <w:ind w:left="3200" w:hanging="420"/>
      </w:pPr>
      <w:rPr>
        <w:rFonts w:hint="default" w:ascii="Wingdings" w:hAnsi="Wingdings"/>
      </w:rPr>
    </w:lvl>
    <w:lvl w:ilvl="5" w:tentative="0">
      <w:start w:val="1"/>
      <w:numFmt w:val="bullet"/>
      <w:lvlText w:val=""/>
      <w:lvlJc w:val="left"/>
      <w:pPr>
        <w:tabs>
          <w:tab w:val="left" w:pos="3620"/>
        </w:tabs>
        <w:ind w:left="3620" w:hanging="420"/>
      </w:pPr>
      <w:rPr>
        <w:rFonts w:hint="default" w:ascii="Wingdings" w:hAnsi="Wingdings"/>
      </w:rPr>
    </w:lvl>
    <w:lvl w:ilvl="6" w:tentative="0">
      <w:start w:val="1"/>
      <w:numFmt w:val="bullet"/>
      <w:lvlText w:val=""/>
      <w:lvlJc w:val="left"/>
      <w:pPr>
        <w:tabs>
          <w:tab w:val="left" w:pos="4040"/>
        </w:tabs>
        <w:ind w:left="4040" w:hanging="420"/>
      </w:pPr>
      <w:rPr>
        <w:rFonts w:hint="default" w:ascii="Wingdings" w:hAnsi="Wingdings"/>
      </w:rPr>
    </w:lvl>
    <w:lvl w:ilvl="7" w:tentative="0">
      <w:start w:val="1"/>
      <w:numFmt w:val="bullet"/>
      <w:lvlText w:val=""/>
      <w:lvlJc w:val="left"/>
      <w:pPr>
        <w:tabs>
          <w:tab w:val="left" w:pos="4460"/>
        </w:tabs>
        <w:ind w:left="4460" w:hanging="420"/>
      </w:pPr>
      <w:rPr>
        <w:rFonts w:hint="default" w:ascii="Wingdings" w:hAnsi="Wingdings"/>
      </w:rPr>
    </w:lvl>
    <w:lvl w:ilvl="8" w:tentative="0">
      <w:start w:val="1"/>
      <w:numFmt w:val="bullet"/>
      <w:lvlText w:val=""/>
      <w:lvlJc w:val="left"/>
      <w:pPr>
        <w:tabs>
          <w:tab w:val="left" w:pos="4880"/>
        </w:tabs>
        <w:ind w:left="4880" w:hanging="420"/>
      </w:pPr>
      <w:rPr>
        <w:rFonts w:hint="default" w:ascii="Wingdings" w:hAnsi="Wingdings"/>
      </w:rPr>
    </w:lvl>
  </w:abstractNum>
  <w:abstractNum w:abstractNumId="5">
    <w:nsid w:val="21E777E3"/>
    <w:multiLevelType w:val="singleLevel"/>
    <w:tmpl w:val="21E777E3"/>
    <w:lvl w:ilvl="0" w:tentative="0">
      <w:start w:val="2"/>
      <w:numFmt w:val="chineseCounting"/>
      <w:suff w:val="nothing"/>
      <w:lvlText w:val="（%1）"/>
      <w:lvlJc w:val="left"/>
      <w:rPr>
        <w:rFonts w:hint="eastAsia"/>
      </w:rPr>
    </w:lvl>
  </w:abstractNum>
  <w:abstractNum w:abstractNumId="6">
    <w:nsid w:val="2B3EAC1D"/>
    <w:multiLevelType w:val="singleLevel"/>
    <w:tmpl w:val="2B3EAC1D"/>
    <w:lvl w:ilvl="0" w:tentative="0">
      <w:start w:val="3"/>
      <w:numFmt w:val="chineseCounting"/>
      <w:suff w:val="space"/>
      <w:lvlText w:val="第%1章"/>
      <w:lvlJc w:val="left"/>
      <w:rPr>
        <w:rFonts w:hint="eastAsia"/>
      </w:rPr>
    </w:lvl>
  </w:abstractNum>
  <w:abstractNum w:abstractNumId="7">
    <w:nsid w:val="2E6D5892"/>
    <w:multiLevelType w:val="multilevel"/>
    <w:tmpl w:val="2E6D5892"/>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8">
    <w:nsid w:val="34980006"/>
    <w:multiLevelType w:val="singleLevel"/>
    <w:tmpl w:val="34980006"/>
    <w:lvl w:ilvl="0" w:tentative="0">
      <w:start w:val="6"/>
      <w:numFmt w:val="chineseCounting"/>
      <w:suff w:val="nothing"/>
      <w:lvlText w:val="（%1）"/>
      <w:lvlJc w:val="left"/>
      <w:rPr>
        <w:rFonts w:hint="eastAsia"/>
      </w:rPr>
    </w:lvl>
  </w:abstractNum>
  <w:abstractNum w:abstractNumId="9">
    <w:nsid w:val="3C0178DD"/>
    <w:multiLevelType w:val="singleLevel"/>
    <w:tmpl w:val="3C0178DD"/>
    <w:lvl w:ilvl="0" w:tentative="0">
      <w:start w:val="2"/>
      <w:numFmt w:val="decimal"/>
      <w:suff w:val="nothing"/>
      <w:lvlText w:val="%1、"/>
      <w:lvlJc w:val="left"/>
      <w:pPr>
        <w:ind w:left="-60"/>
      </w:pPr>
      <w:rPr>
        <w:rFonts w:hint="default" w:ascii="宋体" w:hAnsi="宋体" w:eastAsia="宋体" w:cs="宋体"/>
        <w:sz w:val="24"/>
        <w:szCs w:val="24"/>
      </w:rPr>
    </w:lvl>
  </w:abstractNum>
  <w:abstractNum w:abstractNumId="10">
    <w:nsid w:val="5E163C57"/>
    <w:multiLevelType w:val="singleLevel"/>
    <w:tmpl w:val="5E163C57"/>
    <w:lvl w:ilvl="0" w:tentative="0">
      <w:start w:val="1"/>
      <w:numFmt w:val="chineseCounting"/>
      <w:suff w:val="space"/>
      <w:lvlText w:val="第%1部分"/>
      <w:lvlJc w:val="left"/>
      <w:rPr>
        <w:rFonts w:hint="eastAsia"/>
      </w:rPr>
    </w:lvl>
  </w:abstractNum>
  <w:num w:numId="1">
    <w:abstractNumId w:val="0"/>
  </w:num>
  <w:num w:numId="2">
    <w:abstractNumId w:val="4"/>
  </w:num>
  <w:num w:numId="3">
    <w:abstractNumId w:val="1"/>
  </w:num>
  <w:num w:numId="4">
    <w:abstractNumId w:val="6"/>
  </w:num>
  <w:num w:numId="5">
    <w:abstractNumId w:val="10"/>
  </w:num>
  <w:num w:numId="6">
    <w:abstractNumId w:val="3"/>
  </w:num>
  <w:num w:numId="7">
    <w:abstractNumId w:val="8"/>
  </w:num>
  <w:num w:numId="8">
    <w:abstractNumId w:val="5"/>
  </w:num>
  <w:num w:numId="9">
    <w:abstractNumId w:val="7"/>
  </w:num>
  <w:num w:numId="10">
    <w:abstractNumId w:val="2"/>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441793"/>
    <w:rsid w:val="00AF1302"/>
    <w:rsid w:val="00B80ABA"/>
    <w:rsid w:val="01311D17"/>
    <w:rsid w:val="01C0753F"/>
    <w:rsid w:val="02251150"/>
    <w:rsid w:val="02325913"/>
    <w:rsid w:val="02327F93"/>
    <w:rsid w:val="033C0E47"/>
    <w:rsid w:val="03B40949"/>
    <w:rsid w:val="03E65C04"/>
    <w:rsid w:val="046B5540"/>
    <w:rsid w:val="04B073F7"/>
    <w:rsid w:val="04B70854"/>
    <w:rsid w:val="04BF588C"/>
    <w:rsid w:val="051B4D2D"/>
    <w:rsid w:val="0548762F"/>
    <w:rsid w:val="056E4C96"/>
    <w:rsid w:val="058D14E6"/>
    <w:rsid w:val="05E70385"/>
    <w:rsid w:val="065D535C"/>
    <w:rsid w:val="06A94D84"/>
    <w:rsid w:val="06DB3A69"/>
    <w:rsid w:val="0708351A"/>
    <w:rsid w:val="075D7F93"/>
    <w:rsid w:val="075E313A"/>
    <w:rsid w:val="08040C81"/>
    <w:rsid w:val="083B16CD"/>
    <w:rsid w:val="087B405D"/>
    <w:rsid w:val="08950BEB"/>
    <w:rsid w:val="08D54A04"/>
    <w:rsid w:val="08F74F57"/>
    <w:rsid w:val="09302789"/>
    <w:rsid w:val="09320A66"/>
    <w:rsid w:val="09AD42D5"/>
    <w:rsid w:val="0A514B12"/>
    <w:rsid w:val="0A6274AF"/>
    <w:rsid w:val="0A6F1B02"/>
    <w:rsid w:val="0A951B0C"/>
    <w:rsid w:val="0AC736EC"/>
    <w:rsid w:val="0B0264D2"/>
    <w:rsid w:val="0B701CD3"/>
    <w:rsid w:val="0BAA5D2C"/>
    <w:rsid w:val="0BC83278"/>
    <w:rsid w:val="0C027923"/>
    <w:rsid w:val="0C645302"/>
    <w:rsid w:val="0C7D0506"/>
    <w:rsid w:val="0C9D235E"/>
    <w:rsid w:val="0D5E5D06"/>
    <w:rsid w:val="0D892BBA"/>
    <w:rsid w:val="0D8B78A1"/>
    <w:rsid w:val="0D9301F9"/>
    <w:rsid w:val="0DA73361"/>
    <w:rsid w:val="0DBF0971"/>
    <w:rsid w:val="0DE1181F"/>
    <w:rsid w:val="0E0A127B"/>
    <w:rsid w:val="0E0F1632"/>
    <w:rsid w:val="0E2F75DE"/>
    <w:rsid w:val="0E3C339E"/>
    <w:rsid w:val="0EBA63D8"/>
    <w:rsid w:val="0ED61E61"/>
    <w:rsid w:val="0EF477B8"/>
    <w:rsid w:val="0F3330FE"/>
    <w:rsid w:val="0F5177B8"/>
    <w:rsid w:val="0FAD4E25"/>
    <w:rsid w:val="0FAE09D7"/>
    <w:rsid w:val="0FB33E5B"/>
    <w:rsid w:val="0FEF0BE3"/>
    <w:rsid w:val="104301EB"/>
    <w:rsid w:val="10525FBD"/>
    <w:rsid w:val="105D523A"/>
    <w:rsid w:val="106F2C99"/>
    <w:rsid w:val="10986CD2"/>
    <w:rsid w:val="10993435"/>
    <w:rsid w:val="11406647"/>
    <w:rsid w:val="1144541B"/>
    <w:rsid w:val="11976FCC"/>
    <w:rsid w:val="11A074D0"/>
    <w:rsid w:val="11CC15E8"/>
    <w:rsid w:val="11F34DC7"/>
    <w:rsid w:val="11FE5946"/>
    <w:rsid w:val="126006AE"/>
    <w:rsid w:val="12767A99"/>
    <w:rsid w:val="13596EAB"/>
    <w:rsid w:val="137943F0"/>
    <w:rsid w:val="138819DA"/>
    <w:rsid w:val="138E4DA7"/>
    <w:rsid w:val="14CF6D94"/>
    <w:rsid w:val="14E1184E"/>
    <w:rsid w:val="14E96F1B"/>
    <w:rsid w:val="15085E10"/>
    <w:rsid w:val="150A2B53"/>
    <w:rsid w:val="152029C3"/>
    <w:rsid w:val="15475B55"/>
    <w:rsid w:val="156E5E33"/>
    <w:rsid w:val="158029B8"/>
    <w:rsid w:val="158D16D2"/>
    <w:rsid w:val="16111CBF"/>
    <w:rsid w:val="16A469D8"/>
    <w:rsid w:val="16BC0089"/>
    <w:rsid w:val="176D73C9"/>
    <w:rsid w:val="17836BED"/>
    <w:rsid w:val="17863BF3"/>
    <w:rsid w:val="17D22517"/>
    <w:rsid w:val="185F1FF0"/>
    <w:rsid w:val="193C7053"/>
    <w:rsid w:val="19661867"/>
    <w:rsid w:val="19771B7E"/>
    <w:rsid w:val="198033E4"/>
    <w:rsid w:val="1991178C"/>
    <w:rsid w:val="199C1D9C"/>
    <w:rsid w:val="1A206975"/>
    <w:rsid w:val="1A4626D7"/>
    <w:rsid w:val="1A824F3A"/>
    <w:rsid w:val="1AB04E2D"/>
    <w:rsid w:val="1BAB66FB"/>
    <w:rsid w:val="1BBB0703"/>
    <w:rsid w:val="1C330A4C"/>
    <w:rsid w:val="1C4A5F2B"/>
    <w:rsid w:val="1C596C3B"/>
    <w:rsid w:val="1C6C4192"/>
    <w:rsid w:val="1D5C1A72"/>
    <w:rsid w:val="1D626B1F"/>
    <w:rsid w:val="1D74205C"/>
    <w:rsid w:val="1D930B2E"/>
    <w:rsid w:val="1DD72230"/>
    <w:rsid w:val="1DFB74DD"/>
    <w:rsid w:val="1E036392"/>
    <w:rsid w:val="1E684081"/>
    <w:rsid w:val="1E780B2E"/>
    <w:rsid w:val="1E796654"/>
    <w:rsid w:val="1E935967"/>
    <w:rsid w:val="1EAF500A"/>
    <w:rsid w:val="1EF550AA"/>
    <w:rsid w:val="1EFA416B"/>
    <w:rsid w:val="1F3C0DB3"/>
    <w:rsid w:val="20193933"/>
    <w:rsid w:val="20267FF6"/>
    <w:rsid w:val="20A53730"/>
    <w:rsid w:val="20C65066"/>
    <w:rsid w:val="211865F8"/>
    <w:rsid w:val="212033D0"/>
    <w:rsid w:val="218A7094"/>
    <w:rsid w:val="219A3FB0"/>
    <w:rsid w:val="22174B15"/>
    <w:rsid w:val="22855306"/>
    <w:rsid w:val="22F10EAE"/>
    <w:rsid w:val="244A3FA3"/>
    <w:rsid w:val="248D4F84"/>
    <w:rsid w:val="24E44670"/>
    <w:rsid w:val="24FE21EF"/>
    <w:rsid w:val="25802233"/>
    <w:rsid w:val="25937D6F"/>
    <w:rsid w:val="25BB5C64"/>
    <w:rsid w:val="25F0544D"/>
    <w:rsid w:val="25F64472"/>
    <w:rsid w:val="26063C58"/>
    <w:rsid w:val="2625637B"/>
    <w:rsid w:val="264A744F"/>
    <w:rsid w:val="2661634B"/>
    <w:rsid w:val="267F4FC0"/>
    <w:rsid w:val="26881B2A"/>
    <w:rsid w:val="26E479C8"/>
    <w:rsid w:val="27005865"/>
    <w:rsid w:val="279664C8"/>
    <w:rsid w:val="27977369"/>
    <w:rsid w:val="27C2242C"/>
    <w:rsid w:val="28341F69"/>
    <w:rsid w:val="284D6B87"/>
    <w:rsid w:val="28F04D60"/>
    <w:rsid w:val="294C32E2"/>
    <w:rsid w:val="295D729E"/>
    <w:rsid w:val="29A53BD5"/>
    <w:rsid w:val="29B919C2"/>
    <w:rsid w:val="2A077209"/>
    <w:rsid w:val="2AB86417"/>
    <w:rsid w:val="2AC375D4"/>
    <w:rsid w:val="2AD76BDC"/>
    <w:rsid w:val="2AFE685E"/>
    <w:rsid w:val="2B534060"/>
    <w:rsid w:val="2C513230"/>
    <w:rsid w:val="2C7F3E66"/>
    <w:rsid w:val="2C972AC7"/>
    <w:rsid w:val="2CD86C3B"/>
    <w:rsid w:val="2CF8788B"/>
    <w:rsid w:val="2D08068E"/>
    <w:rsid w:val="2D46629B"/>
    <w:rsid w:val="2D7B23E8"/>
    <w:rsid w:val="2E310CF9"/>
    <w:rsid w:val="2EFB6EB3"/>
    <w:rsid w:val="2F080DDB"/>
    <w:rsid w:val="2F2A5E74"/>
    <w:rsid w:val="2F803CE6"/>
    <w:rsid w:val="2F8D3DE5"/>
    <w:rsid w:val="2FC516F9"/>
    <w:rsid w:val="2FD53980"/>
    <w:rsid w:val="30036ACC"/>
    <w:rsid w:val="30D15875"/>
    <w:rsid w:val="316F017B"/>
    <w:rsid w:val="3179279B"/>
    <w:rsid w:val="31ED5D31"/>
    <w:rsid w:val="31FE0EF2"/>
    <w:rsid w:val="32267A6D"/>
    <w:rsid w:val="3276694F"/>
    <w:rsid w:val="32A3678D"/>
    <w:rsid w:val="32A45C76"/>
    <w:rsid w:val="33373D6F"/>
    <w:rsid w:val="337D5AB4"/>
    <w:rsid w:val="33B22CAA"/>
    <w:rsid w:val="33E97E17"/>
    <w:rsid w:val="34313801"/>
    <w:rsid w:val="3478202F"/>
    <w:rsid w:val="34AF4725"/>
    <w:rsid w:val="34FB2229"/>
    <w:rsid w:val="350D601C"/>
    <w:rsid w:val="35111E8D"/>
    <w:rsid w:val="352549E8"/>
    <w:rsid w:val="35470E02"/>
    <w:rsid w:val="35546B2F"/>
    <w:rsid w:val="36241145"/>
    <w:rsid w:val="366F23BE"/>
    <w:rsid w:val="369C3EB5"/>
    <w:rsid w:val="36AC3612"/>
    <w:rsid w:val="36E55E1E"/>
    <w:rsid w:val="371C0798"/>
    <w:rsid w:val="376E43E1"/>
    <w:rsid w:val="377D0435"/>
    <w:rsid w:val="37BC51C9"/>
    <w:rsid w:val="37C64260"/>
    <w:rsid w:val="37E76B1F"/>
    <w:rsid w:val="38216F32"/>
    <w:rsid w:val="385A5F14"/>
    <w:rsid w:val="388C30C6"/>
    <w:rsid w:val="393D67A4"/>
    <w:rsid w:val="39412182"/>
    <w:rsid w:val="39581830"/>
    <w:rsid w:val="396B1563"/>
    <w:rsid w:val="39AD4EB7"/>
    <w:rsid w:val="39BC2B0E"/>
    <w:rsid w:val="39DA4E22"/>
    <w:rsid w:val="39F3020A"/>
    <w:rsid w:val="3A6A62B8"/>
    <w:rsid w:val="3A77515E"/>
    <w:rsid w:val="3ABE56C2"/>
    <w:rsid w:val="3AC0143A"/>
    <w:rsid w:val="3B516536"/>
    <w:rsid w:val="3B6F39E6"/>
    <w:rsid w:val="3B7F4E52"/>
    <w:rsid w:val="3BCB0097"/>
    <w:rsid w:val="3BCF26D5"/>
    <w:rsid w:val="3C130856"/>
    <w:rsid w:val="3C8C2109"/>
    <w:rsid w:val="3C9A33CF"/>
    <w:rsid w:val="3CAD59EE"/>
    <w:rsid w:val="3CC602B2"/>
    <w:rsid w:val="3CE82ECA"/>
    <w:rsid w:val="3CF873C3"/>
    <w:rsid w:val="3D1B53C1"/>
    <w:rsid w:val="3D881438"/>
    <w:rsid w:val="3E1E56B6"/>
    <w:rsid w:val="3E647289"/>
    <w:rsid w:val="3E767F89"/>
    <w:rsid w:val="3E8A5EF5"/>
    <w:rsid w:val="3E9926CE"/>
    <w:rsid w:val="3EBB3083"/>
    <w:rsid w:val="3EED5649"/>
    <w:rsid w:val="3EEE3354"/>
    <w:rsid w:val="3F0E7B3C"/>
    <w:rsid w:val="3F147FA7"/>
    <w:rsid w:val="3F402B4A"/>
    <w:rsid w:val="3F880F92"/>
    <w:rsid w:val="3FA4757D"/>
    <w:rsid w:val="3FD11010"/>
    <w:rsid w:val="404E0A08"/>
    <w:rsid w:val="40513E02"/>
    <w:rsid w:val="406E6983"/>
    <w:rsid w:val="40844CB8"/>
    <w:rsid w:val="40994C08"/>
    <w:rsid w:val="40C33A32"/>
    <w:rsid w:val="40D60CD4"/>
    <w:rsid w:val="40E666D6"/>
    <w:rsid w:val="40E83499"/>
    <w:rsid w:val="41115DF2"/>
    <w:rsid w:val="411532F9"/>
    <w:rsid w:val="419E1DAA"/>
    <w:rsid w:val="42244A89"/>
    <w:rsid w:val="42245AE5"/>
    <w:rsid w:val="4253798E"/>
    <w:rsid w:val="434353C7"/>
    <w:rsid w:val="43A25D12"/>
    <w:rsid w:val="43EE0D41"/>
    <w:rsid w:val="440C75E1"/>
    <w:rsid w:val="44AA58B3"/>
    <w:rsid w:val="44F72DB5"/>
    <w:rsid w:val="44FC5765"/>
    <w:rsid w:val="451A3E3D"/>
    <w:rsid w:val="454456EB"/>
    <w:rsid w:val="45AD3D25"/>
    <w:rsid w:val="45B222C8"/>
    <w:rsid w:val="45BF4D04"/>
    <w:rsid w:val="461A4C03"/>
    <w:rsid w:val="461E170B"/>
    <w:rsid w:val="4680230D"/>
    <w:rsid w:val="46AC1F74"/>
    <w:rsid w:val="46EF571E"/>
    <w:rsid w:val="470E5CA3"/>
    <w:rsid w:val="475A6773"/>
    <w:rsid w:val="47617B01"/>
    <w:rsid w:val="47971775"/>
    <w:rsid w:val="47B937DD"/>
    <w:rsid w:val="48241D13"/>
    <w:rsid w:val="482963CC"/>
    <w:rsid w:val="484415AB"/>
    <w:rsid w:val="48AE5CCA"/>
    <w:rsid w:val="48C04CFB"/>
    <w:rsid w:val="48C70A78"/>
    <w:rsid w:val="48DA5DBD"/>
    <w:rsid w:val="48F47D20"/>
    <w:rsid w:val="492722D8"/>
    <w:rsid w:val="49276B29"/>
    <w:rsid w:val="495B0491"/>
    <w:rsid w:val="495F669C"/>
    <w:rsid w:val="49A26776"/>
    <w:rsid w:val="49B16203"/>
    <w:rsid w:val="4A7F37E7"/>
    <w:rsid w:val="4A933FA2"/>
    <w:rsid w:val="4B095826"/>
    <w:rsid w:val="4B46773A"/>
    <w:rsid w:val="4B58121B"/>
    <w:rsid w:val="4BD06085"/>
    <w:rsid w:val="4C2B4E0D"/>
    <w:rsid w:val="4C3752D5"/>
    <w:rsid w:val="4C5F10AF"/>
    <w:rsid w:val="4C690F25"/>
    <w:rsid w:val="4CAC7A71"/>
    <w:rsid w:val="4CB9412E"/>
    <w:rsid w:val="4CBA03DF"/>
    <w:rsid w:val="4CCC2AA1"/>
    <w:rsid w:val="4D1B3617"/>
    <w:rsid w:val="4D2543F3"/>
    <w:rsid w:val="4D2D77B9"/>
    <w:rsid w:val="4D5F39A7"/>
    <w:rsid w:val="4D5F4AE3"/>
    <w:rsid w:val="4D634C6F"/>
    <w:rsid w:val="4D8D4BF9"/>
    <w:rsid w:val="4DC94652"/>
    <w:rsid w:val="4DEB6377"/>
    <w:rsid w:val="4E38634E"/>
    <w:rsid w:val="4E760336"/>
    <w:rsid w:val="4ECA3C30"/>
    <w:rsid w:val="4EE7471F"/>
    <w:rsid w:val="4F09007C"/>
    <w:rsid w:val="4F32292B"/>
    <w:rsid w:val="4F9F7D1D"/>
    <w:rsid w:val="4FCB6964"/>
    <w:rsid w:val="4FE6006B"/>
    <w:rsid w:val="4FE65048"/>
    <w:rsid w:val="501469A5"/>
    <w:rsid w:val="50720FD1"/>
    <w:rsid w:val="50AC2F04"/>
    <w:rsid w:val="50C11611"/>
    <w:rsid w:val="50D64562"/>
    <w:rsid w:val="50DA7848"/>
    <w:rsid w:val="510D4856"/>
    <w:rsid w:val="51851541"/>
    <w:rsid w:val="51B8783B"/>
    <w:rsid w:val="51E47CAD"/>
    <w:rsid w:val="520254C7"/>
    <w:rsid w:val="524D7600"/>
    <w:rsid w:val="52CB2066"/>
    <w:rsid w:val="531A4A3E"/>
    <w:rsid w:val="531E0D47"/>
    <w:rsid w:val="532C2B8D"/>
    <w:rsid w:val="5359386A"/>
    <w:rsid w:val="5376752B"/>
    <w:rsid w:val="53883286"/>
    <w:rsid w:val="53BB67EB"/>
    <w:rsid w:val="54444A33"/>
    <w:rsid w:val="544E0E36"/>
    <w:rsid w:val="54985596"/>
    <w:rsid w:val="56871A17"/>
    <w:rsid w:val="571D0B6B"/>
    <w:rsid w:val="576573E0"/>
    <w:rsid w:val="58D92B58"/>
    <w:rsid w:val="592171A5"/>
    <w:rsid w:val="599E6993"/>
    <w:rsid w:val="59C16067"/>
    <w:rsid w:val="59E3160A"/>
    <w:rsid w:val="5A2A3C66"/>
    <w:rsid w:val="5A6279C1"/>
    <w:rsid w:val="5B6634E0"/>
    <w:rsid w:val="5C274050"/>
    <w:rsid w:val="5C412842"/>
    <w:rsid w:val="5C642D9E"/>
    <w:rsid w:val="5C700A30"/>
    <w:rsid w:val="5C7207E3"/>
    <w:rsid w:val="5CB20421"/>
    <w:rsid w:val="5D7F7E98"/>
    <w:rsid w:val="5DAD7A63"/>
    <w:rsid w:val="5DC037D1"/>
    <w:rsid w:val="5DF748C4"/>
    <w:rsid w:val="5E4473C0"/>
    <w:rsid w:val="5E4A390B"/>
    <w:rsid w:val="5E5E4943"/>
    <w:rsid w:val="5ECC7AFE"/>
    <w:rsid w:val="5F223BC2"/>
    <w:rsid w:val="5F265202"/>
    <w:rsid w:val="5F681F1D"/>
    <w:rsid w:val="5FA82319"/>
    <w:rsid w:val="5FBA4B28"/>
    <w:rsid w:val="5FF748EF"/>
    <w:rsid w:val="60127CE4"/>
    <w:rsid w:val="602F593A"/>
    <w:rsid w:val="607D270E"/>
    <w:rsid w:val="608963C4"/>
    <w:rsid w:val="60F11A9E"/>
    <w:rsid w:val="618D60F0"/>
    <w:rsid w:val="61A82AA5"/>
    <w:rsid w:val="61DA0784"/>
    <w:rsid w:val="62371795"/>
    <w:rsid w:val="628F4866"/>
    <w:rsid w:val="629244AA"/>
    <w:rsid w:val="62D14FEA"/>
    <w:rsid w:val="63224D28"/>
    <w:rsid w:val="63520F1A"/>
    <w:rsid w:val="63A86D8C"/>
    <w:rsid w:val="63D47B81"/>
    <w:rsid w:val="640A4D80"/>
    <w:rsid w:val="641E704E"/>
    <w:rsid w:val="642D549C"/>
    <w:rsid w:val="644717AE"/>
    <w:rsid w:val="64682077"/>
    <w:rsid w:val="647A1DAB"/>
    <w:rsid w:val="64D4770D"/>
    <w:rsid w:val="64D91F61"/>
    <w:rsid w:val="651A5A67"/>
    <w:rsid w:val="65915CB3"/>
    <w:rsid w:val="661C67E7"/>
    <w:rsid w:val="66A80E51"/>
    <w:rsid w:val="66B71094"/>
    <w:rsid w:val="66D012F6"/>
    <w:rsid w:val="66D80856"/>
    <w:rsid w:val="66DF67AD"/>
    <w:rsid w:val="66FC2448"/>
    <w:rsid w:val="67DC5256"/>
    <w:rsid w:val="67FC3283"/>
    <w:rsid w:val="68945B31"/>
    <w:rsid w:val="68B91D64"/>
    <w:rsid w:val="69136A00"/>
    <w:rsid w:val="692A1FF1"/>
    <w:rsid w:val="69714EEF"/>
    <w:rsid w:val="6A3C0286"/>
    <w:rsid w:val="6A670A9A"/>
    <w:rsid w:val="6A6E78BD"/>
    <w:rsid w:val="6AA61E14"/>
    <w:rsid w:val="6B120F8F"/>
    <w:rsid w:val="6B9876E6"/>
    <w:rsid w:val="6BA86DB0"/>
    <w:rsid w:val="6BE87193"/>
    <w:rsid w:val="6BF00E57"/>
    <w:rsid w:val="6BF84629"/>
    <w:rsid w:val="6C022256"/>
    <w:rsid w:val="6C1653E3"/>
    <w:rsid w:val="6C256AA0"/>
    <w:rsid w:val="6C2C4D3D"/>
    <w:rsid w:val="6C4038DA"/>
    <w:rsid w:val="6C551A8A"/>
    <w:rsid w:val="6C974E1B"/>
    <w:rsid w:val="6CAB3449"/>
    <w:rsid w:val="6CC369E5"/>
    <w:rsid w:val="6CE51FB7"/>
    <w:rsid w:val="6D390A55"/>
    <w:rsid w:val="6D617FAC"/>
    <w:rsid w:val="6D994382"/>
    <w:rsid w:val="6DA27E2E"/>
    <w:rsid w:val="6E585FED"/>
    <w:rsid w:val="6E982293"/>
    <w:rsid w:val="6F421950"/>
    <w:rsid w:val="6F641307"/>
    <w:rsid w:val="6F6F69B0"/>
    <w:rsid w:val="6F854184"/>
    <w:rsid w:val="6F8A3A5A"/>
    <w:rsid w:val="6FC767EC"/>
    <w:rsid w:val="6FED3784"/>
    <w:rsid w:val="706C7393"/>
    <w:rsid w:val="70903082"/>
    <w:rsid w:val="712612F0"/>
    <w:rsid w:val="715471F1"/>
    <w:rsid w:val="725825E1"/>
    <w:rsid w:val="72D134DE"/>
    <w:rsid w:val="74062216"/>
    <w:rsid w:val="74322E3B"/>
    <w:rsid w:val="745259E7"/>
    <w:rsid w:val="74CF6FAB"/>
    <w:rsid w:val="74F00593"/>
    <w:rsid w:val="75091676"/>
    <w:rsid w:val="752031DA"/>
    <w:rsid w:val="75C66AF3"/>
    <w:rsid w:val="75D57F4E"/>
    <w:rsid w:val="763B3A90"/>
    <w:rsid w:val="7652787A"/>
    <w:rsid w:val="778564C3"/>
    <w:rsid w:val="77882D05"/>
    <w:rsid w:val="77AE3B8F"/>
    <w:rsid w:val="77B7489D"/>
    <w:rsid w:val="77BF2801"/>
    <w:rsid w:val="77DE1DAF"/>
    <w:rsid w:val="780C209B"/>
    <w:rsid w:val="78232A2D"/>
    <w:rsid w:val="783D765C"/>
    <w:rsid w:val="78882890"/>
    <w:rsid w:val="79222CE5"/>
    <w:rsid w:val="79312F28"/>
    <w:rsid w:val="79942D72"/>
    <w:rsid w:val="79D93511"/>
    <w:rsid w:val="7A342CD0"/>
    <w:rsid w:val="7A903103"/>
    <w:rsid w:val="7B3220BE"/>
    <w:rsid w:val="7B566455"/>
    <w:rsid w:val="7C320365"/>
    <w:rsid w:val="7CB5141A"/>
    <w:rsid w:val="7CEE7D6F"/>
    <w:rsid w:val="7CF82162"/>
    <w:rsid w:val="7CFB7AD5"/>
    <w:rsid w:val="7DA27169"/>
    <w:rsid w:val="7DEB0C75"/>
    <w:rsid w:val="7DF46620"/>
    <w:rsid w:val="7E14306B"/>
    <w:rsid w:val="7E3226E9"/>
    <w:rsid w:val="7E430455"/>
    <w:rsid w:val="7EE051D4"/>
    <w:rsid w:val="7F3428B4"/>
    <w:rsid w:val="7FCC5758"/>
    <w:rsid w:val="7FF847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semiHidden="0" w:name="heading 4"/>
    <w:lsdException w:qFormat="1" w:uiPriority="0" w:semiHidden="0" w:name="heading 5"/>
    <w:lsdException w:qFormat="1"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99"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qFormat="1"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link w:val="33"/>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qFormat/>
    <w:uiPriority w:val="0"/>
    <w:pPr>
      <w:keepNext/>
      <w:keepLines/>
      <w:spacing w:before="260" w:beforeLines="0" w:beforeAutospacing="0" w:after="260" w:afterLines="0" w:afterAutospacing="0" w:line="413" w:lineRule="auto"/>
      <w:outlineLvl w:val="2"/>
    </w:pPr>
    <w:rPr>
      <w:b/>
      <w:sz w:val="32"/>
    </w:rPr>
  </w:style>
  <w:style w:type="paragraph" w:styleId="5">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paragraph" w:styleId="6">
    <w:name w:val="heading 5"/>
    <w:basedOn w:val="1"/>
    <w:next w:val="1"/>
    <w:unhideWhenUsed/>
    <w:qFormat/>
    <w:uiPriority w:val="0"/>
    <w:pPr>
      <w:keepNext/>
      <w:keepLines/>
      <w:spacing w:before="280" w:beforeLines="0" w:beforeAutospacing="0" w:after="290" w:afterLines="0" w:afterAutospacing="0" w:line="372" w:lineRule="auto"/>
      <w:outlineLvl w:val="4"/>
    </w:pPr>
    <w:rPr>
      <w:b/>
      <w:sz w:val="28"/>
    </w:rPr>
  </w:style>
  <w:style w:type="paragraph" w:styleId="7">
    <w:name w:val="heading 6"/>
    <w:basedOn w:val="1"/>
    <w:next w:val="1"/>
    <w:unhideWhenUsed/>
    <w:qFormat/>
    <w:uiPriority w:val="0"/>
    <w:pPr>
      <w:keepNext/>
      <w:keepLines/>
      <w:spacing w:before="240" w:beforeLines="0" w:beforeAutospacing="0" w:after="64" w:afterLines="0" w:afterAutospacing="0" w:line="317" w:lineRule="auto"/>
      <w:outlineLvl w:val="5"/>
    </w:pPr>
    <w:rPr>
      <w:rFonts w:ascii="Arial" w:hAnsi="Arial" w:eastAsia="黑体"/>
      <w:b/>
      <w:sz w:val="24"/>
    </w:rPr>
  </w:style>
  <w:style w:type="character" w:default="1" w:styleId="22">
    <w:name w:val="Default Paragraph Font"/>
    <w:semiHidden/>
    <w:qFormat/>
    <w:uiPriority w:val="0"/>
  </w:style>
  <w:style w:type="table" w:default="1" w:styleId="20">
    <w:name w:val="Normal Table"/>
    <w:semiHidden/>
    <w:qFormat/>
    <w:uiPriority w:val="0"/>
    <w:tblPr>
      <w:tblCellMar>
        <w:top w:w="0" w:type="dxa"/>
        <w:left w:w="108" w:type="dxa"/>
        <w:bottom w:w="0" w:type="dxa"/>
        <w:right w:w="108" w:type="dxa"/>
      </w:tblCellMar>
    </w:tblPr>
  </w:style>
  <w:style w:type="paragraph" w:styleId="8">
    <w:name w:val="List Number"/>
    <w:basedOn w:val="1"/>
    <w:qFormat/>
    <w:uiPriority w:val="0"/>
    <w:pPr>
      <w:numPr>
        <w:ilvl w:val="0"/>
        <w:numId w:val="1"/>
      </w:numPr>
    </w:pPr>
  </w:style>
  <w:style w:type="paragraph" w:styleId="9">
    <w:name w:val="Body Text"/>
    <w:basedOn w:val="1"/>
    <w:unhideWhenUsed/>
    <w:qFormat/>
    <w:uiPriority w:val="99"/>
    <w:pPr>
      <w:spacing w:after="120"/>
    </w:pPr>
  </w:style>
  <w:style w:type="paragraph" w:styleId="10">
    <w:name w:val="Body Text Indent"/>
    <w:basedOn w:val="1"/>
    <w:qFormat/>
    <w:uiPriority w:val="0"/>
    <w:pPr>
      <w:spacing w:after="120"/>
      <w:ind w:left="420" w:leftChars="200"/>
    </w:pPr>
    <w:rPr>
      <w:rFonts w:ascii="Calibri" w:hAnsi="Calibri" w:eastAsia="宋体" w:cs="Times New Roman"/>
    </w:rPr>
  </w:style>
  <w:style w:type="paragraph" w:styleId="11">
    <w:name w:val="Plain Text"/>
    <w:basedOn w:val="1"/>
    <w:qFormat/>
    <w:uiPriority w:val="0"/>
    <w:rPr>
      <w:rFonts w:ascii="宋体" w:hAnsi="Courier New" w:eastAsia="宋体" w:cs="Courier New"/>
      <w:szCs w:val="21"/>
    </w:rPr>
  </w:style>
  <w:style w:type="paragraph" w:styleId="12">
    <w:name w:val="footer"/>
    <w:basedOn w:val="1"/>
    <w:unhideWhenUsed/>
    <w:qFormat/>
    <w:uiPriority w:val="99"/>
    <w:pPr>
      <w:tabs>
        <w:tab w:val="center" w:pos="4153"/>
        <w:tab w:val="right" w:pos="8306"/>
      </w:tabs>
      <w:snapToGrid w:val="0"/>
      <w:jc w:val="left"/>
    </w:pPr>
    <w:rPr>
      <w:sz w:val="18"/>
      <w:szCs w:val="18"/>
    </w:rPr>
  </w:style>
  <w:style w:type="paragraph" w:styleId="13">
    <w:name w:val="envelope return"/>
    <w:basedOn w:val="1"/>
    <w:qFormat/>
    <w:uiPriority w:val="0"/>
    <w:pPr>
      <w:snapToGrid w:val="0"/>
    </w:pPr>
    <w:rPr>
      <w:rFonts w:ascii="Arial" w:hAnsi="Arial"/>
    </w:rPr>
  </w:style>
  <w:style w:type="paragraph" w:styleId="14">
    <w:name w:val="header"/>
    <w:basedOn w:val="1"/>
    <w:qFormat/>
    <w:uiPriority w:val="99"/>
    <w:pPr>
      <w:widowControl/>
      <w:pBdr>
        <w:bottom w:val="single" w:color="auto" w:sz="6" w:space="1"/>
      </w:pBdr>
      <w:tabs>
        <w:tab w:val="center" w:pos="4153"/>
        <w:tab w:val="right" w:pos="8306"/>
      </w:tabs>
      <w:snapToGrid w:val="0"/>
      <w:jc w:val="center"/>
    </w:pPr>
    <w:rPr>
      <w:rFonts w:eastAsia="宋体"/>
      <w:b/>
      <w:sz w:val="18"/>
    </w:rPr>
  </w:style>
  <w:style w:type="paragraph" w:styleId="15">
    <w:name w:val="toc 1"/>
    <w:basedOn w:val="1"/>
    <w:next w:val="1"/>
    <w:semiHidden/>
    <w:qFormat/>
    <w:uiPriority w:val="99"/>
  </w:style>
  <w:style w:type="paragraph" w:styleId="16">
    <w:name w:val="Normal (Web)"/>
    <w:basedOn w:val="1"/>
    <w:unhideWhenUsed/>
    <w:qFormat/>
    <w:uiPriority w:val="99"/>
    <w:pPr>
      <w:widowControl/>
      <w:spacing w:before="100" w:beforeAutospacing="1" w:after="100" w:afterAutospacing="1"/>
      <w:jc w:val="left"/>
    </w:pPr>
    <w:rPr>
      <w:rFonts w:ascii="??" w:hAnsi="??" w:cs="宋体"/>
      <w:kern w:val="0"/>
      <w:sz w:val="24"/>
      <w:szCs w:val="24"/>
    </w:rPr>
  </w:style>
  <w:style w:type="paragraph" w:styleId="17">
    <w:name w:val="Title"/>
    <w:basedOn w:val="1"/>
    <w:next w:val="1"/>
    <w:qFormat/>
    <w:uiPriority w:val="0"/>
    <w:pPr>
      <w:spacing w:before="240" w:beforeLines="0" w:beforeAutospacing="0" w:after="60" w:afterLines="0" w:afterAutospacing="0"/>
      <w:jc w:val="center"/>
      <w:outlineLvl w:val="0"/>
    </w:pPr>
    <w:rPr>
      <w:rFonts w:ascii="Arial" w:hAnsi="Arial"/>
      <w:b/>
      <w:sz w:val="32"/>
    </w:rPr>
  </w:style>
  <w:style w:type="paragraph" w:styleId="18">
    <w:name w:val="Body Text First Indent"/>
    <w:basedOn w:val="9"/>
    <w:next w:val="1"/>
    <w:unhideWhenUsed/>
    <w:qFormat/>
    <w:uiPriority w:val="0"/>
    <w:pPr>
      <w:ind w:firstLine="420" w:firstLineChars="100"/>
    </w:pPr>
  </w:style>
  <w:style w:type="paragraph" w:styleId="19">
    <w:name w:val="Body Text First Indent 2"/>
    <w:basedOn w:val="10"/>
    <w:qFormat/>
    <w:uiPriority w:val="0"/>
    <w:pPr>
      <w:ind w:firstLine="420" w:firstLineChars="200"/>
    </w:p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qFormat/>
    <w:uiPriority w:val="0"/>
    <w:rPr>
      <w:b/>
    </w:rPr>
  </w:style>
  <w:style w:type="character" w:styleId="24">
    <w:name w:val="Emphasis"/>
    <w:basedOn w:val="22"/>
    <w:qFormat/>
    <w:uiPriority w:val="0"/>
    <w:rPr>
      <w:i/>
      <w:iCs/>
    </w:rPr>
  </w:style>
  <w:style w:type="paragraph" w:customStyle="1" w:styleId="25">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26">
    <w:name w:val="Style1"/>
    <w:basedOn w:val="1"/>
    <w:next w:val="27"/>
    <w:qFormat/>
    <w:uiPriority w:val="0"/>
    <w:pPr>
      <w:widowControl/>
      <w:tabs>
        <w:tab w:val="left" w:pos="-720"/>
      </w:tabs>
      <w:spacing w:after="120"/>
    </w:pPr>
    <w:rPr>
      <w:spacing w:val="-3"/>
      <w:kern w:val="0"/>
      <w:szCs w:val="20"/>
      <w:lang w:val="en-AU" w:eastAsia="en-US"/>
    </w:rPr>
  </w:style>
  <w:style w:type="paragraph" w:customStyle="1" w:styleId="27">
    <w:name w:val="*正文"/>
    <w:basedOn w:val="1"/>
    <w:qFormat/>
    <w:uiPriority w:val="0"/>
    <w:pPr>
      <w:keepNext/>
      <w:keepLines/>
      <w:spacing w:line="360" w:lineRule="auto"/>
      <w:ind w:firstLine="200" w:firstLineChars="200"/>
    </w:pPr>
    <w:rPr>
      <w:rFonts w:ascii="宋体" w:hAnsi="宋体"/>
    </w:rPr>
  </w:style>
  <w:style w:type="paragraph" w:customStyle="1" w:styleId="28">
    <w:name w:val="TOC 标题1"/>
    <w:basedOn w:val="2"/>
    <w:next w:val="1"/>
    <w:qFormat/>
    <w:uiPriority w:val="39"/>
    <w:pPr>
      <w:tabs>
        <w:tab w:val="left" w:pos="1800"/>
      </w:tabs>
      <w:spacing w:before="480" w:line="276" w:lineRule="auto"/>
      <w:outlineLvl w:val="9"/>
    </w:pPr>
    <w:rPr>
      <w:rFonts w:ascii="仿宋" w:hAnsi="仿宋" w:eastAsia="仿宋"/>
      <w:color w:val="000000"/>
      <w:kern w:val="0"/>
      <w:sz w:val="32"/>
      <w:szCs w:val="32"/>
    </w:rPr>
  </w:style>
  <w:style w:type="paragraph" w:customStyle="1" w:styleId="29">
    <w:name w:val="表格文字"/>
    <w:basedOn w:val="1"/>
    <w:qFormat/>
    <w:uiPriority w:val="0"/>
    <w:pPr>
      <w:spacing w:before="25" w:after="25"/>
    </w:pPr>
    <w:rPr>
      <w:bCs/>
      <w:spacing w:val="10"/>
      <w:szCs w:val="20"/>
    </w:rPr>
  </w:style>
  <w:style w:type="paragraph" w:customStyle="1" w:styleId="30">
    <w:name w:val="样式3"/>
    <w:basedOn w:val="1"/>
    <w:next w:val="1"/>
    <w:link w:val="31"/>
    <w:qFormat/>
    <w:uiPriority w:val="0"/>
    <w:pPr>
      <w:keepNext/>
      <w:keepLines/>
      <w:spacing w:before="340" w:after="330" w:line="360" w:lineRule="auto"/>
      <w:jc w:val="center"/>
      <w:outlineLvl w:val="0"/>
    </w:pPr>
    <w:rPr>
      <w:rFonts w:hint="eastAsia"/>
      <w:b/>
      <w:bCs/>
      <w:kern w:val="44"/>
      <w:sz w:val="44"/>
      <w:szCs w:val="44"/>
    </w:rPr>
  </w:style>
  <w:style w:type="character" w:customStyle="1" w:styleId="31">
    <w:name w:val="样式3 Char"/>
    <w:link w:val="30"/>
    <w:qFormat/>
    <w:uiPriority w:val="0"/>
    <w:rPr>
      <w:rFonts w:hint="eastAsia"/>
      <w:b/>
      <w:bCs/>
      <w:kern w:val="44"/>
      <w:sz w:val="44"/>
      <w:szCs w:val="44"/>
    </w:rPr>
  </w:style>
  <w:style w:type="character" w:customStyle="1" w:styleId="32">
    <w:name w:val="font21"/>
    <w:basedOn w:val="22"/>
    <w:qFormat/>
    <w:uiPriority w:val="0"/>
    <w:rPr>
      <w:rFonts w:hint="eastAsia" w:ascii="宋体" w:hAnsi="宋体" w:eastAsia="宋体" w:cs="宋体"/>
      <w:b/>
      <w:bCs/>
      <w:color w:val="000000"/>
      <w:sz w:val="24"/>
      <w:szCs w:val="24"/>
      <w:u w:val="none"/>
    </w:rPr>
  </w:style>
  <w:style w:type="character" w:customStyle="1" w:styleId="33">
    <w:name w:val="标题 2 Char"/>
    <w:basedOn w:val="22"/>
    <w:link w:val="3"/>
    <w:qFormat/>
    <w:uiPriority w:val="99"/>
    <w:rPr>
      <w:rFonts w:ascii="Arial" w:hAnsi="Arial" w:eastAsia="黑体"/>
      <w:b/>
      <w:sz w:val="32"/>
    </w:rPr>
  </w:style>
  <w:style w:type="character" w:customStyle="1" w:styleId="34">
    <w:name w:val="font01"/>
    <w:basedOn w:val="22"/>
    <w:qFormat/>
    <w:uiPriority w:val="0"/>
    <w:rPr>
      <w:rFonts w:hint="eastAsia" w:ascii="宋体" w:hAnsi="宋体" w:eastAsia="宋体" w:cs="宋体"/>
      <w:color w:val="000000"/>
      <w:sz w:val="22"/>
      <w:szCs w:val="22"/>
      <w:u w:val="none"/>
    </w:rPr>
  </w:style>
  <w:style w:type="paragraph" w:customStyle="1" w:styleId="35">
    <w:name w:val="Normal_0"/>
    <w:next w:val="36"/>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36">
    <w:name w:val="TOC 1"/>
    <w:basedOn w:val="35"/>
    <w:next w:val="35"/>
    <w:qFormat/>
    <w:uiPriority w:val="39"/>
    <w:pPr>
      <w:tabs>
        <w:tab w:val="left" w:pos="1260"/>
        <w:tab w:val="left" w:pos="1685"/>
        <w:tab w:val="right" w:leader="dot" w:pos="8400"/>
      </w:tabs>
      <w:spacing w:line="320" w:lineRule="exact"/>
      <w:ind w:firstLine="280" w:firstLineChars="100"/>
    </w:pPr>
  </w:style>
  <w:style w:type="paragraph" w:customStyle="1" w:styleId="37">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38">
    <w:name w:val="列出段落1"/>
    <w:basedOn w:val="1"/>
    <w:qFormat/>
    <w:uiPriority w:val="0"/>
    <w:pPr>
      <w:ind w:firstLine="420" w:firstLineChars="200"/>
    </w:pPr>
  </w:style>
  <w:style w:type="paragraph" w:customStyle="1" w:styleId="39">
    <w:name w:val="Table Text"/>
    <w:basedOn w:val="1"/>
    <w:semiHidden/>
    <w:qFormat/>
    <w:uiPriority w:val="0"/>
    <w:rPr>
      <w:rFonts w:ascii="宋体" w:hAnsi="宋体" w:eastAsia="宋体" w:cs="宋体"/>
      <w:sz w:val="24"/>
      <w:szCs w:val="24"/>
      <w:lang w:val="en-US" w:eastAsia="en-US" w:bidi="ar-SA"/>
    </w:rPr>
  </w:style>
  <w:style w:type="table" w:customStyle="1" w:styleId="40">
    <w:name w:val="Table Normal"/>
    <w:semiHidden/>
    <w:unhideWhenUsed/>
    <w:qFormat/>
    <w:uiPriority w:val="0"/>
    <w:tblPr>
      <w:tblCellMar>
        <w:top w:w="0" w:type="dxa"/>
        <w:left w:w="0" w:type="dxa"/>
        <w:bottom w:w="0" w:type="dxa"/>
        <w:right w:w="0" w:type="dxa"/>
      </w:tblCellMar>
    </w:tblPr>
  </w:style>
  <w:style w:type="paragraph" w:customStyle="1" w:styleId="41">
    <w:name w:val="正文_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42">
    <w:name w:val="样式1"/>
    <w:basedOn w:val="1"/>
    <w:qFormat/>
    <w:uiPriority w:val="0"/>
    <w:pPr>
      <w:spacing w:before="120" w:beforeLines="0" w:after="120" w:afterLines="0" w:line="300" w:lineRule="auto"/>
    </w:pPr>
    <w:rPr>
      <w:rFonts w:ascii="宋体" w:hAnsi="宋体"/>
      <w:b/>
      <w:sz w:val="24"/>
      <w:szCs w:val="20"/>
    </w:rPr>
  </w:style>
  <w:style w:type="paragraph" w:customStyle="1" w:styleId="43">
    <w:name w:val="正文_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4">
    <w:name w:val="Normal_0_0_2"/>
    <w:qFormat/>
    <w:uiPriority w:val="0"/>
    <w:pPr>
      <w:snapToGrid/>
    </w:pPr>
    <w:rPr>
      <w:rFonts w:hint="default" w:ascii="Times New Roman" w:hAnsi="Times New Roman" w:eastAsia="Times New Roman" w:cs="Times New Roman"/>
      <w:sz w:val="24"/>
      <w:szCs w:val="24"/>
      <w:lang w:val="en-US" w:eastAsia="zh-CN" w:bidi="ar-SA"/>
    </w:rPr>
  </w:style>
  <w:style w:type="paragraph" w:customStyle="1" w:styleId="45">
    <w:name w:val="Table Paragraph"/>
    <w:basedOn w:val="1"/>
    <w:qFormat/>
    <w:uiPriority w:val="1"/>
    <w:rPr>
      <w:rFonts w:ascii="宋体" w:hAnsi="宋体" w:eastAsia="宋体" w:cs="宋体"/>
      <w:lang w:val="zh-CN" w:eastAsia="zh-CN" w:bidi="zh-CN"/>
    </w:rPr>
  </w:style>
  <w:style w:type="paragraph" w:customStyle="1" w:styleId="46">
    <w:name w:val="W表格文字"/>
    <w:basedOn w:val="1"/>
    <w:qFormat/>
    <w:uiPriority w:val="0"/>
    <w:pPr>
      <w:widowControl/>
      <w:spacing w:line="0" w:lineRule="atLeast"/>
      <w:jc w:val="center"/>
    </w:pPr>
    <w:rPr>
      <w:kern w:val="0"/>
      <w:sz w:val="21"/>
      <w:szCs w:val="20"/>
    </w:rPr>
  </w:style>
  <w:style w:type="paragraph" w:styleId="47">
    <w:name w:val="List Paragraph"/>
    <w:basedOn w:val="1"/>
    <w:qFormat/>
    <w:uiPriority w:val="34"/>
    <w:pPr>
      <w:ind w:firstLine="420" w:firstLineChars="200"/>
    </w:pPr>
  </w:style>
  <w:style w:type="paragraph" w:customStyle="1" w:styleId="4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49">
    <w:name w:val="首行缩进"/>
    <w:basedOn w:val="1"/>
    <w:qFormat/>
    <w:uiPriority w:val="0"/>
    <w:pPr>
      <w:numPr>
        <w:ilvl w:val="0"/>
        <w:numId w:val="2"/>
      </w:numPr>
      <w:spacing w:line="360" w:lineRule="auto"/>
    </w:pPr>
    <w:rPr>
      <w:rFonts w:eastAsia="仿宋_GB2312"/>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header" Target="header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theme" Target="theme/theme1.xml"/><Relationship Id="rId21" Type="http://schemas.openxmlformats.org/officeDocument/2006/relationships/footer" Target="footer13.xml"/><Relationship Id="rId20" Type="http://schemas.openxmlformats.org/officeDocument/2006/relationships/header" Target="header6.xml"/><Relationship Id="rId2" Type="http://schemas.openxmlformats.org/officeDocument/2006/relationships/settings" Target="settings.xml"/><Relationship Id="rId19" Type="http://schemas.openxmlformats.org/officeDocument/2006/relationships/footer" Target="footer12.xml"/><Relationship Id="rId18" Type="http://schemas.openxmlformats.org/officeDocument/2006/relationships/footer" Target="footer11.xml"/><Relationship Id="rId17" Type="http://schemas.openxmlformats.org/officeDocument/2006/relationships/header" Target="header5.xml"/><Relationship Id="rId16" Type="http://schemas.openxmlformats.org/officeDocument/2006/relationships/footer" Target="footer10.xml"/><Relationship Id="rId15" Type="http://schemas.openxmlformats.org/officeDocument/2006/relationships/footer" Target="footer9.xml"/><Relationship Id="rId14" Type="http://schemas.openxmlformats.org/officeDocument/2006/relationships/header" Target="header4.xml"/><Relationship Id="rId13" Type="http://schemas.openxmlformats.org/officeDocument/2006/relationships/footer" Target="footer8.xml"/><Relationship Id="rId12" Type="http://schemas.openxmlformats.org/officeDocument/2006/relationships/header" Target="header3.xml"/><Relationship Id="rId11" Type="http://schemas.openxmlformats.org/officeDocument/2006/relationships/footer" Target="footer7.xml"/><Relationship Id="rId10" Type="http://schemas.openxmlformats.org/officeDocument/2006/relationships/header" Target="header2.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63</Pages>
  <Words>7952</Words>
  <Characters>8787</Characters>
  <Lines>1</Lines>
  <Paragraphs>1</Paragraphs>
  <TotalTime>3</TotalTime>
  <ScaleCrop>false</ScaleCrop>
  <LinksUpToDate>false</LinksUpToDate>
  <CharactersWithSpaces>9531</CharactersWithSpaces>
  <Application>WPS Office_12.1.0.26885_F1E327BC-269C-435d-A152-05C5408002CA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2025-02-27T06:29:00Z</dcterms:created>
  <dc:creator>南笙p0</dc:creator>
  <cp:lastModifiedBy>赵媛媛.</cp:lastModifiedBy>
  <cp:lastPrinted>2026-06-12T01:01:00Z</cp:lastPrinted>
  <dcterms:modified xsi:type="dcterms:W3CDTF">2026-07-21T03:42:08Z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2052-12.1.0.26885</vt:lpwstr>
  </property>
  <property fmtid="{D5CDD505-2E9C-101B-9397-08002B2CF9AE}" pid="3" name="ICV">
    <vt:lpwstr>7E8DB217C75949ACAED3AC612F5B93B2_13</vt:lpwstr>
  </property>
  <property fmtid="{D5CDD505-2E9C-101B-9397-08002B2CF9AE}" pid="4" name="KSOTemplateDocerSaveRecord">
    <vt:lpwstr>eyJoZGlkIjoiMzI5MzQ4NGNkNzAyOTc5ZDBiMzk0ZTA1YjdiNzEzODgiLCJ1c2VySWQiOiIyMDczMzIxOTkifQ==</vt:lpwstr>
  </property>
</Properties>
</file>